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3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107315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730" w:right="2800" w:hanging="3730"/>
        <w:spacing w:after="0" w:line="322" w:lineRule="auto"/>
        <w:tabs>
          <w:tab w:leader="none" w:pos="4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501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90"/>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to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Commission file number: 001-34211</w:t>
            </w:r>
          </w:p>
        </w:tc>
        <w:tc>
          <w:tcPr>
            <w:tcW w:w="580" w:type="dxa"/>
            <w:vAlign w:val="bottom"/>
          </w:tcPr>
          <w:p>
            <w:pPr>
              <w:spacing w:after="0"/>
              <w:rPr>
                <w:sz w:val="18"/>
                <w:szCs w:val="18"/>
                <w:color w:val="auto"/>
              </w:rPr>
            </w:pPr>
          </w:p>
        </w:tc>
      </w:tr>
      <w:tr>
        <w:trPr>
          <w:trHeight w:val="64"/>
        </w:trPr>
        <w:tc>
          <w:tcPr>
            <w:tcW w:w="58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r>
    </w:tbl>
    <w:p>
      <w:pPr>
        <w:spacing w:after="0" w:line="8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4"/>
          <w:szCs w:val="34"/>
          <w:b w:val="1"/>
          <w:bCs w:val="1"/>
          <w:color w:val="auto"/>
        </w:rPr>
        <w:t>GRAND CANYON EDUCATION, INC.</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20-3356009</w:t>
            </w:r>
          </w:p>
        </w:tc>
        <w:tc>
          <w:tcPr>
            <w:tcW w:w="2200" w:type="dxa"/>
            <w:vAlign w:val="bottom"/>
          </w:tcPr>
          <w:p>
            <w:pPr>
              <w:spacing w:after="0"/>
              <w:rPr>
                <w:sz w:val="13"/>
                <w:szCs w:val="13"/>
                <w:color w:val="auto"/>
              </w:rPr>
            </w:pPr>
          </w:p>
        </w:tc>
      </w:tr>
      <w:tr>
        <w:trPr>
          <w:trHeight w:val="148"/>
        </w:trPr>
        <w:tc>
          <w:tcPr>
            <w:tcW w:w="6960" w:type="dxa"/>
            <w:vAlign w:val="bottom"/>
            <w:gridSpan w:val="4"/>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960" w:type="dxa"/>
            <w:vAlign w:val="bottom"/>
            <w:gridSpan w:val="4"/>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gridSpan w:val="2"/>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74"/>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2600 W. Camelback Road, Phoenix, Arizona 85017</w:t>
            </w:r>
          </w:p>
        </w:tc>
        <w:tc>
          <w:tcPr>
            <w:tcW w:w="10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90"/>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0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5100" w:type="dxa"/>
            <w:vAlign w:val="bottom"/>
            <w:gridSpan w:val="4"/>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(602) 247-4400</w:t>
            </w:r>
          </w:p>
        </w:tc>
        <w:tc>
          <w:tcPr>
            <w:tcW w:w="2200" w:type="dxa"/>
            <w:vAlign w:val="bottom"/>
          </w:tcPr>
          <w:p>
            <w:pPr>
              <w:spacing w:after="0"/>
              <w:rPr>
                <w:sz w:val="18"/>
                <w:szCs w:val="18"/>
                <w:color w:val="auto"/>
              </w:rPr>
            </w:pPr>
          </w:p>
        </w:tc>
      </w:tr>
      <w:tr>
        <w:trPr>
          <w:trHeight w:val="364"/>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5"/>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Times New Roman" w:cs="Times New Roman" w:eastAsia="Times New Roman" w:hAnsi="Times New Roman"/>
                <w:sz w:val="14"/>
                <w:szCs w:val="14"/>
                <w:color w:val="auto"/>
              </w:rPr>
              <w:t>Nasdaq Global Select Market</w:t>
            </w:r>
          </w:p>
        </w:tc>
      </w:tr>
      <w:tr>
        <w:trPr>
          <w:trHeight w:val="478"/>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2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3"/>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200" w:type="dxa"/>
            <w:vAlign w:val="bottom"/>
          </w:tcPr>
          <w:p>
            <w:pPr>
              <w:jc w:val="center"/>
              <w:ind w:right="146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9" w:lineRule="exact"/>
        <w:rPr>
          <w:sz w:val="24"/>
          <w:szCs w:val="24"/>
          <w:color w:val="auto"/>
        </w:rPr>
      </w:pPr>
    </w:p>
    <w:p>
      <w:pPr>
        <w:ind w:left="10" w:right="20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
        <w:spacing w:after="0" w:line="161" w:lineRule="exact"/>
        <w:tabs>
          <w:tab w:leader="none" w:pos="61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ind w:left="10" w:right="8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10" w:right="30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6" w:lineRule="exact"/>
        <w:rPr>
          <w:sz w:val="24"/>
          <w:szCs w:val="24"/>
          <w:color w:val="auto"/>
        </w:rPr>
      </w:pPr>
    </w:p>
    <w:p>
      <w:pPr>
        <w:ind w:left="10" w:right="1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36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650" w:right="14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total number of shares of common stock outstanding as of February 13, 2026 was 27,143,454.</w:t>
      </w:r>
    </w:p>
    <w:p>
      <w:pPr>
        <w:spacing w:after="0" w:line="29" w:lineRule="exact"/>
        <w:rPr>
          <w:sz w:val="24"/>
          <w:szCs w:val="24"/>
          <w:color w:val="auto"/>
        </w:rPr>
      </w:pPr>
    </w:p>
    <w:p>
      <w:pPr>
        <w:ind w:left="10" w:right="40" w:firstLine="648"/>
        <w:spacing w:after="0" w:line="261"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registrant’s common stock was listed on the NASDAQ Global Market. As of June 30, 2025, the aggregate market value of the registrant’s common stock held by non-affiliates was approximately $5.2 billion.</w:t>
      </w:r>
    </w:p>
    <w:p>
      <w:pPr>
        <w:spacing w:after="0" w:line="1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left="10" w:right="400" w:firstLine="648"/>
        <w:spacing w:after="0" w:line="26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2026 Annual Meeting of Stockholders (which is expected to be filed with the Commission within 120 days after the end of the registrant’s 2025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426720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32385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49530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Page</w:t>
            </w:r>
          </w:p>
        </w:tc>
      </w:tr>
      <w:tr>
        <w:trPr>
          <w:trHeight w:val="263"/>
        </w:trPr>
        <w:tc>
          <w:tcPr>
            <w:tcW w:w="83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0" w:type="dxa"/>
            <w:vAlign w:val="bottom"/>
          </w:tcPr>
          <w:p>
            <w:pPr>
              <w:spacing w:after="0"/>
              <w:rPr>
                <w:sz w:val="22"/>
                <w:szCs w:val="2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1"/>
        </w:trPr>
        <w:tc>
          <w:tcPr>
            <w:tcW w:w="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280" w:type="dxa"/>
            <w:vAlign w:val="bottom"/>
            <w:tcBorders>
              <w:top w:val="single" w:sz="8" w:color="0000EE"/>
            </w:tcBorders>
            <w:gridSpan w:val="18"/>
          </w:tcPr>
          <w:p>
            <w:pPr>
              <w:spacing w:after="0"/>
              <w:rPr>
                <w:sz w:val="24"/>
                <w:szCs w:val="24"/>
                <w:color w:val="auto"/>
              </w:rPr>
            </w:pPr>
          </w:p>
        </w:tc>
        <w:tc>
          <w:tcPr>
            <w:tcW w:w="4480" w:type="dxa"/>
            <w:vAlign w:val="bottom"/>
            <w:gridSpan w:val="11"/>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1"/>
        </w:trPr>
        <w:tc>
          <w:tcPr>
            <w:tcW w:w="42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6720" w:type="dxa"/>
            <w:vAlign w:val="bottom"/>
            <w:gridSpan w:val="2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0"/>
        </w:trPr>
        <w:tc>
          <w:tcPr>
            <w:tcW w:w="42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20" w:type="dxa"/>
            <w:vAlign w:val="bottom"/>
            <w:gridSpan w:val="1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1"/>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1B. Unresolved Staff Comments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420" w:type="dxa"/>
            <w:vAlign w:val="bottom"/>
          </w:tcPr>
          <w:p>
            <w:pPr>
              <w:spacing w:after="0"/>
              <w:rPr>
                <w:sz w:val="24"/>
                <w:szCs w:val="24"/>
                <w:color w:val="auto"/>
              </w:rPr>
            </w:pPr>
          </w:p>
        </w:tc>
        <w:tc>
          <w:tcPr>
            <w:tcW w:w="27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1C. Cybersecurity</w:t>
            </w:r>
          </w:p>
        </w:tc>
        <w:tc>
          <w:tcPr>
            <w:tcW w:w="5200" w:type="dxa"/>
            <w:vAlign w:val="bottom"/>
            <w:gridSpan w:val="1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1"/>
        </w:trPr>
        <w:tc>
          <w:tcPr>
            <w:tcW w:w="420" w:type="dxa"/>
            <w:vAlign w:val="bottom"/>
          </w:tcPr>
          <w:p>
            <w:pPr>
              <w:spacing w:after="0"/>
              <w:rPr>
                <w:sz w:val="24"/>
                <w:szCs w:val="24"/>
                <w:color w:val="auto"/>
              </w:rPr>
            </w:pPr>
          </w:p>
        </w:tc>
        <w:tc>
          <w:tcPr>
            <w:tcW w:w="16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6240" w:type="dxa"/>
            <w:vAlign w:val="bottom"/>
            <w:gridSpan w:val="18"/>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1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6020" w:type="dxa"/>
            <w:vAlign w:val="bottom"/>
            <w:gridSpan w:val="1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1"/>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91"/>
        </w:trPr>
        <w:tc>
          <w:tcPr>
            <w:tcW w:w="834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7200" w:type="dxa"/>
            <w:vAlign w:val="bottom"/>
            <w:gridSpan w:val="23"/>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90"/>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6. [Reserved]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0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900" w:type="dxa"/>
            <w:vAlign w:val="bottom"/>
            <w:gridSpan w:val="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0"/>
        </w:trPr>
        <w:tc>
          <w:tcPr>
            <w:tcW w:w="420" w:type="dxa"/>
            <w:vAlign w:val="bottom"/>
          </w:tcPr>
          <w:p>
            <w:pPr>
              <w:spacing w:after="0"/>
              <w:rPr>
                <w:sz w:val="24"/>
                <w:szCs w:val="24"/>
                <w:color w:val="auto"/>
              </w:rPr>
            </w:pPr>
          </w:p>
        </w:tc>
        <w:tc>
          <w:tcPr>
            <w:tcW w:w="50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2920" w:type="dxa"/>
            <w:vAlign w:val="bottom"/>
            <w:gridSpan w:val="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0"/>
        </w:trPr>
        <w:tc>
          <w:tcPr>
            <w:tcW w:w="420" w:type="dxa"/>
            <w:vAlign w:val="bottom"/>
          </w:tcPr>
          <w:p>
            <w:pPr>
              <w:spacing w:after="0"/>
              <w:rPr>
                <w:sz w:val="24"/>
                <w:szCs w:val="24"/>
                <w:color w:val="auto"/>
              </w:rPr>
            </w:pPr>
          </w:p>
        </w:tc>
        <w:tc>
          <w:tcPr>
            <w:tcW w:w="4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8. Consolidated Financial Statements and Supplementary Data</w:t>
            </w:r>
          </w:p>
        </w:tc>
        <w:tc>
          <w:tcPr>
            <w:tcW w:w="3040" w:type="dxa"/>
            <w:vAlign w:val="bottom"/>
            <w:gridSpan w:val="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0"/>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91"/>
        </w:trPr>
        <w:tc>
          <w:tcPr>
            <w:tcW w:w="4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600" w:type="dxa"/>
            <w:vAlign w:val="bottom"/>
            <w:tcBorders>
              <w:top w:val="single" w:sz="8" w:color="0000EE"/>
            </w:tcBorders>
            <w:gridSpan w:val="10"/>
          </w:tcPr>
          <w:p>
            <w:pPr>
              <w:spacing w:after="0"/>
              <w:rPr>
                <w:sz w:val="24"/>
                <w:szCs w:val="24"/>
                <w:color w:val="auto"/>
              </w:rPr>
            </w:pPr>
          </w:p>
        </w:tc>
        <w:tc>
          <w:tcPr>
            <w:tcW w:w="860" w:type="dxa"/>
            <w:vAlign w:val="bottom"/>
            <w:gridSpan w:val="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90"/>
        </w:trPr>
        <w:tc>
          <w:tcPr>
            <w:tcW w:w="420" w:type="dxa"/>
            <w:vAlign w:val="bottom"/>
          </w:tcPr>
          <w:p>
            <w:pPr>
              <w:spacing w:after="0"/>
              <w:rPr>
                <w:sz w:val="24"/>
                <w:szCs w:val="24"/>
                <w:color w:val="auto"/>
              </w:rPr>
            </w:pPr>
          </w:p>
        </w:tc>
        <w:tc>
          <w:tcPr>
            <w:tcW w:w="2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5920" w:type="dxa"/>
            <w:vAlign w:val="bottom"/>
            <w:gridSpan w:val="1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0"/>
        </w:trPr>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7620" w:type="dxa"/>
            <w:vAlign w:val="bottom"/>
            <w:gridSpan w:val="2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0"/>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0"/>
        </w:trPr>
        <w:tc>
          <w:tcPr>
            <w:tcW w:w="420" w:type="dxa"/>
            <w:vAlign w:val="bottom"/>
          </w:tcPr>
          <w:p>
            <w:pPr>
              <w:spacing w:after="0"/>
              <w:rPr>
                <w:sz w:val="24"/>
                <w:szCs w:val="24"/>
                <w:color w:val="auto"/>
              </w:rPr>
            </w:pPr>
          </w:p>
        </w:tc>
        <w:tc>
          <w:tcPr>
            <w:tcW w:w="47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180" w:type="dxa"/>
            <w:vAlign w:val="bottom"/>
            <w:gridSpan w:val="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780" w:type="dxa"/>
            <w:vAlign w:val="bottom"/>
            <w:tcBorders>
              <w:top w:val="single" w:sz="8" w:color="0000EE"/>
            </w:tcBorders>
            <w:gridSpan w:val="23"/>
          </w:tcPr>
          <w:p>
            <w:pPr>
              <w:spacing w:after="0"/>
              <w:rPr>
                <w:sz w:val="17"/>
                <w:szCs w:val="17"/>
                <w:color w:val="auto"/>
              </w:rPr>
            </w:pPr>
          </w:p>
        </w:tc>
        <w:tc>
          <w:tcPr>
            <w:tcW w:w="580" w:type="dxa"/>
            <w:vAlign w:val="bottom"/>
            <w:gridSpan w:val="2"/>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90"/>
        </w:trPr>
        <w:tc>
          <w:tcPr>
            <w:tcW w:w="420" w:type="dxa"/>
            <w:vAlign w:val="bottom"/>
          </w:tcPr>
          <w:p>
            <w:pPr>
              <w:spacing w:after="0"/>
              <w:rPr>
                <w:sz w:val="24"/>
                <w:szCs w:val="24"/>
                <w:color w:val="auto"/>
              </w:rPr>
            </w:pPr>
          </w:p>
        </w:tc>
        <w:tc>
          <w:tcPr>
            <w:tcW w:w="61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820" w:type="dxa"/>
            <w:vAlign w:val="bottom"/>
            <w:gridSpan w:val="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0"/>
        </w:trPr>
        <w:tc>
          <w:tcPr>
            <w:tcW w:w="420" w:type="dxa"/>
            <w:vAlign w:val="bottom"/>
          </w:tcPr>
          <w:p>
            <w:pPr>
              <w:spacing w:after="0"/>
              <w:rPr>
                <w:sz w:val="24"/>
                <w:szCs w:val="24"/>
                <w:color w:val="auto"/>
              </w:rPr>
            </w:pPr>
          </w:p>
        </w:tc>
        <w:tc>
          <w:tcPr>
            <w:tcW w:w="3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14. Principal Accounting Fees and Services</w:t>
            </w:r>
          </w:p>
        </w:tc>
        <w:tc>
          <w:tcPr>
            <w:tcW w:w="4400" w:type="dxa"/>
            <w:vAlign w:val="bottom"/>
            <w:gridSpan w:val="10"/>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90"/>
        </w:trPr>
        <w:tc>
          <w:tcPr>
            <w:tcW w:w="834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6"/>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48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15. Exhibits and Consolidated Financial Statement Schedules</w:t>
            </w:r>
          </w:p>
        </w:tc>
        <w:tc>
          <w:tcPr>
            <w:tcW w:w="3120" w:type="dxa"/>
            <w:vAlign w:val="bottom"/>
            <w:gridSpan w:val="8"/>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91"/>
        </w:trPr>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7360" w:type="dxa"/>
            <w:vAlign w:val="bottom"/>
            <w:gridSpan w:val="2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90"/>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240" w:type="dxa"/>
            <w:vAlign w:val="bottom"/>
            <w:gridSpan w:val="2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Annual Report on Form 10-K, including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contains certain “forward-looking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84"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81" w:lineRule="exact"/>
        <w:rPr>
          <w:sz w:val="20"/>
          <w:szCs w:val="20"/>
          <w:color w:val="auto"/>
        </w:rPr>
      </w:pPr>
    </w:p>
    <w:p>
      <w:pPr>
        <w:jc w:val="both"/>
        <w:ind w:left="1500" w:right="199" w:hanging="329"/>
        <w:spacing w:after="0" w:line="257"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actions taken against us related to our services business, or against our university partners that impact their businesses and that directly or indirectly reduce the service revenue we can earn under our master services agreements;</w:t>
      </w:r>
    </w:p>
    <w:p>
      <w:pPr>
        <w:spacing w:after="0" w:line="1" w:lineRule="exact"/>
        <w:rPr>
          <w:rFonts w:ascii="Times New Roman" w:cs="Times New Roman" w:eastAsia="Times New Roman" w:hAnsi="Times New Roman"/>
          <w:sz w:val="18"/>
          <w:szCs w:val="18"/>
          <w:color w:val="auto"/>
        </w:rPr>
      </w:pPr>
    </w:p>
    <w:p>
      <w:pPr>
        <w:ind w:left="1500" w:right="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any of the key university partner agreements;</w:t>
      </w:r>
    </w:p>
    <w:p>
      <w:pPr>
        <w:ind w:left="1500" w:right="2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 w:lineRule="exact"/>
        <w:rPr>
          <w:rFonts w:ascii="Times New Roman" w:cs="Times New Roman" w:eastAsia="Times New Roman" w:hAnsi="Times New Roman"/>
          <w:sz w:val="18"/>
          <w:szCs w:val="18"/>
          <w:color w:val="auto"/>
        </w:rPr>
      </w:pPr>
    </w:p>
    <w:p>
      <w:pPr>
        <w:ind w:left="1500" w:right="23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p>
      <w:pPr>
        <w:spacing w:after="0" w:line="1" w:lineRule="exact"/>
        <w:rPr>
          <w:rFonts w:ascii="Times New Roman" w:cs="Times New Roman" w:eastAsia="Times New Roman" w:hAnsi="Times New Roman"/>
          <w:sz w:val="18"/>
          <w:szCs w:val="18"/>
          <w:color w:val="auto"/>
        </w:rPr>
      </w:pPr>
    </w:p>
    <w:p>
      <w:pPr>
        <w:ind w:left="1500" w:right="4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harm to our business, results of operations, and financial condition, and harm to our university partners resulting from epidemics, pandemics, or public health crises;</w:t>
      </w:r>
    </w:p>
    <w:p>
      <w:pPr>
        <w:ind w:left="1500" w:right="5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harm to our business and our ability to retract and retain students resulting from capacity constraints, system disruptions, or security breaches in our online computer networks and phone systems:</w:t>
      </w:r>
    </w:p>
    <w:p>
      <w:pPr>
        <w:spacing w:after="0" w:line="1" w:lineRule="exact"/>
        <w:rPr>
          <w:rFonts w:ascii="Times New Roman" w:cs="Times New Roman" w:eastAsia="Times New Roman" w:hAnsi="Times New Roman"/>
          <w:sz w:val="18"/>
          <w:szCs w:val="18"/>
          <w:color w:val="auto"/>
        </w:rPr>
      </w:pPr>
    </w:p>
    <w:p>
      <w:pPr>
        <w:ind w:left="1500" w:right="23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university partners’ students to obtain federal Title IV funds, state financial aid, and private financing;</w:t>
      </w:r>
    </w:p>
    <w:p>
      <w:pPr>
        <w:jc w:val="both"/>
        <w:ind w:left="1500" w:right="5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 w:lineRule="exact"/>
        <w:rPr>
          <w:rFonts w:ascii="Times New Roman" w:cs="Times New Roman" w:eastAsia="Times New Roman" w:hAnsi="Times New Roman"/>
          <w:sz w:val="18"/>
          <w:szCs w:val="18"/>
          <w:color w:val="auto"/>
        </w:rPr>
      </w:pPr>
    </w:p>
    <w:p>
      <w:pPr>
        <w:ind w:left="1500" w:right="2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 including pending rulemaking by the United States Department of Education (“ED”) applicable to us directly or indirectly through our university partners;</w:t>
      </w:r>
    </w:p>
    <w:p>
      <w:pPr>
        <w:spacing w:after="0" w:line="1" w:lineRule="exact"/>
        <w:rPr>
          <w:rFonts w:ascii="Times New Roman" w:cs="Times New Roman" w:eastAsia="Times New Roman" w:hAnsi="Times New Roman"/>
          <w:sz w:val="18"/>
          <w:szCs w:val="18"/>
          <w:color w:val="auto"/>
        </w:rPr>
      </w:pPr>
    </w:p>
    <w:p>
      <w:pPr>
        <w:ind w:left="1500" w:right="5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education service companies in our geographic region and market sector, including competition for students, qualified executives and other personnel;</w:t>
      </w: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tax payments and tax rate;</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university partners’ enrollment and its effect on the pace of our own growth;</w:t>
      </w:r>
    </w:p>
    <w:p>
      <w:pPr>
        <w:spacing w:after="0" w:line="27"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due to seasonality;</w:t>
      </w:r>
    </w:p>
    <w:p>
      <w:pPr>
        <w:spacing w:after="0" w:line="9" w:lineRule="exact"/>
        <w:rPr>
          <w:rFonts w:ascii="Times New Roman" w:cs="Times New Roman" w:eastAsia="Times New Roman" w:hAnsi="Times New Roman"/>
          <w:sz w:val="18"/>
          <w:szCs w:val="18"/>
          <w:color w:val="auto"/>
        </w:rPr>
      </w:pPr>
    </w:p>
    <w:p>
      <w:pPr>
        <w:ind w:left="1500" w:right="35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on behalf of our university partners, convert prospective students to enrolled students and to retain active students to graduation;</w:t>
      </w:r>
    </w:p>
    <w:p>
      <w:pPr>
        <w:ind w:left="1500" w:right="13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 for our university partners;</w:t>
      </w:r>
    </w:p>
    <w:p>
      <w:pPr>
        <w:ind w:left="1500" w:right="65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experience for our university partners’ students;</w:t>
      </w: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9" w:lineRule="exact"/>
        <w:rPr>
          <w:rFonts w:ascii="Times New Roman" w:cs="Times New Roman" w:eastAsia="Times New Roman" w:hAnsi="Times New Roman"/>
          <w:sz w:val="18"/>
          <w:szCs w:val="18"/>
          <w:color w:val="auto"/>
        </w:rPr>
      </w:pPr>
    </w:p>
    <w:p>
      <w:pPr>
        <w:ind w:left="1500" w:right="6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headings “Risk Factors,” “Management’s Discussion and Analysis of Financial Condition and Results of Operations,” “Business,” and “Regulation.”</w:t>
      </w:r>
    </w:p>
    <w:p>
      <w:pPr>
        <w:spacing w:after="0" w:line="73"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a Delaware corporation (“GCE” or the “Company”)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eleven off-campus classroom and laboratory sites. As of December 31, 2025, GCE provided education services and support to over 136,200 students with more than 131,800 students enrolled in GCU’s programs, emphases and certificates.</w:t>
      </w:r>
    </w:p>
    <w:p>
      <w:pPr>
        <w:spacing w:after="0" w:line="8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2025, GCE provides education services to 20 university partners across the United States.</w:t>
      </w:r>
    </w:p>
    <w:p>
      <w:pPr>
        <w:spacing w:after="0" w:line="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We do disclose significant information for GCU, such as enrollments, due to its size in comparison to our other university partners.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GCE is an education services company with 20 university partners as of December 31, 2025. We have invested more than $350.0 million in the last 17 years in technology which includes the cost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 Our investments also include the cost to build our off-site classroom and laboratory sites (including the specialized equipment) that are used by our university partners to educate healthcare students.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Suite of Services</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121"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provide technology and academic services that can include the ongoing maintenance of our university partners’ educational infrastructure, including online course delivery and management, student records, assessment, customer relations management and other internal administrative systems. These services can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Technology Services may include the following:</w:t>
      </w:r>
    </w:p>
    <w:p>
      <w:pPr>
        <w:spacing w:after="0" w:line="117" w:lineRule="exact"/>
        <w:rPr>
          <w:sz w:val="20"/>
          <w:szCs w:val="20"/>
          <w:color w:val="auto"/>
        </w:rPr>
      </w:pPr>
    </w:p>
    <w:p>
      <w:pPr>
        <w:ind w:left="1500" w:right="79" w:hanging="329"/>
        <w:spacing w:after="0" w:line="251"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Management System (“LMS”) - GCE designed and offers to its university partners its own proprietary LMS, called Halo. All of GCU’s students, online and ground use this LMS.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prior to Halo.</w:t>
      </w:r>
    </w:p>
    <w:p>
      <w:pPr>
        <w:spacing w:after="0" w:line="10" w:lineRule="exact"/>
        <w:rPr>
          <w:rFonts w:ascii="Times New Roman" w:cs="Times New Roman" w:eastAsia="Times New Roman" w:hAnsi="Times New Roman"/>
          <w:sz w:val="18"/>
          <w:szCs w:val="18"/>
          <w:color w:val="auto"/>
        </w:rPr>
      </w:pPr>
    </w:p>
    <w:p>
      <w:pPr>
        <w:ind w:left="1500" w:right="119" w:hanging="329"/>
        <w:spacing w:after="0" w:line="25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(“AI”) – GCE has developed a suite of AI tools, including its proprietary Mosaic platform, which provides centralized, secure, and permission-based access for students, faculty, and staff. These solutions aim to improve operational efficiency, enhance academic support, and include training resources to advance AI literacy.</w:t>
      </w:r>
    </w:p>
    <w:p>
      <w:pPr>
        <w:spacing w:after="0" w:line="1" w:lineRule="exact"/>
        <w:rPr>
          <w:rFonts w:ascii="Times New Roman" w:cs="Times New Roman" w:eastAsia="Times New Roman" w:hAnsi="Times New Roman"/>
          <w:sz w:val="18"/>
          <w:szCs w:val="18"/>
          <w:color w:val="auto"/>
        </w:rPr>
      </w:pPr>
    </w:p>
    <w:p>
      <w:pPr>
        <w:ind w:left="1500" w:right="159" w:hanging="329"/>
        <w:spacing w:after="0" w:line="25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2" w:lineRule="exact"/>
        <w:rPr>
          <w:rFonts w:ascii="Times New Roman" w:cs="Times New Roman" w:eastAsia="Times New Roman" w:hAnsi="Times New Roman"/>
          <w:sz w:val="18"/>
          <w:szCs w:val="18"/>
          <w:color w:val="auto"/>
        </w:rPr>
      </w:pPr>
    </w:p>
    <w:p>
      <w:pPr>
        <w:ind w:left="1500" w:right="99" w:hanging="329"/>
        <w:spacing w:after="0" w:line="265" w:lineRule="auto"/>
        <w:tabs>
          <w:tab w:leader="none" w:pos="1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 We operate two data centers, one at GCU’s campus and one at another Phoenix-area location. Our infrastructure supports IT for GCE and we can provide it for our customers.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Times New Roman" w:cs="Times New Roman" w:eastAsia="Times New Roman" w:hAnsi="Times New Roman"/>
          <w:sz w:val="17"/>
          <w:szCs w:val="17"/>
          <w:color w:val="auto"/>
        </w:rPr>
      </w:pPr>
    </w:p>
    <w:p>
      <w:pPr>
        <w:ind w:left="1500" w:right="99" w:hanging="329"/>
        <w:spacing w:after="0" w:line="26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 We provide 18/7 technical support for students and faculty. There are two systems utilized by GCE to provide these services.</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Academic Services may include the following:</w:t>
      </w:r>
    </w:p>
    <w:p>
      <w:pPr>
        <w:spacing w:after="0" w:line="117" w:lineRule="exact"/>
        <w:rPr>
          <w:sz w:val="20"/>
          <w:szCs w:val="20"/>
          <w:color w:val="auto"/>
        </w:rPr>
      </w:pPr>
    </w:p>
    <w:p>
      <w:pPr>
        <w:ind w:left="1500" w:right="99" w:hanging="329"/>
        <w:spacing w:after="0" w:line="254"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3" w:lineRule="exact"/>
        <w:rPr>
          <w:rFonts w:ascii="Times New Roman" w:cs="Times New Roman" w:eastAsia="Times New Roman" w:hAnsi="Times New Roman"/>
          <w:sz w:val="18"/>
          <w:szCs w:val="18"/>
          <w:color w:val="auto"/>
        </w:rPr>
      </w:pPr>
    </w:p>
    <w:p>
      <w:pPr>
        <w:ind w:left="1500" w:right="139" w:hanging="329"/>
        <w:spacing w:after="0" w:line="251"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 specific faculty development resources are accredited by the International Association for Continuing Education and Training and the American Nurses Credentialing Center allowing faculty to earn continuing education credits.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500" w:right="79" w:hanging="329"/>
        <w:spacing w:after="0" w:line="254"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3" w:lineRule="exact"/>
        <w:rPr>
          <w:rFonts w:ascii="Times New Roman" w:cs="Times New Roman" w:eastAsia="Times New Roman" w:hAnsi="Times New Roman"/>
          <w:sz w:val="18"/>
          <w:szCs w:val="18"/>
          <w:color w:val="auto"/>
        </w:rPr>
      </w:pPr>
    </w:p>
    <w:p>
      <w:pPr>
        <w:ind w:left="1500" w:right="259" w:hanging="329"/>
        <w:spacing w:after="0" w:line="251"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with state-of-the-art technology, which help students gain unique experiences in an alternative clinical setting.</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12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Counseling Services and Support may include the following:</w:t>
      </w:r>
    </w:p>
    <w:p>
      <w:pPr>
        <w:spacing w:after="0" w:line="117" w:lineRule="exact"/>
        <w:rPr>
          <w:sz w:val="20"/>
          <w:szCs w:val="20"/>
          <w:color w:val="auto"/>
        </w:rPr>
      </w:pPr>
    </w:p>
    <w:p>
      <w:pPr>
        <w:ind w:left="1500" w:right="219" w:hanging="329"/>
        <w:spacing w:after="0" w:line="253"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5" w:lineRule="exact"/>
        <w:rPr>
          <w:rFonts w:ascii="Times New Roman" w:cs="Times New Roman" w:eastAsia="Times New Roman" w:hAnsi="Times New Roman"/>
          <w:sz w:val="18"/>
          <w:szCs w:val="18"/>
          <w:color w:val="auto"/>
        </w:rPr>
      </w:pPr>
    </w:p>
    <w:p>
      <w:pPr>
        <w:ind w:left="1500" w:right="79" w:hanging="329"/>
        <w:spacing w:after="0" w:line="25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3" w:lineRule="exact"/>
        <w:rPr>
          <w:rFonts w:ascii="Times New Roman" w:cs="Times New Roman" w:eastAsia="Times New Roman" w:hAnsi="Times New Roman"/>
          <w:sz w:val="18"/>
          <w:szCs w:val="18"/>
          <w:color w:val="auto"/>
        </w:rPr>
      </w:pPr>
    </w:p>
    <w:p>
      <w:pPr>
        <w:ind w:left="1500" w:right="79" w:hanging="329"/>
        <w:spacing w:after="0" w:line="25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3" w:lineRule="exact"/>
        <w:rPr>
          <w:rFonts w:ascii="Times New Roman" w:cs="Times New Roman" w:eastAsia="Times New Roman" w:hAnsi="Times New Roman"/>
          <w:sz w:val="18"/>
          <w:szCs w:val="18"/>
          <w:color w:val="auto"/>
        </w:rPr>
      </w:pPr>
    </w:p>
    <w:p>
      <w:pPr>
        <w:ind w:left="1500" w:right="99" w:hanging="329"/>
        <w:spacing w:after="0" w:line="251"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Experience Counseling – For university partner students pursuing programs that lead to external credentials (e.g., teaching, nursing, counseling, social work,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121"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provide comprehensive marketing and communication services that support student acquisition, engagement, and brand growth. These services include lead acquisition, lifecycle-based digital communication strategies, brand and creative development, media planning and optimization, video production, business intelligence, market research, and other promotional and communication services.</w:t>
      </w:r>
    </w:p>
    <w:p>
      <w:pPr>
        <w:spacing w:after="0" w:line="7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GCE’s marketing leadership team approaches the marketplace with a data-driven, integrated marketing strategy that incorporates advanced analytics, AI, and emerging technologies, while leveraging GCE’s scale, institutional knowledge, and media buying power. This methodology combines proven traditional and digital solutions with continuously evolving technologies and privacy-conscious practices, developed in close collaboration with our university partners to support sustainable growth and long-term brand equity.</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Marketing and Communication services may include the following:</w:t>
      </w:r>
    </w:p>
    <w:p>
      <w:pPr>
        <w:spacing w:after="0" w:line="117" w:lineRule="exact"/>
        <w:rPr>
          <w:sz w:val="20"/>
          <w:szCs w:val="20"/>
          <w:color w:val="auto"/>
        </w:rPr>
      </w:pPr>
    </w:p>
    <w:p>
      <w:pPr>
        <w:ind w:left="720" w:right="199" w:hanging="319"/>
        <w:spacing w:after="0" w:line="25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Acquisition – GCE’s marketing team employs specialists across a broad range of digital marketing channels, supported by advanced analytics and AI-enabled optimization tools. These channels include search engine optimization, paid search, social and programmatic media, organic content, and strategically designed acquisition funnels across desktop and mobile platforms. Search engine optimization efforts increasingly incorporate optimization for emerging search and discovery experiences, including generative and answer-based search environments, by aligning structured content, authoritative signals, and user-intent–focused information with evolving search technologies. Campaigns are continuously optimized using performance data, audience modeling, and attribution insights to improve efficiency and lead quality.</w:t>
      </w:r>
    </w:p>
    <w:p>
      <w:pPr>
        <w:ind w:left="720" w:right="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Communications Strategy – GCE’s subject matter experts design and execute lifecycle-based communication strategies that support prospective students, active students, and alumni. These strategies leverage integrated marketing automation platforms, email, SMS text messaging, in-app and web personalization, and social media. AI-assisted segmentation, content testing, and timing optimization are used to enhance relevance, engagement, and responsiveness across the student lifecycle.</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Identity and Creative Strategy – GCE’s creative and brand teams develop and steward strong, differentiated brands through data-informed storytelling and creative excellence. Capabilities include brand positioning, visual identity systems, campaign and content development, logo and tagline creation, custom music and sonic branding, and multi-channel creative execution. Insights from consumer research, performance analytics, and AI-assisted creative testing are used to refine messaging and improve brand effectiveness.</w:t>
      </w:r>
    </w:p>
    <w:p>
      <w:pPr>
        <w:spacing w:after="0" w:line="1"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Planning and Strategy – GCE provides full-service media planning, buying, and optimization across traditional and digital platforms. Media strategies are designed to efficiently reach and engage target audiences while adapting to changes in consumer behavior and media consumption. Advanced measurement frameworks, audience modeling, and AI-supported optimization are used to improve performance, manage spend, and drive measurable outcomes.</w:t>
      </w:r>
    </w:p>
    <w:p>
      <w:pPr>
        <w:spacing w:after="0" w:line="1"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and Content Production – GCE’s in-house video and content teams produce high-quality, scalable content across a wide variety of marketing channels. Capabilities include broadcast-quality commercials, explainer and instructional videos, short- and long-form documentaries, original programming, animation, motion graphics, and modular video content designed for social and digital platforms. Production is enhanced through standardized workflows, emerging production technologies, and preferred external partners to support scalability and efficiency.</w:t>
      </w:r>
    </w:p>
    <w:p>
      <w:pPr>
        <w:spacing w:after="0" w:line="2"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Analytics, and Data Science – GCE employs teams of analytics and data science professionals who apply descriptive, predictive, and prescriptive analytics to support strategic and operational decision-making. Capabilities include performance measurement, forecasting, audience modeling, attribution, data visualization, and AI-assisted analysis. These insights support marketing optimization, enrollment strategies, and broader business initiatives in a privacy-aware and compliant manner.</w:t>
      </w:r>
    </w:p>
    <w:p>
      <w:pPr>
        <w:spacing w:after="0" w:line="1" w:lineRule="exact"/>
        <w:rPr>
          <w:rFonts w:ascii="Times New Roman" w:cs="Times New Roman" w:eastAsia="Times New Roman" w:hAnsi="Times New Roman"/>
          <w:sz w:val="18"/>
          <w:szCs w:val="18"/>
          <w:color w:val="auto"/>
        </w:rPr>
      </w:pPr>
    </w:p>
    <w:p>
      <w:pPr>
        <w:ind w:left="720" w:right="139" w:hanging="319"/>
        <w:spacing w:after="0" w:line="25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Research and Insights – GCE’s market research professionals analyze market, population, workforce, and employment data across geographic regions to inform decisions related to new sites, partnerships, program offerings, and marketing strategies. Research methodologies incorporate both traditional and advanced analytical techniques to provide data-driven recommendations that align educational offerings with market demand and workforce needs.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Back-Office Services</w:t>
      </w:r>
    </w:p>
    <w:p>
      <w:pPr>
        <w:spacing w:after="0" w:line="121"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In addition, we currently provide certain requested back-office services to GCU that include finance, human resources, audit, and other corporate functions.</w:t>
      </w:r>
    </w:p>
    <w:p>
      <w:pPr>
        <w:spacing w:after="0" w:line="52" w:lineRule="exact"/>
        <w:rPr>
          <w:sz w:val="20"/>
          <w:szCs w:val="20"/>
          <w:color w:val="auto"/>
        </w:rPr>
      </w:pPr>
    </w:p>
    <w:p>
      <w:pPr>
        <w:jc w:val="both"/>
        <w:ind w:left="1500" w:right="139" w:hanging="329"/>
        <w:spacing w:after="0" w:line="258"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Finance and accounting </w:t>
      </w:r>
      <w:r>
        <w:rPr>
          <w:rFonts w:ascii="Times New Roman" w:cs="Times New Roman" w:eastAsia="Times New Roman" w:hAnsi="Times New Roman"/>
          <w:sz w:val="18"/>
          <w:szCs w:val="18"/>
          <w:color w:val="auto"/>
        </w:rPr>
        <w:t>- Finance and accounting services include administration of payroll,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general ledger, student accounting, financial reporting, budgeting and taxes at the direction of GCU.</w:t>
      </w:r>
    </w:p>
    <w:p>
      <w:pPr>
        <w:ind w:left="1500" w:right="37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Resources </w:t>
      </w:r>
      <w:r>
        <w:rPr>
          <w:rFonts w:ascii="Times New Roman" w:cs="Times New Roman" w:eastAsia="Times New Roman" w:hAnsi="Times New Roman"/>
          <w:sz w:val="18"/>
          <w:szCs w:val="18"/>
          <w:color w:val="auto"/>
        </w:rPr>
        <w:t>- Human resources services include administration of performance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policies, recruitment and onboarding of new personnel, and benefit plan design and procurement, among others.</w:t>
      </w:r>
    </w:p>
    <w:p>
      <w:pPr>
        <w:spacing w:after="0" w:line="1" w:lineRule="exact"/>
        <w:rPr>
          <w:rFonts w:ascii="Times New Roman" w:cs="Times New Roman" w:eastAsia="Times New Roman" w:hAnsi="Times New Roman"/>
          <w:sz w:val="18"/>
          <w:szCs w:val="18"/>
          <w:color w:val="auto"/>
        </w:rPr>
      </w:pPr>
    </w:p>
    <w:p>
      <w:pPr>
        <w:ind w:left="1500" w:right="43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w:t>
      </w:r>
      <w:r>
        <w:rPr>
          <w:rFonts w:ascii="Times New Roman" w:cs="Times New Roman" w:eastAsia="Times New Roman" w:hAnsi="Times New Roman"/>
          <w:sz w:val="18"/>
          <w:szCs w:val="18"/>
          <w:color w:val="auto"/>
        </w:rPr>
        <w:t>- Audit services include development and administration of a GCU approved annual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plan and execution of the audit plan for the service period.</w:t>
      </w:r>
    </w:p>
    <w:p>
      <w:pPr>
        <w:ind w:left="1500" w:right="159" w:hanging="329"/>
        <w:spacing w:after="0" w:line="255"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Procurement </w:t>
      </w:r>
      <w:r>
        <w:rPr>
          <w:rFonts w:ascii="Times New Roman" w:cs="Times New Roman" w:eastAsia="Times New Roman" w:hAnsi="Times New Roman"/>
          <w:sz w:val="18"/>
          <w:szCs w:val="18"/>
          <w:color w:val="auto"/>
        </w:rPr>
        <w:t>- Procurement services include management of purchasing and vendor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travel services, review of vendor contracts, and maintenance of contracts in the procurement system.</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Focus on Education and Human Capital Development</w:t>
      </w:r>
    </w:p>
    <w:p>
      <w:pPr>
        <w:spacing w:after="0" w:line="12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75" w:lineRule="exact"/>
        <w:rPr>
          <w:sz w:val="20"/>
          <w:szCs w:val="20"/>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education is too expensive;</w:t>
      </w:r>
    </w:p>
    <w:p>
      <w:pPr>
        <w:spacing w:after="0" w:line="27"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Students are taking on too much debt;</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Bachelor’s degrees are taking too long to complete;</w:t>
      </w:r>
    </w:p>
    <w:p>
      <w:pPr>
        <w:spacing w:after="0" w:line="9"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tuition increases, diversity decreases;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have inadequate counseling and support services, especially for distance learners;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university professors have no formal training in teaching, learning or course design;</w:t>
      </w:r>
    </w:p>
    <w:p>
      <w:pPr>
        <w:spacing w:after="0" w:line="9" w:lineRule="exact"/>
        <w:rPr>
          <w:rFonts w:ascii="Times New Roman" w:cs="Times New Roman" w:eastAsia="Times New Roman" w:hAnsi="Times New Roman"/>
          <w:sz w:val="18"/>
          <w:szCs w:val="18"/>
          <w:color w:val="auto"/>
        </w:rPr>
      </w:pPr>
    </w:p>
    <w:p>
      <w:pPr>
        <w:ind w:left="1500" w:right="759" w:hanging="329"/>
        <w:spacing w:after="0" w:line="26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are under significant financial pressure, which has only been enhanced due to the pandemic and a declining number of high school graduates attending college.</w:t>
      </w:r>
    </w:p>
    <w:p>
      <w:pPr>
        <w:spacing w:after="0" w:line="7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provide the capital, technology and expertise to our university partners to lessen the challenges in each of the areas listed above (see </w:t>
      </w:r>
      <w:r>
        <w:rPr>
          <w:rFonts w:ascii="Times New Roman" w:cs="Times New Roman" w:eastAsia="Times New Roman" w:hAnsi="Times New Roman"/>
          <w:sz w:val="18"/>
          <w:szCs w:val="18"/>
          <w:i w:val="1"/>
          <w:iCs w:val="1"/>
          <w:color w:val="auto"/>
        </w:rPr>
        <w:t>Item 1. Business – Suite of Services</w:t>
      </w:r>
      <w:r>
        <w:rPr>
          <w:rFonts w:ascii="Times New Roman" w:cs="Times New Roman" w:eastAsia="Times New Roman" w:hAnsi="Times New Roman"/>
          <w:sz w:val="18"/>
          <w:szCs w:val="18"/>
          <w:color w:val="auto"/>
        </w:rPr>
        <w:t>).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has put pressure on their financial condition.</w:t>
      </w:r>
    </w:p>
    <w:p>
      <w:pPr>
        <w:spacing w:after="0" w:line="84"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GCE is committed to hiring policies and practices that identify the most qualified candidate for a given position. We believe that we must have the best talent, including employees who possess a diverse range of experiences, backgrounds and skills, in order to anticipate and meet the needs of our business and those of our university partners.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6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Learning and Development (ELD) Services </w:t>
      </w:r>
      <w:r>
        <w:rPr>
          <w:rFonts w:ascii="Times New Roman" w:cs="Times New Roman" w:eastAsia="Times New Roman" w:hAnsi="Times New Roman"/>
          <w:sz w:val="18"/>
          <w:szCs w:val="18"/>
          <w:color w:val="auto"/>
        </w:rPr>
        <w:t>– We provide learning and development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75"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Tuition Benefit </w:t>
      </w:r>
      <w:r>
        <w:rPr>
          <w:rFonts w:ascii="Times New Roman" w:cs="Times New Roman" w:eastAsia="Times New Roman" w:hAnsi="Times New Roman"/>
          <w:sz w:val="18"/>
          <w:szCs w:val="18"/>
          <w:color w:val="auto"/>
        </w:rPr>
        <w:t>– GCE promotes the concept of lifelong learning and supports this concept by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7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Monitoring employee engagement and satisfaction </w:t>
      </w:r>
      <w:r>
        <w:rPr>
          <w:rFonts w:ascii="Times New Roman" w:cs="Times New Roman" w:eastAsia="Times New Roman" w:hAnsi="Times New Roman"/>
          <w:sz w:val="18"/>
          <w:szCs w:val="18"/>
          <w:color w:val="auto"/>
        </w:rPr>
        <w:t>– GCE periodically administers a survey of all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to assess employee engagement and satisfaction. GCE received responses from 1,330 employees on the 2024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“I plan to continue my career at GCE for at least two more years”; “I would recommend employment at GCE to a friend”; “I am actively engaged with my work at GCE”; and “Overall I am satisfied with GCE as an employer,” less than 12% of the responders disagreed with any of these statements. This survey also inquired about the importance of Environmental, Social and Governance topics that employees felt are important to GCE’s business performance and financial success both internal and external impacts. Highlights from the survey by employees and the percentage of the responders that selected that topic were Employee Health and Wellbeing (59%), Professional Integrity (47%), Human Capital Management (41%), Community Engagement (36%) and Workforce Diversity and Engagement (20%). 92% of those that responded to the survey confirmed GCE enables a culture of diversity.</w:t>
      </w:r>
    </w:p>
    <w:p>
      <w:pPr>
        <w:spacing w:after="0" w:line="7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Whistleblower hotline </w:t>
      </w:r>
      <w:r>
        <w:rPr>
          <w:rFonts w:ascii="Times New Roman" w:cs="Times New Roman" w:eastAsia="Times New Roman" w:hAnsi="Times New Roman"/>
          <w:sz w:val="18"/>
          <w:szCs w:val="18"/>
          <w:color w:val="auto"/>
        </w:rPr>
        <w:t>– GCE has a whistleblower hotline available to both internal and external parties.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whistleblower policy is disclosed on the GCE intranet for employees and disclosed on the GCE investor relations website for external parties. Hotline activity is managed by a third party and all claims are reviewed and monitored by the Chief Risk Officer and General Counsel. All claims are discussed at the quarterly Audit Committee meetings.</w:t>
      </w:r>
    </w:p>
    <w:p>
      <w:pPr>
        <w:spacing w:after="0" w:line="72"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Community Involvement by GCE and its Employees. </w:t>
      </w:r>
      <w:r>
        <w:rPr>
          <w:rFonts w:ascii="Times New Roman" w:cs="Times New Roman" w:eastAsia="Times New Roman" w:hAnsi="Times New Roman"/>
          <w:sz w:val="18"/>
          <w:szCs w:val="18"/>
          <w:color w:val="auto"/>
        </w:rPr>
        <w:t>Examples of activities in which we and our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include:</w:t>
      </w:r>
    </w:p>
    <w:p>
      <w:pPr>
        <w:spacing w:after="0" w:line="50" w:lineRule="exact"/>
        <w:rPr>
          <w:sz w:val="20"/>
          <w:szCs w:val="20"/>
          <w:color w:val="auto"/>
        </w:rPr>
      </w:pPr>
    </w:p>
    <w:p>
      <w:pPr>
        <w:ind w:left="1040" w:right="99" w:hanging="315"/>
        <w:spacing w:after="0" w:line="254"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Our Neighborhood and Increased Home Values - </w:t>
      </w:r>
      <w:r>
        <w:rPr>
          <w:rFonts w:ascii="Times New Roman" w:cs="Times New Roman" w:eastAsia="Times New Roman" w:hAnsi="Times New Roman"/>
          <w:sz w:val="18"/>
          <w:szCs w:val="18"/>
          <w:color w:val="auto"/>
        </w:rPr>
        <w:t>Together with Habitat for Humanity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concert with our largest university partner, we are participating in the largest home renovation project in the country in the West Phoenix area surrounding GCU’s campus. As of December 31, 2025, 1,535 projects have been completed in which 39,155 hours have been logged by volunteers. These efforts, combined with GCE and GCU’s expanded presence in the community, have contributed to a significant increase in home values since 2011 in the 85017 zip code.</w:t>
      </w:r>
    </w:p>
    <w:p>
      <w:pPr>
        <w:spacing w:after="0" w:line="1" w:lineRule="exact"/>
        <w:rPr>
          <w:rFonts w:ascii="Times New Roman" w:cs="Times New Roman" w:eastAsia="Times New Roman" w:hAnsi="Times New Roman"/>
          <w:sz w:val="18"/>
          <w:szCs w:val="18"/>
          <w:color w:val="auto"/>
        </w:rPr>
      </w:pPr>
    </w:p>
    <w:p>
      <w:pPr>
        <w:ind w:left="1040" w:right="199" w:hanging="315"/>
        <w:spacing w:after="0" w:line="255"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Furthering Job Creation - </w:t>
      </w:r>
      <w:r>
        <w:rPr>
          <w:rFonts w:ascii="Times New Roman" w:cs="Times New Roman" w:eastAsia="Times New Roman" w:hAnsi="Times New Roman"/>
          <w:sz w:val="18"/>
          <w:szCs w:val="18"/>
          <w:color w:val="auto"/>
        </w:rPr>
        <w:t>We, along with GCU have launched a number of new business enterprises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reduced costs, provided management opportunities for recent graduates and employment opportunities for students and neighborhood residents, while spurring economic growth in the area.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GCE also invests in the following activities that benefit the community.</w:t>
      </w:r>
    </w:p>
    <w:p>
      <w:pPr>
        <w:spacing w:after="0" w:line="115" w:lineRule="exact"/>
        <w:rPr>
          <w:sz w:val="20"/>
          <w:szCs w:val="20"/>
          <w:color w:val="auto"/>
        </w:rPr>
      </w:pPr>
    </w:p>
    <w:p>
      <w:pPr>
        <w:ind w:left="1040" w:right="199" w:hanging="315"/>
        <w:spacing w:after="0" w:line="25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Funding of Student Tuition Organizations - </w:t>
      </w:r>
      <w:r>
        <w:rPr>
          <w:rFonts w:ascii="Times New Roman" w:cs="Times New Roman" w:eastAsia="Times New Roman" w:hAnsi="Times New Roman"/>
          <w:sz w:val="18"/>
          <w:szCs w:val="18"/>
          <w:color w:val="auto"/>
        </w:rPr>
        <w:t>GCE contributes to private school tuition organizations,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entities that allocate financial contributions toward tuition assistance and scholarships for disadvantaged students to attend Arizona private schools. In 2025 and 2024, we contributed $5.0 million and $4.5 million, respectively, to these organizations.</w:t>
      </w:r>
    </w:p>
    <w:p>
      <w:pPr>
        <w:spacing w:after="0" w:line="1"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Encouraging Employee Giving - </w:t>
      </w:r>
      <w:r>
        <w:rPr>
          <w:rFonts w:ascii="Times New Roman" w:cs="Times New Roman" w:eastAsia="Times New Roman" w:hAnsi="Times New Roman"/>
          <w:sz w:val="18"/>
          <w:szCs w:val="18"/>
          <w:color w:val="auto"/>
        </w:rPr>
        <w:t>We participate in Donate to Elevate, a program that encourages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1"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Sponsoring K-12 Educational Development - </w:t>
      </w:r>
      <w:r>
        <w:rPr>
          <w:rFonts w:ascii="Times New Roman" w:cs="Times New Roman" w:eastAsia="Times New Roman" w:hAnsi="Times New Roman"/>
          <w:sz w:val="18"/>
          <w:szCs w:val="18"/>
          <w:color w:val="auto"/>
        </w:rPr>
        <w:t>GCE supports GCU’s K-12 Educational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3" w:lineRule="exact"/>
        <w:rPr>
          <w:rFonts w:ascii="Times New Roman" w:cs="Times New Roman" w:eastAsia="Times New Roman" w:hAnsi="Times New Roman"/>
          <w:sz w:val="18"/>
          <w:szCs w:val="18"/>
          <w:color w:val="auto"/>
        </w:rPr>
      </w:pPr>
    </w:p>
    <w:p>
      <w:pPr>
        <w:ind w:left="1040" w:right="119" w:hanging="315"/>
        <w:spacing w:after="0" w:line="253"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Community Involvement - </w:t>
      </w:r>
      <w:r>
        <w:rPr>
          <w:rFonts w:ascii="Times New Roman" w:cs="Times New Roman" w:eastAsia="Times New Roman" w:hAnsi="Times New Roman"/>
          <w:sz w:val="18"/>
          <w:szCs w:val="18"/>
          <w:color w:val="auto"/>
        </w:rPr>
        <w:t>GCE and our employees partner in countless other community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81"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programs such as Serve the City, Canyon Kids, Salute Our Troops, Colter Commons senior home visits and the Run to Fight Children’s Cancer.</w:t>
      </w:r>
    </w:p>
    <w:p>
      <w:pPr>
        <w:spacing w:after="0" w:line="77" w:lineRule="exact"/>
        <w:rPr>
          <w:sz w:val="20"/>
          <w:szCs w:val="20"/>
          <w:color w:val="auto"/>
        </w:rPr>
      </w:pPr>
    </w:p>
    <w:p>
      <w:pPr>
        <w:ind w:left="6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Commitment to Diversity. </w:t>
      </w:r>
      <w:r>
        <w:rPr>
          <w:rFonts w:ascii="Times New Roman" w:cs="Times New Roman" w:eastAsia="Times New Roman" w:hAnsi="Times New Roman"/>
          <w:sz w:val="18"/>
          <w:szCs w:val="18"/>
          <w:color w:val="auto"/>
        </w:rPr>
        <w:t>A growing body of evidence suggests that diverse teams improve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outcomes and support innovation, resiliency, and productivity. GCE’s commitment to fostering diversity in its community is evident in the following:</w:t>
      </w:r>
    </w:p>
    <w:p>
      <w:pPr>
        <w:spacing w:after="0" w:line="65" w:lineRule="exact"/>
        <w:rPr>
          <w:sz w:val="20"/>
          <w:szCs w:val="20"/>
          <w:color w:val="auto"/>
        </w:rPr>
      </w:pPr>
    </w:p>
    <w:p>
      <w:pPr>
        <w:ind w:left="1040" w:right="119" w:hanging="315"/>
        <w:spacing w:after="0" w:line="25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Diversity Statement - </w:t>
      </w:r>
      <w:r>
        <w:rPr>
          <w:rFonts w:ascii="Times New Roman" w:cs="Times New Roman" w:eastAsia="Times New Roman" w:hAnsi="Times New Roman"/>
          <w:sz w:val="18"/>
          <w:szCs w:val="18"/>
          <w:color w:val="auto"/>
        </w:rPr>
        <w:t>Grand Canyon Education is a faith-friendly shared services provider that embraces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3" w:lineRule="exact"/>
        <w:rPr>
          <w:rFonts w:ascii="Times New Roman" w:cs="Times New Roman" w:eastAsia="Times New Roman" w:hAnsi="Times New Roman"/>
          <w:sz w:val="18"/>
          <w:szCs w:val="18"/>
          <w:color w:val="auto"/>
        </w:rPr>
      </w:pPr>
    </w:p>
    <w:p>
      <w:pPr>
        <w:ind w:left="1040" w:right="239" w:hanging="315"/>
        <w:spacing w:after="0" w:line="273"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Our Hiring Practices and Policies </w:t>
      </w:r>
      <w:r>
        <w:rPr>
          <w:rFonts w:ascii="Times New Roman" w:cs="Times New Roman" w:eastAsia="Times New Roman" w:hAnsi="Times New Roman"/>
          <w:sz w:val="17"/>
          <w:szCs w:val="17"/>
          <w:color w:val="auto"/>
        </w:rPr>
        <w:t>- Our hiring policies and practices include an Equal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Opportunity Policy, Nondiscrimination and Anti-Harassment Policy and Complaint Procedure, and the Disability Accommodation Policy. We post all open positions to a variety of job boards to ensure we attract diverse candidates. We also collect and analyze employee demographic data to identify current trends.</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579" w:hanging="315"/>
        <w:spacing w:after="0" w:line="26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 We provide employees and management with regular training. New hires all complete anti-discrimination and harassment training within 3 months of starting at GCE. Thereafter, all employees complete the training every other year, while management undertakes it annually.</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Awareness</w:t>
      </w:r>
    </w:p>
    <w:p>
      <w:pPr>
        <w:spacing w:after="0" w:line="121"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materials and there is no shipment required.</w:t>
      </w:r>
    </w:p>
    <w:p>
      <w:pPr>
        <w:spacing w:after="0" w:line="79"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16 years, we designed them to maximize energy efficiency and minimize electricity usage and environmental impact, which ultimately lowers our operating costs. Our headquarters building includes the following design features:</w:t>
      </w:r>
    </w:p>
    <w:p>
      <w:pPr>
        <w:spacing w:after="0" w:line="73" w:lineRule="exact"/>
        <w:rPr>
          <w:sz w:val="20"/>
          <w:szCs w:val="20"/>
          <w:color w:val="auto"/>
        </w:rPr>
      </w:pPr>
    </w:p>
    <w:p>
      <w:pPr>
        <w:ind w:left="1160" w:right="239" w:hanging="327"/>
        <w:spacing w:after="0" w:line="258"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North/South Building Orientation - </w:t>
      </w:r>
      <w:r>
        <w:rPr>
          <w:rFonts w:ascii="Times New Roman" w:cs="Times New Roman" w:eastAsia="Times New Roman" w:hAnsi="Times New Roman"/>
          <w:sz w:val="18"/>
          <w:szCs w:val="18"/>
          <w:color w:val="auto"/>
        </w:rPr>
        <w:t>GCE’s office building is orientated with north/south exposure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minimize direct sun and thereby reduce power usage. Exterior courtyards were arranged to ensure summer shade thus creating outdoor areas that can be used by our employees throughout the year.</w:t>
      </w:r>
    </w:p>
    <w:p>
      <w:pPr>
        <w:ind w:left="1160" w:right="25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Window Glazing - </w:t>
      </w:r>
      <w:r>
        <w:rPr>
          <w:rFonts w:ascii="Times New Roman" w:cs="Times New Roman" w:eastAsia="Times New Roman" w:hAnsi="Times New Roman"/>
          <w:sz w:val="18"/>
          <w:szCs w:val="18"/>
          <w:color w:val="auto"/>
        </w:rPr>
        <w:t>Our building utilizes significant window glazing to allow for daylighting thus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1" w:lineRule="exact"/>
        <w:rPr>
          <w:rFonts w:ascii="Times New Roman" w:cs="Times New Roman" w:eastAsia="Times New Roman" w:hAnsi="Times New Roman"/>
          <w:sz w:val="18"/>
          <w:szCs w:val="18"/>
          <w:color w:val="auto"/>
        </w:rPr>
      </w:pPr>
    </w:p>
    <w:p>
      <w:pPr>
        <w:ind w:left="1160" w:right="31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Water Consumption - </w:t>
      </w:r>
      <w:r>
        <w:rPr>
          <w:rFonts w:ascii="Times New Roman" w:cs="Times New Roman" w:eastAsia="Times New Roman" w:hAnsi="Times New Roman"/>
          <w:sz w:val="18"/>
          <w:szCs w:val="18"/>
          <w:color w:val="auto"/>
        </w:rPr>
        <w:t>Water usage is another environmental factor for office space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1" w:lineRule="exact"/>
        <w:rPr>
          <w:rFonts w:ascii="Times New Roman" w:cs="Times New Roman" w:eastAsia="Times New Roman" w:hAnsi="Times New Roman"/>
          <w:sz w:val="18"/>
          <w:szCs w:val="18"/>
          <w:color w:val="auto"/>
        </w:rPr>
      </w:pPr>
    </w:p>
    <w:p>
      <w:pPr>
        <w:ind w:left="1160" w:right="259" w:hanging="327"/>
        <w:spacing w:after="0" w:line="255"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Design Features - </w:t>
      </w:r>
      <w:r>
        <w:rPr>
          <w:rFonts w:ascii="Times New Roman" w:cs="Times New Roman" w:eastAsia="Times New Roman" w:hAnsi="Times New Roman"/>
          <w:sz w:val="18"/>
          <w:szCs w:val="18"/>
          <w:color w:val="auto"/>
        </w:rPr>
        <w:t>Additional environment-friendly design features include low VOC paints,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recycled building materials, interior and exterior LED light bulbs, motion sensor lighting and implementation of an energy-efficient VRF mechanical system.</w:t>
      </w:r>
    </w:p>
    <w:p>
      <w:pPr>
        <w:spacing w:after="0" w:line="7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efficient facilities, we have undertaken other measures to minimize our environmental impact, including, among others:</w:t>
      </w:r>
    </w:p>
    <w:p>
      <w:pPr>
        <w:spacing w:after="0" w:line="54" w:lineRule="exact"/>
        <w:rPr>
          <w:sz w:val="20"/>
          <w:szCs w:val="20"/>
          <w:color w:val="auto"/>
        </w:rPr>
      </w:pPr>
    </w:p>
    <w:p>
      <w:pPr>
        <w:ind w:left="1160" w:right="619" w:hanging="327"/>
        <w:spacing w:after="0" w:line="26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Trip Reduction Program, which provides incentives to employees who participate in carpooling or take public transportation to work;</w:t>
      </w:r>
    </w:p>
    <w:p>
      <w:pPr>
        <w:ind w:left="1160" w:hanging="327"/>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telecommute option for a significant number of positions; and</w:t>
      </w:r>
    </w:p>
    <w:p>
      <w:pPr>
        <w:spacing w:after="0" w:line="9"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recycling program aimed at minimizing the volume of waste products generated by GCE.</w:t>
      </w:r>
    </w:p>
    <w:p>
      <w:pPr>
        <w:spacing w:after="0" w:line="9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Due to our significant investment in infrastructure, since March 2020, when the World Health Organization declared the COVID-19 a global pandemic, a significant portion of our diverse workforce is continuing to work remotely. This has not only increased employee satisfaction but has also resulted in savings in the areas of waste, janitorial costs, and travel costs related to business travel and commuting.</w:t>
      </w:r>
    </w:p>
    <w:p>
      <w:pPr>
        <w:spacing w:after="0" w:line="7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Our off-campus classroom and laboratory sites are all designed with the same efficient footprint in the 47 sites opened as of December 31, 2025.</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Climate Disclosures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do not operate in a high-risk industry for climate risks. We believe that we have low climate risk with respect to our physical environment (e.g., fires, drought, hailstorms, increasing weather pattern changes). A significant percentage of our workforce is continuing to work remotely. We have insurance policies in place to cover any damage for our property, plant and equipment. Our Audit Committee is tasked with oversight of climate-related risks for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68"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risk from a transition to a low-carbon economy, which could result in changing customer behavior. Our customers are university partners located in the United States.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We believe that effective corporate governance is critical to our ability to create long term value for our stockholders. The following highlights certain key aspects of our corporate governance framework:</w:t>
      </w:r>
    </w:p>
    <w:p>
      <w:pPr>
        <w:spacing w:after="0" w:line="52"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an Independent Board - </w:t>
      </w:r>
      <w:r>
        <w:rPr>
          <w:rFonts w:ascii="Times New Roman" w:cs="Times New Roman" w:eastAsia="Times New Roman" w:hAnsi="Times New Roman"/>
          <w:sz w:val="18"/>
          <w:szCs w:val="18"/>
          <w:color w:val="auto"/>
        </w:rPr>
        <w:t>Five of our six directors are independent.</w:t>
      </w:r>
    </w:p>
    <w:p>
      <w:pPr>
        <w:spacing w:after="0" w:line="29" w:lineRule="exact"/>
        <w:rPr>
          <w:rFonts w:ascii="Times New Roman" w:cs="Times New Roman" w:eastAsia="Times New Roman" w:hAnsi="Times New Roman"/>
          <w:sz w:val="18"/>
          <w:szCs w:val="18"/>
          <w:color w:val="auto"/>
        </w:rPr>
      </w:pPr>
    </w:p>
    <w:p>
      <w:pPr>
        <w:ind w:left="1040" w:right="35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Majority Voting for Directors - </w:t>
      </w:r>
      <w:r>
        <w:rPr>
          <w:rFonts w:ascii="Times New Roman" w:cs="Times New Roman" w:eastAsia="Times New Roman" w:hAnsi="Times New Roman"/>
          <w:sz w:val="18"/>
          <w:szCs w:val="18"/>
          <w:color w:val="auto"/>
        </w:rPr>
        <w:t>We have adopted majority voting for directors pursuant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who fail to achieve an affirmative majority of votes cast must submit their resignation.</w:t>
      </w: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Hold Annual Elections for Directors - </w:t>
      </w:r>
      <w:r>
        <w:rPr>
          <w:rFonts w:ascii="Times New Roman" w:cs="Times New Roman" w:eastAsia="Times New Roman" w:hAnsi="Times New Roman"/>
          <w:sz w:val="18"/>
          <w:szCs w:val="18"/>
          <w:color w:val="auto"/>
        </w:rPr>
        <w:t>We do not have a staggered board.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Assess Board Performance - </w:t>
      </w:r>
      <w:r>
        <w:rPr>
          <w:rFonts w:ascii="Times New Roman" w:cs="Times New Roman" w:eastAsia="Times New Roman" w:hAnsi="Times New Roman"/>
          <w:sz w:val="18"/>
          <w:szCs w:val="18"/>
          <w:color w:val="auto"/>
        </w:rPr>
        <w:t>We conduct regular evaluations of our Board of Directors and Committees.</w:t>
      </w:r>
    </w:p>
    <w:p>
      <w:pPr>
        <w:spacing w:after="0" w:line="9" w:lineRule="exact"/>
        <w:rPr>
          <w:rFonts w:ascii="Times New Roman" w:cs="Times New Roman" w:eastAsia="Times New Roman" w:hAnsi="Times New Roman"/>
          <w:sz w:val="18"/>
          <w:szCs w:val="18"/>
          <w:color w:val="auto"/>
        </w:rPr>
      </w:pPr>
    </w:p>
    <w:p>
      <w:pPr>
        <w:ind w:left="1040" w:right="71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Independent Directors Meet Without Management - </w:t>
      </w:r>
      <w:r>
        <w:rPr>
          <w:rFonts w:ascii="Times New Roman" w:cs="Times New Roman" w:eastAsia="Times New Roman" w:hAnsi="Times New Roman"/>
          <w:sz w:val="18"/>
          <w:szCs w:val="18"/>
          <w:color w:val="auto"/>
        </w:rPr>
        <w:t>Our independent directors meet regularly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sessions without management present.</w:t>
      </w:r>
    </w:p>
    <w:p>
      <w:pPr>
        <w:ind w:left="1040" w:right="53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 Stock Ownership Policy - </w:t>
      </w:r>
      <w:r>
        <w:rPr>
          <w:rFonts w:ascii="Times New Roman" w:cs="Times New Roman" w:eastAsia="Times New Roman" w:hAnsi="Times New Roman"/>
          <w:sz w:val="18"/>
          <w:szCs w:val="18"/>
          <w:color w:val="auto"/>
        </w:rPr>
        <w:t>We require both our named executive officers and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meaningful ownership stake at levels specified in our stock ownership policy.</w:t>
      </w:r>
    </w:p>
    <w:p>
      <w:pPr>
        <w:ind w:left="1040" w:right="3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Key Committees are Independent - </w:t>
      </w:r>
      <w:r>
        <w:rPr>
          <w:rFonts w:ascii="Times New Roman" w:cs="Times New Roman" w:eastAsia="Times New Roman" w:hAnsi="Times New Roman"/>
          <w:sz w:val="18"/>
          <w:szCs w:val="18"/>
          <w:color w:val="auto"/>
        </w:rPr>
        <w:t>We have fully independent Audit, Compensation and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Governance Committees.</w:t>
      </w: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Do Not Have a “Poison Pill” </w:t>
      </w:r>
      <w:r>
        <w:rPr>
          <w:rFonts w:ascii="Times New Roman" w:cs="Times New Roman" w:eastAsia="Times New Roman" w:hAnsi="Times New Roman"/>
          <w:sz w:val="18"/>
          <w:szCs w:val="18"/>
          <w:color w:val="auto"/>
        </w:rPr>
        <w:t>- We do not maintain a stockholder rights plan.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Seasonality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The largest companies in this sector have historically been Pearson Online Learning Services, Academic Partnerships and 2U, Inc.</w:t>
      </w:r>
    </w:p>
    <w:p>
      <w:pPr>
        <w:spacing w:after="0" w:line="7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84"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68"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brand awareness;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university partner base and performance track record;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sales efforts;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robustness and evolution of technology solutions;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services offerings;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convenient, flexible and dependable access to programs and classes;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student support services;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student and faculty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programs;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necessary to earn a degree.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68"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OF OUR EDUCATION SERVICES BUSINESS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Prior to July 1, 2018, GCE, owned and operated GCU. On July 1, 2018, GCE sold GCU to an independent, Arizona non-profit corporation (the “Transaction”). As a result of the Transaction, we no longer own and operate an institution of higher education, nor do we directly participate in Title IV programs regulated and overseen by ED under the Higher Education Act (“HEA”). Instead, we operate as an education service company to institutions of higher education that do participate in Title IV programs. Nevertheless, we are required to comply with certain regulations promulgated by ED for the following reasons:</w:t>
      </w:r>
    </w:p>
    <w:p>
      <w:pPr>
        <w:spacing w:after="0" w:line="79" w:lineRule="exact"/>
        <w:rPr>
          <w:sz w:val="20"/>
          <w:szCs w:val="20"/>
          <w:color w:val="auto"/>
        </w:rPr>
      </w:pPr>
    </w:p>
    <w:p>
      <w:pPr>
        <w:ind w:left="1040" w:right="79" w:hanging="315"/>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80"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80" w:lineRule="exact"/>
        <w:rPr>
          <w:sz w:val="20"/>
          <w:szCs w:val="20"/>
          <w:color w:val="auto"/>
        </w:rPr>
      </w:pPr>
    </w:p>
    <w:p>
      <w:pPr>
        <w:ind w:left="1700" w:right="359" w:hanging="327"/>
        <w:spacing w:after="0" w:line="254"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spacing w:after="0" w:line="79" w:lineRule="exact"/>
        <w:rPr>
          <w:rFonts w:ascii="Courier New" w:cs="Courier New" w:eastAsia="Courier New" w:hAnsi="Courier New"/>
          <w:sz w:val="18"/>
          <w:szCs w:val="18"/>
          <w:color w:val="auto"/>
        </w:rPr>
      </w:pPr>
    </w:p>
    <w:p>
      <w:pPr>
        <w:ind w:left="1700" w:right="139" w:hanging="327"/>
        <w:spacing w:after="0" w:line="253"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81" w:lineRule="exact"/>
        <w:rPr>
          <w:rFonts w:ascii="Courier New" w:cs="Courier New" w:eastAsia="Courier New" w:hAnsi="Courier New"/>
          <w:sz w:val="18"/>
          <w:szCs w:val="18"/>
          <w:color w:val="auto"/>
        </w:rPr>
      </w:pPr>
    </w:p>
    <w:p>
      <w:pPr>
        <w:ind w:left="1700" w:right="239" w:hanging="327"/>
        <w:spacing w:after="0" w:line="274" w:lineRule="auto"/>
        <w:tabs>
          <w:tab w:leader="none" w:pos="1700" w:val="left"/>
        </w:tabs>
        <w:numPr>
          <w:ilvl w:val="0"/>
          <w:numId w:val="22"/>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63"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ED has also indicated that it may continue to evaluate the scope of activities treated as third-party servicer functions through future rulemaking or guidance, and additional changes to the definition of, or requirements applicable to, third-party servicers remain possible.</w:t>
      </w:r>
    </w:p>
    <w:p>
      <w:pPr>
        <w:spacing w:after="0" w:line="68"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 provider, the compliance with which can materially impact our business model, including through future guidance, enforcement activity, or regulatory action applicable to institutions and their third-party service providers. In addition, as more fully described below, we are subject to some of the regulations imposed on our university partners by virtue of the nature of the services we provide.</w:t>
      </w:r>
    </w:p>
    <w:p>
      <w:pPr>
        <w:spacing w:after="0" w:line="7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HEA and the regulations promulgated thereunder are frequently revised, repealed or expanded and the scope of services covered by regulations may evolve and change over time. Congress historically has reauthorized and amended the HEA in regular intervals, approximately every five to seven years. Congress periodically considers reauthorization of the HEA, although the timing and scope of any such reauthorization remain uncertain. The re-authorization of the HEA could alter the regulatory landscape of the higher education industry, and thereby impact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For example, in February 2023, ED released DCL 23-03, a guidance document expanding the definition of what activities are considered as third-party servicer activities. After substantial community outreach to ED, and a number of notices that the guidance would be delayed, on November 14, 2024, ED formally rescinded DCL 23-03. Previously issued guidance on this topic (Dear Colleague Letters GEN 12-08, GEN 15-01, GEN 16-15 (as modified by the March 8, 2017 electronic announcement), and GEN-23-08) remains in effect.</w:t>
      </w:r>
    </w:p>
    <w:p>
      <w:pPr>
        <w:spacing w:after="0" w:line="84"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Regarding data security matters, in Electronic Announcement GEN 23-09, ED stated that “[t]he Department will issue guidance on NIST 800-171 compliance in a future Electronic Announcement.” While it does not appear ED has addressed this issue in 2024 through rulemaking or otherwise, we believe data security is an area of importance and, like all ED guidance, is subject to change and may impact our business model.</w:t>
      </w:r>
    </w:p>
    <w:p>
      <w:pPr>
        <w:spacing w:after="0" w:line="72" w:lineRule="exact"/>
        <w:rPr>
          <w:sz w:val="20"/>
          <w:szCs w:val="20"/>
          <w:color w:val="auto"/>
        </w:rPr>
      </w:pPr>
    </w:p>
    <w:p>
      <w:pPr>
        <w:jc w:val="both"/>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We are also regulated (depending upon the applicable activity being regulated) by other federal agencies or departments including the SEC, the Internal Revenue Service (“IRS”), and the Federal Trade Commission (“FTC”).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OF OUR UNIVERSITY PARTNERS</w:t>
      </w:r>
    </w:p>
    <w:p>
      <w:pPr>
        <w:spacing w:after="0" w:line="22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Institutions of higher education in America are subject to extensive regulation by state post-secondary, licensure and certification agencies, accrediting commissions, and the federal government through ED under the HEA, as well as (depending upon the applicable activity being regulated) other federal agencies and departments including the U.S. Department of Veterans Affairs, the FTC, the IRS, and for institutions who issue bonds, the SEC. The regulations, standards, and policies of these agencies cover the vast majority of operations of colleges and universities, including educational programs, facilities, instructional and administrative staff, administrative procedures, marketing, recruiting, financing and financial operations, athletics and financial condition.</w:t>
      </w:r>
    </w:p>
    <w:p>
      <w:pPr>
        <w:spacing w:after="0" w:line="8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8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Although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services provider to institutions of higher education generally.</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Post-Secondary Education Regulation</w:t>
      </w:r>
    </w:p>
    <w:p>
      <w:pPr>
        <w:spacing w:after="0" w:line="12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university partners are authorized to offer education by the relevant state authorizing agencies for the state in which such university partner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State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8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ED requirements many schools have applied and been approved to be institutional participants in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2025, all states other than California are members of SARA.</w:t>
      </w:r>
    </w:p>
    <w:p>
      <w:pPr>
        <w:spacing w:after="0" w:line="8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such university partner’s enrollments.</w:t>
      </w:r>
    </w:p>
    <w:p>
      <w:pPr>
        <w:spacing w:after="0" w:line="8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we provide its services to its university partners. For example, some states have considered new requirements that would dictate what information we must convey to students and prospective students and impose reporting requirements related to the nature of our services. To the extent such requirements were ultimately enacted into law, they could significantly affect our business.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Professional Licensure</w:t>
      </w:r>
    </w:p>
    <w:p>
      <w:pPr>
        <w:spacing w:after="0" w:line="121"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72" w:lineRule="exact"/>
        <w:rPr>
          <w:sz w:val="20"/>
          <w:szCs w:val="20"/>
          <w:color w:val="auto"/>
        </w:rPr>
      </w:pPr>
    </w:p>
    <w:p>
      <w:pPr>
        <w:ind w:left="1040" w:right="1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were approved by the state in which the graduate seeks licensure, or by a professional association;</w:t>
      </w:r>
    </w:p>
    <w:p>
      <w:pPr>
        <w:ind w:left="1040" w:right="2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program from which the student graduated meets all requirements for professional licensure in that state;</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are accredited and, if so, by what accrediting commissions;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institution’s degrees are recognized by other states in which a student may seek to work.</w:t>
      </w:r>
    </w:p>
    <w:p>
      <w:pPr>
        <w:spacing w:after="0" w:line="9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68"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68"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Although not directly regulated by these entities, we must be mindful of the requirements placed by state professional licensure bodies on our university partner institutions to ensure those institutions maintain that licensure.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Accreditation</w:t>
      </w:r>
    </w:p>
    <w:p>
      <w:pPr>
        <w:spacing w:after="0" w:line="12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81"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In recent years, ED has indicated an increased focus on accreditor accountability and oversight, which could result in changes to accrediting standards, review practices, or recognition requirements applicable to our university partners.</w:t>
      </w:r>
    </w:p>
    <w:p>
      <w:pPr>
        <w:spacing w:after="0" w:line="32"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university.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6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University partners other than GCU may be accredited by different accrediting bodies that are likely to have standards that are different from those of the HLC. Moreover, our other university partners hold various programmatic accreditations that set additional requirements related to specific programs, including for their nursing programs. As we work with university partners in different regions we will need to work with those accrediting bodies and tailor our services to meet the requirements of those accreditors.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of Federal Student Financial Aid Programs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7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7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Additionally, ED’s final regulations addressing, among other things, financial responsibility, administrative capability, certification procedures, and Ability-to-Benefit became effective on July 1, 2024. These regulations expand the circumstances under which ED may require financial protection, impose additional and more prescriptive administrative capability standards, and provide ED with broader authority to impose conditions during initial or continuing certification. These changes increase compliance obligations for institutions participating in Title IV programs and may affect our business to the extent that we support functions implicated by these enhanced regulatory expectations.</w:t>
      </w:r>
    </w:p>
    <w:p>
      <w:pPr>
        <w:spacing w:after="0" w:line="7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Significant regulations and other factors relating to the Title IV programs that could adversely affect us include the following:</w:t>
      </w:r>
    </w:p>
    <w:p>
      <w:pPr>
        <w:spacing w:after="0" w:line="50"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Congressional 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Congress must reauthorize the HEA on a periodic basis, usually every five to six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reauthorization through September 30, 2013, occurred in August 2008. The reauthorized HEA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117"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July 4, 2025, President Trump signed the </w:t>
      </w:r>
      <w:r>
        <w:rPr>
          <w:rFonts w:ascii="Times New Roman" w:cs="Times New Roman" w:eastAsia="Times New Roman" w:hAnsi="Times New Roman"/>
          <w:sz w:val="18"/>
          <w:szCs w:val="18"/>
          <w:i w:val="1"/>
          <w:iCs w:val="1"/>
          <w:color w:val="auto"/>
        </w:rPr>
        <w:t>One Big Beautiful Bill Act</w:t>
      </w:r>
      <w:r>
        <w:rPr>
          <w:rFonts w:ascii="Times New Roman" w:cs="Times New Roman" w:eastAsia="Times New Roman" w:hAnsi="Times New Roman"/>
          <w:sz w:val="18"/>
          <w:szCs w:val="18"/>
          <w:color w:val="auto"/>
        </w:rPr>
        <w:t xml:space="preserve"> (OBBBA), which includes, among other things, amendments to portions of the Higher Education Act of 1965. Various portions of the bill have already gone through negotiated rulemaking (discussed later), and it is impossible to predict the outcome of those negotiations or the rulemaking process. OBBBA makes a variety of changes to federal student aid programs, including loan limits, accountability measures for programs based on low earning outcomes, loan repayment, Pell Grant eligibility, and regulatory changes.</w:t>
      </w:r>
    </w:p>
    <w:p>
      <w:pPr>
        <w:spacing w:after="0" w:line="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OBBBA sets, effective July 2026, new annual and aggregate loan limits for graduate and professional students, with some limited grandfathering for current graduate and professional student borrowers. For graduate students who are not and have not been professional students, the new aggregate graduate loan limit is $100,000, irrespective of any undergraduate borrowing. With respect to graduate students who are or have been professional students, the aggregate graduate loan limit is $200,000 minus the amounts borrowed for the professional degree program. OBBBA also created a lifetime maximum aggregate amount for Title IV loans that a student may borrow of $257,500 (other than a loan made to the student as a parent borrower on behalf of a dependent student). OBBBA provides institutions the opportunity to limit the amount of loans a student may borrow in an academic year as long as any such limit is applied consistently to all students enrolled in such program of study. Additionally, OBBBA requires that the amount of loan funds available under a student’s annual loan eligibility must be reduced in direct proportion to the degree to which that student is not enrolled on a full-time basis during an academic year; ED plans to release a schedule of reductions for public comment later this year, which institutions will be required to use for students who enrolled less than full-time for academic years 2026-27 and beyond.</w:t>
      </w:r>
    </w:p>
    <w:p>
      <w:pPr>
        <w:spacing w:after="0" w:line="7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OBBBA creates the “Do No Harm” accountability framework, effective July 2026, that institutions must satisfy at the program level in order for students to continue to receive Federal Direct Loans for such programs. OBBBA requires that an undergraduate program become ineligible for Federal Direct Loans if, in two out of three consecutive years, the median earnings of a cohort of program completers are less than the median earnings of working adults aged 25-34 with only a high school diploma, either in the state where the institution is located or, if fewer than 50% of students at the institution reside in the institution’s state, the national average. OBBBA requires that a graduate or professional program become ineligible for Federal Direct Loans if, in two out of three consecutive years, the median earnings of a cohort of program completers are less than the median earnings of working adults aged 25–34 with only a bachelor’s degree. Comparator median earnings for graduate or professional programs will be calculated based on Bureau of the Census data for working adults aged 25-34 with only a bachelor’s degree, and will be the lesser of: (i) working adults in the same field of study in the state where the institution is located, (ii) working adults in the same field of study in the United States, or</w:t>
      </w:r>
    </w:p>
    <w:p>
      <w:pPr>
        <w:spacing w:after="0" w:line="4" w:lineRule="exact"/>
        <w:rPr>
          <w:sz w:val="20"/>
          <w:szCs w:val="20"/>
          <w:color w:val="auto"/>
        </w:rPr>
      </w:pPr>
    </w:p>
    <w:p>
      <w:pPr>
        <w:ind w:left="60" w:right="99" w:hanging="10"/>
        <w:spacing w:after="0" w:line="251"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working adults in the state where the institution is located. If fewer than 50% of students at the institution reside in the institution’s state, then the median earnings will be calculated based on the lesser of the national average for (i) all working adults or (ii) working adults in the same field of study. Both the undergraduate and graduate/professional accountability provisions apply to the cohort of students who completed the program four years prior, are working, are not enrolled at any institution, and who received Federal Direct Loan funds for enrollment in the program. If a cohort is less than 30 students, the Secretary of Education may aggregate additional years of programmatic data. If a program fails the earnings test for one year, institutions must notify students that the program is at risk of losing Federal Direct Loan eligibility. OBBBA requires that an institutional appeals process be established by the Secretary of Education, and a program’s Federal Direct Loan eligibility will continue during such appeal. Programs that lose eligibility under the accountability framework may reapply for eligibility after two years, consistent with requirements that will be established by the Secretary of Education. Based on data provided by the ED for students that graduated in 2015-2016, all of the programs that we provide services to our university partners passed this metric except GCU’s Masters in Mental and Social Health programs. GCU is currently analyzing the data related to these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and it appears most universities that provide these programs online to working adult students fail this metric. This is a brief summary of the rule and does not cover all elements of the proposed rule.</w:t>
      </w:r>
    </w:p>
    <w:p>
      <w:pPr>
        <w:spacing w:after="0" w:line="5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Among other things related to loan repayment plans, OBBBA requires that for new loans issued on or after July 2026, borrowers choose between two plans: a Standard Repayment Plan (with fixed monthly payments and fixed terms ranging from 10-25 years) or a new Income-Based Repayment Assistance Plan (RAP). Current borrowers repaying loans under existing repayment options may, depending on the loan repayment type: (i) continue to repay under the selected plan or choose a new plan within a prescribed period; or (ii) be required to select from a limited set of plans as of a date certain. For example, borrowers currently on an Income-Contingent Repayment (ICR) plan must transition to a different plan by July 1, 2028. OBBBA also eliminates unemployment and economic hardship deferments for loans issued on or after July 1, 2027, and reduces the permitted forbearance period to 9 months per 24-month period. Additionally, borrowers will be permitted to rehabilitate defaulted loans twice beginning July 2027, rather than only once under the current rule.</w:t>
      </w:r>
    </w:p>
    <w:p>
      <w:pPr>
        <w:spacing w:after="0" w:line="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Effective July 1, 2026, students with a Student Aid Index that equals or exceeds twice the maximum Pell Grant amount will be ineligible for Pell Grants. A student will also be ineligible for a Federal Pell Grant during any period for which the student receives grant aid from a non-federal source (including states, institutional aid, or private sources) in an amount that equals or exceeds the student’s cost of attendance. Additionally, OBBBA creates Workforce Pell Grants effective July 2026 for students enrolled in eligible workforce programs. Eligible workforce programs must meet a specific definition, including that they are accredited, short-term, career-focused programs (150 to 600 clock hours of instruction over 8 to 15 weeks), which prepare students to pursue one or more certificate or degree programs. In addition, they must be approved by the state governor, aligned with high-demand, high-skill or high-wage jobs, have at least 70% completion and job placement rates, and tuition must be less than the value-added earnings of graduates who received the Workforce Pell Grant. Workforce Pell Grants may not be combined with a regular Pell grant.</w:t>
      </w:r>
    </w:p>
    <w:p>
      <w:pPr>
        <w:spacing w:after="0" w:line="8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OBBBA amends the Higher Education Act to delay the effective date of the 2022 borrower defense to repayment rules, including the closed school discharge provisions, until July 1, 2035. The 2019 version of those rules, which took effect July 1, 2020, is instead reinstated.</w:t>
      </w:r>
    </w:p>
    <w:p>
      <w:pPr>
        <w:spacing w:after="0" w:line="68" w:lineRule="exact"/>
        <w:rPr>
          <w:sz w:val="20"/>
          <w:szCs w:val="20"/>
          <w:color w:val="auto"/>
        </w:rPr>
      </w:pPr>
    </w:p>
    <w:p>
      <w:pPr>
        <w:ind w:left="60" w:right="579" w:firstLine="648"/>
        <w:spacing w:after="0" w:line="261" w:lineRule="auto"/>
        <w:rPr>
          <w:sz w:val="20"/>
          <w:szCs w:val="20"/>
          <w:color w:val="auto"/>
        </w:rPr>
      </w:pPr>
      <w:r>
        <w:rPr>
          <w:rFonts w:ascii="Times New Roman" w:cs="Times New Roman" w:eastAsia="Times New Roman" w:hAnsi="Times New Roman"/>
          <w:sz w:val="18"/>
          <w:szCs w:val="18"/>
          <w:color w:val="auto"/>
        </w:rPr>
        <w:t>Both negotiated rulemaking committees empaneled by ED to meet to consider regulations to implement provisions of OBBBA and related Trump administration priorities, have concluded work. The Company is unable to predict the outcomes of those processes or what guidance ED may issue regarding how schools are to implement the legislation.</w:t>
      </w:r>
    </w:p>
    <w:p>
      <w:pPr>
        <w:spacing w:after="0" w:line="68"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 and certification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institution must apply periodically to ED for continued certification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the Title IV programs. Such recertification generally is required every six years, but may be required earlier, including when an institution undergoes a change in control. To the extent ED suspends, limits, modifies, conditions, or terminates any university partner institution’s eligibility to participate in the Title IV, including by disallowing the institution from adding new programs or terminating the institution from Title IV eligibility programs, that action is likely to have a negative impact on our business.</w:t>
      </w:r>
    </w:p>
    <w:p>
      <w:pPr>
        <w:spacing w:after="0" w:line="78"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ED may also grant an institution the ability to participate in Title IV programs on a provisional basis while it completes its review of the institution’s application. For an institution that is certified on a provisional basis, ED may revoke the institution’s certification without advance notice or advance opportunity for the institution to challenge that action. For an institution that is certified on a month-to-month basis, ED may allow the institution’s certification to expire at the end of any month without advance notice, and without any formal procedure for review of such action. To our knowledge, either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80"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Administrative capability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regulations specify extensive criteria by which an institution must establish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the requisite “administrative capability” to participate in the Title IV programs. To meet the administrative capability standards, an institution must, among other things:</w:t>
      </w:r>
    </w:p>
    <w:p>
      <w:pPr>
        <w:spacing w:after="0" w:line="67"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Title IV program requirements;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adequate number of qualified personnel to administer the Title IV programs;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acceptable standards for measuring the satisfactory academic progress of its students;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student loan cohort default rates above specified levels;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89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various procedures in place for awarding, disbursing and safeguarding Title IV funds and for maintaining required records;</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Title IV programs with adequate checks and balances in its system of internal controls;</w:t>
      </w:r>
    </w:p>
    <w:p>
      <w:pPr>
        <w:spacing w:after="0" w:line="9" w:lineRule="exact"/>
        <w:rPr>
          <w:rFonts w:ascii="Times New Roman" w:cs="Times New Roman" w:eastAsia="Times New Roman" w:hAnsi="Times New Roman"/>
          <w:sz w:val="18"/>
          <w:szCs w:val="18"/>
          <w:color w:val="auto"/>
        </w:rPr>
      </w:pPr>
    </w:p>
    <w:p>
      <w:pPr>
        <w:ind w:left="1040" w:right="51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and not have any principal or affiliate who is, debarred or suspended from federal contracting or engaging in activity that is cause for debarment or suspension;</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aid counseling to its students;</w:t>
      </w:r>
    </w:p>
    <w:p>
      <w:pPr>
        <w:spacing w:after="0" w:line="9"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all required reports and consolidated financial statements in a timely manner;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appear to lack administrative capability.</w:t>
      </w:r>
    </w:p>
    <w:p>
      <w:pPr>
        <w:spacing w:after="0" w:line="9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68"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institution to repay Title IV funds its students previously received;</w:t>
      </w:r>
    </w:p>
    <w:p>
      <w:pPr>
        <w:spacing w:after="0" w:line="27"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institution from the advance method of payment of Title IV funds to heightened cash monitoring status or the reimbursement system of payment;</w:t>
      </w: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institution on provisional certification status; or</w:t>
      </w:r>
    </w:p>
    <w:p>
      <w:pPr>
        <w:spacing w:after="0" w:line="9" w:lineRule="exact"/>
        <w:rPr>
          <w:rFonts w:ascii="Times New Roman" w:cs="Times New Roman" w:eastAsia="Times New Roman" w:hAnsi="Times New Roman"/>
          <w:sz w:val="18"/>
          <w:szCs w:val="18"/>
          <w:color w:val="auto"/>
        </w:rPr>
      </w:pPr>
    </w:p>
    <w:p>
      <w:pPr>
        <w:ind w:left="1040" w:right="99" w:hanging="315"/>
        <w:spacing w:after="0" w:line="26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proceeding to impose a fine or to limit, suspend or terminate the institution’s participation in the Title IV programs.</w:t>
      </w:r>
    </w:p>
    <w:p>
      <w:pPr>
        <w:spacing w:after="0" w:line="73"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Imposition of these sanctions on any of our university partners could have a negative impact on our ability to conduct our business.</w:t>
      </w:r>
    </w:p>
    <w:p>
      <w:pPr>
        <w:spacing w:after="0" w:line="50"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responsibility. </w:t>
      </w:r>
      <w:r>
        <w:rPr>
          <w:rFonts w:ascii="Times New Roman" w:cs="Times New Roman" w:eastAsia="Times New Roman" w:hAnsi="Times New Roman"/>
          <w:sz w:val="18"/>
          <w:szCs w:val="18"/>
          <w:color w:val="auto"/>
        </w:rPr>
        <w:t>The HEA and ED regulations establish extensive standards of financial responsibility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78"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ratio, which measures the institution’s capital resources, financial viability and ability to borrow;</w:t>
      </w:r>
    </w:p>
    <w:p>
      <w:pPr>
        <w:spacing w:after="0" w:line="27"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reserve ratio, which measures the institution’s ability to support current operations from expendable resources; and</w:t>
      </w: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ratio, which measures the institution’s ability to operate at a profit or within its means.</w:t>
      </w:r>
    </w:p>
    <w:p>
      <w:pPr>
        <w:spacing w:after="0" w:line="9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ED assigns a strength factor to the results of each of these ratios on a scale from negative 1.0 to positive 3.0, with negative 1.0 reflecting financial weakness and positive 3.0 reflecting financial strength. ED then assigns a</w:t>
      </w: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purposes, a poor composite score could have additional effects. For example, NC-SARA utilizes an institution’s composite score in determining whether such institution is eligible to participate in SARA.</w:t>
      </w:r>
    </w:p>
    <w:p>
      <w:pPr>
        <w:spacing w:after="0" w:line="5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Based on the data derived from the audited financial statements of GCU as of each of June 30, 2025 and 2024, GCU’s composite score was 1.9 and 1.9, respectively, using the proprietary school calculation methodology. If GCU’s future composite scores do not exceed 1.5, ED could impose sanctions. If any such sanctions were imposed, it could have a negative impact on our ability to conduct our business.</w:t>
      </w:r>
    </w:p>
    <w:p>
      <w:pPr>
        <w:spacing w:after="0" w:line="6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Return of Title IV funds for students who withdraw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 student who has received Title IV program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w:t>
      </w:r>
    </w:p>
    <w:p>
      <w:pPr>
        <w:spacing w:after="0" w:line="84"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Additionally, in January 2025, ED published new regulations, that became effective on July 1, 2026, related to a number of areas, including those concerning return to Title IV. The January 2025 final regulations include additional provisions that address, among other things, the determination and documentation of a student’s withdrawal date and related administrative and reporting requirements, including in certain modular and distance education contexts. These provisions may increase the administrative burden on institutions and heighten the risk of compliance findings. To the extent that we assist our university partners with return to Title IV processes, these changes may also increase our operational and compliance responsibilities.</w:t>
      </w:r>
    </w:p>
    <w:p>
      <w:pPr>
        <w:spacing w:after="0" w:line="7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“90/10 Rule.” </w:t>
      </w:r>
      <w:r>
        <w:rPr>
          <w:rFonts w:ascii="Times New Roman" w:cs="Times New Roman" w:eastAsia="Times New Roman" w:hAnsi="Times New Roman"/>
          <w:sz w:val="18"/>
          <w:szCs w:val="18"/>
          <w:color w:val="auto"/>
        </w:rPr>
        <w:t>A requirement of the HEA, commonly referred to as the “90/10 Rule,” that is applicable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ED. If an institution’s rate exceeds 90% for any single fiscal year, it will be placed on provisional certification for at least two fiscal years.</w:t>
      </w:r>
    </w:p>
    <w:p>
      <w:pPr>
        <w:spacing w:after="0" w:line="8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Based on new regulations that went into effect on January 1, 2023, the 90/10 Rule was modified to include tuition assistance programs offered by the U.S. Department of Defense and the U.S. Veterans Administration as part of the 90% threshold, in addition to the Title IV programs already covered by the 90/10 Rule. This means that institutions subject to the 90/10 Rule will be required to limit the combined amount of Title IV funds and applicable “Federal funds” revenue in a fiscal year to no more than 90% in a fiscal year as calculated under the rule, and the change to the 90/10 Rule is thus expected to increase the 90/10 Rule calculations for institutions subject to the rule.</w:t>
      </w:r>
    </w:p>
    <w:p>
      <w:pPr>
        <w:spacing w:after="0" w:line="79"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ED has issued updated interpretations regarding the classification of certain revenue for purposes of the 90/10 calculation, which may affect how proprietary institutions assess compliance with this requirement. Additionally, legislation has been introduced in both chambers of Congress that seeks to further modify the 90/10 Rule, including proposals to change the ratio requirement to 85/15 (federal to nonfederal revenue), or to eliminate the 90/10 Rule. We cannot predict whether or how legislative or regulatory changes will affect the 90/10 Rule.</w:t>
      </w:r>
    </w:p>
    <w:p>
      <w:pPr>
        <w:spacing w:after="0" w:line="7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ED formally recognized GCU as a non-profit institution for purposes of its participation in Title IV programs. As a result, the 90/10 Rule no longer applies to GCU. However, we continue to monitor developments relating to the 90/10 Rule because any of our current or future university partners that are classified as proprietary institutions would remain subject to this requirement.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Student loan defaults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an educational institution may lose its eligibility to participate in some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78"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7"/>
          <w:szCs w:val="17"/>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w:t>
      </w: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fiscal years. If an institution’s cohort default rate for any single federal fiscal year equals or exceeds 30%, ED may place the institution on provisional certification status.</w:t>
      </w:r>
    </w:p>
    <w:p>
      <w:pPr>
        <w:spacing w:after="0" w:line="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Incentive compensation rule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institution that participates in the Title IV programs may not provide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bonus, or other incentive payment based directly or indirectly on success in securing enrollments or financial aid to any person or entity engaged in any student recruitment, admissions, or financial aid awarding activity. Since we are involved in recruiting and admission activities on behalf of our university partners, under current regulations,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 ED normally does not approve incentive compensation plans but as part of the Qui Tam settlement, they reviewed and approved our compensation plan.</w:t>
      </w:r>
    </w:p>
    <w:p>
      <w:pPr>
        <w:spacing w:after="0" w:line="8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incentive compensation rule raises the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82"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7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7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Borrower Defense to Repayment regulations</w:t>
      </w:r>
      <w:r>
        <w:rPr>
          <w:rFonts w:ascii="Times New Roman" w:cs="Times New Roman" w:eastAsia="Times New Roman" w:hAnsi="Times New Roman"/>
          <w:sz w:val="17"/>
          <w:szCs w:val="17"/>
          <w:color w:val="auto"/>
        </w:rPr>
        <w:t>. Under the HEA and its implementing regulations, students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file a claim with ED to discharge their FDL Loans if, generally, they believe their institution misled them or engaged in other misconduct related to the making of their federal loans or the provision of their educational services. This is referred to as a “borrower defense to repayment” or “BDR” claim. The regulations governing the standards and processes pursuant to which BDR claims are adjudicated have been revised multiple times since their introduction in 1994, with the result that the current regulatory framework is extraordinarily complex. It is generally the case that an individual BDR claim would be adjudicated by an ED staff member and any subsequent recoupment process against the applicable institution initiated by ED would be overseen by a hearing official. But the specific standards and processes that apply vary depending on when the underlying loan was made, and certain versions of the law permit the formation of a group claims process by ED.</w:t>
      </w:r>
    </w:p>
    <w:p>
      <w:pPr>
        <w:spacing w:after="0" w:line="6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November 2022, the Biden administration promulgated a revised version of the BDR rule, which took effect on July 1, 2023. In August 2023, the U.S. Court of Appeals for the Fifth Circuit issued a nationwide preliminary injunction, enjoining the implementation of the borrower defense and closed school provisions of that rule. While this case is pending, the previous versions of the borrower defense and closed school provisions are in effect. On April 4, 2024, the court issued further instructions to enjoin the rule and postpone the effective date of the regulation pending final judgment in the case. The injunction is effective until there is a final judgment in the case. The Department will not adjudicate any borrower defense applications under the rule subject to the injunction unless and until the injunction is lifted.</w:t>
      </w:r>
    </w:p>
    <w:p>
      <w:pPr>
        <w:spacing w:after="0" w:line="81"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the OBBBA amends the Higher Education Act to delay the effective date of the 2022 borrower defense to repayment rules, including the closed school discharge provisions, until July 1, 2035. The 2019 version of those rules, which took effect July 1, 2020, is instead reinstated.</w:t>
      </w:r>
    </w:p>
    <w:p>
      <w:pPr>
        <w:spacing w:after="0" w:line="6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January 2026, the nationwide preliminary injunction appears to remain in effect, and, although ED noted that it would issue new regulations related to BDR to effectuate the requirements of OBBBA, it has not yet published the revised rulemaking. As a result of the August 7, 2023 nationwide injunction of the 2022 BDR regulations, ED announced that while it will not adjudicate any borrower defense applications under the 2022 Borrower Defense to Repayment Regulations unless and until the effective date is reinstated, it will continue to adjudicate applications under a prior version of the rule if required pursuant to a court ordered settlement. Institutions and third-party servicers continue to operate under earlier borrower defense standards, and the resolution of the pending litigation could result in changes to applicable requirements or enforcement approaches.</w:t>
      </w:r>
    </w:p>
    <w:p>
      <w:pPr>
        <w:spacing w:after="0" w:line="84"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While the changes in the OBBBA clarify matters until July 1, 2035, litigation related to the various iterations of the BDR regulations, changes to the enforcement of these regulations, and the lack of adjudications in this area have made this area of the law difficult to predict. Nonetheless, if our university partners are determined to have violated this regulation there could be significant sanctions imposed, whether related to the recoupment of any loans extinguished by ED, the imposition of letters of credit, or other sanctions under the financial responsibility or administrative capability regulations (among others). This could put a financial strain on our university partners and negatively affect our business. Also, if we were determined to have been the cause of the meritorious BDTR claim, our partners may have claims against us.</w:t>
      </w:r>
    </w:p>
    <w:p>
      <w:pPr>
        <w:spacing w:after="0" w:line="84"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Note, the borrower defense to repayment regulations discussed herein were and are extensive and this does not attempt to discuss all the facets of any of the versions of these regulations. We cannot determine what effect, if any, these regulations may have on our university partners or on us.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Compliance reviews. </w:t>
      </w:r>
      <w:r>
        <w:rPr>
          <w:rFonts w:ascii="Times New Roman" w:cs="Times New Roman" w:eastAsia="Times New Roman" w:hAnsi="Times New Roman"/>
          <w:sz w:val="18"/>
          <w:szCs w:val="18"/>
          <w:color w:val="auto"/>
        </w:rPr>
        <w:t>Our university partners institutions are subject to announced and unannounced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and 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7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a third-party servicer, not only are our university partners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68"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Gainful employment rule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proprietary schools are eligible to participate in Title IV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w:t>
      </w:r>
    </w:p>
    <w:p>
      <w:pPr>
        <w:spacing w:after="0" w:line="7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Then in 2023, ED published new Financial Value Transparency and Gainful Employment (“FVT/GE”) regulations, which became effective July 1, 2024. These regulations establish rules for annually evaluating GCU’s educational programs based on the calculation of debt-to-earnings rates (an annual debt-to-earnings rate and a discretionary debt-to-earnings rate) and a median earnings measure. ED will calculate these rates and measures under complex regulatory formulas outlined in the regulations and using data such as student debt (including not only Title IV loans but also certain private loans and extensions of credit), student earnings data, and comparative median earnings data for young working adults with only a high school diploma or GED. If GCU’s programs were to yield debt-to-earnings rates or a median earnings measure that do not comply with regulatory benchmarks for two of three consecutive years, they would lose Title IV eligibility for each of the impacted educational programs. The regulations will also require institutions to provide warnings to current and prospective students for programs in danger of losing Title IV eligibility (which could deter prospective students from enrolling and current students from continuing their respective programs). The regulations also include provisions for providing certifications and reporting data to ED and providing required student disclosures related to gainful employment. During 2025, ED implemented the initial phases of the FVT/GE regulatory framework, including institutional review and verification of FVT/GE Completers Lists and required program-level data reporting. These implementation activities required institutions to review, verify, and report detailed program-level data and may indirectly influence program eligibility, reporting obligations, and enrollment dynamics at the institutions we serve.</w:t>
      </w:r>
    </w:p>
    <w:p>
      <w:pPr>
        <w:spacing w:after="0" w:line="29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January 9, 2026, the Accountability in Higher Education and Access through Demand-driven Workforce Pell (AHEAD) Committee empaneled by ED to implement the “Do No Harm” accountability framework in the OBBBA came to consensus on regulatory language that would replace FVT/GE framework with a new earnings premium test. It is unclear when the Notice of Proposed Rulemaking will be published, but if the final rule is published on or before November 1, 2026, the new test will become effective on July 1, 2027 (unless designated for early implementation by ED). Below is a brief summary of the rule and does not cover all elements of the rule. This test would apply to all programs at all schools regardless of tax status. In short, the test would compare a program's graduates' median earnings (4 years after completion) to state/national benchmarks (median earnings of working high school graduates for undergraduate students; bachelor’s graduates for graduate programs) to ensure a positive financial return on investment. Programs failing this test for two out of three years risk losing eligibility for federal loans. Based on data provided by the ED for students that graduated in 2015-2016 all of the programs that we provide services to our university partners passed this metric except, GCU’s Master’s in Mental and Social Health program. GCU is currently analyzing the data related to these programs and it appears most universities that provide these programs online to working adult students fail this metric.</w:t>
      </w:r>
    </w:p>
    <w:p>
      <w:pPr>
        <w:spacing w:after="0" w:line="79"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regulations include measures that will be based in part on data that is not readily accessible to us or our university partners, which makes it difficult for us to predict with certainty how our partners’ educational programs will perform under the new benchmarks and the extent to which certain programs could become ineligible for Title IV loans. ED released performance data at the time it published the proposed regulations that calculates rates for each school’s programs while acknowledging that the methodology used to produce the calculations differs from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methodology in the proposed regulations due to limitations in data availability. Because neither we nor our partners have access to all of the data that will ultimately be used to evaluate our partners’ programs, we cannot predict whether, or the extent to which, any program could fail to comply with the new benchmarks. Moreover, our university partners do not have control over the factors that could impact the rates and measures for their programs which will limit their ability to eliminate or mitigate the impact of the regulations on their educational programs. As such, we cannot at this time determine which programs from our partners are at risk of failing and, consequently, losing eligibility to disburse Title IV loans.</w:t>
      </w:r>
    </w:p>
    <w:p>
      <w:pPr>
        <w:spacing w:after="0" w:line="81" w:lineRule="exact"/>
        <w:rPr>
          <w:sz w:val="20"/>
          <w:szCs w:val="20"/>
          <w:color w:val="auto"/>
        </w:rPr>
      </w:pPr>
    </w:p>
    <w:p>
      <w:pPr>
        <w:ind w:left="60" w:right="639" w:firstLine="690"/>
        <w:spacing w:after="0" w:line="282" w:lineRule="auto"/>
        <w:rPr>
          <w:sz w:val="20"/>
          <w:szCs w:val="20"/>
          <w:color w:val="auto"/>
        </w:rPr>
      </w:pPr>
      <w:r>
        <w:rPr>
          <w:rFonts w:ascii="Times New Roman" w:cs="Times New Roman" w:eastAsia="Times New Roman" w:hAnsi="Times New Roman"/>
          <w:sz w:val="18"/>
          <w:szCs w:val="18"/>
          <w:color w:val="auto"/>
        </w:rPr>
        <w:t>We have not fully evaluated these proposed regulations and cannot yet determine what effect, if any, these regulations may have on our university partners or on us.</w:t>
      </w:r>
    </w:p>
    <w:p>
      <w:pPr>
        <w:spacing w:after="0" w:line="50" w:lineRule="exact"/>
        <w:rPr>
          <w:sz w:val="20"/>
          <w:szCs w:val="20"/>
          <w:color w:val="auto"/>
        </w:rPr>
      </w:pPr>
    </w:p>
    <w:p>
      <w:pPr>
        <w:ind w:left="60" w:right="99" w:firstLine="648"/>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Substantial misrepresentation</w:t>
      </w:r>
      <w:r>
        <w:rPr>
          <w:rFonts w:ascii="Times New Roman" w:cs="Times New Roman" w:eastAsia="Times New Roman" w:hAnsi="Times New Roman"/>
          <w:sz w:val="17"/>
          <w:szCs w:val="17"/>
          <w:color w:val="auto"/>
        </w:rPr>
        <w:t>. The HEA prohibits an institution that participates in Title IV programs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engaging in “substantial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64"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5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subcontractors in their conversations with students and prospective students. 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our university partners or on GCE.</w:t>
      </w:r>
    </w:p>
    <w:p>
      <w:pPr>
        <w:spacing w:after="0" w:line="8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w:t>
      </w:r>
    </w:p>
    <w:p>
      <w:pPr>
        <w:spacing w:after="0" w:line="8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Similar rules apply under state laws or are incorporated in institutional accreditation standards, and the FTC applies similar rules prohibiting any unfair or deceptive marketing practices to the education sector. In October 2021, the FTC announced that it was resurrecting its Penalty Offense Authority under Section 5(m) of the FTC Act. Under the FTC Act, the FTC may secure penalties against entities not a party to an original proceeding if the FTC can show that the entity had actual knowledge that the conduct in question was found to be unfair or deceptive. Entities that have actual knowledge of acts or practices the FTC has found to be unlawful and that subsequently engage in such unlawful acts or practices may be held liable for civil penalties up to $50,120 per violation.</w:t>
      </w:r>
    </w:p>
    <w:p>
      <w:pPr>
        <w:spacing w:after="0" w:line="81"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If ED or another regulator determines that statements made by us or on our behalf are in violation of the regulations, we could be subject to sanctions and other liability, which could have a material adverse effect on our business.</w:t>
      </w:r>
    </w:p>
    <w:p>
      <w:pPr>
        <w:spacing w:after="0" w:line="28" w:lineRule="exact"/>
        <w:rPr>
          <w:sz w:val="20"/>
          <w:szCs w:val="20"/>
          <w:color w:val="auto"/>
        </w:rPr>
      </w:pPr>
    </w:p>
    <w:p>
      <w:pPr>
        <w:ind w:left="60" w:right="2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Negotiated rulemaking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periodically issues new regulations and guidance that can have an adverse effect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 institutions. ED has changed its regulations, and may make other changes in the future, in a manner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which could require us to incur additional costs in connection with providing the services that we provide our university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with certainty the ultimate combined impact of the regulatory changes which have occurred in recent years, nor can we predict the effect of future legislative or regulatory action by federal, state or other agencies regulating our operations or those of our university partners, how any resulting regulations will be interpreted or whether we and our university partner institutions will be able to comply with these requirements in the future. Any such actions by legislative or regulatory bodies that affect our operations or those of our university partners could have a material adverse effect on our business and that of university partner institutions.</w:t>
      </w:r>
    </w:p>
    <w:p>
      <w:pPr>
        <w:spacing w:after="0" w:line="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ED engaged in two negotiated rulemakings stemming from the OBBBA, both of which reached consensus. The “Reimagining and Improving Student Education” (RISE) Committee implemented the new loan limits imposed by Congress in OBBBA (and discussed earlier). The AHEAD Committee (also discussed earlier) implemented the new accountability framework. We have not fully evaluated these proposed regulations and cannot yet determine what effect, if any, these regulations may have on our university partners or on us.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Standards that May Restrict Institutional Expansion or Other Changes</w:t>
      </w:r>
    </w:p>
    <w:p>
      <w:pPr>
        <w:spacing w:after="0" w:line="12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GCU, because it is currently certified to participate in the Title IV programs on a provisional basis, is required to obtain ED approval for new programs, which requirement could impede GCU’s ability to introduce new programs and slow its growth.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There are many factors that affect our business, financial condition, operating results, and cash flows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8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Although we currently provide services to 20 university partners across the United States, GCU is, and will for the foreseeable future remain, our most significant university partner. Accordingly, the risk factors set forth below also include risks attributable to GCU’s operations, which could materially affect us.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risk factors that could adversely affect our business, financial condition, and operating results:</w:t>
      </w:r>
    </w:p>
    <w:p>
      <w:pPr>
        <w:spacing w:after="0" w:line="54" w:lineRule="exact"/>
        <w:rPr>
          <w:sz w:val="20"/>
          <w:szCs w:val="20"/>
          <w:color w:val="auto"/>
        </w:rPr>
      </w:pPr>
    </w:p>
    <w:p>
      <w:pPr>
        <w:ind w:left="720" w:right="13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GCU’s board of trustees and management have fiduciary and other duties that require them to focus on the best interests of GCU and, over time, those interests could diverge from those of GCE.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role as President of GCU may adversely affect his ability to run GCE.</w:t>
      </w:r>
    </w:p>
    <w:p>
      <w:pPr>
        <w:spacing w:after="0" w:line="117" w:lineRule="exact"/>
        <w:rPr>
          <w:rFonts w:ascii="Times New Roman" w:cs="Times New Roman" w:eastAsia="Times New Roman" w:hAnsi="Times New Roman"/>
          <w:sz w:val="18"/>
          <w:szCs w:val="18"/>
          <w:color w:val="auto"/>
        </w:rPr>
      </w:pPr>
    </w:p>
    <w:p>
      <w:pPr>
        <w:ind w:left="720" w:right="199" w:hanging="319"/>
        <w:spacing w:after="0" w:line="312"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determined to have paid improper incentive compensation to our covered employees, or tuition sharing arrangements are deemed to violate the incentive compensation regulations, our business will be impaired.</w:t>
      </w:r>
    </w:p>
    <w:p>
      <w:pPr>
        <w:spacing w:after="0" w:line="31"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recruit new students to enroll with our university partners.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67"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established and other emerging companies, which could divert university partners to our competitors, result in pricing pressure and significantly reduce our revenue.</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7"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The Family Educational Rights and Privacy Act, or FERPA, and failure to do so could harm our reputation and negatively affect our business.</w:t>
      </w:r>
    </w:p>
    <w:p>
      <w:pPr>
        <w:spacing w:after="0" w:line="53" w:lineRule="exact"/>
        <w:rPr>
          <w:rFonts w:ascii="Times New Roman" w:cs="Times New Roman" w:eastAsia="Times New Roman" w:hAnsi="Times New Roman"/>
          <w:sz w:val="18"/>
          <w:szCs w:val="18"/>
          <w:color w:val="auto"/>
        </w:rPr>
      </w:pPr>
    </w:p>
    <w:p>
      <w:pPr>
        <w:ind w:left="720" w:right="49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disruptions, or security breaches in our online computer networks and phone systems could have a material adverse effect on our university partners’ ability to attract and retain students, which may negatively impact our business.</w:t>
      </w:r>
    </w:p>
    <w:p>
      <w:pPr>
        <w:spacing w:after="0" w:line="6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future acquisitions, which would reduce the anticipated benefits of those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Rulemaking by ED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published regulations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7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accreditations or approvals.</w:t>
      </w:r>
    </w:p>
    <w:p>
      <w:pPr>
        <w:spacing w:after="0" w:line="67"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may lose eligibility to participate in the Title IV programs if its student loan default rates are too high.</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ED or other regulators that we or our university partner institutions misrepresented the nature of our university partner institutions’ educational programs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7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university partner institutions do not maintain state authorization, they may not operate or participate in the Title IV programs.</w:t>
      </w:r>
    </w:p>
    <w:p>
      <w:pPr>
        <w:spacing w:after="0" w:line="53"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67"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GCU</w:t>
      </w:r>
    </w:p>
    <w:p>
      <w:pPr>
        <w:spacing w:after="0" w:line="117"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2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expect the revenue derived from our Master Services Agreement with GCU to account for a large percentage of our revenue for the foreseeable future. Any decline in reputation or changes in GCU policies that adversely affect its student enrollment and its overall financial and operating results, including as a result of adverse government actions taken against GCU, could materially impact us. Furthermore, GCU has the right to terminate the Master Services Agreement after July 1, 2025 upon at least eighteen (18) months prior written notice, and, upon the termination or expiration of the Master Services Agreement, GCU is not required to continue using us as the provider of the services thereunder. If GCU were to terminate or not renew its relationship with us, or if its enrollment were to materially decline for any reason, it could negatively affect our reputation and materially adversely impact our revenue and operating results.</w:t>
      </w:r>
    </w:p>
    <w:p>
      <w:pPr>
        <w:spacing w:after="0" w:line="80"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5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relationship with GCU is and will remain strong. However, GCU has an independent board of trustees that, along with its management, have fiduciary and other duties that require them to focus on the best interests of GCU. Over time, and for various reasons, those interests could diverge from the interests of GCE. Should those interests diverge in a meaningful way, it could lead to changes in the relationship that would be adverse to us.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Officer’s role as President of GCU may adversely affect his ability to run GCE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Mr. Brian E. Mueller has served as the Chief Executive Officer of GCE since 2008, the Chairman of the Board of Directors since 2017 and the President of GCU since 2012. In connection with the Transaction, the Board of Directors of GCE and the board of trustees of GCU each independently determined that Mr. Mueller should retain those roles. Accordingly, Mr. Mueller serves as the Chairman of the Board of Directors and Chief Executive Officer of GCE and as the President of GCU, although he is prohibited from serving on the board of trustees of GCU. In continuing to retain Mr. Mueller’s services, our Board of Directors and the board of trustees of GCU each recognize that Mr. Mueller’s dual role could raise conflict of interest issues. In this regard, at the time of the Transaction, GCU adopted governance provisions that prohibit Mr. Mueller from serving on the board of trustees of GCU. In addition, we and GCU also jointly imposed a structure, through GCU’s governance documents and through express provisions of the Master Services Agreement, which prevent Mr. Mueller from participating in day-to-day management of, or negotiations between GCE and GCU relating to, the Master Services Agreement. While we believe that these safeguards have worked well to date, and that Mr. Mueller’s role with GCE continues to be in the best interests of GCE and is stockholders, we remain alert to conflict issues on an ongoing basis. Any such conflicts, as well as any adverse impact that Mr. Mueller’s dual capacity could have on his ability to devote time, attention, and effort to GCE, could be detrimental to our business.</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17" w:lineRule="exact"/>
        <w:rPr>
          <w:sz w:val="20"/>
          <w:szCs w:val="20"/>
          <w:color w:val="auto"/>
        </w:rPr>
      </w:pPr>
    </w:p>
    <w:p>
      <w:pPr>
        <w:ind w:left="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2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Since we are involved in recruiting and admissions activities, on behalf of our university partners, under current regulations, we are prohibited from offering our “covered employees,” who are generally those GCE employees involved with or responsible for recruiting or admissions activities on behalf of our university partners,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 If it were determined that any of our compensation practices violated the incentive compensation law, we could experience an adverse outcome in</w:t>
      </w:r>
    </w:p>
    <w:p>
      <w:pPr>
        <w:spacing w:after="0" w:line="5" w:lineRule="exact"/>
        <w:rPr>
          <w:sz w:val="20"/>
          <w:szCs w:val="20"/>
          <w:color w:val="auto"/>
        </w:rPr>
      </w:pPr>
    </w:p>
    <w:p>
      <w:pPr>
        <w:jc w:val="both"/>
        <w:ind w:left="60" w:right="219"/>
        <w:spacing w:after="0" w:line="277" w:lineRule="auto"/>
        <w:rPr>
          <w:sz w:val="20"/>
          <w:szCs w:val="20"/>
          <w:color w:val="auto"/>
        </w:rPr>
      </w:pPr>
      <w:r>
        <w:rPr>
          <w:rFonts w:ascii="Times New Roman" w:cs="Times New Roman" w:eastAsia="Times New Roman" w:hAnsi="Times New Roman"/>
          <w:sz w:val="17"/>
          <w:szCs w:val="17"/>
          <w:color w:val="auto"/>
        </w:rPr>
        <w:t xml:space="preserve">pending litigation and be subject to substantial monetary liabilities, fines, and other sanctions, any of which could have a material adverse effect on our business, prospects, financial condition and results of operations and could adversely affect our stock price. </w:t>
      </w:r>
      <w:r>
        <w:rPr>
          <w:rFonts w:ascii="Times New Roman" w:cs="Times New Roman" w:eastAsia="Times New Roman" w:hAnsi="Times New Roman"/>
          <w:sz w:val="17"/>
          <w:szCs w:val="17"/>
          <w:i w:val="1"/>
          <w:iCs w:val="1"/>
          <w:color w:val="auto"/>
        </w:rPr>
        <w:t>See Part 1, Item 3 – Litigation</w:t>
      </w:r>
      <w:r>
        <w:rPr>
          <w:rFonts w:ascii="Times New Roman" w:cs="Times New Roman" w:eastAsia="Times New Roman" w:hAnsi="Times New Roman"/>
          <w:sz w:val="17"/>
          <w:szCs w:val="17"/>
          <w:color w:val="auto"/>
        </w:rPr>
        <w:t xml:space="preserve"> for a discussion of certain litigation matters to which we are a party.</w:t>
      </w:r>
    </w:p>
    <w:p>
      <w:pPr>
        <w:spacing w:after="0" w:line="6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to a third-party service provider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82" w:lineRule="exact"/>
        <w:rPr>
          <w:sz w:val="20"/>
          <w:szCs w:val="20"/>
          <w:color w:val="auto"/>
        </w:rPr>
      </w:pPr>
    </w:p>
    <w:p>
      <w:pPr>
        <w:ind w:left="700" w:right="219"/>
        <w:spacing w:after="0" w:line="256" w:lineRule="auto"/>
        <w:rPr>
          <w:sz w:val="20"/>
          <w:szCs w:val="20"/>
          <w:color w:val="auto"/>
        </w:rPr>
      </w:pPr>
      <w:r>
        <w:rPr>
          <w:rFonts w:ascii="Times New Roman" w:cs="Times New Roman" w:eastAsia="Times New Roman" w:hAnsi="Times New Roman"/>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59"/>
        <w:spacing w:after="0" w:line="282" w:lineRule="auto"/>
        <w:rPr>
          <w:sz w:val="20"/>
          <w:szCs w:val="20"/>
          <w:color w:val="auto"/>
        </w:rPr>
      </w:pPr>
      <w:r>
        <w:rPr>
          <w:rFonts w:ascii="Times New Roman" w:cs="Times New Roman" w:eastAsia="Times New Roman" w:hAnsi="Times New Roman"/>
          <w:sz w:val="18"/>
          <w:szCs w:val="18"/>
          <w:color w:val="auto"/>
        </w:rPr>
        <w:t>payments to its employees, and the institution does not pay the entity separately for student recruitment services provided by the entity.”</w:t>
      </w:r>
    </w:p>
    <w:p>
      <w:pPr>
        <w:spacing w:after="0" w:line="5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7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recruit new students to enroll with our university partners.</w:t>
      </w:r>
    </w:p>
    <w:p>
      <w:pPr>
        <w:spacing w:after="0" w:line="121"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Building awareness of our university partner institutions, and the programs they offer, is critical to our ability to attract prospective students to those institutions. It is also critical to our success that we convert prospective students to enrolled students in a cost-effective manner and that these enrolled students remain active in the programs of our university partner institutions. The tightness of the job market has historically had an impact on our ability to successfully recruit new students especially for students considering re-careering into a different field. Historically the percentage of students we recruited who were re-careering was low but with the increase in university partners and off-campus classroom and laboratory sites and the growth in new online licensure programs by GCU, the number of students we recruit who are re-careering is growing. Therefore, changes in the job market will impact our ability to recruit students. Some of the other factors that could prevent us from successfully recruiting, enrolling, and retaining students in those programs include:</w:t>
      </w:r>
    </w:p>
    <w:p>
      <w:pPr>
        <w:spacing w:after="0" w:line="65" w:lineRule="exact"/>
        <w:rPr>
          <w:sz w:val="20"/>
          <w:szCs w:val="20"/>
          <w:color w:val="auto"/>
        </w:rPr>
      </w:pPr>
    </w:p>
    <w:p>
      <w:pPr>
        <w:ind w:left="1040" w:right="45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availability of, or higher interest rates and other costs associated with, Title IV loan funds or other sources of financial aid;</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more successful competitors;</w:t>
      </w:r>
    </w:p>
    <w:p>
      <w:pPr>
        <w:spacing w:after="0" w:line="9"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our marketing, including the costs and effectiveness of Internet advertising and broad-based branding campaigns and recruiting efforts;</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problems with our online systems;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university partner institutions to maintain institutional and specialized accreditations;</w:t>
      </w:r>
    </w:p>
    <w:p>
      <w:pPr>
        <w:spacing w:after="0" w:line="9"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university partner institutions which could restrict their initiation of new programs and modification of existing programs;</w:t>
      </w:r>
    </w:p>
    <w:p>
      <w:pPr>
        <w:ind w:left="1040" w:right="21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university partner institutions which restrict the ways schools can compensate persons involved in their recruiting activities;</w:t>
      </w:r>
    </w:p>
    <w:p>
      <w:pPr>
        <w:ind w:left="1040" w:right="33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online education, including in states in which our university partner institutions do not have a physical presence;</w:t>
      </w:r>
    </w:p>
    <w:p>
      <w:pPr>
        <w:ind w:left="1040" w:right="59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may be imposed on graduates of online programs that seek certification or licensure in certain states;</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dissatisfaction with our services and programs;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employment opportunities for graduates of our university partners in fields related to their educational programs:</w:t>
      </w:r>
    </w:p>
    <w:p>
      <w:pPr>
        <w:ind w:left="1040" w:right="7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to the reputations of our university partners or other adverse effects as a result of negative publicity in the media, in industry or governmental reports, or otherwise, affecting us or other companies in the post-secondary education sector;</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with lower priced programs;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overall growth of enrollment in post-secondary institutions;</w:t>
      </w:r>
    </w:p>
    <w:p>
      <w:pPr>
        <w:spacing w:after="0" w:line="9" w:lineRule="exact"/>
        <w:rPr>
          <w:rFonts w:ascii="Times New Roman" w:cs="Times New Roman" w:eastAsia="Times New Roman" w:hAnsi="Times New Roman"/>
          <w:sz w:val="18"/>
          <w:szCs w:val="18"/>
          <w:color w:val="auto"/>
        </w:rPr>
      </w:pPr>
    </w:p>
    <w:p>
      <w:pPr>
        <w:ind w:left="1040" w:right="71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or perceived low student passage rates for professional licenses and other examinations necessary for students to work in their chosen fields post-graduation;</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university partners’ to recruit, train and retain quality faculty members;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acceptance of online education;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perceived or actual economic benefits that students derive from the programs offered by any university partner institution.</w:t>
      </w:r>
    </w:p>
    <w:p>
      <w:pPr>
        <w:spacing w:after="0" w:line="54"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awareness of the programs of our university partners, and to provide services to successfully recruit, enroll, and retain students on their behalf, enrollments at our university partners would suffer and our ability to increase revenues and maintain profitability would be significantly impaired.</w:t>
      </w:r>
    </w:p>
    <w:p>
      <w:pPr>
        <w:spacing w:after="0" w:line="64"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and aversion to debt could adversely affect the ability of our university partner institutions to recruit new students and adversely affect our business.</w:t>
      </w:r>
    </w:p>
    <w:p>
      <w:pPr>
        <w:spacing w:after="0" w:line="51"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Enrollment in our university partner institutions is affected by changes in economic conditions. Affordability concerns associated with increased living expenses, relocation expenses and the availability of jobs for students attending classes have made it more challenging for our university partner institutions to attract and retain students. Additionally, adverse market conditions could negatively impact the ability of borrowers to borrow the necessary student loans at an acceptable interest rate, which could lead to a decrease in student enrollment in certain cases. If our university partner institutions are unable to attract and maintain students due to unfavorable macroeconomic conditions it could adversely affect our financial condition and results of operations.</w:t>
      </w:r>
    </w:p>
    <w:p>
      <w:pPr>
        <w:spacing w:after="0" w:line="77"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keep pace with changing market needs and technology could harm our ability to meet the needs of our university partner institutions.</w:t>
      </w:r>
    </w:p>
    <w:p>
      <w:pPr>
        <w:spacing w:after="0" w:line="5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university partners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also could fail to respond in a timely manner to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our university partners have in the past, and will in the future, create additional programs to meet the needs of current and prospective students or the employers of their graduates. Even if our university partners are able to develop acceptable new programs that meet market demands, establishing or modifying such programs requires us and our university partners to make investments, incur market expenses and allocate extensive resources. If we and our university partners are unable to do so in a cost-effective manner or are unable to otherwise effectively manage the operations of such programs, our business, financial condition and results of operations could be adversely affected.</w:t>
      </w:r>
    </w:p>
    <w:p>
      <w:pPr>
        <w:spacing w:after="0" w:line="7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67"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color w:val="auto"/>
        </w:rPr>
        <w:t>Based on industry analyses, enrollment growth in degree-granting, post-secondary institutions is slowing and the number of high school graduates that are eligible to enroll in degree-granting, post-secondary institutions is expected to continue to decrease over the next few years. In order to maintain current growth rates, we will need to attract a</w:t>
      </w:r>
    </w:p>
    <w:p>
      <w:pPr>
        <w:spacing w:after="0" w:line="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larger percentage of students in existing markets to our university partner institutions and work with our university partner institutions to create new academic programs to attract those students. In addition, if job growth in the fields related to our university partners’ core disciplines is weaker than expected, as a result of any regional or national economic downturn or otherwise, fewer students may seek the types of degrees that our university partners offer. Our failure to attract new students for our university partners, or the decisions by prospective students to seek degrees in disciplines not offered by our university partners, would have an adverse impact on our future growth.</w:t>
      </w:r>
    </w:p>
    <w:p>
      <w:pPr>
        <w:spacing w:after="0" w:line="78"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51"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expect existing competitors and new entrants to the educational services market to revise and improve their business models constantly in response to challenges from competing businesses, including ours.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Our primary competitors have historically included EmbanetCompass (formerly owned by Pearson) and Wiley Education Services.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5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Increased competition may result in changes in the revenue share percentage we are able to negotiate to receive from a university partner. The competitive landscape may also result in longer and more complex sales cycles with prospective university partners, which would negatively affect our ability to add additional university partners and thus our ability to grow our business.</w:t>
      </w:r>
    </w:p>
    <w:p>
      <w:pPr>
        <w:spacing w:after="0" w:line="7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 number of competitive factors could cause us to lose potential university partner opportunities or force us to offer our solutions on less favorable economic terms, including:</w:t>
      </w:r>
    </w:p>
    <w:p>
      <w:pPr>
        <w:spacing w:after="0" w:line="54" w:lineRule="exact"/>
        <w:rPr>
          <w:sz w:val="20"/>
          <w:szCs w:val="20"/>
          <w:color w:val="auto"/>
        </w:rPr>
      </w:pPr>
    </w:p>
    <w:p>
      <w:pPr>
        <w:ind w:left="1040" w:right="23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service offerings that our potential university partners find to be more compelling than ours;</w:t>
      </w:r>
    </w:p>
    <w:p>
      <w:pPr>
        <w:ind w:left="1040" w:right="23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spacing w:after="0" w:line="1" w:lineRule="exact"/>
        <w:rPr>
          <w:rFonts w:ascii="Times New Roman" w:cs="Times New Roman" w:eastAsia="Times New Roman" w:hAnsi="Times New Roman"/>
          <w:sz w:val="18"/>
          <w:szCs w:val="18"/>
          <w:color w:val="auto"/>
        </w:rPr>
      </w:pPr>
    </w:p>
    <w:p>
      <w:pPr>
        <w:ind w:left="1040" w:right="379" w:hanging="315"/>
        <w:spacing w:after="0" w:line="253"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8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68" w:lineRule="exact"/>
        <w:rPr>
          <w:sz w:val="20"/>
          <w:szCs w:val="20"/>
          <w:color w:val="auto"/>
        </w:rPr>
      </w:pPr>
    </w:p>
    <w:p>
      <w:pPr>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is an emerging area of technology that has and may further impact various aspects of our business operations and that of our university partners, and we may not be successful in our artificial intelligence initiatives, which could adversely affect our business, financial condition and/or operating results.</w:t>
      </w:r>
    </w:p>
    <w:p>
      <w:pPr>
        <w:spacing w:after="0" w:line="6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made, and expect to continue making, investments in the integration of AI into our platforms, products, and services. While we expect our use of AI to help grow our business and benefit our university partners, the use of AI presents various risks, challenges, and potential unintended consequences that could disrupt our ability to effectively integrate and leverage these technologies and it is not certain that we will realize our desired or anticipated benefits. The process of refining and expanding AI-driven offerings may involve significant costs, and there can be no assurance that our efforts will ultimately succeed.</w:t>
      </w:r>
    </w:p>
    <w:p>
      <w:pPr>
        <w:spacing w:after="0" w:line="7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competitors may develop more effective or efficient AI solutions, potentially undermining our competitive position. The regulatory environment surrounding AI is still in development, and new laws or regulations could emerge that require substantial adjustments to our business practices. These changes could impose unexpected costs or operational disruptions, and the full scope and impact of such regulatory developments remain uncertain. AI technologies also carry the risk of generating content that is or is alleged to be deficient, biased, factually incorrect or infringing on third-party intellectual property rights, which may in turn make us subject to private lawsuits, regulatory scrutiny, or reputational harm. Furthermore, the use of AI may result in incidents that compromise the confidentiality of data, including personal data. If we suffer adverse consequences due to any of these factors, it could in turn have a material adverse effect on our reputation, financial performance, and operations.</w:t>
      </w:r>
    </w:p>
    <w:p>
      <w:pPr>
        <w:spacing w:after="0" w:line="76" w:lineRule="exact"/>
        <w:rPr>
          <w:sz w:val="20"/>
          <w:szCs w:val="20"/>
          <w:color w:val="auto"/>
        </w:rPr>
      </w:pPr>
    </w:p>
    <w:p>
      <w:pPr>
        <w:ind w:left="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laws and regulations relating to privacy and data security as a result of our collection and use of personal information, and any failure to comply with such laws or regulations could lead to government enforcement actions or private litigation or adversely affect our reputation and operations.</w:t>
      </w:r>
    </w:p>
    <w:p>
      <w:pPr>
        <w:spacing w:after="0" w:line="6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Possession and use of personal information in our operations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there are similar bills that have been passed or are pending in a number of other states, as well. These state laws represent a trend toward stronger privacy protections and greater data transparency in the United States. Currently, federal law legislates privacy on an industry-by-industry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including the Gramm-Leach-Bliley Act’s Safeguards Rule, could result in the imposition of fines against us. Moreover, ED has published extensive requirements for the protection of student data and has indicated such requirements may be strengthened in the future.</w:t>
      </w:r>
    </w:p>
    <w:p>
      <w:pPr>
        <w:spacing w:after="0" w:line="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be subject to litigation under state and federal privacy and data security laws and regulations by governmental authorities and private litigants, including class actions, any of which could have a material adverse effect on our business.</w:t>
      </w:r>
    </w:p>
    <w:p>
      <w:pPr>
        <w:spacing w:after="0" w:line="64"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cyber and other security incidents, which can impact our business, result in harm to our operations, and require costly remediation measures.</w:t>
      </w:r>
    </w:p>
    <w:p>
      <w:pPr>
        <w:spacing w:after="0" w:line="51"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and our university partners face an ever-increasing number of cybersecurity threats from a broad range of threat actors. These threats can result in security incidents, including hacking and data breaches, which may be caused by intentional or unintentional actions by our employees, contractors, consultants, students or other third parties, including cyber-attacks by malicious threat actors. Security incidents may take the form of unauthorized activity and access, phishing or spoofing, malicious penetration, system viruses, malicious code, malware, ransomware, denial of service attacks and other organized cyber-attacks that seek to exploit vulnerabilities and threaten the confidentiality, integrity and availability of information.</w:t>
      </w:r>
    </w:p>
    <w:p>
      <w:pPr>
        <w:spacing w:after="0" w:line="8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be subject to such cyber-security incidents. Incidents may occur as a single instance, or may occur over an extended period of time without detection. 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7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data and privacy. In addition, errors in the storage, use, or transmission of personal information could result in a breach of privacy for current or prospective students or employees. The increased use of mobile devices by our employees, and the employees and students of our university partners, increases the risk of Information Technology (“IT”) threats and vulnerabilities, such as those involving unsecure networks, as well as unintentional disclosure of personal information, such as through the theft of a mobile device, which can lead to a security incident and/or data breach.</w:t>
      </w:r>
    </w:p>
    <w:p>
      <w:pPr>
        <w:spacing w:after="0" w:line="8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Additionally, personnel or students of our university partners, or our employees or independent contractors, could use our online learning platform to store or process regulated personal information without our knowledge. In the event that our systems experience a data security incident, or an individual or entity accesses information without, or in excess of, proper authorization, we could be subject to data security incident notification laws, which may require prompt remediation and notification to individuals. If we are unaware of the data and information stored on our systems,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may be unable to appropriately comply with all legal obligations, and we may be exposed to governmental enforcement or prosecution actions, private litigation, fines and penalties or adverse publicity that could harm our reputation and business.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77"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51"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our contract with one or more of our university partners and could harm our reputation. Further, in the event that we disclose student information in violation of FERPA, ED could require a university partner to suspend our access to their student information for at least five years, which would significantly and adversely impact our ability to provide our contracted services.</w:t>
      </w:r>
    </w:p>
    <w:p>
      <w:pPr>
        <w:spacing w:after="0" w:line="8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5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performance and reliability of the infrastructure of our computer networks and phone systems, including the online programs of our university partners, is critical to our operations, our reputation and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 and 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84" w:lineRule="exact"/>
        <w:rPr>
          <w:sz w:val="20"/>
          <w:szCs w:val="20"/>
          <w:color w:val="auto"/>
        </w:rPr>
      </w:pPr>
    </w:p>
    <w:p>
      <w:pPr>
        <w:ind w:left="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integrating future acquisitions, which would reduce the anticipated benefits of those transactions.</w:t>
      </w:r>
    </w:p>
    <w:p>
      <w:pPr>
        <w:spacing w:after="0" w:line="51"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We intend to continually evaluate potential acquisitions of complementary businesses, products, services and technologies, including those that are significant in size and scope. The risks we may encounter in acquisitions include:</w:t>
      </w:r>
    </w:p>
    <w:p>
      <w:pPr>
        <w:spacing w:after="0" w:line="32" w:lineRule="exact"/>
        <w:rPr>
          <w:sz w:val="20"/>
          <w:szCs w:val="20"/>
          <w:color w:val="auto"/>
        </w:rPr>
      </w:pPr>
    </w:p>
    <w:p>
      <w:pPr>
        <w:ind w:left="1040" w:right="13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significant debt to finance a future acquisition and our business does not perform as expected, we may have difficulty complying with debt covenants;</w:t>
      </w: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our stock to make a future acquisition, it will dilute existing stockholders;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any acquired company;</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the challenges and additional investments involved with integrating new products, services and technologies into our sales and marketing process associated with any acquired business;</w:t>
      </w: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by transition and integration issues with any acquired business;</w:t>
      </w:r>
    </w:p>
    <w:p>
      <w:pPr>
        <w:spacing w:after="0" w:line="9" w:lineRule="exact"/>
        <w:rPr>
          <w:rFonts w:ascii="Times New Roman" w:cs="Times New Roman" w:eastAsia="Times New Roman" w:hAnsi="Times New Roman"/>
          <w:sz w:val="18"/>
          <w:szCs w:val="18"/>
          <w:color w:val="auto"/>
        </w:rPr>
      </w:pPr>
    </w:p>
    <w:p>
      <w:pPr>
        <w:ind w:left="1040" w:right="31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complexity of integrating the internal information technology infrastructure of each acquired business with ours may be greater than expected and may require additional capital investments;</w:t>
      </w: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the financial and strategic goals for any acquired businesses;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hanging="315"/>
        <w:spacing w:after="0" w:line="261"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 maintaining controls, procedures and policies during the transition and integration period following a future acquisition;</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existing university partners could be adversely affected following an acquisition;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successor we may be subject to certain liabilities of our acquisition targets.</w:t>
      </w:r>
    </w:p>
    <w:p>
      <w:pPr>
        <w:spacing w:after="0" w:line="9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Our failure to effectively integrate any future acquisition would materially limit the benefit of such transaction, including potential synergies or sales growth opportunities, in the time frame anticipated.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Extensive Regulation of the Higher Education Industry</w:t>
      </w:r>
    </w:p>
    <w:p>
      <w:pPr>
        <w:spacing w:after="0" w:line="11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67"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university partners, and any future university partners, are regulated by other state education agencies and additional specialized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including our primary university partner.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Rulemaking by ED and Congressional legislation could materially and adversely affect our business.</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Over the past few years, ED has regularly promulgated new regulations and guidance that impact our university partners and our business directly. These and other regulations and guidance documents, including those discussed above under “Regulation of our Education Services Business,”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 providers, could further negatively impact our business.</w:t>
      </w:r>
    </w:p>
    <w:p>
      <w:pPr>
        <w:spacing w:after="0" w:line="8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4, 2025, President Trump signed the OBBBA, which makes a variety of changes to federal student aid programs, including loan limits, accountability measures for programs based on low earning outcomes, loan repayment, Pell Grant eligibility, and regulatory changes. As one example, OBBBA creates the “Do No Harm” accountability framework, effective July 2026, that institutions must satisfy at the program level in order for students to continue to receive Federal Direct Loans for such programs. Under this framework, OBBBA requires that an undergraduate program become ineligible for Federal Direct Loans if, in two out of three consecutive years, the median earnings of a cohort of program completers are less than the median earnings of working adults aged 25-34 with only a high school diploma, either in the state where the institution is located or, if fewer than 50% of students at the institution reside in the institution’s state, the national average. OBBBA requires that a graduate or professional program become ineligible for Federal Direct Loans if, in two out of three consecutive years, the median earnings of a cohort of program completers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less than the median earnings of working adults aged 25–34 with only a bachelor’s degree. Both the undergraduate and graduate/professional accountability provisions apply to the cohort of students who completed the program four years prior, are working, are not enrolled at any institution, and who received Federal Direct Loan funds for enrollment in the program. If a cohort is less than 30 students, the Secretary of Education may aggregate additional years of programmatic data. Based on data provided by the ED for students that graduated in 2015-2016, all of the programs that we provide services to our university partners passed this metric except GCU’s Masters in Mental and Social Health programs. GCU is currently analyzing the data related to these programs and it appears that most universities that provide these programs online to working adult students fail this metric. To the extent that these or any other programs offered by our university partners pursuant to our services agreements fail these metrics, then this would have an adverse effect on our university partners and thus an adverse effect on our business. We cannot predict with certainty how all of these regulatory requirements under the OBBBA will be applied or what their ultimate impact on our business will be.</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published regulations could materially and adversely affect our business.</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to other regulations discussed elsewhere (such as those related to the OBBBA), on July 1, 2024 new regulations became effective covering the areas of financial responsibility, administrative capability, certification standards and procedures, and ability to benefit.</w:t>
      </w:r>
    </w:p>
    <w:p>
      <w:pPr>
        <w:spacing w:after="0" w:line="64"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Financial Responsibility</w:t>
      </w:r>
      <w:r>
        <w:rPr>
          <w:rFonts w:ascii="Times New Roman" w:cs="Times New Roman" w:eastAsia="Times New Roman" w:hAnsi="Times New Roman"/>
          <w:sz w:val="18"/>
          <w:szCs w:val="18"/>
          <w:color w:val="auto"/>
        </w:rPr>
        <w:t>: The final regulations include an expanded list of mandatory and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triggering events that could result in ED determining that an institution lacks financial responsibility and must submit to ED a letter of credit or other form of acceptable financial protection and accept other conditions on the institution’s Title IV Program eligibility.</w:t>
      </w:r>
    </w:p>
    <w:p>
      <w:pPr>
        <w:spacing w:after="0" w:line="7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final regulations, among other things, modify and substantially expand the number of triggers and, as a result, increase the likelihood that ED could impose a financial protection requirement and other conditions on our university partners. The final rules require the institution to notify ED of a triggering event and provide information demonstrating why the event does not warrant the submission of a letter of credit or imposition of other requirements. The final rules state that, if ED requires financial protection as a result of more than one mandatory or discretionary trigger, ED will require separate financial protection for each individual trigger, which could substantially increase the amount of financial protection we and other institutions could be required to provide to ED.</w:t>
      </w:r>
    </w:p>
    <w:p>
      <w:pPr>
        <w:spacing w:after="0" w:line="8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Examples of mandatory triggering events under the final rules include a lawsuit by a federal or state authority or a qui tam lawsuit in which the Federal government has intervened, where the suit has been pending for 120 days as measured under the regulation; an action where ED seeks to recover the cost of adjudicated claims in favor of borrowers under the borrower defense to repayment regulations and the claims would lower the institution’s composite score below 1.0; certain judgments, awards, or settlements in certain lawsuits, mediations, or administrative or arbitration proceedings; certain withdrawals of owner’s equity including by dividend; gainful employment issues; accreditor requirements to submit a teach-out plan for reasons related to financial concerns; certain actions taken against a publicly-traded company or failure to timely file certain annual or quarterly reports; 90/10 Rule issues; cohort default rate issues; contributions and distributions occurring near the fiscal year end that materially impact the composite score; certain defaults or other adverse events under a financing arrangement; or certain financial exigencies or receiverships.</w:t>
      </w:r>
    </w:p>
    <w:p>
      <w:pPr>
        <w:spacing w:after="0" w:line="8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Examples of discretionary triggering events under the final regulations include certain accrediting agency actions, certain accreditor events, fluctuations in Title IV volume, high annual dropout rates, indicators of significant change in the financial condition of the institution, the formation by ED of a group process to consider borrower defense claims against the institution, the institution’s discontinuation of education programs affecting at least 25 percent of enrolled students receiving Title IV funds, the institution’s closure of locations that enroll more than 25 percent of its students who receive Title IV funds, certain state licensing agency actions, the loss of institutional or program eligibility in another federal educational assistance program, a requirement to disclose in a public filing that the company is under investigation for possible violations of law, or if the institution is cited and faces loss of education assistance funds from another federal agency if it does not comply with agency requirements. The final regulations also established new rules for evaluating financial responsibility during a change in ownership.</w:t>
      </w:r>
    </w:p>
    <w:p>
      <w:pPr>
        <w:spacing w:after="0" w:line="82"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Administrative Capability</w:t>
      </w:r>
      <w:r>
        <w:rPr>
          <w:rFonts w:ascii="Times New Roman" w:cs="Times New Roman" w:eastAsia="Times New Roman" w:hAnsi="Times New Roman"/>
          <w:sz w:val="18"/>
          <w:szCs w:val="18"/>
          <w:color w:val="auto"/>
        </w:rPr>
        <w:t>: ED assesses the administrative capability of each institution that participates in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 programs under a series of separate standards. Failure to satisfy any of the standards may lead ED to find the institution ineligible to participate in Title IV programs or to place the institution on provisional certification as a condition of its participation. The final rules add more standards related to topics such as the provision of adequate financial aid counseling and career services, ensuring the availability of clinical and externship opportunities,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disbursement of Title IV funds in a timely manner, compliance with high school diploma requirements, preventing substantial misrepresentations, complying with gainful employment requirements, and avoiding significant negative actions with a federal, state, or accrediting agency.</w:t>
      </w:r>
    </w:p>
    <w:p>
      <w:pPr>
        <w:spacing w:after="0" w:line="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Certification Regulations</w:t>
      </w:r>
      <w:r>
        <w:rPr>
          <w:rFonts w:ascii="Times New Roman" w:cs="Times New Roman" w:eastAsia="Times New Roman" w:hAnsi="Times New Roman"/>
          <w:sz w:val="18"/>
          <w:szCs w:val="18"/>
          <w:color w:val="auto"/>
        </w:rPr>
        <w:t>: The final regulations expanded the grounds for placing institutions on provisional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 expanded the types of conditions ED may impose on provisionally certified institutions, and expanded the number of requirements contained in the institution’s program participation agreement with ED (including, among other requirements, an obligation to comply with all state laws related to closure). The final regulations, allow ED to place institutions on provisional certification if, among other reasons, the institution does not meet financial responsibility factors or administrative capability standards, if the institution is required by ED to submit a letter of credit as a result of a mandatory or discretionary triggering event, or if ED deems the institution to be at risk of closure.</w:t>
      </w:r>
    </w:p>
    <w:p>
      <w:pPr>
        <w:spacing w:after="0" w:line="7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 institution that is provisionally certified receives fewer due process rights than those received by other institutions in the event ED takes certain adverse actions against the institution, is required to obtain prior ED approvals of new campuses and educational programs and may be subject to heightened scrutiny by ED. Provisional certification makes it easier for ED to revoke or decline to renew an institution’s Title IV eligibility without undergoing a formal administrative appeal process. The regulations also expand the conditions to which institutions must agree as part of their participation in the Title IV programs.</w:t>
      </w:r>
    </w:p>
    <w:p>
      <w:pPr>
        <w:spacing w:after="0" w:line="79"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These final regulations also allow ED to determine whether to certify or impose conditions on an institution based on consideration of factors including, for example, the institution’s withdrawal rate, the amounts the institution spent on recruiting activities, advertising, and other pre-enrollment activities, and the passage rate for licensure exams for programs that are designed to meet the educational requirements for a professional license required for employment in an occupation.</w:t>
      </w:r>
    </w:p>
    <w:p>
      <w:pPr>
        <w:spacing w:after="0" w:line="5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final regulations expand the types of conditions ED can impose on provisionally certified institutions including, for example, restrictions on the addition of new programs or locations; restrictions on the rate of growth or new enrollment of students or of Title IV volume; restrictions on the institution providing a teach-out on behalf of another institution; restrictions on the acquisition of another participating institution (including financial protection requirements); additional reporting requirements; limitations on entering into certain written arrangements with institutions or entities for providing part of an educational program, requirements to submit marketing and recruiting materials to ED for approval (if the institution is alleged or found to have engaged in substantial misrepresentations to students, engaged in aggressive recruiting practices, or violated incentive compensation rules); reporting requirements for institutions that received a government formal inquiry such as a subpoena related to its marketing or recruitment or its federal financial aid, and other potential conditions imposed by ED.</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Additionally, in January 2025, ED published another set of regulations. The regulations include:</w:t>
      </w:r>
    </w:p>
    <w:p>
      <w:pPr>
        <w:spacing w:after="0" w:line="117" w:lineRule="exact"/>
        <w:rPr>
          <w:sz w:val="20"/>
          <w:szCs w:val="20"/>
          <w:color w:val="auto"/>
        </w:rPr>
      </w:pPr>
    </w:p>
    <w:p>
      <w:pPr>
        <w:ind w:left="1040" w:right="539" w:hanging="315"/>
        <w:spacing w:after="0" w:line="255"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“distance education course” which provides that a course is considered a distance education course if all instruction occurs exclusively through distance education methods, as defined in existing regulations. This designation applies even if the course includes in-person, non-instructional activities sch as orientation, testing or academic support services;</w:t>
      </w:r>
    </w:p>
    <w:p>
      <w:pPr>
        <w:spacing w:after="0" w:line="2"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changes to the TRIO programs that focus on providing services to individuals from disadvantaged backgrounds;</w:t>
      </w: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return to Title IV process;</w:t>
      </w:r>
    </w:p>
    <w:p>
      <w:pPr>
        <w:spacing w:after="0" w:line="9" w:lineRule="exact"/>
        <w:rPr>
          <w:rFonts w:ascii="Times New Roman" w:cs="Times New Roman" w:eastAsia="Times New Roman" w:hAnsi="Times New Roman"/>
          <w:sz w:val="18"/>
          <w:szCs w:val="18"/>
          <w:color w:val="auto"/>
        </w:rPr>
      </w:pPr>
    </w:p>
    <w:p>
      <w:pPr>
        <w:ind w:left="1040" w:right="299" w:hanging="315"/>
        <w:spacing w:after="0" w:line="25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 institution is required to document a student’s withdrawal date within 14 days of the last date of attendance;</w:t>
      </w:r>
    </w:p>
    <w:p>
      <w:pPr>
        <w:ind w:left="1040" w:right="79" w:hanging="315"/>
        <w:spacing w:after="0" w:line="25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regarding the academic progressions of students returning from a leave of absence from a clock-hour/non-term credit hour, subscription-based, and eligible prison education programs;</w:t>
      </w: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related to programs offered in modules;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institutions report student enrollment in distance education or correspondence courses.</w:t>
      </w:r>
    </w:p>
    <w:p>
      <w:pPr>
        <w:spacing w:after="0" w:line="9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These changes are effective July 1, 2026, except for the reporting requirements related to distance education and correspondence courses, which take effect on July 1, 2027.</w:t>
      </w:r>
    </w:p>
    <w:p>
      <w:pPr>
        <w:spacing w:after="0" w:line="54" w:lineRule="exact"/>
        <w:rPr>
          <w:sz w:val="20"/>
          <w:szCs w:val="20"/>
          <w:color w:val="auto"/>
        </w:rPr>
      </w:pPr>
    </w:p>
    <w:p>
      <w:pPr>
        <w:ind w:left="60" w:right="639" w:firstLine="648"/>
        <w:spacing w:after="0" w:line="289" w:lineRule="auto"/>
        <w:rPr>
          <w:sz w:val="20"/>
          <w:szCs w:val="20"/>
          <w:color w:val="auto"/>
        </w:rPr>
      </w:pPr>
      <w:r>
        <w:rPr>
          <w:rFonts w:ascii="Times New Roman" w:cs="Times New Roman" w:eastAsia="Times New Roman" w:hAnsi="Times New Roman"/>
          <w:sz w:val="17"/>
          <w:szCs w:val="17"/>
          <w:color w:val="auto"/>
        </w:rPr>
        <w:t>We are still reviewing the final regulations and cannot predict the ultimate impact of the final regulations discussed above, but the final regulations do impose a broad range of additional requirements on institutions, which increases the possibility that our university partners could be subject to additional reporting requirements, potential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liabilities and sanctions, and potential loss of Title IV eligibility if our efforts, or the efforts of our university partners, to modify operations to comply with the new regulations are unsuccessful, which could have a significant impact on our business and results of operations.</w:t>
      </w:r>
    </w:p>
    <w:p>
      <w:pPr>
        <w:spacing w:after="0" w:line="64"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6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 Certification can be granted on a full or provisional basis and, in instances where ED is reviewing an application for renewal but does not complete the review by the stated date of expiration, may be continued on a month-to-month basis until the review is complete.</w:t>
      </w:r>
    </w:p>
    <w:p>
      <w:pPr>
        <w:spacing w:after="0" w:line="81"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For a school that is certified on a provisional basis, ED may revoke the institution’s certification without advance notice or advance opportunity for the institution to challenge that action. For a school that is certified on a month-to-month basis, ED may allow the institution’s certification to expire at the end of any month without advance notice, and without any formal procedures for review of such action. To our knowledge,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6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ED will recertify any university partner institution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or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76" w:lineRule="exact"/>
        <w:rPr>
          <w:sz w:val="20"/>
          <w:szCs w:val="20"/>
          <w:color w:val="auto"/>
        </w:rPr>
      </w:pPr>
    </w:p>
    <w:p>
      <w:pPr>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specialized accreditations or approvals.</w:t>
      </w:r>
    </w:p>
    <w:p>
      <w:pPr>
        <w:spacing w:after="0" w:line="67"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Some of our other university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7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If any university partner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may lose eligibility to participate in the Title IV programs if its student loan default rates are too high.</w:t>
      </w:r>
    </w:p>
    <w:p>
      <w:pPr>
        <w:spacing w:after="0" w:line="5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full year after such repayment start date.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7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6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university partner institutions or the number of students they enroll, any of which sanctions could have an adverse impact on our business. For example, GCU, calculated its composite score with respect to its fiscal years ending June 30, 2025 and 2024. As of June 30, 2025 and 2024, GCU’s composite score per GCU’s audited financial statements was 1.9 for both years, using the proprietary school calculation. If GCU’s future composite scores do not exceed 1.5, ED could impose sanctions. If any such sanctions were imposed on GCU or one of our other university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8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a number of other financial responsibility standards with which institutions must comply, including those discussed above. See “Recently published regulations could materially and adversely affect our business”. The failure to comply with these standards could also result in the imposition of various sanctions, such as the imposition of letters of credit. If any such sanctions were imposed on GCU or one of our other university partners, it could have a negative impact on our ability to conduct our business.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If our university partner institutions do not comply with ED’s administrative capability standards, we could suffer harm.</w:t>
      </w:r>
    </w:p>
    <w:p>
      <w:pPr>
        <w:spacing w:after="0" w:line="13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that the institution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These regulations were also recently revised, as discussed above, and there may be additional restrictions or requirements that may create additional hurdles to compliance or otherwise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80"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finding by ED or other regulators that we or our university partner institutions misrepresented the nature of our partner institutions’ educational programs could materially and adversely affect our business.</w:t>
      </w:r>
    </w:p>
    <w:p>
      <w:pPr>
        <w:spacing w:after="0" w:line="5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on behalf of our university partner institutions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in their conversations with students and prospective students.</w:t>
      </w:r>
    </w:p>
    <w:p>
      <w:pPr>
        <w:spacing w:after="0" w:line="85"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color w:val="auto"/>
        </w:rPr>
        <w:t>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ED or another regulator determines that statements made by us or on our university partners’ behalf are in violation of the regulations, we could be subject to sanctions, legal actions, and other liability, which could have a material adverse effect on our business.</w:t>
      </w:r>
    </w:p>
    <w:p>
      <w:pPr>
        <w:spacing w:after="0" w:line="6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6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university partner,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adversely affect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7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7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Any action by Congress that significantly reduces Title IV program funding, whether through across-the-board funding reductions, sequestration or otherwise, or materially impacts the eligibility of our university partner institutions or students to participate in Title IV programs would have a material adverse effect on our university partner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75"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72"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w:t>
      </w:r>
    </w:p>
    <w:p>
      <w:pPr>
        <w:spacing w:after="0" w:line="7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maintain state authorization, they may not operate or participate in the Title IV programs.</w:t>
      </w:r>
    </w:p>
    <w:p>
      <w:pPr>
        <w:spacing w:after="0" w:line="5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university partner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8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8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new ED requirements many schools have applied and have been approved to be approved institutional participants in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 participating in NC-SARA and AZ-SARA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institutions must agree to meet certain requirements to participate. As of December 31, 2025, all states other than California are members of SARA.</w:t>
      </w:r>
    </w:p>
    <w:p>
      <w:pPr>
        <w:spacing w:after="0" w:line="5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our university partner’s enrollments.</w:t>
      </w:r>
    </w:p>
    <w:p>
      <w:pPr>
        <w:spacing w:after="0" w:line="8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ED initiated a negotiated rulemaking process addressing state authorization which could have implicated SARA but published a notice in December 2024 terminating that negotiated rulemaking process. ED may revisit state authorization requirements through future rulemaking or other guidance, and any such changes could have a material adverse effect on our business.</w:t>
      </w:r>
    </w:p>
    <w:p>
      <w:pPr>
        <w:spacing w:after="0" w:line="7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80"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Furthermore, our university partners must typically maintain a composite score of at least 1.5 to maintain their membership in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6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6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Claims and lawsuits, and other regulatory actions, brought or taken against us or our university partners, even if they are without merit, may also result in adverse publicity, negatively affect the market price of our stock, adversely affect student enrollments, and reduce the willingness of third parties to do business with us. Even if we or our university partners adequately address the issues raised by any such proceeding and successfully defend against it, we may have to devote significant financial and management resources to address these issues, which could harm our business. </w:t>
      </w:r>
      <w:r>
        <w:rPr>
          <w:rFonts w:ascii="Times New Roman" w:cs="Times New Roman" w:eastAsia="Times New Roman" w:hAnsi="Times New Roman"/>
          <w:sz w:val="18"/>
          <w:szCs w:val="18"/>
          <w:i w:val="1"/>
          <w:iCs w:val="1"/>
          <w:color w:val="auto"/>
        </w:rPr>
        <w:t>See Part 1, Item 3 – Litigation</w:t>
      </w:r>
      <w:r>
        <w:rPr>
          <w:rFonts w:ascii="Times New Roman" w:cs="Times New Roman" w:eastAsia="Times New Roman" w:hAnsi="Times New Roman"/>
          <w:sz w:val="18"/>
          <w:szCs w:val="18"/>
          <w:color w:val="auto"/>
        </w:rPr>
        <w:t xml:space="preserve"> for a discussion of certain litigation matters to which we are a party.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28"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A “third-party servicer” is any person or entity used by “any eligible institution of higher education to administer, through either manual or automated processing, any aspect of such institution’s student assistance programs.” Third party servicers must comply with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60" w:lineRule="exact"/>
        <w:rPr>
          <w:sz w:val="20"/>
          <w:szCs w:val="20"/>
          <w:color w:val="auto"/>
        </w:rPr>
      </w:pPr>
    </w:p>
    <w:p>
      <w:pPr>
        <w:ind w:left="1040" w:right="359" w:hanging="315"/>
        <w:spacing w:after="0" w:line="25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spacing w:after="0" w:line="1"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1" w:lineRule="exact"/>
        <w:rPr>
          <w:rFonts w:ascii="Times New Roman" w:cs="Times New Roman" w:eastAsia="Times New Roman" w:hAnsi="Times New Roman"/>
          <w:sz w:val="18"/>
          <w:szCs w:val="18"/>
          <w:color w:val="auto"/>
        </w:rPr>
      </w:pPr>
    </w:p>
    <w:p>
      <w:pPr>
        <w:jc w:val="both"/>
        <w:ind w:left="1040" w:right="279" w:hanging="315"/>
        <w:spacing w:after="0" w:line="253"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8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ED has emphasized increased oversight of third-party servicers and has reiterated that institutions participating in Title IV programs remain responsible for the acts and omissions of their third-party service providers. As a result, ED audits, program reviews, investigations, and enforcement actions involving our university partners may also examine our activities, contractual arrangements, and compliance controls, which could require us to devote additional resources to compliance efforts or result in contractual, financial, or reputational impacts.</w:t>
      </w:r>
    </w:p>
    <w:p>
      <w:pPr>
        <w:spacing w:after="0" w:line="7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ED has indicated that it may revisit the scope of third-party servicer requirements through future rulemaking or guidance, which could expand compliance obligations and increase our costs.</w:t>
      </w:r>
    </w:p>
    <w:p>
      <w:pPr>
        <w:spacing w:after="0" w:line="5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64"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51"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Higher Education Act has not been comprehensively reauthorized since 2008, and Congress has periodically considered proposals to reauthorize and amend the statute. Congressional hearings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7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servicers such as us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84" w:lineRule="exact"/>
        <w:rPr>
          <w:sz w:val="20"/>
          <w:szCs w:val="20"/>
          <w:color w:val="auto"/>
        </w:rPr>
      </w:pPr>
    </w:p>
    <w:p>
      <w:pPr>
        <w:ind w:left="60" w:right="499" w:firstLine="648"/>
        <w:spacing w:after="0" w:line="289" w:lineRule="auto"/>
        <w:rPr>
          <w:sz w:val="20"/>
          <w:szCs w:val="20"/>
          <w:color w:val="auto"/>
        </w:rPr>
      </w:pPr>
      <w:r>
        <w:rPr>
          <w:rFonts w:ascii="Times New Roman" w:cs="Times New Roman" w:eastAsia="Times New Roman" w:hAnsi="Times New Roman"/>
          <w:sz w:val="17"/>
          <w:szCs w:val="17"/>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71"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requirements related to data privacy may create increased costs and operational difficulties for university partner institutions and, potentially, for GCE.</w:t>
      </w:r>
    </w:p>
    <w:p>
      <w:pPr>
        <w:spacing w:after="0" w:line="51" w:lineRule="exact"/>
        <w:rPr>
          <w:sz w:val="20"/>
          <w:szCs w:val="20"/>
          <w:color w:val="auto"/>
        </w:rPr>
      </w:pPr>
    </w:p>
    <w:p>
      <w:pPr>
        <w:ind w:left="60" w:right="179" w:firstLine="648"/>
        <w:spacing w:after="0" w:line="271" w:lineRule="auto"/>
        <w:rPr>
          <w:sz w:val="20"/>
          <w:szCs w:val="20"/>
          <w:color w:val="auto"/>
        </w:rPr>
      </w:pPr>
      <w:r>
        <w:rPr>
          <w:rFonts w:ascii="Times New Roman" w:cs="Times New Roman" w:eastAsia="Times New Roman" w:hAnsi="Times New Roman"/>
          <w:sz w:val="17"/>
          <w:szCs w:val="17"/>
          <w:color w:val="auto"/>
        </w:rPr>
        <w:t>In December 2020,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 171 Rev. 2) readiness and outreach activities. ED specifically said it was “committed to fully advancing and encouraging all postsecondary institutions’ implementation of NIST 800-171 controls.” This announcement was addressed both to institutions of higher education and their third-party servicers. In February 2023, ED issued Electronic Announcement GEN 23-09 stating, among other items “The Department will issue guidance on NIST 800-171 compliance in a future Electronic Announcement, but again encourages institutions to begin incorporating the information security controls required under NIST 800-171 into the written information security program required under GLBA as soon as possible.”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While details related to this announcement are few, it does suggest that ED will be taking a greater role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ensuring universities and their service providers meet NIST standards and are protecting the students and ED data received.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Compliance with NIST will likely increase operational cost if required to come into compliance.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and our university partners’ ability to recruit and retain key personnel.</w:t>
      </w:r>
    </w:p>
    <w:p>
      <w:pPr>
        <w:spacing w:after="0" w:line="121"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63"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addition, our university partners heavily rely on their ability to attract and retain qualified faculty members to effectively educate their students. If our university partners fail to retain sufficient numbers of qualified faculty members, fail to adequately train new faculty members, or allow relations with faculty members to deteriorate, they may be required to reduce the number or scope of classes available to students, which could in turn have a material adverse impact on our business.</w:t>
      </w:r>
    </w:p>
    <w:p>
      <w:pPr>
        <w:spacing w:after="0" w:line="71"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5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and the regulations thereunder, will be impaired, perhaps materially. Any such impairment could materially and adversely affect our financial condition, results of operations, and cash flows.</w:t>
      </w:r>
    </w:p>
    <w:p>
      <w:pPr>
        <w:spacing w:after="0" w:line="7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80"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51" w:lineRule="exact"/>
        <w:rPr>
          <w:sz w:val="20"/>
          <w:szCs w:val="20"/>
          <w:color w:val="auto"/>
        </w:rPr>
      </w:pPr>
    </w:p>
    <w:p>
      <w:pPr>
        <w:ind w:left="60" w:right="259" w:firstLine="441"/>
        <w:spacing w:after="0" w:line="254" w:lineRule="auto"/>
        <w:rPr>
          <w:sz w:val="20"/>
          <w:szCs w:val="20"/>
          <w:color w:val="auto"/>
        </w:rPr>
      </w:pPr>
      <w:r>
        <w:rPr>
          <w:rFonts w:ascii="Times New Roman" w:cs="Times New Roman" w:eastAsia="Times New Roman" w:hAnsi="Times New Roman"/>
          <w:sz w:val="18"/>
          <w:szCs w:val="18"/>
          <w:color w:val="212529"/>
        </w:rPr>
        <w:t>Natural events, health epidemics (such as the COVID-19 pandemic), acts of God, terrorist attacks and other acts of violence,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1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84"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51"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activity within the trading market for our common stock depends in part on the research and reports that industry or financial analysts publish about us, our business and the education services sector in which we operate. If analysts cease coverage of us or our sector, we could lose visibility in the market for our stock, which in turn could cause our stock price to decline. In addition, if one or more of the analysts covering us were to downgrade their estimates or evaluations of our stock, the price of our stock could decline.</w:t>
      </w:r>
    </w:p>
    <w:p>
      <w:pPr>
        <w:spacing w:after="0" w:line="71"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2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prior credit facility limited, and the terms of any future debt agreements are likely to similarly limit, our ability to pay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dividends. As a result, capital appreciation, if any, of our common stock will be your sole source of gain for the foreseeable future. Investors seeking cash dividends should not purchase our common stock.</w:t>
      </w:r>
    </w:p>
    <w:p>
      <w:pPr>
        <w:spacing w:after="0" w:line="50"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Like all companies that utilize technology, we are subject to threats of breaches of our technology systems. To mitigate the threat to our business, we take a comprehensive approach to cybersecurity risk management. Our Board of Directors and our management actively oversee our risk management program, including the management of cybersecurity risks. We have established policies, standards, processes and practices for assessing, identifying, and managing material risks from cybersecurity threats, including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have devoted significant financial and personnel resources to implement and maintain security measures to meet regulatory requirements and stakeholder expectations, and we intend to continue to make significant investments to maintain the security of our data and cybersecurity infrastructure. While there can be no guarantee that our policies and procedures will be properly followed in every instance or that those policies and procedures will be effective, we believe that the Company’s sustained investment in people and technologies have contributed to a culture of continuous improvement that has put the Company in a position to protect against potential compromises and we do not believe that risks from prior cybersecurity threats, including as a result of any previous cybersecurity incident, have materially affected our business to date. We can provide no assurance that there will not be incidents in the future or that past or future attacks will not materially affect us, including our business strategy, results of operations, or financial condition.</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At a high level, the key objectives for the Company’s cybersecurity program are to implement and sustain effective security controls to stop intrusion attempts and to maintain and continuously improve its ability to respond to attacks and incidents. Success in achieving these objectives relies upon using quality technology solutions, cultivating and maintaining a team of skilled professionals, and improving processes continuously. Our cybersecurity program in particular focuses on the following key areas:</w:t>
      </w:r>
    </w:p>
    <w:p>
      <w:pPr>
        <w:spacing w:after="0" w:line="73"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Risk Assessment</w:t>
      </w:r>
      <w:r>
        <w:rPr>
          <w:rFonts w:ascii="Times New Roman" w:cs="Times New Roman" w:eastAsia="Times New Roman" w:hAnsi="Times New Roman"/>
          <w:sz w:val="18"/>
          <w:szCs w:val="18"/>
          <w:color w:val="auto"/>
        </w:rPr>
        <w:t>: At least annually, we conduct a cybersecurity risk assessment that takes into account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internal stakeholders, known information security vulnerabilities, and information from external sources, including reported security incidents that have impacted other companies, industry trends, and evaluations by third parties and consultants. The results of the assessment are used to develop initiatives to enhance our security controls, make recommendations to improve processes, and inform a broader Company-wide risk assessment that are then reported to our Board of Directors, Audit Committee and members of management.</w:t>
      </w:r>
    </w:p>
    <w:p>
      <w:pPr>
        <w:spacing w:after="0" w:line="74"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Technical Safeguards</w:t>
      </w:r>
      <w:r>
        <w:rPr>
          <w:rFonts w:ascii="Times New Roman" w:cs="Times New Roman" w:eastAsia="Times New Roman" w:hAnsi="Times New Roman"/>
          <w:sz w:val="18"/>
          <w:szCs w:val="18"/>
          <w:color w:val="auto"/>
        </w:rPr>
        <w:t>: We regularly assess and deploy technical safeguards designed to protect our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from cybersecurity threats. Such safeguards are regularly evaluated and improved based on vulnerability assessments, cybersecurity threat intelligence and incident response experience.</w:t>
      </w:r>
    </w:p>
    <w:p>
      <w:pPr>
        <w:spacing w:after="0" w:line="65" w:lineRule="exact"/>
        <w:rPr>
          <w:sz w:val="20"/>
          <w:szCs w:val="20"/>
          <w:color w:val="auto"/>
        </w:rPr>
      </w:pPr>
    </w:p>
    <w:p>
      <w:pPr>
        <w:jc w:val="both"/>
        <w:ind w:left="6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Incident Response and Recovery Planning</w:t>
      </w:r>
      <w:r>
        <w:rPr>
          <w:rFonts w:ascii="Times New Roman" w:cs="Times New Roman" w:eastAsia="Times New Roman" w:hAnsi="Times New Roman"/>
          <w:sz w:val="18"/>
          <w:szCs w:val="18"/>
          <w:color w:val="auto"/>
        </w:rPr>
        <w:t>: We have established comprehensive incident response and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that guide our response in the event of a cybersecurity incident. We continuously test and evaluate the effectiveness of those plans.</w:t>
      </w:r>
    </w:p>
    <w:p>
      <w:pPr>
        <w:spacing w:after="0" w:line="6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Vendor Risk Management</w:t>
      </w:r>
      <w:r>
        <w:rPr>
          <w:rFonts w:ascii="Times New Roman" w:cs="Times New Roman" w:eastAsia="Times New Roman" w:hAnsi="Times New Roman"/>
          <w:sz w:val="18"/>
          <w:szCs w:val="18"/>
          <w:color w:val="auto"/>
        </w:rPr>
        <w:t>: We have implemented a robust vendor risk management program,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in response to detailed questionnaires and meetings as well as information from third parties. In addition, we require our providers to meet appropriate security requirements, controls and responsibilities and investigate security incidents that have impacted our third-party providers, as appropriate. Contract language, purchasing decisions, and/or technology implementation strategies are frequently adjusted as a result of this process.</w:t>
      </w:r>
    </w:p>
    <w:p>
      <w:pPr>
        <w:spacing w:after="0" w:line="77" w:lineRule="exact"/>
        <w:rPr>
          <w:sz w:val="20"/>
          <w:szCs w:val="20"/>
          <w:color w:val="auto"/>
        </w:rPr>
      </w:pPr>
    </w:p>
    <w:p>
      <w:pPr>
        <w:ind w:left="60" w:right="27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Education and Awareness</w:t>
      </w:r>
      <w:r>
        <w:rPr>
          <w:rFonts w:ascii="Times New Roman" w:cs="Times New Roman" w:eastAsia="Times New Roman" w:hAnsi="Times New Roman"/>
          <w:sz w:val="17"/>
          <w:szCs w:val="17"/>
          <w:color w:val="auto"/>
        </w:rPr>
        <w:t>: Our policies require each of our employees to contribute to our data security efforts.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regularly remind employees of the importance of handling and protecting data, including through annual privacy and</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security training to enhance employee awareness of how to detect and respond to cybersecurity threats. In this regard,</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Company has implemented policies and procedures for all employees including: (i) information security/cybersecurity policies, which are internally available for all employees, (ii) information security/cybersecurity awareness training; (iii) a clear escalation process which employees can follow in the event an employee notices something suspicious; and (iv) ensuring that information security/cybersecurity is part of the employee performance evaluation and/or disciplinary process.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Disclosure</w:t>
      </w:r>
    </w:p>
    <w:p>
      <w:pPr>
        <w:spacing w:after="0" w:line="11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Board Oversight</w:t>
      </w:r>
      <w:r>
        <w:rPr>
          <w:rFonts w:ascii="Times New Roman" w:cs="Times New Roman" w:eastAsia="Times New Roman" w:hAnsi="Times New Roman"/>
          <w:sz w:val="18"/>
          <w:szCs w:val="18"/>
          <w:color w:val="auto"/>
        </w:rPr>
        <w:t>: The Board of Directors, in coordination with the Audit Committee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responsibility for managing the overall risk strategy for the Company, including cyber security risk. Both the Board of Directors and the Audit Committee receive regular reports from management about the prevention, detection, mitigation, and remediation of cybersecurity incidents, including material security risks and information security vulnerabilities. Our Audit Committee directly oversees our cybersecurity program. The Audit Committee additionally receives regular updates from management on cybersecurity risk resulting from risk assessments, progress of risk reduction initiatives, external auditor feedback, control maturity assessments, and relevant internal and industry cybersecurity incidents.</w:t>
      </w:r>
    </w:p>
    <w:p>
      <w:pPr>
        <w:spacing w:after="0" w:line="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The Company employs a dedicated Chief Information Security Officer (“CISO”) who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responsibility for assessing and managing material cybersecurity risks. Our CISO reports to the Audit Committee quarterly, to provide updates on any new developments and about the effectiveness of the security program. On behalf of the Audit Committee, the CISO administers a robust risk management program carried out by the Governance, Risk, and Compliance (GRC) team, which is integrated as part of the procurement process when making technology purchases, and also makes recommendations on security policies and procedures, security requirements, and risk mitigation strategies. Our CISO is supported by a highly skilled team of information security professionals, many of whom have advanced certifications and/or graduate degrees relevant to their job requirements. Our team has participated in multiple national and international cyber security exercises, including Cyber Storm, the national training exercise run by the U.S. Department of Homeland Security in conjunction the U.S. Cybersecurity and Infrastructure Security Agency. Our CISO works closely with our Chief Risk Officer to provide risk reporting and ensure security and compliance.</w:t>
      </w:r>
    </w:p>
    <w:p>
      <w:pPr>
        <w:spacing w:after="0" w:line="84"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Chief Information Security Officer</w:t>
      </w:r>
      <w:r>
        <w:rPr>
          <w:rFonts w:ascii="Times New Roman" w:cs="Times New Roman" w:eastAsia="Times New Roman" w:hAnsi="Times New Roman"/>
          <w:sz w:val="18"/>
          <w:szCs w:val="18"/>
          <w:color w:val="auto"/>
        </w:rPr>
        <w:t>: Our CISO has led the Company’s security team for more than eight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overseeing the implementation of multiple new technologies and processes to help protect the organization. Prior to joining the Company, he served as a Subject Mater Expert for Threat Prevention at a cyber security firm, consulted for local government, held other security and technology roles in higher education, and served in the U.S. Navy. He is also a co-author/contributor for the joint book project, Understanding New Security Threats published by Routledge in 2019, and has published articles and made conference keynote and podcast appearances over the years on cybersecurity topics.</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For more information regarding the risks we face from cybersecurity threats, please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to its owned facilities, GCE leases 42 off-campus classroom and laboratory sites for use in serving its university partners, three office locations in California, and office space in Indianapolis, Indiana. GCE has commitments to add more off-campus classroom and laboratory sites as of December 31, 2025 that have not yet commenced and plans to add additional off-campus classroom and laboratory sites in Arizona and in other states in the U.S. to accommodate our growth plans in 2026 and beyond. GCE works to maximize energy efficiency and minimize environmental impact in operating its leased facilities just as it does with its owned properties.</w:t>
      </w:r>
    </w:p>
    <w:p>
      <w:pPr>
        <w:spacing w:after="0" w:line="7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679" w:firstLine="648"/>
        <w:spacing w:after="0" w:line="290" w:lineRule="auto"/>
        <w:rPr>
          <w:sz w:val="20"/>
          <w:szCs w:val="20"/>
          <w:color w:val="auto"/>
        </w:rPr>
      </w:pPr>
      <w:r>
        <w:rPr>
          <w:rFonts w:ascii="Times New Roman" w:cs="Times New Roman" w:eastAsia="Times New Roman" w:hAnsi="Times New Roman"/>
          <w:sz w:val="17"/>
          <w:szCs w:val="17"/>
          <w:color w:val="auto"/>
        </w:rPr>
        <w:t xml:space="preserve">For information regarding our other material pending legal proceedings, see the sections entitled </w:t>
      </w:r>
      <w:r>
        <w:rPr>
          <w:rFonts w:ascii="Times New Roman" w:cs="Times New Roman" w:eastAsia="Times New Roman" w:hAnsi="Times New Roman"/>
          <w:sz w:val="17"/>
          <w:szCs w:val="17"/>
          <w:i w:val="1"/>
          <w:iCs w:val="1"/>
          <w:color w:val="auto"/>
        </w:rPr>
        <w:t>Pending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Litigation Matters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Note 7 Commitments and Contingencies </w:t>
      </w:r>
      <w:r>
        <w:rPr>
          <w:rFonts w:ascii="Times New Roman" w:cs="Times New Roman" w:eastAsia="Times New Roman" w:hAnsi="Times New Roman"/>
          <w:sz w:val="17"/>
          <w:szCs w:val="17"/>
          <w:color w:val="auto"/>
        </w:rPr>
        <w:t>of our notes to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Part IV, Item 15 of this report, which section is incorporated by reference into this Part I, Item 3.</w:t>
      </w:r>
    </w:p>
    <w:p>
      <w:pPr>
        <w:spacing w:after="0" w:line="4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approximately 187 registered holders of record of common stock. A substantially greater number of holders of common stock are “street name” or beneficial holders, whose shares are held of record by banks, brokers and other financial institutions.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do not anticipate paying cash dividends on our common stock in the foreseeable future.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9"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December 10, 2025, our Board of Directors approved a $300.0 million increase under the Company’s existing stock repurchase program, reflecting an aggregate authorization for share repurchases since the initiation of the program of $2,545.0 million. The current expiration date on the repurchase authorization by the Board of Directors is March 1, 2027.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Since the initial approval of our share repurchase plan, we have repurchased 25,363,153 shares of common stock at an aggregate cost of $2,200.6 million, which purchases are recorded at cost in the accompanying December 31, 2025 consolidated balance sheet and statement of stockholders’ equity. At December 31, 2025, there remained $344.4 million available under our current share repurchase authorization. During the fourth quarter and the year ended December 31, 2025, GCE repurchased 605,730 and 1,479,796 shares of common stock, respectively, at an aggregate cost of</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$100.0 million and $255.3 million, respectively.</w:t>
      </w:r>
    </w:p>
    <w:p>
      <w:pPr>
        <w:spacing w:after="0" w:line="9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2025:</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260" w:type="dxa"/>
            <w:vAlign w:val="bottom"/>
            <w:gridSpan w:val="2"/>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Total Number of</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293,368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293,368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Withholdings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40" w:type="dxa"/>
            <w:vAlign w:val="bottom"/>
            <w:gridSpan w:val="3"/>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GCE Stock Performance</w:t>
      </w:r>
    </w:p>
    <w:p>
      <w:pPr>
        <w:spacing w:after="0" w:line="12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our common stock with the cumulative total returns of the S&amp;P 500 Index and our education services peer group of seven companies that includes: Wiley Education Services, Pearson plc, CHEGG, Inc., Laureate Education, Inc., Strategic Education, Inc., Adtalem Global Education, Inc. and Coursera Inc. This chart assumes that an investment of $100 was made in our common stock, in the index, and in the peer group on December 31, 2020 and that all dividends paid (if any) were reinvested, and tracks the relative performance of such investments through December 31,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4585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4980"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160" w:type="dxa"/>
            <w:vAlign w:val="bottom"/>
            <w:gridSpan w:val="2"/>
          </w:tcPr>
          <w:p>
            <w:pPr>
              <w:ind w:left="40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12/20</w:t>
            </w: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12/21</w:t>
            </w: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12/22</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12/23</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12/24</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12/25</w:t>
            </w: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178.62</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128.71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196.16</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95.35</w:t>
            </w:r>
          </w:p>
        </w:tc>
      </w:tr>
    </w:tbl>
    <w:p>
      <w:pPr>
        <w:spacing w:after="0" w:line="19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68" w:lineRule="exact"/>
        <w:rPr>
          <w:sz w:val="20"/>
          <w:szCs w:val="20"/>
          <w:color w:val="auto"/>
        </w:rPr>
      </w:pPr>
    </w:p>
    <w:p>
      <w:pPr>
        <w:ind w:left="60" w:right="119" w:firstLine="648"/>
        <w:spacing w:after="0" w:line="407" w:lineRule="auto"/>
        <w:rPr>
          <w:sz w:val="20"/>
          <w:szCs w:val="20"/>
          <w:color w:val="auto"/>
        </w:rPr>
      </w:pPr>
      <w:r>
        <w:rPr>
          <w:rFonts w:ascii="Times New Roman" w:cs="Times New Roman" w:eastAsia="Times New Roman" w:hAnsi="Times New Roman"/>
          <w:sz w:val="18"/>
          <w:szCs w:val="18"/>
          <w:color w:val="auto"/>
        </w:rPr>
        <w:t xml:space="preserve">The stock price performance included in this graph is not necessarily indicative of future stock price performance. </w:t>
      </w: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for the years ended December 31, 2025 and 2024 should be read in conjunction with our consolidated financial statements and related notes that appear in Item 8, </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and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ten colleges both online, on ground at its campus in Phoenix, Arizona and at 11 off-campus classroom and laboratory sites.</w:t>
      </w:r>
    </w:p>
    <w:p>
      <w:pPr>
        <w:spacing w:after="0" w:line="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2025, GCE provides education services to 20 university partners across the United States.</w:t>
      </w:r>
    </w:p>
    <w:p>
      <w:pPr>
        <w:spacing w:after="0" w:line="7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8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involve our more significant judgments and estimates used in the preparation of our consolidated financial statements:</w:t>
      </w:r>
    </w:p>
    <w:p>
      <w:pPr>
        <w:spacing w:after="0" w:line="50" w:lineRule="exact"/>
        <w:rPr>
          <w:sz w:val="20"/>
          <w:szCs w:val="20"/>
          <w:color w:val="auto"/>
        </w:rPr>
      </w:pPr>
    </w:p>
    <w:p>
      <w:pPr>
        <w:ind w:left="60" w:right="1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GCE generates all of its revenue through services agreements with its university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Agreements”), pursuant to which GCE provides integrated technology and academic services, marketing and communication services, and as applicable, certain back office services to its university partners in return for a percentage of tuition and fee revenue.</w:t>
      </w:r>
    </w:p>
    <w:p>
      <w:pPr>
        <w:spacing w:after="0" w:line="72"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 xml:space="preserve">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8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We recognize the amount of taxes payable or refundable for the current year and deferred tax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2025 and 2024, GCE has reserved approximately $16,824 and $14,626, respectively, for uncertain tax positions, including interest and penalties.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0" w:right="79"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 discussion of the results of operations for fiscal year 2024 vs 2023, see “Item 7. Management’s Discussion </w:t>
      </w:r>
      <w:hyperlink r:id="rId68">
        <w:r>
          <w:rPr>
            <w:rFonts w:ascii="Times New Roman" w:cs="Times New Roman" w:eastAsia="Times New Roman" w:hAnsi="Times New Roman"/>
            <w:sz w:val="18"/>
            <w:szCs w:val="18"/>
            <w:color w:val="auto"/>
          </w:rPr>
          <w:t xml:space="preserve">and Analysis of Financial Condition and Results of Operations” in our </w:t>
        </w:r>
        <w:r>
          <w:rPr>
            <w:rFonts w:ascii="Times New Roman" w:cs="Times New Roman" w:eastAsia="Times New Roman" w:hAnsi="Times New Roman"/>
            <w:sz w:val="18"/>
            <w:szCs w:val="18"/>
            <w:u w:val="single" w:color="auto"/>
            <w:color w:val="0000EE"/>
          </w:rPr>
          <w:t>Annual Report on Form 10-K filed with the SEC for</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the fiscal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hyperlink>
    </w:p>
    <w:p>
      <w:pPr>
        <w:spacing w:after="0" w:line="6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income statement data as a percentage of revenue for each of the periods indicated. Amortization of intangible assets have been excluded from the table below:</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6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15.8 %</w:t>
            </w:r>
          </w:p>
        </w:tc>
        <w:tc>
          <w:tcPr>
            <w:tcW w:w="9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19" w:lineRule="exact"/>
        <w:rPr>
          <w:sz w:val="20"/>
          <w:szCs w:val="20"/>
          <w:color w:val="auto"/>
        </w:rPr>
      </w:pPr>
    </w:p>
    <w:p>
      <w:pPr>
        <w:jc w:val="both"/>
        <w:ind w:left="60" w:right="2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Our service revenue for the year ended December 31, 2025 was $1,106.1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$73.1 million, or 7.1%, as compared to service revenue of $1,033.0 million for the year ended December 31, 2024. The increase year over year in service revenue was primarily due to an increase in partner enrollments of 7.1% to 136,239 at December 31, 2025 as compared to 127,155 at December 31, 2024. GCU enrollments increased to 131,826 at December 31, 2025, an increase of 7.0% over enrollments at December 31, 2024. University partner enrollments at our off-campus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classroom and laboratory sites were 5,738, an increase of 16.6% over enrollments at December 31, 2024, which includes 1,325 and 913 GCU students at December 31, 2025 and 2024, respectively. Excluding sites closed in 2024 to new enrollments, total enrollments at our off-campus classroom and laboratory sites increased 18.7% between years. Revenue per student was flat between years primarily due to the additional day for leap year in 2024 which added additional service revenue of $1.5 million as compared to the current year, due to contract modifications for some of our university partners in which the revenue share percentage was reduced in exchange for us no longer reimbursing these partners for certain faculty costs, a slight decline year over year in revenue per student for online students due to the continued mix shift to students that have a slightly lower net tuition rate, and due to a slight decline in residential students between years. These decreases were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spacing w:after="0" w:line="82" w:lineRule="exact"/>
        <w:rPr>
          <w:sz w:val="20"/>
          <w:szCs w:val="20"/>
          <w:color w:val="auto"/>
        </w:rPr>
      </w:pPr>
    </w:p>
    <w:p>
      <w:pPr>
        <w:ind w:left="60" w:right="119" w:firstLine="441"/>
        <w:spacing w:after="0" w:line="256" w:lineRule="auto"/>
        <w:rPr>
          <w:sz w:val="20"/>
          <w:szCs w:val="20"/>
          <w:color w:val="auto"/>
        </w:rPr>
      </w:pPr>
      <w:r>
        <w:rPr>
          <w:rFonts w:ascii="Times New Roman" w:cs="Times New Roman" w:eastAsia="Times New Roman" w:hAnsi="Times New Roman"/>
          <w:sz w:val="18"/>
          <w:szCs w:val="18"/>
          <w:color w:val="auto"/>
        </w:rPr>
        <w:t>We opened six sites in the year ended December 31, 2024 and opened five new sites in the year ended December 31, 2025 while closing two sites in which we stopped recruiting new students in 2024 and merged two sites that were located in the same market bringing the total number of these sites to 47 at December 31, 2025. This has also positively impacted the enrollment growth. Enrollments for GCU ground students were 24,678 at December 31, 2025 up from 24,552 at December 31, 2024. GCU online enrollments were 107,148 at December 31, 2025, up from 98,597 at December 31, 2024, an increase of 8.7% between years.</w:t>
      </w:r>
    </w:p>
    <w:p>
      <w:pPr>
        <w:spacing w:after="0" w:line="7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Technology and academic services</w:t>
      </w:r>
      <w:r>
        <w:rPr>
          <w:rFonts w:ascii="Times New Roman" w:cs="Times New Roman" w:eastAsia="Times New Roman" w:hAnsi="Times New Roman"/>
          <w:sz w:val="18"/>
          <w:szCs w:val="18"/>
          <w:color w:val="auto"/>
        </w:rPr>
        <w:t>. Our technology and academic services expenses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were $175.1 million, an increase of $10.0 million, or 6.0%, as compared to technology and academic services expenses of $165.1 million for the year ended December 31, 2024. This increase was primarily due to increases in other technology and academic costs, in occupancy and depreciation costs and in employee compensation and related expenses, including share-based compensation and benefit costs of $6.2 million, $1.9 million and $1.9 million, respectively. The increases in other technology and academic costs and occupancy and depreciation were primarily due to the costs associated with the increased number of off-campus classroom and laboratory sites to support our 20 university partners and their increased enrollment growth as well as an increase in technology costs and curriculum cost reimbursements to our university partners. The increase in employee compensation and related expenses is primarily due to increased headcount to support our 20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decreased by 0.2% to 15.8% for the year ended December 31, 2025, from 16.0% for the year ended December 31, 2024. This decrease was primarily due to the contract modifications for some of our university partners in which the revenue share percentage was reduced in exchange for us no longer reimbursing these partners for certain faculty costs, partially offset by increased technology costs and curriculum cost reimbursements. We anticipate that technology and academic services expenses will increase in the future as we open more off-site classroom and laboratory sites and due to increased technology costs and curriculum cost reimbursements and that these costs as a percentage of revenue could grow as these costs grow at rates higher than revenue growth.</w:t>
      </w:r>
    </w:p>
    <w:p>
      <w:pPr>
        <w:spacing w:after="0" w:line="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Counseling services and support</w:t>
      </w:r>
      <w:r>
        <w:rPr>
          <w:rFonts w:ascii="Times New Roman" w:cs="Times New Roman" w:eastAsia="Times New Roman" w:hAnsi="Times New Roman"/>
          <w:sz w:val="18"/>
          <w:szCs w:val="18"/>
          <w:color w:val="auto"/>
        </w:rPr>
        <w:t>. Our counseling services and support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were $342.7 million, an increase of $19.2 million, or 5.9%, as compared to counseling services and support expenses of $323.5 million for the year ended December 31, 2024. This increase was primarily attributable to increases in employee compensation and related expenses including share-based compensation and benefits and in occupancy and depreciation costs of $18.9 million and $1.6 million, respectively. These increases were partially offset by a decrease in other counseling services and support expenses of $1.3 million, respectively.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decreased travel costs for our 20 university partners. Our counseling services and support expenses as a percentage of revenue decreased 0.3% to 31.0% for the year ended December 31, 2025, from 31.3% for the year ended December 31, 2024 primarily due to our ability to leverage our counseling services and support expenses across an increasing revenue base. We anticipate that counseling services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support expense will increase in the future as we continue to invest to meet our partners’ needs and these costs as a percentage of revenue could increase in the future.</w:t>
      </w:r>
    </w:p>
    <w:p>
      <w:pPr>
        <w:spacing w:after="0" w:line="5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Marketing and communication</w:t>
      </w:r>
      <w:r>
        <w:rPr>
          <w:rFonts w:ascii="Times New Roman" w:cs="Times New Roman" w:eastAsia="Times New Roman" w:hAnsi="Times New Roman"/>
          <w:sz w:val="18"/>
          <w:szCs w:val="18"/>
          <w:color w:val="auto"/>
        </w:rPr>
        <w:t>. Our marketing and communication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were $229.2 million, an increase of $16.8 million, or 7.9%, as compared to marketing and communication expenses of $212.4 million for the year ended December 31, 2024. This increase was primarily attributable to the increased cost to market our university partners’ programs and to the marketing of new university partners and new locations which resulted in increased advertising of $15.2 million, increased employee compensation, including share-based compensation and benefits of $1.5 million and an increase in occupancy and depreciation costs of $0.1 million. Our marketing and communication expenses as a percentage of revenue slightly increased by 0.1% to 20.7% for the year ended December 31, 2025, from 20.6% for the year ended December 31, 2024. We anticipate that marketing and communication expenses will increase in the future as we continue to invest to meet our partners’ needs and these costs as a percentage of revenue could increase in the future.</w:t>
      </w:r>
    </w:p>
    <w:p>
      <w:pPr>
        <w:spacing w:after="0" w:line="7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for the year ended December 31,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$47.4 million, an increase of $1.1 million, or 2.4%, as compared to general and administrative expenses of $46.3 million for the year ended December 31, 2024. This increase was primarily attributable to an increase in other general and administrative expenses of $1.7 million and an increase in professional fees including legal costs of $0.3 million. These increases were partially offset by a decrease in employee compensation, including share-based compensation of $0.9 million, which is primarily due to $1.1 million in severance costs recorded in the prior year for an executive that resigned June 30, 2024. The increase in other general and administrative expenses is due to an increase in contributions in lieu of state income taxes of $0.5 million, an increase in charitable contributions of $0.5 million and an increase in fixed asset disposals of $0.5 million from the downsizing of our Indiana office space. Our general and administrative expenses as</w:t>
      </w:r>
    </w:p>
    <w:p>
      <w:pPr>
        <w:spacing w:after="0" w:line="1"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a percentage of revenue decreased by 0.2% to 4.3% for the year ended December 31, 2025, from 4.5% for the year ended December 31, 2024, primarily due to our ability to leverage our general and administrative expenses across an increasing revenue base. We anticipate that general and administrative expenses will increase in the future and these costs as a percentage of revenue could increase in the future.</w:t>
      </w:r>
    </w:p>
    <w:p>
      <w:pPr>
        <w:spacing w:after="0" w:line="79"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settlement. </w:t>
      </w:r>
      <w:r>
        <w:rPr>
          <w:rFonts w:ascii="Times New Roman" w:cs="Times New Roman" w:eastAsia="Times New Roman" w:hAnsi="Times New Roman"/>
          <w:sz w:val="18"/>
          <w:szCs w:val="18"/>
          <w:color w:val="auto"/>
        </w:rPr>
        <w:t>A litigation settlement of $35.0 million was recorded in the year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settlement of the qui tam lawsuit.</w:t>
      </w:r>
    </w:p>
    <w:p>
      <w:pPr>
        <w:spacing w:after="0" w:line="5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 termination, impairment and other. </w:t>
      </w:r>
      <w:r>
        <w:rPr>
          <w:rFonts w:ascii="Times New Roman" w:cs="Times New Roman" w:eastAsia="Times New Roman" w:hAnsi="Times New Roman"/>
          <w:sz w:val="18"/>
          <w:szCs w:val="18"/>
          <w:color w:val="auto"/>
        </w:rPr>
        <w:t>We incurred $2.4 million in lease termination and impairment charges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related to leases. In the third quarter of 2025, we agreed to pay $1.3 million to early terminate our Indiana office space lease effective in June 2027. We also entered into a sublease of that space for the period from January 2026 to June 2027 and entered into a new lease for a much smaller space effective January 2026. Additionally, an impairment was recorded in the amount of $1.1 million in the year ended December 31, 2025 for the two off-campus classroom and laboratory sites that were closed during the year. We incurred impairment and other expenses of $1.9 million for the year ended December 31, 2024 due to the write-off of an internal use software project that the Company had been attempting to develop for its other university partners that has been terminated and costs relating to exiting certain off-campus classroom and laboratory sites.</w:t>
      </w:r>
    </w:p>
    <w:p>
      <w:pPr>
        <w:spacing w:after="0" w:line="80" w:lineRule="exact"/>
        <w:rPr>
          <w:sz w:val="20"/>
          <w:szCs w:val="20"/>
          <w:color w:val="auto"/>
        </w:rPr>
      </w:pPr>
    </w:p>
    <w:p>
      <w:pPr>
        <w:ind w:left="60" w:right="2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for the years ended December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were $8.4 million for both periods. As a result of the Orbis Education acquisition in 2019, certain identifiable intangible assets were created (primarily customer relationships) that will be amortized over their expected lives.</w:t>
      </w:r>
    </w:p>
    <w:p>
      <w:pPr>
        <w:spacing w:after="0" w:line="6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Investment interest and other</w:t>
      </w:r>
      <w:r>
        <w:rPr>
          <w:rFonts w:ascii="Times New Roman" w:cs="Times New Roman" w:eastAsia="Times New Roman" w:hAnsi="Times New Roman"/>
          <w:sz w:val="18"/>
          <w:szCs w:val="18"/>
          <w:color w:val="auto"/>
        </w:rPr>
        <w:t>. Investment interest and other for the year ended December 31, 2025 was $13.9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 decrease of $2.0 million, as compared to $15.9 million for the year ended December 31, 2024 due to slightly lower investment balances and returns on our investment balances and the recognition of a loss on an equity investment in the second quarter of 2025 of $0.5 million.</w:t>
      </w:r>
    </w:p>
    <w:p>
      <w:pPr>
        <w:spacing w:after="0" w:line="7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year ended December 31, 2025 was $63.7 million,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million, or 2.2%, as compared to income tax expense of $65.1 million for the year ended December 31, 2024. Our effective tax rate was 22.8% during the year ended December 31, 2025 compared to 22.3% during the year ended December 31, 2024. The increase in the effective tax rate was primarily due to the tax treatment of the litigation settlement recorded in the year ended December 31, 2025 and changes in state income taxes. The effective tax rate increases were partially offset due to an increase in excess tax benefits of $2.7 million as compared to $1.5 million in the years ended December 31, 2025 and 2024, respectively. The inclusion of excess tax benefits and deficiencies as a component of our income tax expense increases the volatility within our provision for income taxes as the amount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excess tax benefits or deficiencies from share-based compensation awards are dependent on our stock price at the date the restricted stock awards vest. Our restricted stock awards vest in March each year so any benefit or expense will primarily impact the first quarter each year. The effective tax rate was also favorably impacted by an increase in contributions made in lieu of state income taxes to $5.0 million as compared to $4.5 million in the prior year.</w:t>
      </w:r>
    </w:p>
    <w:p>
      <w:pPr>
        <w:spacing w:after="0" w:line="70" w:lineRule="exact"/>
        <w:rPr>
          <w:sz w:val="20"/>
          <w:szCs w:val="20"/>
          <w:color w:val="auto"/>
        </w:rPr>
      </w:pPr>
    </w:p>
    <w:p>
      <w:pPr>
        <w:jc w:val="both"/>
        <w:ind w:left="60" w:right="5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for the year ended December 31, 2025 was $216.2 million, a decrease of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4.4% as compared to $226.2 million for the year ended December 31, 2024, due primarily to the litigation settlement and the other factors discussed above.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service revenue and operating results normally fluctuate as a result of seasonal variations in our business, principally due to changes in our university partners’ enrollment. Our partners’ enrollment varies as a result of new enrollments, graduations, and student attrition. Service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98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300,079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324,623</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60" w:right="79" w:firstLine="441"/>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decreased by $24.5 million between December 31, 2024 and December 31, 2025, which was largely attributable to cash expended for share repurchases and capital expenditures exceeding our cash provided by operations during the year ended December 31, 2025. Our unrestricted cash and cash equivalents and investments were $300.1 million and $324.6 million at December 31, 2025 and 2024, respectively.</w:t>
      </w:r>
    </w:p>
    <w:p>
      <w:pPr>
        <w:spacing w:after="0" w:line="75"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98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273,491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289,958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decrease in cash generated from operating activities between the year ended December 31, 2024 and the year ended December 31, 2025 was primarily due to the decline in net income between years due primarily to the litigation settlement and changes in working capital balances. Accounts payable increased by $9.7 million between December 31, 2023 and December 31, 2024 compared to the decrease of $3.4 million between December 31, 2024 and December 31, 2025, a decline year over year in cash provided by operating activities of $13.1 million due to timing of vendor payments. Income tax receivable/payable amounts decreased by $0.9 million between December 31, 2023 and December 31, 2024 compared to the decrease of $7.1 million between December 31, 2024 and December 31, 2025, a $6.2 million decrease year over year in cash provided by operating activities due to timing of income tax payments. Deferred tax liability amounts decreased by $0.2 million between December 31, 2023 and December 31, 2024 compared to the increase of $14.7 million between December 31, 2024 and December 31, 2025, representing an increase in cash provided by operating activities of $14.9 million due to the acceleration of certain tax deductions and the passage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One Big Beautiful Bill Act on July 3, 2025.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98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(221,594)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consumed $221.6 million of cash in the year ended December 31, 2025 compared to providing $61.4 million of cash in the year ended December 31, 2024.</w:t>
      </w:r>
    </w:p>
    <w:p>
      <w:pPr>
        <w:spacing w:after="0" w:line="5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Cash provided by or used in investing activities includes net investment activity. In the year ended December 31, 2025, the purchase of available-for-sale securities, net of proceeds from the sale of investments were $186.2 million. In the year ended December 31, 2024, proceeds from the sale of investments, net of purchases of available-for-sale securities were $99.0 million as the Company sold all its investments in the third quarter of 2024 and the proceeds were held in cash and cash equivalents until being reinvested in early 2025.</w:t>
      </w:r>
    </w:p>
    <w:p>
      <w:pPr>
        <w:spacing w:after="0" w:line="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2025 and 2024 cash used in investing activities also included capital expenditures totaling $34.8 million and $37.2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98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(264,758)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459" w:firstLine="441"/>
        <w:spacing w:after="0" w:line="282" w:lineRule="auto"/>
        <w:rPr>
          <w:sz w:val="20"/>
          <w:szCs w:val="20"/>
          <w:color w:val="auto"/>
        </w:rPr>
      </w:pPr>
      <w:r>
        <w:rPr>
          <w:rFonts w:ascii="Times New Roman" w:cs="Times New Roman" w:eastAsia="Times New Roman" w:hAnsi="Times New Roman"/>
          <w:sz w:val="18"/>
          <w:szCs w:val="18"/>
          <w:color w:val="auto"/>
        </w:rPr>
        <w:t>Financing activities consumed $264.8 million of cash in the year ended December 31, 2025 compared to $173.2 million in the year ended December 31, 2024.</w:t>
      </w:r>
    </w:p>
    <w:p>
      <w:pPr>
        <w:spacing w:after="0" w:line="54" w:lineRule="exact"/>
        <w:rPr>
          <w:sz w:val="20"/>
          <w:szCs w:val="20"/>
          <w:color w:val="auto"/>
        </w:rPr>
      </w:pPr>
    </w:p>
    <w:p>
      <w:pPr>
        <w:ind w:left="60" w:right="259" w:firstLine="44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and 2024, $255.3 million and $165.4 million, respectively was used to purchase treasury stock in accordance with GCE’s share repurchase program. In 2025 and 2024, $9.5 million and $7.8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On December 10, 2025, our Board of Directors increased the authorization under its existing stock repurchase program by $300.0 million, reflecting an aggregate authorization for share repurchases since the initiation of the program of $2,545.0 million. The current expiration date on the repurchase authorization by our Board of Directors is March 1, 2027. Repurchases occur at the Company’s discretion and the Company may modify, suspend or discontinue the repurchase authorization at any time.</w:t>
      </w:r>
    </w:p>
    <w:p>
      <w:pPr>
        <w:spacing w:after="0" w:line="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6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Since 2011, we have repurchased 25.4 million shares of common stock at an aggregate cost of $2,200.6 million, which includes 1,479,796 shares of common stock at an aggregate cost of $255.3 million during the year ended December 31, 2025.</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contractual obligations primarily consist of capital expenditures primarily for new off-campus classroom and laboratory sites opening and continued spend on computer equipment, software licenses, internal software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99"/>
        <w:spacing w:after="0" w:line="267" w:lineRule="auto"/>
        <w:rPr>
          <w:sz w:val="20"/>
          <w:szCs w:val="20"/>
          <w:color w:val="auto"/>
        </w:rPr>
      </w:pPr>
      <w:r>
        <w:rPr>
          <w:rFonts w:ascii="Times New Roman" w:cs="Times New Roman" w:eastAsia="Times New Roman" w:hAnsi="Times New Roman"/>
          <w:sz w:val="18"/>
          <w:szCs w:val="18"/>
          <w:color w:val="auto"/>
        </w:rPr>
        <w:t xml:space="preserve">development and furniture and equipment to support our increasing employee headcount. See </w:t>
      </w:r>
      <w:r>
        <w:rPr>
          <w:rFonts w:ascii="Times New Roman" w:cs="Times New Roman" w:eastAsia="Times New Roman" w:hAnsi="Times New Roman"/>
          <w:sz w:val="18"/>
          <w:szCs w:val="18"/>
          <w:i w:val="1"/>
          <w:iCs w:val="1"/>
          <w:color w:val="auto"/>
        </w:rPr>
        <w:t>Note 6 - Leases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 xml:space="preserve">Consolidated Financial Statements and Supplementary Data. </w:t>
      </w:r>
      <w:r>
        <w:rPr>
          <w:rFonts w:ascii="Times New Roman" w:cs="Times New Roman" w:eastAsia="Times New Roman" w:hAnsi="Times New Roman"/>
          <w:sz w:val="18"/>
          <w:szCs w:val="18"/>
          <w:color w:val="auto"/>
        </w:rPr>
        <w:t>There are no other material contractual obligations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for the Company.</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 as of December 31, 2025.</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121"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7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72"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9" w:lineRule="exact"/>
        <w:rPr>
          <w:rFonts w:ascii="Times New Roman" w:cs="Times New Roman" w:eastAsia="Times New Roman" w:hAnsi="Times New Roman"/>
          <w:sz w:val="18"/>
          <w:szCs w:val="18"/>
          <w:color w:val="auto"/>
        </w:rPr>
      </w:pPr>
    </w:p>
    <w:p>
      <w:pPr>
        <w:ind w:left="1040" w:right="719" w:hanging="315"/>
        <w:spacing w:after="0" w:line="260"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7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statements and the notes to those consolidated financial statements included elsewhere in this Annual Report on Form 10-K.</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8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311,953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Plus: contributions in lieu of state income taxes</w:t>
            </w:r>
            <w:r>
              <w:rPr>
                <w:rFonts w:ascii="Times New Roman" w:cs="Times New Roman" w:eastAsia="Times New Roman" w:hAnsi="Times New Roman"/>
                <w:sz w:val="24"/>
                <w:szCs w:val="24"/>
                <w:color w:val="auto"/>
                <w:vertAlign w:val="superscript"/>
              </w:rPr>
              <w:t>(a)</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share-based compensation</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litigation and regulatory costs</w:t>
            </w:r>
            <w:r>
              <w:rPr>
                <w:rFonts w:ascii="Times New Roman" w:cs="Times New Roman" w:eastAsia="Times New Roman" w:hAnsi="Times New Roman"/>
                <w:sz w:val="25"/>
                <w:szCs w:val="25"/>
                <w:color w:val="auto"/>
                <w:vertAlign w:val="superscript"/>
              </w:rPr>
              <w:t>(c)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lease termination, impairment and other</w:t>
            </w:r>
            <w:r>
              <w:rPr>
                <w:rFonts w:ascii="Times New Roman" w:cs="Times New Roman" w:eastAsia="Times New Roman" w:hAnsi="Times New Roman"/>
                <w:sz w:val="25"/>
                <w:szCs w:val="25"/>
                <w:color w:val="auto"/>
                <w:vertAlign w:val="superscript"/>
              </w:rPr>
              <w:t>(d)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loss on disposal of fixed assets</w:t>
            </w:r>
            <w:r>
              <w:rPr>
                <w:rFonts w:ascii="Times New Roman" w:cs="Times New Roman" w:eastAsia="Times New Roman" w:hAnsi="Times New Roman"/>
                <w:sz w:val="25"/>
                <w:szCs w:val="25"/>
                <w:color w:val="auto"/>
                <w:vertAlign w:val="superscript"/>
              </w:rPr>
              <w:t>(e)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severance costs</w:t>
            </w:r>
            <w:r>
              <w:rPr>
                <w:rFonts w:ascii="Times New Roman" w:cs="Times New Roman" w:eastAsia="Times New Roman" w:hAnsi="Times New Roman"/>
                <w:sz w:val="25"/>
                <w:szCs w:val="25"/>
                <w:color w:val="auto"/>
                <w:vertAlign w:val="superscript"/>
              </w:rPr>
              <w:t>(f)</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340,013</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55"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22.8% and 22.3% for the years ended December 31, 2025 and 2024, respectively. Had these contributions not been made, our effective tax rate would have been 24.1% and 23.5% for</w:t>
      </w:r>
    </w:p>
    <w:p>
      <w:pPr>
        <w:spacing w:after="0" w:line="2" w:lineRule="exact"/>
        <w:rPr>
          <w:rFonts w:ascii="Times New Roman" w:cs="Times New Roman" w:eastAsia="Times New Roman" w:hAnsi="Times New Roman"/>
          <w:sz w:val="18"/>
          <w:szCs w:val="18"/>
          <w:color w:val="auto"/>
        </w:rPr>
      </w:pPr>
    </w:p>
    <w:p>
      <w:pPr>
        <w:ind w:left="38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and 2024, respectively. Such contributions are viewed by our management to be made in lieu of payments of state income taxes and are therefore excluded from evaluation of our core operating performance.</w:t>
      </w: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share-based compensation expense.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regulatory litigation and includes the qui tam settlement of $35.0 million.</w:t>
      </w:r>
    </w:p>
    <w:p>
      <w:pPr>
        <w:spacing w:after="0" w:line="9"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$2.4 million in lease termination and impairment charges in the year ended December 31, 2025, related to leases from the termination of our Indiana office space and exit from two off-campus classroom and laboratory sites in 2025. In 2024, reflects the write-off of an internal use software project that the Company had been attempting to develop for its other university partners that has been terminated and costs relating to exiting certain off-campus classroom and laboratory sites.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 on fixed asset disposals.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Consolidated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p>
    <w:p>
      <w:pPr>
        <w:spacing w:after="0" w:line="4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 derivative financial instruments or derivative commodity instruments. We invest cash in excess of current operating requirements in money market instruments, municipal and corporate bond portfolios or commercial paper at multiple financial institutions.</w:t>
      </w:r>
    </w:p>
    <w:p>
      <w:pPr>
        <w:spacing w:after="0" w:line="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2025 a 10% increase or decrease in interest rates would not have a material impact on our future earnings, fair values,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5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Statements and Supplementary Data</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64"/>
        </w:trPr>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Phoenix, Arizona, Auditor Firm: 185)</w:t>
            </w:r>
          </w:p>
        </w:tc>
        <w:tc>
          <w:tcPr>
            <w:tcW w:w="32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Income Statements for the years ended December 31, 2025, 2024 and 2023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2025, 2024 and 2023</w:t>
            </w:r>
          </w:p>
        </w:tc>
        <w:tc>
          <w:tcPr>
            <w:tcW w:w="4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2"/>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2024 and 2023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2"/>
        </w:trPr>
        <w:tc>
          <w:tcPr>
            <w:tcW w:w="75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66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2"/>
        </w:trPr>
        <w:tc>
          <w:tcPr>
            <w:tcW w:w="69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7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Grand Canyon Education, Inc. and subsidiaries (the Company) as of December 31, 2025 and 2024, the related consolidated statements of income,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6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18, 2026 expressed an unqualified opinion on the effectiveness of the Company’s internal control over financial reporting.</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service revenue</w:t>
      </w:r>
    </w:p>
    <w:p>
      <w:pPr>
        <w:spacing w:after="0" w:line="106" w:lineRule="exact"/>
        <w:rPr>
          <w:sz w:val="20"/>
          <w:szCs w:val="20"/>
          <w:color w:val="auto"/>
        </w:rPr>
      </w:pPr>
    </w:p>
    <w:p>
      <w:pPr>
        <w:ind w:left="700" w:right="79"/>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499"/>
        <w:spacing w:after="0" w:line="282" w:lineRule="auto"/>
        <w:rPr>
          <w:sz w:val="20"/>
          <w:szCs w:val="20"/>
          <w:color w:val="auto"/>
        </w:rPr>
      </w:pPr>
      <w:r>
        <w:rPr>
          <w:rFonts w:ascii="Times New Roman" w:cs="Times New Roman" w:eastAsia="Times New Roman" w:hAnsi="Times New Roman"/>
          <w:sz w:val="18"/>
          <w:szCs w:val="18"/>
          <w:color w:val="auto"/>
        </w:rPr>
        <w:t>on the respective University Partner’s reporting processes and the services provided. The Company recorded $1,106 million of service revenue for the year ended December 31, 2025.</w:t>
      </w:r>
    </w:p>
    <w:p>
      <w:pPr>
        <w:spacing w:after="0" w:line="135" w:lineRule="exact"/>
        <w:rPr>
          <w:sz w:val="20"/>
          <w:szCs w:val="20"/>
          <w:color w:val="auto"/>
        </w:rPr>
      </w:pPr>
    </w:p>
    <w:p>
      <w:pPr>
        <w:ind w:left="700" w:right="159"/>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24" w:lineRule="exact"/>
        <w:rPr>
          <w:sz w:val="20"/>
          <w:szCs w:val="20"/>
          <w:color w:val="auto"/>
        </w:rPr>
      </w:pPr>
    </w:p>
    <w:p>
      <w:pPr>
        <w:ind w:left="700" w:right="99"/>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94" w:lineRule="exact"/>
        <w:rPr>
          <w:sz w:val="20"/>
          <w:szCs w:val="20"/>
          <w:color w:val="auto"/>
        </w:rPr>
      </w:pPr>
    </w:p>
    <w:p>
      <w:pPr>
        <w:ind w:left="700" w:right="699"/>
        <w:spacing w:after="0" w:line="261" w:lineRule="auto"/>
        <w:rPr>
          <w:sz w:val="20"/>
          <w:szCs w:val="20"/>
          <w:color w:val="auto"/>
        </w:rPr>
      </w:pPr>
      <w:r>
        <w:rPr>
          <w:rFonts w:ascii="Times New Roman" w:cs="Times New Roman" w:eastAsia="Times New Roman" w:hAnsi="Times New Roman"/>
          <w:sz w:val="18"/>
          <w:szCs w:val="18"/>
          <w:color w:val="auto"/>
        </w:rPr>
        <w:t>We evaluated the sufficiency of audit evidence obtained by assessing the results of procedures performed, including the nature of such evidence.</w:t>
      </w: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13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 and December 31, 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54,178 and 54,090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27,393 and 28,858 shares outstanding at December 31, 2025 and December 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26,785 and 25,232 shares of common stock at December 31, 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(2,291,610)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1,106,070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960,899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302,319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 settlement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termination, impairment and 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840,160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757,603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711,643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8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27,862</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29,104</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28,024</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29,271</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7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0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$ 216,170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$ 226,234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$ 204,985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80" w:type="dxa"/>
            <w:vAlign w:val="bottom"/>
          </w:tcPr>
          <w:p>
            <w:pPr>
              <w:spacing w:after="0"/>
              <w:rPr>
                <w:sz w:val="18"/>
                <w:szCs w:val="18"/>
                <w:color w:val="auto"/>
              </w:rPr>
            </w:pPr>
          </w:p>
        </w:tc>
        <w:tc>
          <w:tcPr>
            <w:tcW w:w="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Realized gains on available-for-sale securities, net of taxes of $17 for the year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ended December 31, 2024</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 securities, net of taxes of $160 and $151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the years ended December 31, 2025 and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$ 216,681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$ 226,291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540" w:type="dxa"/>
            <w:vAlign w:val="bottom"/>
            <w:gridSpan w:val="4"/>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740" w:type="dxa"/>
            <w:vAlign w:val="bottom"/>
            <w:gridSpan w:val="4"/>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80" w:type="dxa"/>
            <w:vAlign w:val="bottom"/>
          </w:tcPr>
          <w:p>
            <w:pPr>
              <w:spacing w:after="0"/>
              <w:rPr>
                <w:sz w:val="15"/>
                <w:szCs w:val="15"/>
                <w:color w:val="auto"/>
              </w:rPr>
            </w:pPr>
          </w:p>
        </w:tc>
        <w:tc>
          <w:tcPr>
            <w:tcW w:w="15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2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Par Value</w:t>
            </w:r>
          </w:p>
        </w:tc>
        <w:tc>
          <w:tcPr>
            <w:tcW w:w="140" w:type="dxa"/>
            <w:vAlign w:val="bottom"/>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3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Earnings</w:t>
            </w:r>
          </w:p>
        </w:tc>
        <w:tc>
          <w:tcPr>
            <w:tcW w:w="900" w:type="dxa"/>
            <w:vAlign w:val="bottom"/>
            <w:gridSpan w:val="3"/>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$(1,711,423)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$ 309,310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$2,039,727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$ 637,619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204,985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205,461</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53,970</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4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24,017</w:t>
            </w:r>
          </w:p>
        </w:tc>
        <w:tc>
          <w:tcPr>
            <w:tcW w:w="14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7"/>
              </w:rPr>
              <w:t>$ (1,849,693)</w:t>
            </w:r>
          </w:p>
        </w:tc>
        <w:tc>
          <w:tcPr>
            <w:tcW w:w="1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$ 322,512</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$ 2,244,712</w:t>
            </w:r>
          </w:p>
        </w:tc>
        <w:tc>
          <w:tcPr>
            <w:tcW w:w="160" w:type="dxa"/>
            <w:vAlign w:val="bottom"/>
            <w:tcBorders>
              <w:bottom w:val="single" w:sz="8" w:color="CCEEFF"/>
            </w:tcBorders>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$ 718,014</w:t>
            </w: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226,234</w:t>
            </w:r>
          </w:p>
        </w:tc>
        <w:tc>
          <w:tcPr>
            <w:tcW w:w="160" w:type="dxa"/>
            <w:vAlign w:val="bottom"/>
            <w:gridSpan w:val="2"/>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226,291</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(166,907)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(166,907)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(2,024,370)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$ 336,736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$ 2,470,946</w:t>
            </w: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$ 783,853</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vMerge w:val="continue"/>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511</w:t>
            </w:r>
          </w:p>
        </w:tc>
        <w:tc>
          <w:tcPr>
            <w:tcW w:w="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216,170</w:t>
            </w:r>
          </w:p>
        </w:tc>
        <w:tc>
          <w:tcPr>
            <w:tcW w:w="160" w:type="dxa"/>
            <w:vAlign w:val="bottom"/>
            <w:gridSpan w:val="2"/>
            <w:vMerge w:val="continue"/>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216,681</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(257,777)</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(257,777)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0" w:type="dxa"/>
            <w:vAlign w:val="bottom"/>
          </w:tcPr>
          <w:p>
            <w:pPr>
              <w:spacing w:after="0"/>
              <w:rPr>
                <w:sz w:val="1"/>
                <w:szCs w:val="1"/>
                <w:color w:val="auto"/>
              </w:rPr>
            </w:pPr>
          </w:p>
        </w:tc>
      </w:tr>
      <w:tr>
        <w:trPr>
          <w:trHeight w:val="196"/>
        </w:trPr>
        <w:tc>
          <w:tcPr>
            <w:tcW w:w="2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2025</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54,178</w:t>
            </w: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26,785</w:t>
            </w:r>
          </w:p>
        </w:tc>
        <w:tc>
          <w:tcPr>
            <w:tcW w:w="14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7"/>
              </w:rPr>
              <w:t>$ (2,291,610)</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$ 350,374</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$ 2,687,116</w:t>
            </w:r>
          </w:p>
        </w:tc>
        <w:tc>
          <w:tcPr>
            <w:tcW w:w="160" w:type="dxa"/>
            <w:vAlign w:val="bottom"/>
            <w:gridSpan w:val="2"/>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$ 746,933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56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60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216,170</w:t>
            </w:r>
          </w:p>
        </w:tc>
        <w:tc>
          <w:tcPr>
            <w:tcW w:w="32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226,234</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204,985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termination, impairment and 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including fixed asset disposals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from university partners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(7,106)</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273,491</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289,958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243,662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provided by investing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141"/>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(34,843)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Additions of amortizable content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equity investment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equity investment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(241,723)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or maturity of investments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55,532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(221,594)</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61,365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(80,472)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141"/>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shares and shares withheld in lieu of income taxes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(264,758)</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(173,175)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(264,758)</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(173,175)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increase in cash and cash equivalents and restricted cash</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(212,861)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beginning of period</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324,623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146,475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end of period</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111,762</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324,623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146,475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141"/>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53,896</w:t>
            </w:r>
          </w:p>
        </w:tc>
        <w:tc>
          <w:tcPr>
            <w:tcW w:w="32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65,261</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59,026</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32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ROU Asset and Liability recognition</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7,087</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Excise tax on treasury stock repurchases</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3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on ground at its campus in Phoenix, Arizona and at eleven off-site classroom and laboratory sites.</w:t>
      </w:r>
    </w:p>
    <w:p>
      <w:pPr>
        <w:spacing w:after="0" w:line="8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2025, GCE provides education services to 20 university partners across the United States.</w:t>
      </w:r>
    </w:p>
    <w:p>
      <w:pPr>
        <w:spacing w:after="0" w:line="8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On July 1, 2018, the Company sold the university to GCU (the “Transaction”). The Company’s wholly owned subsidiaries were historically used to facilitate expansion of the university campus prior to the Transaction.</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have been eliminated in consolidation.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no investments. As of December 31,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of the hierarchy of valuation inputs, with the use of quoted market prices and inputs other than quoted prices that are observable for the assets. Unrealized investment gains and losses, net of tax, are reported as a separate component of other comprehensive income. Unrealized losses considered to be other-than temporary are recognized currently in earnings. Amortization of premiums, accretion of discounts, interest and dividend income and realized gains and losses are included in interest and other income.</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GCU</w:t>
      </w:r>
    </w:p>
    <w:p>
      <w:pPr>
        <w:spacing w:after="0" w:line="121" w:lineRule="exact"/>
        <w:rPr>
          <w:sz w:val="20"/>
          <w:szCs w:val="20"/>
          <w:color w:val="auto"/>
        </w:rPr>
      </w:pPr>
    </w:p>
    <w:p>
      <w:pPr>
        <w:ind w:left="60" w:right="79" w:firstLine="441"/>
        <w:spacing w:after="0" w:line="256" w:lineRule="auto"/>
        <w:rPr>
          <w:sz w:val="20"/>
          <w:szCs w:val="20"/>
          <w:color w:val="auto"/>
        </w:rPr>
      </w:pPr>
      <w:r>
        <w:rPr>
          <w:rFonts w:ascii="Times New Roman" w:cs="Times New Roman" w:eastAsia="Times New Roman" w:hAnsi="Times New Roman"/>
          <w:sz w:val="18"/>
          <w:szCs w:val="18"/>
          <w:color w:val="auto"/>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Technology</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Content Development</w:t>
      </w:r>
    </w:p>
    <w:p>
      <w:pPr>
        <w:spacing w:after="0" w:line="12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2025 and 2024, $413 and $658, respectively, net of amortization, of deferred content assets are included in other assets in the Company’s consolidated balance sheets and amortization is included in technical and academic services where the costs originated.</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Amortizable Intangible Assets</w:t>
      </w:r>
    </w:p>
    <w:p>
      <w:pPr>
        <w:spacing w:after="0" w:line="121"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8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2025.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accounts payable, accrued compensation and benefits and accrued liabilities approximate their fair value based on the liquidity or the short-term maturities of these instruments.</w:t>
      </w:r>
    </w:p>
    <w:p>
      <w:pPr>
        <w:spacing w:after="0" w:line="68"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investments was determined using Level 1 of the hierarchy of valuation inputs, with the use of inputs other than quoted prices that are observable for the assets. The unit of account used for valuation is the individual underlying security. The basis of fair value measurements for each level is described below, with Level 1 having the highest priority.</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w:t>
      </w:r>
    </w:p>
    <w:p>
      <w:pPr>
        <w:spacing w:after="0" w:line="117" w:lineRule="exact"/>
        <w:rPr>
          <w:sz w:val="20"/>
          <w:szCs w:val="20"/>
          <w:color w:val="auto"/>
        </w:rPr>
      </w:pPr>
    </w:p>
    <w:p>
      <w:pPr>
        <w:ind w:left="700" w:right="139"/>
        <w:spacing w:after="0" w:line="266" w:lineRule="auto"/>
        <w:rPr>
          <w:sz w:val="20"/>
          <w:szCs w:val="20"/>
          <w:color w:val="auto"/>
        </w:rPr>
      </w:pPr>
      <w:r>
        <w:rPr>
          <w:rFonts w:ascii="Times New Roman" w:cs="Times New Roman" w:eastAsia="Times New Roman" w:hAnsi="Times New Roman"/>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Investments are comprised of corporate bonds, commercial paper, municipal securities, asset backed securities, municipal bonds, and collateralized mortgage obligations.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7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2025 and 2024, the Company has reserved approximately $16,824 and $14,626, respectively, for uncertain tax positions, including interest and penalties, which is classified within accrued liabilities on the accompanying consolidated balance sheet.</w:t>
      </w:r>
    </w:p>
    <w:p>
      <w:pPr>
        <w:spacing w:after="0" w:line="7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7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Agreements and result in a settlement duration of less than one year for all partners. There are no refunds or return rights under the Services Agreements.</w:t>
      </w:r>
    </w:p>
    <w:p>
      <w:pPr>
        <w:spacing w:after="0" w:line="5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2025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spacing w:after="0" w:line="8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our partners with unbilled revenue, revenue recognition occurs in advance of billings. Billings for some university partners do not occur until after the service period has commenced and final enrollment information is available. Our unbilled revenue of $53 and $115 as of December 31, 2025 and 2024,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 The Company will continue to actively monitor other factors on expected credit losses.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12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occupancy costs attributable to the provision of these services, primarily at the Company’s Phoenix, Arizona and Indianapolis, Indiana locations. Advertising costs are expensed as incurred.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w:t>
      </w:r>
    </w:p>
    <w:p>
      <w:pPr>
        <w:spacing w:after="0" w:line="121"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 litigation settlement of $35,000 was recorded in the year ended December 31, 2025 related to the settlement of the qui tam lawsuit.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 impairment and other</w:t>
      </w:r>
    </w:p>
    <w:p>
      <w:pPr>
        <w:spacing w:after="0" w:line="12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incurred $2,411 in lease termination and impairment charges in the year ended December 31, 2025 related to leases. The Company agreed to pay a termination fee of $1,308 for our Indiana office space to early terminate our lease effective in June 2027. An additional $1,103 lease impairment was recorded for the two off-campus classroom and laboratory sites that were closed during the third quarter of 2025. For the year ended December 31, 2024, impairment and other primarily includes the write-off of an internal use software project that has been terminated that it had been attempting to develop for its other university partners and costs relating to exiting from certain off-campus classroom and laboratory sites.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Insurance/Self-Insurance</w:t>
      </w:r>
    </w:p>
    <w:p>
      <w:pPr>
        <w:spacing w:after="0" w:line="12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2025 and 2024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December 31, 2025 and December 31, 2024, the Company had $111,011 and $323,124, respectively, in excess of the FDIC insured limit.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most significant university partner, with 89.5% and 88.9% of total service revenue for the years ended December 31, 2025 and 2024, respectively, subjects us to the risk that declines in our customers’ operations would result in a sustained reduction in service revenue for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60" w:right="159" w:firstLine="441"/>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spacing w:after="0" w:line="72" w:lineRule="exact"/>
        <w:rPr>
          <w:sz w:val="20"/>
          <w:szCs w:val="20"/>
          <w:color w:val="auto"/>
        </w:rPr>
      </w:pPr>
    </w:p>
    <w:p>
      <w:pPr>
        <w:jc w:val="both"/>
        <w:ind w:left="60" w:right="119" w:firstLine="441"/>
        <w:spacing w:after="0" w:line="266" w:lineRule="auto"/>
        <w:rPr>
          <w:sz w:val="20"/>
          <w:szCs w:val="20"/>
          <w:color w:val="auto"/>
        </w:rPr>
      </w:pPr>
      <w:r>
        <w:rPr>
          <w:rFonts w:ascii="Times New Roman" w:cs="Times New Roman" w:eastAsia="Times New Roman" w:hAnsi="Times New Roman"/>
          <w:sz w:val="18"/>
          <w:szCs w:val="18"/>
          <w:color w:val="auto"/>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spacing w:after="0" w:line="68" w:lineRule="exact"/>
        <w:rPr>
          <w:sz w:val="20"/>
          <w:szCs w:val="20"/>
          <w:color w:val="auto"/>
        </w:rPr>
      </w:pPr>
    </w:p>
    <w:p>
      <w:pPr>
        <w:ind w:left="60" w:right="359" w:firstLine="441"/>
        <w:spacing w:after="0" w:line="261" w:lineRule="auto"/>
        <w:rPr>
          <w:sz w:val="20"/>
          <w:szCs w:val="20"/>
          <w:color w:val="auto"/>
        </w:rPr>
      </w:pPr>
      <w:r>
        <w:rPr>
          <w:rFonts w:ascii="Times New Roman" w:cs="Times New Roman" w:eastAsia="Times New Roman" w:hAnsi="Times New Roman"/>
          <w:sz w:val="18"/>
          <w:szCs w:val="18"/>
          <w:color w:val="auto"/>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60" w:right="99" w:firstLine="441"/>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ASU 2023-09 is effective for fiscal years beginning after December 31, 2024, with early adoption permitted. The Company adopted ASU 2023-09 for the year ended December 31, 2025, and applied the new disclosure requirements retrospectively. Prior period disclosures have been adjusted to reflect the new disclosure requirements. See </w:t>
      </w:r>
      <w:r>
        <w:rPr>
          <w:rFonts w:ascii="Times New Roman" w:cs="Times New Roman" w:eastAsia="Times New Roman" w:hAnsi="Times New Roman"/>
          <w:sz w:val="18"/>
          <w:szCs w:val="18"/>
          <w:i w:val="1"/>
          <w:iCs w:val="1"/>
          <w:color w:val="auto"/>
        </w:rPr>
        <w:t>Note 10 Income Taxes</w:t>
      </w:r>
      <w:r>
        <w:rPr>
          <w:rFonts w:ascii="Times New Roman" w:cs="Times New Roman" w:eastAsia="Times New Roman" w:hAnsi="Times New Roman"/>
          <w:sz w:val="18"/>
          <w:szCs w:val="18"/>
          <w:color w:val="auto"/>
        </w:rPr>
        <w:t xml:space="preserve"> in the accompanying notes to the consolidated financial statements for further detail. The adoption of this guidance did not have a material impact on the Company’s financial condition, results of operations or statements of cash flows.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spacing w:after="0" w:line="8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The Company is currently evaluating the impact of this new standard on our financial statements and disclosures.</w:t>
      </w:r>
    </w:p>
    <w:p>
      <w:pPr>
        <w:spacing w:after="0" w:line="8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that no other recent accounting pronouncements apply to its operations or could otherwise have a material impact on its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investments of $188,317 and $0, respectively, classified as available-for sale securities. The Company sold all its investments in the third quarter of 2024 and the proceeds were invested in cash and cash equivalents.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54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gridSpan w:val="2"/>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180,146</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net realized gains were $57 and for the years ended December 31, 2025, 2024 and 2023, unrealized gains were $511, $0 and $476,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Based on the nature of securities there is no allowance recorded for available-for-sale debt securities.</w:t>
      </w:r>
    </w:p>
    <w:p>
      <w:pPr>
        <w:sectPr>
          <w:pgSz w:w="11900" w:h="16838" w:orient="portrait"/>
          <w:cols w:equalWidth="0" w:num="1">
            <w:col w:w="9019"/>
          </w:cols>
          <w:pgMar w:left="1440" w:top="513" w:right="1440" w:bottom="1440" w:gutter="0" w:footer="0" w:header="0"/>
        </w:sectPr>
      </w:pP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Available-for-sale securities maturing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-120650</wp:posOffset>
            </wp:positionV>
            <wp:extent cx="564896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094" w:hanging="1094"/>
        <w:spacing w:after="0"/>
        <w:tabs>
          <w:tab w:leader="none" w:pos="10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73,445</w:t>
      </w:r>
    </w:p>
    <w:p>
      <w:pPr>
        <w:spacing w:after="0" w:line="27" w:lineRule="exact"/>
        <w:rPr>
          <w:rFonts w:ascii="Times New Roman" w:cs="Times New Roman" w:eastAsia="Times New Roman" w:hAnsi="Times New Roman"/>
          <w:sz w:val="18"/>
          <w:szCs w:val="18"/>
          <w:color w:val="auto"/>
        </w:rPr>
      </w:pPr>
    </w:p>
    <w:p>
      <w:pPr>
        <w:ind w:left="10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82,477</w:t>
      </w:r>
    </w:p>
    <w:p>
      <w:pPr>
        <w:spacing w:after="0" w:line="9" w:lineRule="exact"/>
        <w:rPr>
          <w:rFonts w:ascii="Times New Roman" w:cs="Times New Roman" w:eastAsia="Times New Roman" w:hAnsi="Times New Roman"/>
          <w:sz w:val="18"/>
          <w:szCs w:val="18"/>
          <w:color w:val="auto"/>
        </w:rPr>
      </w:pPr>
    </w:p>
    <w:p>
      <w:pPr>
        <w:ind w:left="10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32,395</w:t>
      </w:r>
    </w:p>
    <w:p>
      <w:pPr>
        <w:spacing w:after="0" w:line="9" w:lineRule="exact"/>
        <w:rPr>
          <w:sz w:val="20"/>
          <w:szCs w:val="20"/>
          <w:color w:val="auto"/>
        </w:rPr>
      </w:pPr>
    </w:p>
    <w:p>
      <w:pPr>
        <w:ind w:left="1014" w:hanging="1014"/>
        <w:spacing w:after="0"/>
        <w:tabs>
          <w:tab w:leader="none" w:pos="101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188,317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0547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6" w:space="720"/>
            <w:col w:w="1733"/>
          </w:cols>
          <w:pgMar w:left="1440" w:top="513" w:right="1440" w:bottom="1440" w:gutter="0" w:footer="0" w:header="0"/>
          <w:type w:val="continuous"/>
        </w:sectPr>
      </w:pP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98,605</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372,036</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(195,213)</w:t>
            </w:r>
          </w:p>
        </w:tc>
      </w:tr>
      <w:tr>
        <w:trPr>
          <w:trHeight w:val="209"/>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totaled $31,187, $27,760 and $23,106 for the years ended December 31, 2025, 2024, and 2023, respectively.</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Identified intangible assets of $210,280 consisted primarily of university partner relationships that were valued at $210,000, which arose in connection with the acquisition of Orbis Education in January 2019.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Amortizable intangible assets consist of the following as of:</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partner relationships</w:t>
            </w:r>
          </w:p>
        </w:tc>
        <w:tc>
          <w:tcPr>
            <w:tcW w:w="142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for university partner relationships and trade names for the years ending December 31:</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109,448</w:t>
            </w:r>
          </w:p>
        </w:tc>
      </w:tr>
      <w:tr>
        <w:trPr>
          <w:trHeight w:val="209"/>
        </w:trPr>
        <w:tc>
          <w:tcPr>
            <w:tcW w:w="4320" w:type="dxa"/>
            <w:vAlign w:val="bottom"/>
            <w:tcBorders>
              <w:bottom w:val="single" w:sz="8" w:color="CCEEFF"/>
            </w:tcBorders>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r>
      <w:tr>
        <w:trPr>
          <w:trHeight w:val="20"/>
        </w:trPr>
        <w:tc>
          <w:tcPr>
            <w:tcW w:w="4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off-campus classroom and laboratory site locations, office space, office equipment, and optical fiber communication lines. These leases have terms that range from one month to 10 years and nine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$17,793, $16,694 and $13,496 for the years ended December 31, 2025, 2024 and 2023, respectively.</w:t>
      </w:r>
    </w:p>
    <w:p>
      <w:pPr>
        <w:spacing w:after="0" w:line="8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$15,542 of non-cancelable operating lease commitments for three off-campus classroom and laboratory sites that had not yet commenced. The Company’s weighted-average remaining lease term relating to its operating leases is 7.24 years, with a weighted-average discount rate of 4.44%. The cash paid for operating lease liabilities was $17,111, $14,895 and $11,391 for the years ended December 31, 2025, 2024 and 2023, respectively. As of December 31, 2025, the Company had no financing leases.</w:t>
      </w:r>
    </w:p>
    <w:p>
      <w:pPr>
        <w:spacing w:after="0" w:line="75"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Future payment obligations with respect to the Company’s operating leases, which were existing at December 31, 2025, by year and in the aggregate, are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90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w:t>
            </w: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39,576</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126,875</w:t>
            </w: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107,323</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7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Litigation Matters</w:t>
      </w:r>
    </w:p>
    <w:p>
      <w:pPr>
        <w:spacing w:after="0" w:line="119"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Matters Related to GCU Graduate Program Disclosures and Related Matters. </w:t>
      </w:r>
      <w:r>
        <w:rPr>
          <w:rFonts w:ascii="Times New Roman" w:cs="Times New Roman" w:eastAsia="Times New Roman" w:hAnsi="Times New Roman"/>
          <w:sz w:val="18"/>
          <w:szCs w:val="18"/>
          <w:color w:val="auto"/>
        </w:rPr>
        <w:t>The Company is a party to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alleging that, in the performance of its marketing services provided on behalf of GCU, it made false or misleading representations regarding the time to complete and the costs associated with and/or accreditation issues related to certain GCU graduate programs. These matters include:</w:t>
      </w:r>
    </w:p>
    <w:p>
      <w:pPr>
        <w:spacing w:after="0" w:line="76" w:lineRule="exact"/>
        <w:rPr>
          <w:sz w:val="20"/>
          <w:szCs w:val="20"/>
          <w:color w:val="auto"/>
        </w:rPr>
      </w:pPr>
    </w:p>
    <w:p>
      <w:pPr>
        <w:ind w:left="1380" w:right="219" w:hanging="331"/>
        <w:spacing w:after="0" w:line="26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Smith and Wang v. Grand Canyon Education, Inc.</w:t>
      </w:r>
      <w:r>
        <w:rPr>
          <w:rFonts w:ascii="Times New Roman" w:cs="Times New Roman" w:eastAsia="Times New Roman" w:hAnsi="Times New Roman"/>
          <w:sz w:val="18"/>
          <w:szCs w:val="18"/>
          <w:color w:val="auto"/>
        </w:rPr>
        <w:t xml:space="preserve"> 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 of the plaintiff’s RICO counts but allowed the other RICO count and the consumer protection claims to proceed to discovery. Discovery is ongoing, and there is currently no trial date scheduled in this matter.</w:t>
      </w:r>
    </w:p>
    <w:p>
      <w:pPr>
        <w:spacing w:after="0" w:line="6" w:lineRule="exact"/>
        <w:rPr>
          <w:rFonts w:ascii="Times New Roman" w:cs="Times New Roman" w:eastAsia="Times New Roman" w:hAnsi="Times New Roman"/>
          <w:sz w:val="18"/>
          <w:szCs w:val="18"/>
          <w:color w:val="auto"/>
        </w:rPr>
      </w:pPr>
    </w:p>
    <w:p>
      <w:pPr>
        <w:ind w:left="1380" w:right="199" w:hanging="331"/>
        <w:spacing w:after="0" w:line="250"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Ogdon v. Grand Canyon Education, Inc., et al</w:t>
      </w:r>
      <w:r>
        <w:rPr>
          <w:rFonts w:ascii="Times New Roman" w:cs="Times New Roman" w:eastAsia="Times New Roman" w:hAnsi="Times New Roman"/>
          <w:sz w:val="18"/>
          <w:szCs w:val="18"/>
          <w:color w:val="auto"/>
        </w:rPr>
        <w:t>.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In July 2025, the plaintiff filed a Second Amended Complaint and added an additional plaintiff. The Company filed a motion to dismiss the Second Amended Complaint on August 19, 2025. The court has not yet ruled on the motion. Discovery is ongoing, and there is currently no trial date scheduled in this matter.</w:t>
      </w:r>
    </w:p>
    <w:p>
      <w:pPr>
        <w:spacing w:after="0" w:line="3" w:lineRule="exact"/>
        <w:rPr>
          <w:rFonts w:ascii="Times New Roman" w:cs="Times New Roman" w:eastAsia="Times New Roman" w:hAnsi="Times New Roman"/>
          <w:sz w:val="18"/>
          <w:szCs w:val="18"/>
          <w:color w:val="auto"/>
        </w:rPr>
      </w:pPr>
    </w:p>
    <w:p>
      <w:pPr>
        <w:ind w:left="1380" w:right="79" w:hanging="331"/>
        <w:spacing w:after="0" w:line="251"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Valerio, et al. v. Grand Canyon Education, Inc., et al.</w:t>
      </w:r>
      <w:r>
        <w:rPr>
          <w:rFonts w:ascii="Times New Roman" w:cs="Times New Roman" w:eastAsia="Times New Roman" w:hAnsi="Times New Roman"/>
          <w:sz w:val="18"/>
          <w:szCs w:val="18"/>
          <w:color w:val="auto"/>
        </w:rPr>
        <w:t xml:space="preserve"> This suit was filed on December 24, 2024, in Maricopa County, Arizona Superior Court on behalf of nearly 300 plaintiffs. The plaintiffs assert various claims, including claims for violations of state law consumer protection statutes. The Company filed a motion to dismiss the complaint on May 12, 2025. On September 17, 2025, the court denied the motion to dismiss. The court held a status conference on October 9, 2025, to address issues of case management. The court ordered plaintiffs to file individual complaints for each plaintiff. The plaintiffs filed their individual complaints on December 11, 2025, and Defendants filed answers to each complaint on January 30, 2026. The court has not yet issued a case management conference. There is currently no trial date scheduled in this matter.</w:t>
      </w:r>
    </w:p>
    <w:p>
      <w:pPr>
        <w:spacing w:after="0" w:line="193"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Company’s representations made in marketing materials or by our employees regarding GCU’s doctoral program requirements were at all times accurate and not false or misleading and thus did not violate applicable law.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Reserves, Non-Income Tax Related</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exposure to various non-income tax related matters that arise in the ordinary course of business. At both December 31, 2025 and 2024, the Company has no non-income tax related matters where exposure is considered probable and the potential loss can be reasonably estimated.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2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020" w:type="dxa"/>
            <w:vAlign w:val="bottom"/>
          </w:tcPr>
          <w:p>
            <w:pPr>
              <w:ind w:left="49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9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7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700" w:type="dxa"/>
            <w:vAlign w:val="bottom"/>
            <w:gridSpan w:val="2"/>
          </w:tcPr>
          <w:p>
            <w:pPr>
              <w:jc w:val="right"/>
              <w:ind w:right="70"/>
              <w:spacing w:after="0" w:line="122" w:lineRule="exact"/>
              <w:rPr>
                <w:sz w:val="20"/>
                <w:szCs w:val="20"/>
                <w:color w:val="auto"/>
              </w:rPr>
            </w:pPr>
            <w:r>
              <w:rPr>
                <w:rFonts w:ascii="Times New Roman" w:cs="Times New Roman" w:eastAsia="Times New Roman" w:hAnsi="Times New Roman"/>
                <w:sz w:val="14"/>
                <w:szCs w:val="14"/>
                <w:b w:val="1"/>
                <w:bCs w:val="1"/>
                <w:color w:val="auto"/>
              </w:rPr>
              <w:t>​​​  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27,862</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2025, 2024 and 2023, approximately 15, 20, and 52, respectively, of the Company’s restricted stock awards outstanding were excluded from the calculation of diluted earnings per share as their inclusion would have been anti-dilutive. These restricted stock awards could be dilutive in the future.</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 Transactions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left="60" w:right="199" w:firstLine="648"/>
        <w:spacing w:after="0" w:line="257" w:lineRule="auto"/>
        <w:rPr>
          <w:sz w:val="20"/>
          <w:szCs w:val="20"/>
          <w:color w:val="auto"/>
        </w:rPr>
      </w:pPr>
      <w:r>
        <w:rPr>
          <w:rFonts w:ascii="Times New Roman" w:cs="Times New Roman" w:eastAsia="Times New Roman" w:hAnsi="Times New Roman"/>
          <w:sz w:val="18"/>
          <w:szCs w:val="18"/>
          <w:color w:val="auto"/>
        </w:rPr>
        <w:t>On December 10, 2025 the Board of Directors approved a $300,000 increase under its existing stock repurchase program reflecting an aggregate authorization for share repurchases since the initiation of the program of $2,545,000. The expiration date on the repurchase authorization is March 1, 2027. Repurchases occur at the Company’s discretion.</w:t>
      </w:r>
    </w:p>
    <w:p>
      <w:pPr>
        <w:spacing w:after="0" w:line="1" w:lineRule="exact"/>
        <w:rPr>
          <w:sz w:val="20"/>
          <w:szCs w:val="20"/>
          <w:color w:val="auto"/>
        </w:rPr>
      </w:pPr>
    </w:p>
    <w:p>
      <w:pPr>
        <w:jc w:val="both"/>
        <w:ind w:left="60" w:right="199"/>
        <w:spacing w:after="0" w:line="255" w:lineRule="auto"/>
        <w:rPr>
          <w:sz w:val="20"/>
          <w:szCs w:val="20"/>
          <w:color w:val="auto"/>
        </w:rPr>
      </w:pPr>
      <w:r>
        <w:rPr>
          <w:rFonts w:ascii="Times New Roman" w:cs="Times New Roman" w:eastAsia="Times New Roman" w:hAnsi="Times New Roman"/>
          <w:sz w:val="18"/>
          <w:szCs w:val="18"/>
          <w:color w:val="auto"/>
        </w:rPr>
        <w:t>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78"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1,479 shares of common stock at an aggregate cost of $255,294. As of December 31, 2025, there remained $344,354 available under its current share repurchase authorization. Shares repurchased in lieu of taxes are not included in the repurchase plan totals as they were approved in conjunction with the restricted share awards.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2025 and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24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56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recorded as an increase of paid-in capital</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income tax computed at the U.S. statutory rate to the effective income tax rate is as follows:</w:t>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2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U.S. Federal Statutory Tax</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88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$ 58,769</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$ 61,176</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$ 54,532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&amp; Local Income Taxes,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federal income tax</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2,397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1,592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Enactment of New Tax Laws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Nontaxable or Nondeductible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816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Unrecognized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1,736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(1,482)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63,681</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65,081</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54,690</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1300" w:right="119" w:hanging="332"/>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states and local jurisdictions that contribute to the majority (greater than 50%) of the tax effect in this category include Arizona, Massachusetts, Oregon, New York and New Jersey.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included in Deferred income taxes, non-current on the consolidated balance sheets are as follows:</w:t>
      </w:r>
    </w:p>
    <w:p>
      <w:pPr>
        <w:spacing w:after="0" w:line="4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5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compensation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1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deferred tax liability on the accompanying consolidated balance sheet is comprised of the following:</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4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current</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(32,354)</w:t>
            </w: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2025 and 2024 were $16,824 and $14,626, respectively.</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reconciliation of the beginning and ending balance of unrecognized tax benefits at December 31, is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0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$ 14,626</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$ 13,631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taken during the current year</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taken during a prior year</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settlements during the period</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8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$ 16,824</w:t>
            </w:r>
          </w:p>
        </w:tc>
        <w:tc>
          <w:tcPr>
            <w:tcW w:w="160" w:type="dxa"/>
            <w:vAlign w:val="bottom"/>
            <w:gridSpan w:val="2"/>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$ 14,626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unrecognized tax benefit recorded of $16,824 and $14,626, respectively, if reversed, would impact the effective tax rate. At both years ended December 31, 2025 and 2024 the Company had accrued $0, in interest and $0, in penalties.</w:t>
      </w:r>
    </w:p>
    <w:p>
      <w:pPr>
        <w:spacing w:after="0" w:line="68"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Company’s uncertain tax positions were related to tax years that remained subject to examination by tax authorities. As of December 31, 2025, the earliest tax year still subject to examination for federal and state purposes is 2022 and 2020,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amount of cash income taxes paid by the Company were as follows:</w:t>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0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$ 61,000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$ 57,000</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$ 53,883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$ 65,252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$ 56,656</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Share-Based Compensation Plans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Plans</w:t>
      </w:r>
    </w:p>
    <w:p>
      <w:pPr>
        <w:spacing w:after="0" w:line="11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makes equity incentive grants pursuant to our 2017 Equity Incentive Plan (the “2017 Plan”) under which a maximum of 3,000 shares may be granted. As of December 31, 2025, 873 shares were available for grants under the 2017 Plan.</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fiscal years 2025, 2024, and 2023, the Company granted 86, 117, and 136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2025, 2024 and 2023, the Company withheld 53, 55, and 56 shares of common stock in lieu of taxes at a cost of $9,463, $7,446, and $6,331, on the restricted stock vesting dates, respectively. In April 2024, a new non-employee director was appointed to the Board of Directors and was granted an initial award of shares pursuant to the Company’s compensation program. The initial award of shares that were granted to such newly appointed director have voting rights and vest on the one-year anniversary of the date of grant. During 2025, 2024 and 2023, following the annual stockholders meeting, the Company granted 2, 3 and 4 shares of common stock to the non-employee members of the Board of Directors. The restricted shares granted to these directors have voting rights and vest on the earlier of (a) the one year anniversary of the date of grant or (b) immediately prior to the following year’s annual stockholders’ meeting.</w:t>
      </w:r>
    </w:p>
    <w:p>
      <w:pPr>
        <w:spacing w:after="0" w:line="8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June 30, 2024, a named executive officer resigned for “good reason” which, under the terms of his employment agreement, resulted in an acceleration of the vesting of the next tranche of five outstanding restricted stock awards that would have otherwise vested on March 1, 2025. As a result, the incremental share-based compensation expense from the modification on the five restricted stock awards for the accelerated vesting date was $558 and is included in the general and administrative expenses in the Company’s consolidated income statement. In July 2024, 5 shares vested and 2 shares were withheld in lieu of taxes at a cost of $324 on the accelerated vesting date.</w:t>
      </w:r>
    </w:p>
    <w:p>
      <w:pPr>
        <w:spacing w:after="0" w:line="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activity related to restricted stock granted under the Company’s Incentive Plan is as follows:</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640" w:type="dxa"/>
            <w:vAlign w:val="bottom"/>
            <w:gridSpan w:val="2"/>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line="20" w:lineRule="exact"/>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line="20" w:lineRule="exact"/>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approximately $29,430 of total unrecognized share-based compensation cost related to unvested restricted stock awards. These costs are expected to be recognized over a weighted average period of 2.02 years.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Compensation Expense Assumptions – Restricted Stock Awards</w:t>
      </w:r>
    </w:p>
    <w:p>
      <w:pPr>
        <w:spacing w:after="0" w:line="11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Board of Directors. The Company recognizes forfeitures as they occur. The restricted shares have voting rights.</w:t>
      </w:r>
    </w:p>
    <w:p>
      <w:pPr>
        <w:spacing w:after="0" w:line="7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below outlines share-based compensation expense for the fiscal years ended December 31, 2025, 2024 and 2023 related to restricted stock and stock options granted:</w:t>
      </w:r>
    </w:p>
    <w:p>
      <w:pPr>
        <w:spacing w:after="0" w:line="6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174"/>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Share-based compensation expense included in operating</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effect of share-based compensation</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Share-based compensation expense, net of tax</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restrictions under the Internal Revenue Code of 1986 (the “Code”), and the Plan allows the Company to make discretionary matching contributions. The Company plans to make a matching contribution to the Plan of approximately $3,292 for the year ended December 31, 2025. The Company made discretionary matching contributions to the Plan of $3,132 and $2,951 for the years ended December 31, 2024 and 2023, respectively.</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6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and for the years ended December 31, 2025, 2024 and 2023, related party transactions consisted of the following:</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11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GCE Community Fund (“GCECF”) </w:t>
      </w:r>
      <w:r>
        <w:rPr>
          <w:rFonts w:ascii="Times New Roman" w:cs="Times New Roman" w:eastAsia="Times New Roman" w:hAnsi="Times New Roman"/>
          <w:sz w:val="18"/>
          <w:szCs w:val="18"/>
          <w:color w:val="auto"/>
        </w:rPr>
        <w:t>- GCECF was initially formed in 2014. GCECF makes grants for charitable,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educational, literary, religious or scientific purposes within the meaning of Section 501(c)(3) of the Code, including for such purposes as the making of distributions to organizations that qualify as exempt organizations under Section 501(c)(3)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The Company made a voluntary charitable contribution of $500 for the year ended December 31, 2025, of which no amounts were owed as of December 31, 2025. No donations were made during the year ended December 31, 2024. The Company made voluntary charitable contributions of $1,650 for the year ended December 31, 2023, of which no amounts were owed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and including our Principal Executive Officer and Principal Financial Officer, to assist in this evaluation. Our Disclosure Committee meets on a quarterly basis and more often if necessary.</w:t>
      </w:r>
    </w:p>
    <w:p>
      <w:pPr>
        <w:spacing w:after="0" w:line="8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2025.</w:t>
      </w:r>
    </w:p>
    <w:p>
      <w:pPr>
        <w:spacing w:after="0" w:line="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17" w:lineRule="exact"/>
        <w:rPr>
          <w:sz w:val="20"/>
          <w:szCs w:val="20"/>
          <w:color w:val="auto"/>
        </w:rPr>
      </w:pPr>
    </w:p>
    <w:p>
      <w:pPr>
        <w:ind w:left="1160" w:right="139" w:hanging="327"/>
        <w:spacing w:after="0" w:line="261"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ind w:left="1160" w:right="299" w:hanging="327"/>
        <w:spacing w:after="0" w:line="250"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1160" w:right="219" w:hanging="327"/>
        <w:spacing w:after="0" w:line="260"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8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our internal control over financial reporting as of December 31, 2025, utilizing the criteria established in the “Internal Control—Integrated Framework (2013)” issued by the Committee of Sponsoring Organizations of the Treadway Commission. The objective of this assessment was to determine whether our internal control over financial reporting was effective as of December 31, 2025. Based on its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assessment, management has concluded that, as of December 31, 2025, the Company’s internal control over financial reporting is effective.</w:t>
      </w:r>
    </w:p>
    <w:p>
      <w:pPr>
        <w:spacing w:after="0" w:line="54"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KPMG LLP, an independent registered public accounting firm, as stated in their audit report which is included herein.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Grand Canyon Education, Inc.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years in the three-year period ended December 31, 2025, and the related notes (collectively, the consolidated financial statements), and our report dated February 18, 2026 expressed an unqualified opinion on those consolidated financial statements.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none of our Section 16 directors or officers adopted, modified or terminated a “Rule 10b5-1 trading arrangement” (as defined in Item 408 of Regulation S-K of the Exchange Act).</w:t>
      </w:r>
    </w:p>
    <w:p>
      <w:pPr>
        <w:spacing w:after="0" w:line="54"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2026 Annual Meeting of Stockholders within 120 days after the end of fiscal year ended December 31, 2025.</w:t>
      </w:r>
    </w:p>
    <w:p>
      <w:pPr>
        <w:spacing w:after="0" w:line="6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75"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64"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2026 Annual Meeting of Stockholders within 120 days after the end of fiscal year ended December 31, 2025.</w:t>
      </w:r>
    </w:p>
    <w:p>
      <w:pPr>
        <w:spacing w:after="0" w:line="6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2026 Annual Meeting of Stockholders within 120 days after the end of fiscal year ended December 31, 2025.</w:t>
      </w:r>
    </w:p>
    <w:p>
      <w:pPr>
        <w:spacing w:after="0" w:line="6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2026 Annual Meeting of Stockholders within 120 days after the end of fiscal year ended December 31, 2025.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2026 Annual Meeting of Stockholders within 120 days after the end of fiscal year ended December 31, 2025.</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Annual Report on Form 10-K:</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74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 filed as part of this report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4"/>
        </w:trPr>
        <w:tc>
          <w:tcPr>
            <w:tcW w:w="83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Page</w:t>
            </w: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0" w:type="dxa"/>
            <w:vAlign w:val="bottom"/>
            <w:tcBorders>
              <w:bottom w:val="single" w:sz="8" w:color="0000EE"/>
            </w:tcBorders>
          </w:tcPr>
          <w:p>
            <w:pPr>
              <w:spacing w:after="0"/>
              <w:rPr>
                <w:sz w:val="14"/>
                <w:szCs w:val="14"/>
                <w:color w:val="auto"/>
              </w:rPr>
            </w:pPr>
          </w:p>
        </w:tc>
        <w:tc>
          <w:tcPr>
            <w:tcW w:w="42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160" w:type="dxa"/>
            <w:vAlign w:val="bottom"/>
            <w:tcBorders>
              <w:top w:val="single" w:sz="8" w:color="auto"/>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8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8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2025, 2024 and 2023</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2025, 2024 and 2023</w:t>
            </w:r>
          </w:p>
        </w:tc>
        <w:tc>
          <w:tcPr>
            <w:tcW w:w="60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8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2024 and 2023</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7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800" w:type="dxa"/>
            <w:vAlign w:val="bottom"/>
            <w:gridSpan w:val="2"/>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6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80" w:type="dxa"/>
            <w:vAlign w:val="bottom"/>
            <w:gridSpan w:val="3"/>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hanging="415"/>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117"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required, or because the information required is included in the Consolidated Financial Statements and Notes thereto.</w:t>
      </w:r>
    </w:p>
    <w:p>
      <w:pPr>
        <w:spacing w:after="0" w:line="54" w:lineRule="exact"/>
        <w:rPr>
          <w:sz w:val="20"/>
          <w:szCs w:val="20"/>
          <w:color w:val="auto"/>
        </w:rPr>
      </w:pPr>
    </w:p>
    <w:p>
      <w:pPr>
        <w:ind w:left="1140" w:hanging="41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4" w:lineRule="exact"/>
        <w:rPr>
          <w:sz w:val="20"/>
          <w:szCs w:val="20"/>
          <w:color w:val="auto"/>
        </w:rPr>
      </w:pPr>
    </w:p>
    <w:p>
      <w:pPr>
        <w:ind w:left="60"/>
        <w:spacing w:after="0"/>
        <w:tabs>
          <w:tab w:leader="none" w:pos="780" w:val="left"/>
          <w:tab w:leader="none" w:pos="2520" w:val="left"/>
          <w:tab w:leader="none" w:pos="4900" w:val="left"/>
          <w:tab w:leader="none" w:pos="64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2.1</w:t>
            </w:r>
          </w:p>
        </w:tc>
        <w:tc>
          <w:tcPr>
            <w:tcW w:w="3840" w:type="dxa"/>
            <w:vAlign w:val="bottom"/>
            <w:gridSpan w:val="11"/>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Asset Purchase Agreement, dated July 1, 2018, by</w:t>
              </w:r>
            </w:hyperlink>
          </w:p>
        </w:tc>
      </w:tr>
      <w:tr>
        <w:trPr>
          <w:trHeight w:val="196"/>
        </w:trPr>
        <w:tc>
          <w:tcPr>
            <w:tcW w:w="8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Grand Canyon University (formerly known as</w:t>
              </w:r>
            </w:hyperlink>
          </w:p>
        </w:tc>
      </w:tr>
      <w:tr>
        <w:trPr>
          <w:trHeight w:val="196"/>
        </w:trPr>
        <w:tc>
          <w:tcPr>
            <w:tcW w:w="8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Gazelle University)#</w:t>
              </w:r>
            </w:hyperlink>
          </w:p>
        </w:tc>
        <w:tc>
          <w:tcPr>
            <w:tcW w:w="1800" w:type="dxa"/>
            <w:vAlign w:val="bottom"/>
            <w:tcBorders>
              <w:top w:val="single" w:sz="8" w:color="0000EE"/>
            </w:tcBorders>
            <w:gridSpan w:val="2"/>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412"/>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2.2</w:t>
            </w:r>
          </w:p>
        </w:tc>
        <w:tc>
          <w:tcPr>
            <w:tcW w:w="3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Agreement and Plan of Merger, dated December 17,</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2018, by and among Grand Canyon Education, Inc.,</w:t>
              </w:r>
            </w:hyperlink>
          </w:p>
        </w:tc>
        <w:tc>
          <w:tcPr>
            <w:tcW w:w="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GCE Cosmos Merger Sub, LLC and Orbis Education</w:t>
              </w:r>
            </w:hyperlink>
          </w:p>
        </w:tc>
      </w:tr>
      <w:tr>
        <w:trPr>
          <w:trHeight w:val="196"/>
        </w:trPr>
        <w:tc>
          <w:tcPr>
            <w:tcW w:w="8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Services, LLC#</w:t>
              </w:r>
            </w:hyperlink>
          </w:p>
        </w:tc>
        <w:tc>
          <w:tcPr>
            <w:tcW w:w="2700" w:type="dxa"/>
            <w:vAlign w:val="bottom"/>
            <w:gridSpan w:val="9"/>
          </w:tcPr>
          <w:p>
            <w:pPr>
              <w:spacing w:after="0"/>
              <w:rPr>
                <w:sz w:val="17"/>
                <w:szCs w:val="17"/>
                <w:color w:val="auto"/>
              </w:rPr>
            </w:pPr>
          </w:p>
        </w:tc>
      </w:tr>
      <w:tr>
        <w:trPr>
          <w:trHeight w:val="412"/>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3.1</w:t>
            </w:r>
          </w:p>
        </w:tc>
        <w:tc>
          <w:tcPr>
            <w:tcW w:w="3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Certificate of Incorporation</w:t>
              </w:r>
            </w:hyperlink>
          </w:p>
        </w:tc>
        <w:tc>
          <w:tcPr>
            <w:tcW w:w="1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(as amended)</w:t>
              </w:r>
            </w:hyperlink>
          </w:p>
        </w:tc>
        <w:tc>
          <w:tcPr>
            <w:tcW w:w="2860" w:type="dxa"/>
            <w:vAlign w:val="bottom"/>
            <w:gridSpan w:val="10"/>
          </w:tcPr>
          <w:p>
            <w:pPr>
              <w:spacing w:after="0"/>
              <w:rPr>
                <w:sz w:val="17"/>
                <w:szCs w:val="17"/>
                <w:color w:val="auto"/>
              </w:rPr>
            </w:pPr>
          </w:p>
        </w:tc>
      </w:tr>
      <w:tr>
        <w:trPr>
          <w:trHeight w:val="628"/>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3.2</w:t>
            </w:r>
          </w:p>
        </w:tc>
        <w:tc>
          <w:tcPr>
            <w:tcW w:w="3840" w:type="dxa"/>
            <w:vAlign w:val="bottom"/>
            <w:gridSpan w:val="11"/>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Third Amended and Restated Bylaws</w:t>
              </w:r>
            </w:hyperlink>
          </w:p>
        </w:tc>
      </w:tr>
      <w:tr>
        <w:trPr>
          <w:trHeight w:val="20"/>
        </w:trPr>
        <w:tc>
          <w:tcPr>
            <w:tcW w:w="8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2.1 to GCE’s Quarterly Report on Form 10-Q filed with the SEC on November 8, 2018.</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2.2 to GCE’s Annual Report on Form 10-K filed with the SEC on February 20, 2019.</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Annual Report on Form 10-K filed with the SEC on February 20, 2019.</w:t>
      </w:r>
    </w:p>
    <w:p>
      <w:pPr>
        <w:spacing w:after="0" w:line="176"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Current Report on Form 8-K filed with the SEC on October 29, 2014.</w:t>
      </w:r>
    </w:p>
    <w:p>
      <w:pPr>
        <w:spacing w:after="0" w:line="163" w:lineRule="exact"/>
        <w:rPr>
          <w:sz w:val="20"/>
          <w:szCs w:val="20"/>
          <w:color w:val="auto"/>
        </w:rPr>
      </w:pPr>
    </w:p>
    <w:p>
      <w:pPr>
        <w:sectPr>
          <w:pgSz w:w="11900" w:h="16838" w:orient="portrait"/>
          <w:cols w:equalWidth="0" w:num="2">
            <w:col w:w="4780" w:space="280"/>
            <w:col w:w="39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4.1</w:t>
            </w:r>
          </w:p>
        </w:tc>
        <w:tc>
          <w:tcPr>
            <w:tcW w:w="3140" w:type="dxa"/>
            <w:vAlign w:val="bottom"/>
            <w:gridSpan w:val="2"/>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Specimen of Stock Certificate</w:t>
              </w:r>
            </w:hyperlink>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Incorporated by reference to Exhibit 4.1 to</w:t>
            </w:r>
          </w:p>
        </w:tc>
      </w:tr>
      <w:tr>
        <w:trPr>
          <w:trHeight w:val="218"/>
        </w:trPr>
        <w:tc>
          <w:tcPr>
            <w:tcW w:w="880" w:type="dxa"/>
            <w:vAlign w:val="bottom"/>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Amendment No. 2 to GCE’s Registration Statement</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on Form S-1 filed with the SEC on September 29,</w:t>
            </w:r>
          </w:p>
        </w:tc>
      </w:tr>
      <w:tr>
        <w:trPr>
          <w:trHeight w:val="234"/>
        </w:trPr>
        <w:tc>
          <w:tcPr>
            <w:tcW w:w="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2008.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gridSpan w:val="16"/>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00" w:type="dxa"/>
            <w:vAlign w:val="bottom"/>
            <w:tcBorders>
              <w:top w:val="single" w:sz="8" w:color="auto"/>
              <w:bottom w:val="single" w:sz="8" w:color="0000EE"/>
            </w:tcBorders>
            <w:gridSpan w:val="3"/>
          </w:tcPr>
          <w:p>
            <w:pPr>
              <w:spacing w:after="0" w:line="169"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Description of Common Stock</w:t>
              </w:r>
            </w:hyperlink>
          </w:p>
        </w:tc>
        <w:tc>
          <w:tcPr>
            <w:tcW w:w="1700" w:type="dxa"/>
            <w:vAlign w:val="bottom"/>
            <w:tcBorders>
              <w:top w:val="single" w:sz="8" w:color="auto"/>
            </w:tcBorders>
            <w:gridSpan w:val="15"/>
          </w:tcPr>
          <w:p>
            <w:pPr>
              <w:spacing w:after="0"/>
              <w:rPr>
                <w:sz w:val="14"/>
                <w:szCs w:val="1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30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2008 Equity Incentive Plan, as amended†</w:t>
              </w:r>
            </w:hyperlink>
          </w:p>
        </w:tc>
        <w:tc>
          <w:tcPr>
            <w:tcW w:w="920" w:type="dxa"/>
            <w:vAlign w:val="bottom"/>
            <w:gridSpan w:val="13"/>
          </w:tcPr>
          <w:p>
            <w:pPr>
              <w:spacing w:after="0"/>
              <w:rPr>
                <w:sz w:val="24"/>
                <w:szCs w:val="2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30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2017 Equity Incentive Plan, as amended†</w:t>
              </w:r>
            </w:hyperlink>
          </w:p>
        </w:tc>
        <w:tc>
          <w:tcPr>
            <w:tcW w:w="920" w:type="dxa"/>
            <w:vAlign w:val="bottom"/>
            <w:gridSpan w:val="13"/>
          </w:tcPr>
          <w:p>
            <w:pPr>
              <w:spacing w:after="0"/>
              <w:rPr>
                <w:sz w:val="24"/>
                <w:szCs w:val="2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3920" w:type="dxa"/>
            <w:vAlign w:val="bottom"/>
            <w:gridSpan w:val="19"/>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Restricted Stock Agreement under the 2017</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Equity Incentive Plan, as amended†</w:t>
              </w:r>
            </w:hyperlink>
          </w:p>
        </w:tc>
        <w:tc>
          <w:tcPr>
            <w:tcW w:w="1180" w:type="dxa"/>
            <w:vAlign w:val="bottom"/>
            <w:tcBorders>
              <w:top w:val="single" w:sz="8" w:color="0000EE"/>
            </w:tcBorders>
            <w:gridSpan w:val="9"/>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62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dated May 1, 2023, by and between</w:t>
              </w:r>
            </w:hyperlink>
          </w:p>
        </w:tc>
        <w:tc>
          <w:tcPr>
            <w:tcW w:w="4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Grand Canyon Education, Inc. and Brian E. Mueller†</w:t>
              </w:r>
            </w:hyperlink>
          </w:p>
        </w:tc>
        <w:tc>
          <w:tcPr>
            <w:tcW w:w="60" w:type="dxa"/>
            <w:vAlign w:val="bottom"/>
            <w:gridSpan w:val="3"/>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Agreement, dated May 1, 2023, by and between</w:t>
              </w:r>
            </w:hyperlink>
          </w:p>
        </w:tc>
        <w:tc>
          <w:tcPr>
            <w:tcW w:w="4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Grand Canyon Education, Inc. and W. Stan Meyer†</w:t>
              </w:r>
            </w:hyperlink>
          </w:p>
        </w:tc>
        <w:tc>
          <w:tcPr>
            <w:tcW w:w="200" w:type="dxa"/>
            <w:vAlign w:val="bottom"/>
            <w:gridSpan w:val="7"/>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dated May 1, 2023, by and between</w:t>
              </w:r>
            </w:hyperlink>
          </w:p>
        </w:tc>
        <w:tc>
          <w:tcPr>
            <w:tcW w:w="4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Grand Canyon Education, Inc. and Daniel E. Bachus†</w:t>
              </w:r>
            </w:hyperlink>
          </w:p>
        </w:tc>
        <w:tc>
          <w:tcPr>
            <w:tcW w:w="2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3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Second Amended and Restated Executive</w:t>
              </w:r>
            </w:hyperlink>
          </w:p>
        </w:tc>
        <w:tc>
          <w:tcPr>
            <w:tcW w:w="90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Employment Agreement, dated May 1, 2023, by and</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between Grand Canyon Education, Inc. and Dilek</w:t>
              </w:r>
            </w:hyperlink>
          </w:p>
        </w:tc>
        <w:tc>
          <w:tcPr>
            <w:tcW w:w="3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Marsh†</w:t>
              </w:r>
            </w:hyperlink>
          </w:p>
        </w:tc>
        <w:tc>
          <w:tcPr>
            <w:tcW w:w="3360" w:type="dxa"/>
            <w:vAlign w:val="bottom"/>
            <w:gridSpan w:val="17"/>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3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Second Amended and Restated Executive</w:t>
              </w:r>
            </w:hyperlink>
          </w:p>
        </w:tc>
        <w:tc>
          <w:tcPr>
            <w:tcW w:w="90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Employment Agreement, dated April 29, 2025, by</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and between Grand Canyon Education, Inc. and</w:t>
              </w:r>
            </w:hyperlink>
          </w:p>
        </w:tc>
        <w:tc>
          <w:tcPr>
            <w:tcW w:w="160" w:type="dxa"/>
            <w:vAlign w:val="bottom"/>
            <w:tcBorders>
              <w:top w:val="single" w:sz="8" w:color="0000EE"/>
            </w:tcBorders>
            <w:gridSpan w:val="3"/>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Kathy J. Claypatch</w:t>
              </w:r>
              <w:r>
                <w:rPr>
                  <w:rFonts w:ascii="Times New Roman" w:cs="Times New Roman" w:eastAsia="Times New Roman" w:hAnsi="Times New Roman"/>
                  <w:sz w:val="18"/>
                  <w:szCs w:val="18"/>
                  <w:color w:val="000000"/>
                </w:rPr>
                <w:t>†</w:t>
              </w:r>
            </w:hyperlink>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Director and Officer Indemnity Agreement</w:t>
              </w:r>
            </w:hyperlink>
          </w:p>
        </w:tc>
        <w:tc>
          <w:tcPr>
            <w:tcW w:w="18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7620</wp:posOffset>
            </wp:positionV>
            <wp:extent cx="24771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140" w:right="21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4.2 to GCE’s Annual Report on Form 10-K filed with the SEC on February 20, 2020.</w:t>
      </w:r>
    </w:p>
    <w:p>
      <w:pPr>
        <w:spacing w:after="0" w:line="187" w:lineRule="exact"/>
        <w:rPr>
          <w:sz w:val="20"/>
          <w:szCs w:val="20"/>
          <w:color w:val="auto"/>
        </w:rPr>
      </w:pPr>
    </w:p>
    <w:p>
      <w:pPr>
        <w:jc w:val="both"/>
        <w:ind w:left="140"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14, 2011.</w:t>
      </w:r>
    </w:p>
    <w:p>
      <w:pPr>
        <w:spacing w:after="0" w:line="176" w:lineRule="exact"/>
        <w:rPr>
          <w:sz w:val="20"/>
          <w:szCs w:val="20"/>
          <w:color w:val="auto"/>
        </w:rPr>
      </w:pPr>
    </w:p>
    <w:p>
      <w:pPr>
        <w:jc w:val="both"/>
        <w:ind w:left="140"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Current Report on Form 8-K filed with the SEC on June 14, 2017.</w:t>
      </w:r>
    </w:p>
    <w:p>
      <w:pPr>
        <w:spacing w:after="0" w:line="176" w:lineRule="exact"/>
        <w:rPr>
          <w:sz w:val="20"/>
          <w:szCs w:val="20"/>
          <w:color w:val="auto"/>
        </w:rPr>
      </w:pPr>
    </w:p>
    <w:p>
      <w:pPr>
        <w:jc w:val="both"/>
        <w:ind w:left="140"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GCE’s Annual Report on Form 10-K filed with the SEC on February 21, 2018.</w:t>
      </w:r>
    </w:p>
    <w:p>
      <w:pPr>
        <w:spacing w:after="0" w:line="176" w:lineRule="exact"/>
        <w:rPr>
          <w:sz w:val="20"/>
          <w:szCs w:val="20"/>
          <w:color w:val="auto"/>
        </w:rPr>
      </w:pPr>
    </w:p>
    <w:p>
      <w:pPr>
        <w:ind w:left="140"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the Company’s Quarterly Report on Form 10-Q filed with the SEC on May 2, 2023.</w:t>
      </w:r>
    </w:p>
    <w:p>
      <w:pPr>
        <w:spacing w:after="0" w:line="176" w:lineRule="exact"/>
        <w:rPr>
          <w:sz w:val="20"/>
          <w:szCs w:val="20"/>
          <w:color w:val="auto"/>
        </w:rPr>
      </w:pPr>
    </w:p>
    <w:p>
      <w:pPr>
        <w:ind w:left="140"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10.2 to the Company’s Quarterly Report on Form 10-Q filed with the SEC on May 2, 2023.</w:t>
      </w:r>
    </w:p>
    <w:p>
      <w:pPr>
        <w:spacing w:after="0" w:line="176" w:lineRule="exact"/>
        <w:rPr>
          <w:sz w:val="20"/>
          <w:szCs w:val="20"/>
          <w:color w:val="auto"/>
        </w:rPr>
      </w:pPr>
    </w:p>
    <w:p>
      <w:pPr>
        <w:ind w:left="140"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the Company’s Quarterly Report on Form 10-Q filed with the SEC on May 2, 2023.</w:t>
      </w:r>
    </w:p>
    <w:p>
      <w:pPr>
        <w:spacing w:after="0" w:line="176" w:lineRule="exact"/>
        <w:rPr>
          <w:sz w:val="20"/>
          <w:szCs w:val="20"/>
          <w:color w:val="auto"/>
        </w:rPr>
      </w:pPr>
    </w:p>
    <w:p>
      <w:pPr>
        <w:ind w:left="140"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10.4 to the Company’s Quarterly Report on Form 10-Q filed with the SEC on May 2, 2023.</w:t>
      </w:r>
    </w:p>
    <w:p>
      <w:pPr>
        <w:spacing w:after="0" w:line="392" w:lineRule="exact"/>
        <w:rPr>
          <w:sz w:val="20"/>
          <w:szCs w:val="20"/>
          <w:color w:val="auto"/>
        </w:rPr>
      </w:pPr>
    </w:p>
    <w:p>
      <w:pPr>
        <w:ind w:left="140" w:right="3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the Company Quarterly Report on Form 10-Q filed on May 6, 2025.</w:t>
      </w:r>
    </w:p>
    <w:p>
      <w:pPr>
        <w:spacing w:after="0" w:line="392" w:lineRule="exact"/>
        <w:rPr>
          <w:sz w:val="20"/>
          <w:szCs w:val="20"/>
          <w:color w:val="auto"/>
        </w:rPr>
      </w:pPr>
    </w:p>
    <w:p>
      <w:pPr>
        <w:ind w:left="140" w:right="239"/>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10.21 to Amendment No. 2 to GCE’s Registration Statement on Form S-1 filed with the SEC on September 29, 2008.</w:t>
      </w:r>
    </w:p>
    <w:p>
      <w:pPr>
        <w:spacing w:after="0" w:line="180" w:lineRule="exact"/>
        <w:rPr>
          <w:sz w:val="20"/>
          <w:szCs w:val="20"/>
          <w:color w:val="auto"/>
        </w:rPr>
      </w:pPr>
    </w:p>
    <w:p>
      <w:pPr>
        <w:sectPr>
          <w:pgSz w:w="11900" w:h="16838" w:orient="portrait"/>
          <w:cols w:equalWidth="0" w:num="2">
            <w:col w:w="4860" w:space="60"/>
            <w:col w:w="4099"/>
          </w:cols>
          <w:pgMar w:left="1440" w:top="513" w:right="1440" w:bottom="1440" w:gutter="0" w:footer="0" w:header="0"/>
          <w:type w:val="continuous"/>
        </w:sectPr>
      </w:pPr>
    </w:p>
    <w:p>
      <w:pPr>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26">
        <w:r>
          <w:rPr>
            <w:rFonts w:ascii="Times New Roman" w:cs="Times New Roman" w:eastAsia="Times New Roman" w:hAnsi="Times New Roman"/>
            <w:sz w:val="18"/>
            <w:szCs w:val="18"/>
            <w:u w:val="single" w:color="auto"/>
            <w:color w:val="0000EE"/>
          </w:rPr>
          <w:t>Credit Agreement dated July 1, 2018, by and between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Grand Canyon Education, Inc. and Grand Canyon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University (formerly known as Gazelle University).</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10.7 to GCE’s Quarterly Report on Form 10-Q filed with the SEC on November 8, 2018.</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20" w:space="240"/>
            <w:col w:w="3959"/>
          </w:cols>
          <w:pgMar w:left="1440" w:top="513"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780" w:val="left"/>
          <w:tab w:leader="none" w:pos="25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3042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940" w:right="220" w:hanging="890"/>
        <w:spacing w:after="0" w:line="253"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29">
        <w:r>
          <w:rPr>
            <w:rFonts w:ascii="Times New Roman" w:cs="Times New Roman" w:eastAsia="Times New Roman" w:hAnsi="Times New Roman"/>
            <w:sz w:val="18"/>
            <w:szCs w:val="18"/>
            <w:u w:val="single" w:color="auto"/>
            <w:color w:val="0000EE"/>
          </w:rPr>
          <w:t>Master Services Agreement, dated July 1, 2018, by</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and between Grand Canyon Education, Inc. and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Grand Canyon University (formerly known as</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Gazelle University).##</w:t>
        </w:r>
      </w:hyperlink>
    </w:p>
    <w:p>
      <w:pPr>
        <w:spacing w:after="0" w:line="187" w:lineRule="exact"/>
        <w:rPr>
          <w:rFonts w:ascii="Times New Roman" w:cs="Times New Roman" w:eastAsia="Times New Roman" w:hAnsi="Times New Roman"/>
          <w:sz w:val="18"/>
          <w:szCs w:val="18"/>
          <w:u w:val="single" w:color="auto"/>
          <w:color w:val="0000EE"/>
        </w:rPr>
      </w:pPr>
    </w:p>
    <w:p>
      <w:pPr>
        <w:ind w:left="94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0">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parties named therein.</w:t>
        </w:r>
      </w:hyperlink>
    </w:p>
    <w:p>
      <w:pPr>
        <w:spacing w:after="0" w:line="180" w:lineRule="exact"/>
        <w:rPr>
          <w:rFonts w:ascii="Times New Roman" w:cs="Times New Roman" w:eastAsia="Times New Roman" w:hAnsi="Times New Roman"/>
          <w:sz w:val="18"/>
          <w:szCs w:val="18"/>
          <w:u w:val="single" w:color="auto"/>
          <w:color w:val="0000EE"/>
        </w:rPr>
      </w:pPr>
    </w:p>
    <w:p>
      <w:pPr>
        <w:ind w:left="940" w:right="22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1">
        <w:r>
          <w:rPr>
            <w:rFonts w:ascii="Times New Roman" w:cs="Times New Roman" w:eastAsia="Times New Roman" w:hAnsi="Times New Roman"/>
            <w:sz w:val="18"/>
            <w:szCs w:val="18"/>
            <w:u w:val="single" w:color="auto"/>
            <w:color w:val="0000EE"/>
          </w:rPr>
          <w:t>Amended and Restated Security and Pledge</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N.A., and the other parties named therein.</w:t>
        </w:r>
      </w:hyperlink>
    </w:p>
    <w:p>
      <w:pPr>
        <w:spacing w:after="0" w:line="180" w:lineRule="exact"/>
        <w:rPr>
          <w:rFonts w:ascii="Times New Roman" w:cs="Times New Roman" w:eastAsia="Times New Roman" w:hAnsi="Times New Roman"/>
          <w:sz w:val="18"/>
          <w:szCs w:val="18"/>
          <w:u w:val="single" w:color="auto"/>
          <w:color w:val="0000EE"/>
        </w:r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2">
        <w:r>
          <w:rPr>
            <w:rFonts w:ascii="Times New Roman" w:cs="Times New Roman" w:eastAsia="Times New Roman" w:hAnsi="Times New Roman"/>
            <w:sz w:val="18"/>
            <w:szCs w:val="18"/>
            <w:u w:val="single" w:color="auto"/>
            <w:color w:val="0000EE"/>
          </w:rPr>
          <w:t>First Amendment, dated January 31, 2019 to</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4" w:lineRule="exact"/>
        <w:rPr>
          <w:rFonts w:ascii="Times New Roman" w:cs="Times New Roman" w:eastAsia="Times New Roman" w:hAnsi="Times New Roman"/>
          <w:sz w:val="18"/>
          <w:szCs w:val="18"/>
          <w:u w:val="single" w:color="auto"/>
          <w:color w:val="0000EE"/>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86995</wp:posOffset>
            </wp:positionH>
            <wp:positionV relativeFrom="paragraph">
              <wp:posOffset>7620</wp:posOffset>
            </wp:positionV>
            <wp:extent cx="24771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ind w:left="140" w:right="11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10.8 to GCE’s Quarterly Report on Form 10-Q/A filed with the SEC on April 23, 2019.</w:t>
      </w:r>
    </w:p>
    <w:p>
      <w:pPr>
        <w:spacing w:after="0" w:line="200" w:lineRule="exact"/>
        <w:rPr>
          <w:rFonts w:ascii="Times New Roman" w:cs="Times New Roman" w:eastAsia="Times New Roman" w:hAnsi="Times New Roman"/>
          <w:sz w:val="18"/>
          <w:szCs w:val="18"/>
          <w:u w:val="single" w:color="auto"/>
          <w:color w:val="0000EE"/>
        </w:rPr>
      </w:pPr>
    </w:p>
    <w:p>
      <w:pPr>
        <w:spacing w:after="0" w:line="203" w:lineRule="exact"/>
        <w:rPr>
          <w:rFonts w:ascii="Times New Roman" w:cs="Times New Roman" w:eastAsia="Times New Roman" w:hAnsi="Times New Roman"/>
          <w:sz w:val="18"/>
          <w:szCs w:val="18"/>
          <w:u w:val="single" w:color="auto"/>
          <w:color w:val="0000EE"/>
        </w:rPr>
      </w:pPr>
    </w:p>
    <w:p>
      <w:pPr>
        <w:jc w:val="both"/>
        <w:ind w:left="140"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10.14 to GCE’s Annual Report on Form 10-K filed with the SEC on February 20, 2019.</w:t>
      </w:r>
    </w:p>
    <w:p>
      <w:pPr>
        <w:spacing w:after="0" w:line="392" w:lineRule="exact"/>
        <w:rPr>
          <w:rFonts w:ascii="Times New Roman" w:cs="Times New Roman" w:eastAsia="Times New Roman" w:hAnsi="Times New Roman"/>
          <w:sz w:val="18"/>
          <w:szCs w:val="18"/>
          <w:u w:val="single" w:color="auto"/>
          <w:color w:val="0000EE"/>
        </w:rPr>
      </w:pPr>
    </w:p>
    <w:p>
      <w:pPr>
        <w:jc w:val="both"/>
        <w:ind w:left="140"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10.15 to GCE’s Annual Report on Form 10-K filed with the SEC on February 20, 2019.</w:t>
      </w:r>
    </w:p>
    <w:p>
      <w:pPr>
        <w:spacing w:after="0" w:line="392" w:lineRule="exact"/>
        <w:rPr>
          <w:rFonts w:ascii="Times New Roman" w:cs="Times New Roman" w:eastAsia="Times New Roman" w:hAnsi="Times New Roman"/>
          <w:sz w:val="18"/>
          <w:szCs w:val="18"/>
          <w:u w:val="single" w:color="auto"/>
          <w:color w:val="0000EE"/>
        </w:rPr>
      </w:pPr>
    </w:p>
    <w:p>
      <w:pPr>
        <w:jc w:val="both"/>
        <w:ind w:left="140"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10.16 to GCE’s Annual Report on Form 10-K filed with the SEC on February 20,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80"/>
            <w:col w:w="4099"/>
          </w:cols>
          <w:pgMar w:left="1440" w:top="513" w:right="1440" w:bottom="1440" w:gutter="0" w:footer="0" w:header="0"/>
          <w:type w:val="continuous"/>
        </w:sect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4">
        <w:r>
          <w:rPr>
            <w:rFonts w:ascii="Times New Roman" w:cs="Times New Roman" w:eastAsia="Times New Roman" w:hAnsi="Times New Roman"/>
            <w:sz w:val="18"/>
            <w:szCs w:val="18"/>
            <w:u w:val="single" w:color="auto"/>
            <w:color w:val="0000EE"/>
          </w:rPr>
          <w:t>First Incremental Facility Amendment, dated</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February 1, 2019 to Amended and Restated Credit</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N.A., and the other 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10.17 to GCE’s Quarterly Report on Form 10-Q filed with the SEC on February 20,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580" w:space="480"/>
            <w:col w:w="3959"/>
          </w:cols>
          <w:pgMar w:left="1440" w:top="513" w:right="1440" w:bottom="1440" w:gutter="0" w:footer="0" w:header="0"/>
          <w:type w:val="continuous"/>
        </w:sect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35">
        <w:r>
          <w:rPr>
            <w:rFonts w:ascii="Times New Roman" w:cs="Times New Roman" w:eastAsia="Times New Roman" w:hAnsi="Times New Roman"/>
            <w:sz w:val="18"/>
            <w:szCs w:val="18"/>
            <w:u w:val="single" w:color="auto"/>
            <w:color w:val="0000EE"/>
          </w:rPr>
          <w:t>Second Amendment, dated October 31, 2019 to</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10.18 to GCE’s Annual Report on Form 10-K filed with the SEC on November 6,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00" w:space="260"/>
            <w:col w:w="3959"/>
          </w:cols>
          <w:pgMar w:left="1440" w:top="513" w:right="1440" w:bottom="1440" w:gutter="0" w:footer="0" w:header="0"/>
          <w:type w:val="continuous"/>
        </w:sectPr>
      </w:pPr>
    </w:p>
    <w:p>
      <w:pPr>
        <w:jc w:val="both"/>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36">
        <w:r>
          <w:rPr>
            <w:rFonts w:ascii="Times New Roman" w:cs="Times New Roman" w:eastAsia="Times New Roman" w:hAnsi="Times New Roman"/>
            <w:sz w:val="18"/>
            <w:szCs w:val="18"/>
            <w:u w:val="single" w:color="auto"/>
            <w:color w:val="0000EE"/>
          </w:rPr>
          <w:t>Modification of Credit Agreement, Dated October 29,</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2021, by and between Grand Canyon Education, Inc.</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and Grand Canyon University.</w:t>
        </w:r>
      </w:hyperlink>
    </w:p>
    <w:p>
      <w:pPr>
        <w:spacing w:after="0" w:line="176"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37">
        <w:r>
          <w:rPr>
            <w:rFonts w:ascii="Times New Roman" w:cs="Times New Roman" w:eastAsia="Times New Roman" w:hAnsi="Times New Roman"/>
            <w:sz w:val="17"/>
            <w:szCs w:val="17"/>
            <w:u w:val="single" w:color="auto"/>
            <w:color w:val="0000EE"/>
          </w:rPr>
          <w:t>Insider Trading Policy</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2, 2021.</w:t>
      </w:r>
    </w:p>
    <w:p>
      <w:pPr>
        <w:spacing w:after="0" w:line="176" w:lineRule="exact"/>
        <w:rPr>
          <w:rFonts w:ascii="Times New Roman" w:cs="Times New Roman" w:eastAsia="Times New Roman" w:hAnsi="Times New Roman"/>
          <w:sz w:val="18"/>
          <w:szCs w:val="18"/>
          <w:u w:val="single" w:color="auto"/>
          <w:color w:val="0000EE"/>
        </w:rPr>
      </w:pPr>
    </w:p>
    <w:p>
      <w:pPr>
        <w:jc w:val="both"/>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19.1 to GCE’s Annual Report on Form 10-K filed with the SEC on February 19, 2025.</w:t>
      </w:r>
    </w:p>
    <w:p>
      <w:pPr>
        <w:spacing w:after="0" w:line="16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21.0</w:t>
            </w:r>
          </w:p>
        </w:tc>
        <w:tc>
          <w:tcPr>
            <w:tcW w:w="3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Subsidiaries of Grand Canyon Education, Inc.</w:t>
            </w:r>
          </w:p>
        </w:tc>
        <w:tc>
          <w:tcPr>
            <w:tcW w:w="680" w:type="dxa"/>
            <w:vAlign w:val="bottom"/>
            <w:gridSpan w:val="5"/>
          </w:tcPr>
          <w:p>
            <w:pPr>
              <w:spacing w:after="0"/>
              <w:rPr>
                <w:sz w:val="18"/>
                <w:szCs w:val="18"/>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23.1</w:t>
            </w:r>
          </w:p>
        </w:tc>
        <w:tc>
          <w:tcPr>
            <w:tcW w:w="3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w:t>
            </w:r>
          </w:p>
        </w:tc>
        <w:tc>
          <w:tcPr>
            <w:tcW w:w="500" w:type="dxa"/>
            <w:vAlign w:val="bottom"/>
            <w:gridSpan w:val="4"/>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80" w:type="dxa"/>
            <w:vAlign w:val="bottom"/>
          </w:tcPr>
          <w:p>
            <w:pPr>
              <w:spacing w:after="0"/>
              <w:rPr>
                <w:sz w:val="17"/>
                <w:szCs w:val="17"/>
                <w:color w:val="auto"/>
              </w:rPr>
            </w:pPr>
          </w:p>
        </w:tc>
        <w:tc>
          <w:tcPr>
            <w:tcW w:w="4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2580" w:type="dxa"/>
            <w:vAlign w:val="bottom"/>
          </w:tcPr>
          <w:p>
            <w:pPr>
              <w:spacing w:after="0"/>
              <w:rPr>
                <w:sz w:val="17"/>
                <w:szCs w:val="17"/>
                <w:color w:val="auto"/>
              </w:rPr>
            </w:pPr>
          </w:p>
        </w:tc>
      </w:tr>
      <w:tr>
        <w:trPr>
          <w:trHeight w:val="412"/>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24.1</w:t>
            </w:r>
          </w:p>
        </w:tc>
        <w:tc>
          <w:tcPr>
            <w:tcW w:w="1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2260" w:type="dxa"/>
            <w:vAlign w:val="bottom"/>
            <w:gridSpan w:val="6"/>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Filed herewith (on signature page)</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31.1</w:t>
            </w: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w:t>
            </w: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2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1">
            <w:col w:w="9019"/>
          </w:cols>
          <w:pgMar w:left="1440" w:top="513"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EE"/>
        </w:rPr>
      </w:pPr>
    </w:p>
    <w:p>
      <w:pPr>
        <w:spacing w:after="0" w:line="257"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900" w:type="dxa"/>
            <w:vAlign w:val="bottom"/>
            <w:gridSpan w:val="8"/>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900" w:type="dxa"/>
            <w:vAlign w:val="bottom"/>
          </w:tcPr>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60" w:type="dxa"/>
            <w:vAlign w:val="bottom"/>
            <w:tcBorders>
              <w:top w:val="single" w:sz="8" w:color="auto"/>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w:t>
            </w:r>
          </w:p>
        </w:tc>
        <w:tc>
          <w:tcPr>
            <w:tcW w:w="140" w:type="dxa"/>
            <w:vAlign w:val="bottom"/>
            <w:tcBorders>
              <w:top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auto"/>
            </w:tcBorders>
          </w:tcPr>
          <w:p>
            <w:pPr>
              <w:jc w:val="right"/>
              <w:ind w:right="2739"/>
              <w:spacing w:after="0" w:line="169" w:lineRule="exact"/>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24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3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w:t>
            </w:r>
          </w:p>
        </w:tc>
        <w:tc>
          <w:tcPr>
            <w:tcW w:w="180" w:type="dxa"/>
            <w:vAlign w:val="bottom"/>
          </w:tcPr>
          <w:p>
            <w:pPr>
              <w:spacing w:after="0"/>
              <w:rPr>
                <w:sz w:val="24"/>
                <w:szCs w:val="24"/>
                <w:color w:val="auto"/>
              </w:rPr>
            </w:pPr>
          </w:p>
        </w:tc>
        <w:tc>
          <w:tcPr>
            <w:tcW w:w="3920" w:type="dxa"/>
            <w:vAlign w:val="bottom"/>
            <w:gridSpan w:val="2"/>
          </w:tcPr>
          <w:p>
            <w:pPr>
              <w:jc w:val="right"/>
              <w:ind w:right="2739"/>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3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w:t>
            </w:r>
          </w:p>
        </w:tc>
        <w:tc>
          <w:tcPr>
            <w:tcW w:w="1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right"/>
              <w:ind w:right="2739"/>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26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 w:lineRule="exact"/>
        <w:rPr>
          <w:sz w:val="20"/>
          <w:szCs w:val="20"/>
          <w:color w:val="auto"/>
        </w:rPr>
      </w:pPr>
    </w:p>
    <w:p>
      <w:pPr>
        <w:ind w:left="940" w:right="460" w:hanging="890"/>
        <w:spacing w:after="0" w:line="289"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39">
        <w:r>
          <w:rPr>
            <w:rFonts w:ascii="Times New Roman" w:cs="Times New Roman" w:eastAsia="Times New Roman" w:hAnsi="Times New Roman"/>
            <w:sz w:val="17"/>
            <w:szCs w:val="17"/>
            <w:u w:val="single" w:color="auto"/>
            <w:color w:val="0000EE"/>
          </w:rPr>
          <w:t>Grand Canyon Education, Inc. Recovery of</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Erroneously-Awarded Incentive Compensation</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Policy, as adopted October 25, 2023.</w:t>
        </w:r>
      </w:hyperlink>
    </w:p>
    <w:p>
      <w:pPr>
        <w:spacing w:after="0" w:line="158" w:lineRule="exact"/>
        <w:rPr>
          <w:rFonts w:ascii="Times New Roman" w:cs="Times New Roman" w:eastAsia="Times New Roman" w:hAnsi="Times New Roman"/>
          <w:sz w:val="17"/>
          <w:szCs w:val="17"/>
          <w:u w:val="single" w:color="auto"/>
          <w:color w:val="0000EE"/>
        </w:rPr>
      </w:pPr>
    </w:p>
    <w:p>
      <w:pPr>
        <w:ind w:left="940" w:hanging="884"/>
        <w:spacing w:after="0" w:line="253"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GCE’s Annual Report on Form 10-K for the year ended December 31, 2025, formatted in Inline XBRL: (i) Consolidated Income Statements, (ii) Consolidated Statements of Comprehensive Income, (iii) Consolidated Balance Sheets, (iv) Consolidated Statements of Stockholders’ Equity, (v) Consolidated Statements of Cash Flows, and (vi) Consolidated Financial Statements tagged as blocks of text and including detailed tags.</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5" w:lineRule="exact"/>
        <w:rPr>
          <w:rFonts w:ascii="Times New Roman" w:cs="Times New Roman" w:eastAsia="Times New Roman" w:hAnsi="Times New Roman"/>
          <w:sz w:val="17"/>
          <w:szCs w:val="17"/>
          <w:u w:val="single" w:color="auto"/>
          <w:color w:val="0000EE"/>
        </w:rPr>
      </w:pPr>
    </w:p>
    <w:p>
      <w:pPr>
        <w:jc w:val="both"/>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97.1 to GCE’s Annual Report on Form 10-K filed with the SEC on February 13, 2024.</w:t>
      </w:r>
    </w:p>
    <w:p>
      <w:pPr>
        <w:spacing w:after="0" w:line="176"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68"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4780" w:space="280"/>
            <w:col w:w="3959"/>
          </w:cols>
          <w:pgMar w:left="1440" w:top="513" w:right="1440" w:bottom="1440" w:gutter="0" w:footer="0" w:header="0"/>
          <w:type w:val="continuous"/>
        </w:sectPr>
      </w:pPr>
    </w:p>
    <w:p>
      <w:pPr>
        <w:ind w:left="60"/>
        <w:spacing w:after="0"/>
        <w:tabs>
          <w:tab w:leader="none" w:pos="920" w:val="left"/>
          <w:tab w:leader="none" w:pos="5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GCE’s Annual Report on Form</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u w:val="single" w:color="auto"/>
          <w:color w:val="0000EE"/>
        </w:rPr>
      </w:pPr>
    </w:p>
    <w:p>
      <w:pPr>
        <w:ind w:left="940"/>
        <w:spacing w:after="0"/>
        <w:rPr>
          <w:sz w:val="20"/>
          <w:szCs w:val="20"/>
          <w:color w:val="auto"/>
        </w:rPr>
      </w:pPr>
      <w:r>
        <w:rPr>
          <w:rFonts w:ascii="Times New Roman" w:cs="Times New Roman" w:eastAsia="Times New Roman" w:hAnsi="Times New Roman"/>
          <w:sz w:val="18"/>
          <w:szCs w:val="18"/>
          <w:color w:val="auto"/>
        </w:rPr>
        <w:t>10-K for the year ended December 31, 2025,</w:t>
      </w:r>
    </w:p>
    <w:p>
      <w:pPr>
        <w:spacing w:after="0" w:line="9" w:lineRule="exact"/>
        <w:rPr>
          <w:rFonts w:ascii="Times New Roman" w:cs="Times New Roman" w:eastAsia="Times New Roman" w:hAnsi="Times New Roman"/>
          <w:sz w:val="17"/>
          <w:szCs w:val="17"/>
          <w:u w:val="single" w:color="auto"/>
          <w:color w:val="0000EE"/>
        </w:rPr>
      </w:pPr>
    </w:p>
    <w:p>
      <w:pPr>
        <w:ind w:left="940"/>
        <w:spacing w:after="0"/>
        <w:rPr>
          <w:sz w:val="20"/>
          <w:szCs w:val="20"/>
          <w:color w:val="auto"/>
        </w:rPr>
      </w:pPr>
      <w:r>
        <w:rPr>
          <w:rFonts w:ascii="Times New Roman" w:cs="Times New Roman" w:eastAsia="Times New Roman" w:hAnsi="Times New Roman"/>
          <w:sz w:val="18"/>
          <w:szCs w:val="18"/>
          <w:color w:val="auto"/>
        </w:rPr>
        <w:t>formatted in Inline XBRL (included as Exhibit 101).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1414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u w:val="single" w:color="auto"/>
          <w:color w:val="0000EE"/>
        </w:rPr>
      </w:pPr>
    </w:p>
    <w:p>
      <w:pPr>
        <w:spacing w:after="0" w:line="203" w:lineRule="exact"/>
        <w:rPr>
          <w:rFonts w:ascii="Times New Roman" w:cs="Times New Roman" w:eastAsia="Times New Roman" w:hAnsi="Times New Roman"/>
          <w:sz w:val="17"/>
          <w:szCs w:val="17"/>
          <w:u w:val="single" w:color="auto"/>
          <w:color w:val="0000EE"/>
        </w:rPr>
      </w:pPr>
    </w:p>
    <w:p>
      <w:pPr>
        <w:ind w:left="360" w:hanging="310"/>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117" w:lineRule="exact"/>
        <w:rPr>
          <w:rFonts w:ascii="Times New Roman" w:cs="Times New Roman" w:eastAsia="Times New Roman" w:hAnsi="Times New Roman"/>
          <w:sz w:val="17"/>
          <w:szCs w:val="17"/>
          <w:u w:val="single" w:color="auto"/>
          <w:color w:val="0000EE"/>
        </w:rPr>
      </w:pPr>
    </w:p>
    <w:p>
      <w:pPr>
        <w:ind w:left="380" w:right="159" w:hanging="330"/>
        <w:spacing w:after="0" w:line="266" w:lineRule="auto"/>
        <w:tabs>
          <w:tab w:leader="none" w:pos="3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68" w:lineRule="exact"/>
        <w:rPr>
          <w:rFonts w:ascii="Times New Roman" w:cs="Times New Roman" w:eastAsia="Times New Roman" w:hAnsi="Times New Roman"/>
          <w:sz w:val="17"/>
          <w:szCs w:val="17"/>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  Certain portions of this document have been redacted pursuant to Regulation S-K, Item 601(b)(10)(iv).</w:t>
      </w:r>
    </w:p>
    <w:p>
      <w:pPr>
        <w:spacing w:after="0" w:line="117" w:lineRule="exact"/>
        <w:rPr>
          <w:rFonts w:ascii="Times New Roman" w:cs="Times New Roman" w:eastAsia="Times New Roman" w:hAnsi="Times New Roman"/>
          <w:sz w:val="17"/>
          <w:szCs w:val="17"/>
          <w:u w:val="single" w:color="auto"/>
          <w:color w:val="0000EE"/>
        </w:rPr>
      </w:pPr>
    </w:p>
    <w:p>
      <w:pPr>
        <w:ind w:left="380" w:right="159" w:hanging="330"/>
        <w:spacing w:after="0" w:line="289"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22" w:lineRule="exact"/>
        <w:rPr>
          <w:rFonts w:ascii="Times New Roman" w:cs="Times New Roman" w:eastAsia="Times New Roman" w:hAnsi="Times New Roman"/>
          <w:sz w:val="17"/>
          <w:szCs w:val="17"/>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-127635</wp:posOffset>
            </wp:positionV>
            <wp:extent cx="26485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Dated: February 18, 2026</w:t>
      </w:r>
    </w:p>
    <w:p>
      <w:pPr>
        <w:spacing w:after="0" w:line="20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Brian E. Mueller, Daniel E. Bachus, and Sarah S. Collins,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substitute or substitutes, may lawfully do or cause to be done by virtue hereof.</w:t>
      </w:r>
    </w:p>
    <w:p>
      <w:pPr>
        <w:spacing w:after="0" w:line="8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1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20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42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 Controller –Chief Accounting Officer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 Ward</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Sara Ward</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F. Warren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2026</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tbl>
      <w:tblPr>
        <w:tblLayout w:type="fixed"/>
        <w:tblInd w:w="4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w w:val="96"/>
              </w:rPr>
              <w:t>Exhibit 21.0</w:t>
            </w:r>
          </w:p>
        </w:tc>
      </w:tr>
      <w:tr>
        <w:trPr>
          <w:trHeight w:val="43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2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Orbis Education Services, LLC</w:t>
            </w:r>
          </w:p>
        </w:tc>
        <w:tc>
          <w:tcPr>
            <w:tcW w:w="220" w:type="dxa"/>
            <w:vAlign w:val="bottom"/>
          </w:tcPr>
          <w:p>
            <w:pPr>
              <w:spacing w:after="0"/>
              <w:rPr>
                <w:sz w:val="24"/>
                <w:szCs w:val="24"/>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GC Education, Inc.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Tierra Vista Inversiones,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Nueva Ventura,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30"/>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Casa de Amistad,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Amigos de Torrejon,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30"/>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Piedras Bonitas Inversiones,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La Sonrisa de Siena,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Nuevo Comienzo,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30"/>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El Vecino de Amigos,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Rentwise Properties,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29"/>
        </w:trPr>
        <w:tc>
          <w:tcPr>
            <w:tcW w:w="20" w:type="dxa"/>
            <w:vAlign w:val="bottom"/>
          </w:tcPr>
          <w:p>
            <w:pPr>
              <w:spacing w:after="0"/>
              <w:rPr>
                <w:sz w:val="19"/>
                <w:szCs w:val="19"/>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Mid-State Rental Properties, LLC</w:t>
            </w:r>
          </w:p>
        </w:tc>
        <w:tc>
          <w:tcPr>
            <w:tcW w:w="220" w:type="dxa"/>
            <w:vAlign w:val="bottom"/>
          </w:tcPr>
          <w:p>
            <w:pPr>
              <w:spacing w:after="0"/>
              <w:rPr>
                <w:sz w:val="19"/>
                <w:szCs w:val="19"/>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258"/>
        </w:trPr>
        <w:tc>
          <w:tcPr>
            <w:tcW w:w="20" w:type="dxa"/>
            <w:vAlign w:val="bottom"/>
          </w:tcPr>
          <w:p>
            <w:pPr>
              <w:spacing w:after="0"/>
              <w:rPr>
                <w:sz w:val="22"/>
                <w:szCs w:val="22"/>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REG 5160, LLC</w:t>
            </w:r>
          </w:p>
        </w:tc>
        <w:tc>
          <w:tcPr>
            <w:tcW w:w="220" w:type="dxa"/>
            <w:vAlign w:val="bottom"/>
          </w:tcPr>
          <w:p>
            <w:pPr>
              <w:spacing w:after="0"/>
              <w:rPr>
                <w:sz w:val="22"/>
                <w:szCs w:val="22"/>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AZ</w:t>
            </w:r>
          </w:p>
        </w:tc>
      </w:tr>
      <w:tr>
        <w:trPr>
          <w:trHeight w:val="771"/>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66" w:lineRule="exact"/>
        <w:rPr>
          <w:sz w:val="20"/>
          <w:szCs w:val="20"/>
          <w:color w:val="auto"/>
        </w:rPr>
      </w:pPr>
    </w:p>
    <w:p>
      <w:pPr>
        <w:ind w:left="80"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333-155973, 333-165019, 333-179611, and 333-218740) on Form S-8 of our reports dated February 18, 2026, with respect to the consolidated financial statements of Grand Canyon Education, Inc. and subsidiaries and the effectiveness of internal control over financial reporting.</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348615</wp:posOffset>
            </wp:positionV>
            <wp:extent cx="57518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94" w:name="page95"/>
    <w:bookmarkEnd w:id="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E. Mueller,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2026</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r>
      <w:tr>
        <w:trPr>
          <w:trHeight w:val="191"/>
        </w:trPr>
        <w:tc>
          <w:tcPr>
            <w:tcW w:w="406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5" w:name="page96"/>
    <w:bookmarkEnd w:id="9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Daniel E. Bachus,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6" w:name="page97"/>
    <w:bookmarkEnd w:id="9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2025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7" w:name="page98"/>
    <w:bookmarkEnd w:id="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2025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o"/>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lowerRoman"/>
      <w:start w:val="3"/>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Roman"/>
      <w:start w:val="1"/>
    </w:lvl>
  </w:abstractNum>
  <w:abstractNum w:abstractNumId="44">
    <w:nsid w:val="579478FE"/>
    <w:multiLevelType w:val="hybridMultilevel"/>
    <w:lvl w:ilvl="0">
      <w:lvlJc w:val="left"/>
      <w:lvlText w:val="%1."/>
      <w:numFmt w:val="decimal"/>
      <w:start w:val="2"/>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1"/>
      <w:numFmt w:val="decimal"/>
      <w:start w:val="10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14" Type="http://schemas.openxmlformats.org/officeDocument/2006/relationships/image" Target="media/image101.png"/><Relationship Id="rId125"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33" Type="http://schemas.openxmlformats.org/officeDocument/2006/relationships/image" Target="media/image105.png"/><Relationship Id="rId138"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68" Type="http://schemas.openxmlformats.org/officeDocument/2006/relationships/hyperlink" Target="https://www.sec.gov/ix?doc=/Archives/edgar/data/1434588/000155837024001060/lope-20231231x10k.htm" TargetMode="External"/><Relationship Id="rId109" Type="http://schemas.openxmlformats.org/officeDocument/2006/relationships/hyperlink" Target="http://www.sec.gov/Archives/edgar/data/1434588/000119312518322557/d617676dex21.htm" TargetMode="External"/><Relationship Id="rId110" Type="http://schemas.openxmlformats.org/officeDocument/2006/relationships/hyperlink" Target="http://www.sec.gov/Archives/edgar/data/1434588/000155837019000782/lope-20181231ex22ef9e938.htm" TargetMode="External"/><Relationship Id="rId111" Type="http://schemas.openxmlformats.org/officeDocument/2006/relationships/hyperlink" Target="http://www.sec.gov/Archives/edgar/data/1434588/000155837019000782/lope-20181231ex31395dfc9.htm" TargetMode="External"/><Relationship Id="rId112" Type="http://schemas.openxmlformats.org/officeDocument/2006/relationships/hyperlink" Target="http://www.sec.gov/Archives/edgar/data/1434588/000119312514387149/d812440dex31.htm" TargetMode="External"/><Relationship Id="rId113" Type="http://schemas.openxmlformats.org/officeDocument/2006/relationships/hyperlink" Target="http://www.sec.gov/Archives/edgar/data/1434588/000095015308001671/p75463a2exv4w1.htm" TargetMode="External"/><Relationship Id="rId115" Type="http://schemas.openxmlformats.org/officeDocument/2006/relationships/hyperlink" Target="https://www.sec.gov/Archives/edgar/data/1434588/000155837020001013/ex-4d2.htm" TargetMode="External"/><Relationship Id="rId116" Type="http://schemas.openxmlformats.org/officeDocument/2006/relationships/hyperlink" Target="http://www.sec.gov/Archives/edgar/data/1434588/000095012311098382/c21597exv10w1.htm" TargetMode="External"/><Relationship Id="rId117" Type="http://schemas.openxmlformats.org/officeDocument/2006/relationships/hyperlink" Target="http://www.sec.gov/Archives/edgar/data/1434588/000119312517203503/d405521dex101.htm" TargetMode="External"/><Relationship Id="rId118" Type="http://schemas.openxmlformats.org/officeDocument/2006/relationships/hyperlink" Target="http://www.sec.gov/Archives/edgar/data/1434588/000119312518051923/d508256dex103.htm" TargetMode="External"/><Relationship Id="rId119" Type="http://schemas.openxmlformats.org/officeDocument/2006/relationships/hyperlink" Target="https://www.sec.gov/Archives/edgar/data/1434588/000155837023007660/lope-20230331xex10d1.htm" TargetMode="External"/><Relationship Id="rId120" Type="http://schemas.openxmlformats.org/officeDocument/2006/relationships/hyperlink" Target="https://www.sec.gov/Archives/edgar/data/1434588/000155837023007660/lope-20230331xex10d2.htm" TargetMode="External"/><Relationship Id="rId121" Type="http://schemas.openxmlformats.org/officeDocument/2006/relationships/hyperlink" Target="https://www.sec.gov/Archives/edgar/data/1434588/000155837023007660/lope-20230331xex10d3.htm" TargetMode="External"/><Relationship Id="rId122" Type="http://schemas.openxmlformats.org/officeDocument/2006/relationships/hyperlink" Target="https://www.sec.gov/Archives/edgar/data/1434588/000155837023007660/lope-20230331xex10d4.htm" TargetMode="External"/><Relationship Id="rId123" Type="http://schemas.openxmlformats.org/officeDocument/2006/relationships/hyperlink" Target="https://www.sec.gov/Archives/edgar/data/1434588/000155837025006495/lope-20250331xex10d1.htm" TargetMode="External"/><Relationship Id="rId124" Type="http://schemas.openxmlformats.org/officeDocument/2006/relationships/hyperlink" Target="https://www.sec.gov/Archives/edgar/data/1434588/000095015308001671/p75463a2exv10w21.htm" TargetMode="External"/><Relationship Id="rId126" Type="http://schemas.openxmlformats.org/officeDocument/2006/relationships/hyperlink" Target="http://www.sec.gov/Archives/edgar/data/1434588/000119312518322557/d617676dex107.htm" TargetMode="External"/><Relationship Id="rId129" Type="http://schemas.openxmlformats.org/officeDocument/2006/relationships/hyperlink" Target="http://www.sec.gov/Archives/edgar/data/1434588/000110465919023090/a19-8606_1ex10d8.htm" TargetMode="External"/><Relationship Id="rId130" Type="http://schemas.openxmlformats.org/officeDocument/2006/relationships/hyperlink" Target="http://www.sec.gov/Archives/edgar/data/1434588/000155837019000782/lope-20181231ex10149afd4.htm" TargetMode="External"/><Relationship Id="rId131" Type="http://schemas.openxmlformats.org/officeDocument/2006/relationships/hyperlink" Target="http://www.sec.gov/Archives/edgar/data/1434588/000155837019000782/lope-20181231ex1015066a4.htm" TargetMode="External"/><Relationship Id="rId132" Type="http://schemas.openxmlformats.org/officeDocument/2006/relationships/hyperlink" Target="http://www.sec.gov/Archives/edgar/data/1434588/000155837019000782/lope-20181231ex1016fa2d5.htm" TargetMode="External"/><Relationship Id="rId134" Type="http://schemas.openxmlformats.org/officeDocument/2006/relationships/hyperlink" Target="http://www.sec.gov/Archives/edgar/data/1434588/000155837019000782/lope-20181231ex101704b54.htm" TargetMode="External"/><Relationship Id="rId135" Type="http://schemas.openxmlformats.org/officeDocument/2006/relationships/hyperlink" Target="http://www.sec.gov/Archives/edgar/data/1434588/000155837019010167/ex-10d18.htm" TargetMode="External"/><Relationship Id="rId136" Type="http://schemas.openxmlformats.org/officeDocument/2006/relationships/hyperlink" Target="https://www.sec.gov/Archives/edgar/data/1434588/000155837021014215/lope-20210930xex10d1.htm" TargetMode="External"/><Relationship Id="rId137" Type="http://schemas.openxmlformats.org/officeDocument/2006/relationships/hyperlink" Target="https://www.sec.gov/Archives/edgar/data/1434588/000155837025001150/lope-20241231xex19d1.htm" TargetMode="External"/><Relationship Id="rId139" Type="http://schemas.openxmlformats.org/officeDocument/2006/relationships/hyperlink" Target="https://www.sec.gov/Archives/edgar/data/1434588/000155837024001060/lop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2026-02-18T15:20:10Z</dcterms:created>
  <dcterms:modified xsi:type="dcterms:W3CDTF">2026-02-18T15:20:10Z</dcterms:modified>
</cp:coreProperties>
</file>