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30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AND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GRAND CANYON EDUCATION,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40" w:type="dxa"/>
        <w:tblCellMar>
          <w:top w:w="0" w:type="dxa"/>
          <w:left w:w="0" w:type="dxa"/>
          <w:bottom w:w="0" w:type="dxa"/>
          <w:right w:w="0" w:type="dxa"/>
        </w:tblCellMar>
      </w:tblPr>
      <w:tr>
        <w:trPr>
          <w:trHeight w:val="212"/>
        </w:trPr>
        <w:tc>
          <w:tcPr>
            <w:tcW w:w="4020" w:type="dxa"/>
            <w:vAlign w:val="bottom"/>
          </w:tcPr>
          <w:p>
            <w:pPr>
              <w:jc w:val="center"/>
              <w:ind w:right="2042"/>
              <w:spacing w:after="0"/>
              <w:rPr>
                <w:sz w:val="20"/>
                <w:szCs w:val="20"/>
                <w:color w:val="auto"/>
              </w:rPr>
            </w:pPr>
            <w:r>
              <w:rPr>
                <w:rFonts w:ascii="Arial" w:cs="Arial" w:eastAsia="Arial" w:hAnsi="Arial"/>
                <w:sz w:val="18"/>
                <w:szCs w:val="18"/>
                <w:b w:val="1"/>
                <w:bCs w:val="1"/>
                <w:color w:val="auto"/>
                <w:w w:val="98"/>
              </w:rPr>
              <w:t>DELAWARE</w:t>
            </w:r>
          </w:p>
        </w:tc>
        <w:tc>
          <w:tcPr>
            <w:tcW w:w="3260" w:type="dxa"/>
            <w:vAlign w:val="bottom"/>
          </w:tcPr>
          <w:p>
            <w:pPr>
              <w:jc w:val="center"/>
              <w:ind w:left="2042"/>
              <w:spacing w:after="0"/>
              <w:rPr>
                <w:sz w:val="20"/>
                <w:szCs w:val="20"/>
                <w:color w:val="auto"/>
              </w:rPr>
            </w:pPr>
            <w:r>
              <w:rPr>
                <w:rFonts w:ascii="Arial" w:cs="Arial" w:eastAsia="Arial" w:hAnsi="Arial"/>
                <w:sz w:val="18"/>
                <w:szCs w:val="18"/>
                <w:b w:val="1"/>
                <w:bCs w:val="1"/>
                <w:color w:val="auto"/>
                <w:w w:val="89"/>
              </w:rPr>
              <w:t>20-3356009</w:t>
            </w:r>
          </w:p>
        </w:tc>
      </w:tr>
      <w:tr>
        <w:trPr>
          <w:trHeight w:val="149"/>
        </w:trPr>
        <w:tc>
          <w:tcPr>
            <w:tcW w:w="4020" w:type="dxa"/>
            <w:vAlign w:val="bottom"/>
          </w:tcPr>
          <w:p>
            <w:pPr>
              <w:jc w:val="center"/>
              <w:ind w:right="202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60" w:type="dxa"/>
            <w:vAlign w:val="bottom"/>
          </w:tcPr>
          <w:p>
            <w:pPr>
              <w:jc w:val="center"/>
              <w:ind w:left="20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20" w:type="dxa"/>
            <w:vAlign w:val="bottom"/>
          </w:tcPr>
          <w:p>
            <w:pPr>
              <w:jc w:val="center"/>
              <w:ind w:right="2042"/>
              <w:spacing w:after="0"/>
              <w:rPr>
                <w:sz w:val="20"/>
                <w:szCs w:val="20"/>
                <w:color w:val="auto"/>
              </w:rPr>
            </w:pPr>
            <w:r>
              <w:rPr>
                <w:rFonts w:ascii="Arial" w:cs="Arial" w:eastAsia="Arial" w:hAnsi="Arial"/>
                <w:sz w:val="14"/>
                <w:szCs w:val="14"/>
                <w:b w:val="1"/>
                <w:bCs w:val="1"/>
                <w:color w:val="auto"/>
                <w:w w:val="95"/>
              </w:rPr>
              <w:t>Incorporation or organization)</w:t>
            </w:r>
          </w:p>
        </w:tc>
        <w:tc>
          <w:tcPr>
            <w:tcW w:w="3260" w:type="dxa"/>
            <w:vAlign w:val="bottom"/>
          </w:tcPr>
          <w:p>
            <w:pPr>
              <w:jc w:val="center"/>
              <w:ind w:left="20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3300 W. Camelback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Phoenix, Arizona 85017</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of principal executive offices)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(602) 639-7500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6" w:lineRule="exact"/>
        <w:rPr>
          <w:sz w:val="24"/>
          <w:szCs w:val="24"/>
          <w:color w:val="auto"/>
        </w:rPr>
      </w:pPr>
    </w:p>
    <w:p>
      <w:pPr>
        <w:ind w:right="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6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definitions of “large accelerated filer,” “accelerated filer” and “smaller reporting company” in Rule 12b-2 of the Exchange Act. (Check one):</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69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320" w:type="dxa"/>
            <w:vAlign w:val="bottom"/>
          </w:tcPr>
          <w:p>
            <w:pPr>
              <w:ind w:left="14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694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320" w:type="dxa"/>
            <w:vAlign w:val="bottom"/>
          </w:tcPr>
          <w:p>
            <w:pPr>
              <w:ind w:left="14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8720" w:type="dxa"/>
            <w:vAlign w:val="bottom"/>
            <w:gridSpan w:val="2"/>
          </w:tcPr>
          <w:p>
            <w:pPr>
              <w:ind w:left="460"/>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32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380" w:type="dxa"/>
            <w:vAlign w:val="bottom"/>
          </w:tcPr>
          <w:p>
            <w:pPr>
              <w:spacing w:after="0"/>
              <w:rPr>
                <w:sz w:val="24"/>
                <w:szCs w:val="24"/>
                <w:color w:val="auto"/>
              </w:rPr>
            </w:pPr>
          </w:p>
        </w:tc>
      </w:tr>
      <w:tr>
        <w:trPr>
          <w:trHeight w:val="412"/>
        </w:trPr>
        <w:tc>
          <w:tcPr>
            <w:tcW w:w="8720" w:type="dxa"/>
            <w:vAlign w:val="bottom"/>
            <w:gridSpan w:val="2"/>
          </w:tcPr>
          <w:p>
            <w:pPr>
              <w:ind w:left="460"/>
              <w:spacing w:after="0"/>
              <w:rPr>
                <w:sz w:val="20"/>
                <w:szCs w:val="20"/>
                <w:color w:val="auto"/>
              </w:rPr>
            </w:pPr>
            <w:r>
              <w:rPr>
                <w:rFonts w:ascii="Arial" w:cs="Arial" w:eastAsia="Arial" w:hAnsi="Arial"/>
                <w:sz w:val="18"/>
                <w:szCs w:val="18"/>
                <w:color w:val="auto"/>
              </w:rPr>
              <w:t>The total number of shares of common stock outstanding as of April 24, 2015, was 47,075,172.</w:t>
            </w:r>
          </w:p>
        </w:tc>
        <w:tc>
          <w:tcPr>
            <w:tcW w:w="23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70"/>
        </w:trPr>
        <w:tc>
          <w:tcPr>
            <w:tcW w:w="1780" w:type="dxa"/>
            <w:vAlign w:val="bottom"/>
            <w:tcBorders>
              <w:bottom w:val="single" w:sz="8" w:color="auto"/>
            </w:tcBorders>
          </w:tcPr>
          <w:p>
            <w:pPr>
              <w:spacing w:after="0"/>
              <w:rPr>
                <w:sz w:val="23"/>
                <w:szCs w:val="23"/>
                <w:color w:val="auto"/>
              </w:rPr>
            </w:pPr>
          </w:p>
        </w:tc>
        <w:tc>
          <w:tcPr>
            <w:tcW w:w="6940" w:type="dxa"/>
            <w:vAlign w:val="bottom"/>
            <w:tcBorders>
              <w:bottom w:val="single" w:sz="8" w:color="auto"/>
            </w:tcBorders>
          </w:tcPr>
          <w:p>
            <w:pPr>
              <w:spacing w:after="0"/>
              <w:rPr>
                <w:sz w:val="23"/>
                <w:szCs w:val="23"/>
                <w:color w:val="auto"/>
              </w:rPr>
            </w:pPr>
          </w:p>
        </w:tc>
        <w:tc>
          <w:tcPr>
            <w:tcW w:w="232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20" w:type="dxa"/>
            <w:vAlign w:val="bottom"/>
            <w:gridSpan w:val="17"/>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020" w:type="dxa"/>
            <w:vAlign w:val="bottom"/>
            <w:gridSpan w:val="17"/>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3160" w:type="dxa"/>
            <w:vAlign w:val="bottom"/>
            <w:tcBorders>
              <w:top w:val="single" w:sz="8" w:color="0000EE"/>
            </w:tcBorders>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7860" w:type="dxa"/>
            <w:vAlign w:val="bottom"/>
            <w:gridSpan w:val="4"/>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8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19">
              <w:r>
                <w:rPr>
                  <w:rFonts w:ascii="Arial" w:cs="Arial" w:eastAsia="Arial" w:hAnsi="Arial"/>
                  <w:sz w:val="18"/>
                  <w:szCs w:val="18"/>
                  <w:color w:val="0000EE"/>
                  <w:w w:val="91"/>
                </w:rPr>
                <w:t>Item 2 Management’s Discussion and Analysis of Financial Condition and Results of Operations</w:t>
              </w:r>
            </w:hyperlink>
          </w:p>
        </w:tc>
        <w:tc>
          <w:tcPr>
            <w:tcW w:w="404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8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Item 3 Quantitative and Qualitative Disclosures About Market Risk</w:t>
              </w:r>
            </w:hyperlink>
          </w:p>
        </w:tc>
        <w:tc>
          <w:tcPr>
            <w:tcW w:w="614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0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Item 4 Controls and Procedures</w:t>
              </w:r>
            </w:hyperlink>
          </w:p>
        </w:tc>
        <w:tc>
          <w:tcPr>
            <w:tcW w:w="8720" w:type="dxa"/>
            <w:vAlign w:val="bottom"/>
            <w:gridSpan w:val="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20" w:type="dxa"/>
            <w:vAlign w:val="bottom"/>
            <w:gridSpan w:val="17"/>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 – OTHER INFORMATION</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8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1 Legal Proceedings</w:t>
              </w:r>
            </w:hyperlink>
          </w:p>
        </w:tc>
        <w:tc>
          <w:tcPr>
            <w:tcW w:w="1000" w:type="dxa"/>
            <w:vAlign w:val="bottom"/>
            <w:tcBorders>
              <w:top w:val="single" w:sz="8" w:color="0000EE"/>
            </w:tcBorders>
            <w:gridSpan w:val="6"/>
          </w:tcPr>
          <w:p>
            <w:pPr>
              <w:spacing w:after="0"/>
              <w:rPr>
                <w:sz w:val="24"/>
                <w:szCs w:val="24"/>
                <w:color w:val="auto"/>
              </w:rPr>
            </w:pPr>
          </w:p>
        </w:tc>
        <w:tc>
          <w:tcPr>
            <w:tcW w:w="8160" w:type="dxa"/>
            <w:vAlign w:val="bottom"/>
            <w:gridSpan w:val="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Item 1A Risk Factors</w:t>
              </w:r>
            </w:hyperlink>
          </w:p>
        </w:tc>
        <w:tc>
          <w:tcPr>
            <w:tcW w:w="946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17"/>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2 Unregistered Sales of Equity Securities and Use of Proceeds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line="196" w:lineRule="exact"/>
              <w:rPr>
                <w:rFonts w:ascii="Arial" w:cs="Arial" w:eastAsia="Arial" w:hAnsi="Arial"/>
                <w:sz w:val="18"/>
                <w:szCs w:val="18"/>
                <w:color w:val="0000EE"/>
                <w:w w:val="95"/>
              </w:rPr>
            </w:pPr>
            <w:hyperlink w:anchor="page27">
              <w:r>
                <w:rPr>
                  <w:rFonts w:ascii="Arial" w:cs="Arial" w:eastAsia="Arial" w:hAnsi="Arial"/>
                  <w:sz w:val="18"/>
                  <w:szCs w:val="18"/>
                  <w:color w:val="0000EE"/>
                  <w:w w:val="95"/>
                </w:rPr>
                <w:t>Item 3</w:t>
              </w:r>
            </w:hyperlink>
          </w:p>
        </w:tc>
        <w:tc>
          <w:tcPr>
            <w:tcW w:w="4360" w:type="dxa"/>
            <w:vAlign w:val="bottom"/>
            <w:tcBorders>
              <w:top w:val="single" w:sz="8" w:color="0000EE"/>
            </w:tcBorders>
            <w:gridSpan w:val="13"/>
          </w:tcPr>
          <w:p>
            <w:pPr>
              <w:ind w:left="20"/>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Defaults Upon Senior Securities</w:t>
              </w:r>
            </w:hyperlink>
          </w:p>
        </w:tc>
        <w:tc>
          <w:tcPr>
            <w:tcW w:w="616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line="196" w:lineRule="exact"/>
              <w:rPr>
                <w:rFonts w:ascii="Arial" w:cs="Arial" w:eastAsia="Arial" w:hAnsi="Arial"/>
                <w:sz w:val="18"/>
                <w:szCs w:val="18"/>
                <w:color w:val="0000EE"/>
                <w:w w:val="95"/>
              </w:rPr>
            </w:pPr>
            <w:hyperlink w:anchor="page27">
              <w:r>
                <w:rPr>
                  <w:rFonts w:ascii="Arial" w:cs="Arial" w:eastAsia="Arial" w:hAnsi="Arial"/>
                  <w:sz w:val="18"/>
                  <w:szCs w:val="18"/>
                  <w:color w:val="0000EE"/>
                  <w:w w:val="95"/>
                </w:rPr>
                <w:t>Item 4</w:t>
              </w:r>
            </w:hyperlink>
          </w:p>
        </w:tc>
        <w:tc>
          <w:tcPr>
            <w:tcW w:w="2340" w:type="dxa"/>
            <w:vAlign w:val="bottom"/>
            <w:tcBorders>
              <w:top w:val="single" w:sz="8" w:color="0000EE"/>
            </w:tcBorders>
            <w:gridSpan w:val="10"/>
          </w:tcPr>
          <w:p>
            <w:pPr>
              <w:ind w:left="20"/>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Mine Safety Disclosures</w:t>
              </w:r>
            </w:hyperlink>
          </w:p>
        </w:tc>
        <w:tc>
          <w:tcPr>
            <w:tcW w:w="818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5"/>
              </w:rPr>
            </w:pPr>
            <w:hyperlink w:anchor="page27">
              <w:r>
                <w:rPr>
                  <w:rFonts w:ascii="Arial" w:cs="Arial" w:eastAsia="Arial" w:hAnsi="Arial"/>
                  <w:sz w:val="18"/>
                  <w:szCs w:val="18"/>
                  <w:color w:val="0000EE"/>
                  <w:w w:val="95"/>
                </w:rPr>
                <w:t>Item 5</w:t>
              </w:r>
            </w:hyperlink>
          </w:p>
        </w:tc>
        <w:tc>
          <w:tcPr>
            <w:tcW w:w="1340" w:type="dxa"/>
            <w:vAlign w:val="bottom"/>
            <w:tcBorders>
              <w:top w:val="single" w:sz="8" w:color="0000EE"/>
              <w:bottom w:val="single" w:sz="8" w:color="0000EE"/>
            </w:tcBorders>
            <w:gridSpan w:val="4"/>
          </w:tcPr>
          <w:p>
            <w:pPr>
              <w:ind w:left="20"/>
              <w:spacing w:after="0" w:line="196" w:lineRule="exact"/>
              <w:rPr>
                <w:rFonts w:ascii="Arial" w:cs="Arial" w:eastAsia="Arial" w:hAnsi="Arial"/>
                <w:sz w:val="18"/>
                <w:szCs w:val="18"/>
                <w:color w:val="0000EE"/>
                <w:w w:val="92"/>
              </w:rPr>
            </w:pPr>
            <w:hyperlink w:anchor="page27">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17"/>
                <w:szCs w:val="17"/>
                <w:color w:val="auto"/>
              </w:rPr>
            </w:pPr>
          </w:p>
        </w:tc>
        <w:tc>
          <w:tcPr>
            <w:tcW w:w="8740" w:type="dxa"/>
            <w:vAlign w:val="bottom"/>
            <w:gridSpan w:val="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Borders>
              <w:bottom w:val="single" w:sz="8" w:color="0000EE"/>
            </w:tcBorders>
          </w:tcPr>
          <w:p>
            <w:pPr>
              <w:spacing w:after="0" w:line="196" w:lineRule="exact"/>
              <w:rPr>
                <w:rFonts w:ascii="Arial" w:cs="Arial" w:eastAsia="Arial" w:hAnsi="Arial"/>
                <w:sz w:val="18"/>
                <w:szCs w:val="18"/>
                <w:color w:val="0000EE"/>
                <w:w w:val="95"/>
              </w:rPr>
            </w:pPr>
            <w:hyperlink w:anchor="page27">
              <w:r>
                <w:rPr>
                  <w:rFonts w:ascii="Arial" w:cs="Arial" w:eastAsia="Arial" w:hAnsi="Arial"/>
                  <w:sz w:val="18"/>
                  <w:szCs w:val="18"/>
                  <w:color w:val="0000EE"/>
                  <w:w w:val="95"/>
                </w:rPr>
                <w:t>Item 6</w:t>
              </w:r>
            </w:hyperlink>
          </w:p>
        </w:tc>
        <w:tc>
          <w:tcPr>
            <w:tcW w:w="620" w:type="dxa"/>
            <w:vAlign w:val="bottom"/>
            <w:tcBorders>
              <w:bottom w:val="single" w:sz="8" w:color="0000EE"/>
            </w:tcBorders>
            <w:gridSpan w:val="2"/>
          </w:tcPr>
          <w:p>
            <w:pPr>
              <w:ind w:left="20"/>
              <w:spacing w:after="0" w:line="196"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Exhibits</w:t>
              </w:r>
            </w:hyperlink>
          </w:p>
        </w:tc>
        <w:tc>
          <w:tcPr>
            <w:tcW w:w="9900" w:type="dxa"/>
            <w:vAlign w:val="bottom"/>
            <w:gridSpan w:val="1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17"/>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SIGNATURES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1480" w:type="dxa"/>
            <w:vAlign w:val="bottom"/>
            <w:gridSpan w:val="8"/>
          </w:tcPr>
          <w:p>
            <w:pPr>
              <w:spacing w:after="0" w:line="20" w:lineRule="exact"/>
              <w:rPr>
                <w:sz w:val="1"/>
                <w:szCs w:val="1"/>
                <w:color w:val="auto"/>
              </w:rPr>
            </w:pPr>
          </w:p>
        </w:tc>
        <w:tc>
          <w:tcPr>
            <w:tcW w:w="844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80" w:type="dxa"/>
            <w:vAlign w:val="bottom"/>
            <w:tcBorders>
              <w:bottom w:val="single" w:sz="8" w:color="auto"/>
            </w:tcBorders>
            <w:gridSpan w:val="10"/>
          </w:tcPr>
          <w:p>
            <w:pPr>
              <w:spacing w:after="0" w:line="196" w:lineRule="exact"/>
              <w:rPr>
                <w:sz w:val="20"/>
                <w:szCs w:val="20"/>
                <w:color w:val="auto"/>
              </w:rPr>
            </w:pPr>
            <w:r>
              <w:rPr>
                <w:rFonts w:ascii="Arial" w:cs="Arial" w:eastAsia="Arial" w:hAnsi="Arial"/>
                <w:sz w:val="18"/>
                <w:szCs w:val="18"/>
                <w:color w:val="auto"/>
                <w:w w:val="92"/>
              </w:rPr>
              <w:t>101.</w:t>
            </w:r>
            <w:r>
              <w:rPr>
                <w:rFonts w:ascii="Arial" w:cs="Arial" w:eastAsia="Arial" w:hAnsi="Arial"/>
                <w:sz w:val="18"/>
                <w:szCs w:val="18"/>
                <w:u w:val="single" w:color="auto"/>
                <w:color w:val="auto"/>
                <w:w w:val="92"/>
              </w:rPr>
              <w:t>INS</w:t>
            </w:r>
            <w:r>
              <w:rPr>
                <w:rFonts w:ascii="Arial" w:cs="Arial" w:eastAsia="Arial" w:hAnsi="Arial"/>
                <w:sz w:val="18"/>
                <w:szCs w:val="18"/>
                <w:color w:val="auto"/>
                <w:w w:val="92"/>
              </w:rPr>
              <w:t xml:space="preserve"> XBRL Instance Document</w:t>
            </w:r>
          </w:p>
        </w:tc>
        <w:tc>
          <w:tcPr>
            <w:tcW w:w="8440" w:type="dxa"/>
            <w:vAlign w:val="bottom"/>
            <w:gridSpan w:val="7"/>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101.SCH XBRL Taxonomy Extension Schema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101.CAL XBRL Taxonomy Extension Calculation Linkbase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101.LAB XBRL Taxonomy Extension Label Linkbase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101.PRE XBRL Taxonomy Extension Presentation Linkbase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101.DEF XBRL Taxonomy Extension Definition Linkbase</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45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810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9460" w:type="dxa"/>
            <w:vAlign w:val="bottom"/>
            <w:gridSpan w:val="5"/>
          </w:tcPr>
          <w:p>
            <w:pPr>
              <w:spacing w:after="0"/>
              <w:rPr>
                <w:sz w:val="20"/>
                <w:szCs w:val="20"/>
                <w:color w:val="auto"/>
              </w:rPr>
            </w:pPr>
            <w:r>
              <w:rPr>
                <w:rFonts w:ascii="Arial" w:cs="Arial" w:eastAsia="Arial" w:hAnsi="Arial"/>
                <w:sz w:val="18"/>
                <w:szCs w:val="18"/>
                <w:b w:val="1"/>
                <w:bCs w:val="1"/>
                <w:color w:val="auto"/>
              </w:rPr>
              <w:t>PART I – FINANCIAL INFORMATION</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480" w:type="dxa"/>
            <w:vAlign w:val="bottom"/>
            <w:gridSpan w:val="3"/>
          </w:tcPr>
          <w:p>
            <w:pPr>
              <w:ind w:left="6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0"/>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160" w:type="dxa"/>
            <w:vAlign w:val="bottom"/>
          </w:tcPr>
          <w:p>
            <w:pPr>
              <w:jc w:val="center"/>
              <w:ind w:right="250"/>
              <w:spacing w:after="0"/>
              <w:rPr>
                <w:sz w:val="20"/>
                <w:szCs w:val="20"/>
                <w:color w:val="auto"/>
              </w:rPr>
            </w:pPr>
            <w:r>
              <w:rPr>
                <w:rFonts w:ascii="Arial" w:cs="Arial" w:eastAsia="Arial" w:hAnsi="Arial"/>
                <w:sz w:val="18"/>
                <w:szCs w:val="18"/>
                <w:b w:val="1"/>
                <w:bCs w:val="1"/>
                <w:color w:val="auto"/>
              </w:rPr>
              <w:t>GRAND CANYON EDUCATION, INC.</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16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Consolidated Income Statements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160" w:type="dxa"/>
            <w:vAlign w:val="bottom"/>
          </w:tcPr>
          <w:p>
            <w:pPr>
              <w:jc w:val="center"/>
              <w:ind w:right="250"/>
              <w:spacing w:after="0"/>
              <w:rPr>
                <w:sz w:val="20"/>
                <w:szCs w:val="20"/>
                <w:color w:val="auto"/>
              </w:rPr>
            </w:pPr>
            <w:r>
              <w:rPr>
                <w:rFonts w:ascii="Arial" w:cs="Arial" w:eastAsia="Arial" w:hAnsi="Arial"/>
                <w:sz w:val="18"/>
                <w:szCs w:val="18"/>
                <w:b w:val="1"/>
                <w:bCs w:val="1"/>
                <w:color w:val="auto"/>
                <w:w w:val="93"/>
              </w:rPr>
              <w:t>(Unaudited)</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94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946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1"/>
              </w:rPr>
              <w:t>Net revenue</w:t>
            </w:r>
          </w:p>
        </w:tc>
        <w:tc>
          <w:tcPr>
            <w:tcW w:w="3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7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194,127</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167,432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4"/>
          </w:tcPr>
          <w:p>
            <w:pPr>
              <w:spacing w:after="0"/>
              <w:rPr>
                <w:sz w:val="20"/>
                <w:szCs w:val="20"/>
                <w:color w:val="auto"/>
              </w:rPr>
            </w:pPr>
            <w:r>
              <w:rPr>
                <w:rFonts w:ascii="Arial" w:cs="Arial" w:eastAsia="Arial" w:hAnsi="Arial"/>
                <w:sz w:val="18"/>
                <w:szCs w:val="18"/>
                <w:b w:val="1"/>
                <w:bCs w:val="1"/>
                <w:color w:val="auto"/>
              </w:rPr>
              <w:t>Costs and expenses: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Instructional costs and services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78,687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440" w:type="dxa"/>
            <w:vAlign w:val="bottom"/>
            <w:gridSpan w:val="4"/>
          </w:tcPr>
          <w:p>
            <w:pPr>
              <w:ind w:left="340"/>
              <w:spacing w:after="0" w:line="201" w:lineRule="exact"/>
              <w:rPr>
                <w:sz w:val="20"/>
                <w:szCs w:val="20"/>
                <w:color w:val="auto"/>
              </w:rPr>
            </w:pPr>
            <w:r>
              <w:rPr>
                <w:rFonts w:ascii="Arial" w:cs="Arial" w:eastAsia="Arial" w:hAnsi="Arial"/>
                <w:sz w:val="18"/>
                <w:szCs w:val="18"/>
                <w:color w:val="auto"/>
                <w:w w:val="91"/>
              </w:rPr>
              <w:t>Admissions advisory and related, including $505 and $805 to related parties for the three months ended March 31, 2015 and</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40" w:type="dxa"/>
            <w:vAlign w:val="bottom"/>
            <w:gridSpan w:val="4"/>
          </w:tcPr>
          <w:p>
            <w:pPr>
              <w:ind w:left="520"/>
              <w:spacing w:after="0"/>
              <w:rPr>
                <w:sz w:val="20"/>
                <w:szCs w:val="20"/>
                <w:color w:val="auto"/>
              </w:rPr>
            </w:pPr>
            <w:r>
              <w:rPr>
                <w:rFonts w:ascii="Arial" w:cs="Arial" w:eastAsia="Arial" w:hAnsi="Arial"/>
                <w:sz w:val="18"/>
                <w:szCs w:val="18"/>
                <w:color w:val="auto"/>
              </w:rPr>
              <w:t>2014, respectively</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28,333</w:t>
            </w: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26,261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Advertising</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20,031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4"/>
          </w:tcPr>
          <w:p>
            <w:pPr>
              <w:ind w:left="340"/>
              <w:spacing w:after="0"/>
              <w:rPr>
                <w:sz w:val="20"/>
                <w:szCs w:val="20"/>
                <w:color w:val="auto"/>
              </w:rPr>
            </w:pPr>
            <w:r>
              <w:rPr>
                <w:rFonts w:ascii="Arial" w:cs="Arial" w:eastAsia="Arial" w:hAnsi="Arial"/>
                <w:sz w:val="18"/>
                <w:szCs w:val="18"/>
                <w:color w:val="auto"/>
              </w:rPr>
              <w:t>Marketing and promotional</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1,694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8,554</w:t>
            </w:r>
          </w:p>
        </w:tc>
        <w:tc>
          <w:tcPr>
            <w:tcW w:w="0" w:type="dxa"/>
            <w:vAlign w:val="bottom"/>
          </w:tcPr>
          <w:p>
            <w:pPr>
              <w:spacing w:after="0"/>
              <w:rPr>
                <w:sz w:val="1"/>
                <w:szCs w:val="1"/>
                <w:color w:val="auto"/>
              </w:rPr>
            </w:pPr>
          </w:p>
        </w:tc>
      </w:tr>
      <w:tr>
        <w:trPr>
          <w:trHeight w:val="230"/>
        </w:trPr>
        <w:tc>
          <w:tcPr>
            <w:tcW w:w="9460" w:type="dxa"/>
            <w:vAlign w:val="bottom"/>
            <w:gridSpan w:val="5"/>
          </w:tcPr>
          <w:p>
            <w:pPr>
              <w:spacing w:after="0"/>
              <w:rPr>
                <w:sz w:val="20"/>
                <w:szCs w:val="20"/>
                <w:color w:val="auto"/>
              </w:rPr>
            </w:pPr>
            <w:r>
              <w:rPr>
                <w:rFonts w:ascii="Arial" w:cs="Arial" w:eastAsia="Arial" w:hAnsi="Arial"/>
                <w:sz w:val="18"/>
                <w:szCs w:val="18"/>
                <w:b w:val="1"/>
                <w:bCs w:val="1"/>
                <w:color w:val="auto"/>
              </w:rPr>
              <w:t>Total costs and expenses</w:t>
            </w: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138,141</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123,996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55,986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4"/>
          </w:tcPr>
          <w:p>
            <w:pPr>
              <w:ind w:left="3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Interest and other income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3"/>
        </w:trPr>
        <w:tc>
          <w:tcPr>
            <w:tcW w:w="9460" w:type="dxa"/>
            <w:vAlign w:val="bottom"/>
            <w:gridSpan w:val="5"/>
          </w:tcPr>
          <w:p>
            <w:pPr>
              <w:spacing w:after="0"/>
              <w:rPr>
                <w:sz w:val="20"/>
                <w:szCs w:val="20"/>
                <w:color w:val="auto"/>
              </w:rPr>
            </w:pPr>
            <w:r>
              <w:rPr>
                <w:rFonts w:ascii="Arial" w:cs="Arial" w:eastAsia="Arial" w:hAnsi="Arial"/>
                <w:sz w:val="18"/>
                <w:szCs w:val="18"/>
                <w:b w:val="1"/>
                <w:bCs w:val="1"/>
                <w:color w:val="auto"/>
              </w:rPr>
              <w:t>Income before income taxes</w:t>
            </w: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55,868</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21,689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16,762</w:t>
            </w:r>
          </w:p>
        </w:tc>
        <w:tc>
          <w:tcPr>
            <w:tcW w:w="0" w:type="dxa"/>
            <w:vAlign w:val="bottom"/>
          </w:tcPr>
          <w:p>
            <w:pPr>
              <w:spacing w:after="0"/>
              <w:rPr>
                <w:sz w:val="1"/>
                <w:szCs w:val="1"/>
                <w:color w:val="auto"/>
              </w:rPr>
            </w:pPr>
          </w:p>
        </w:tc>
      </w:tr>
      <w:tr>
        <w:trPr>
          <w:trHeight w:val="223"/>
        </w:trPr>
        <w:tc>
          <w:tcPr>
            <w:tcW w:w="980" w:type="dxa"/>
            <w:vAlign w:val="bottom"/>
            <w:gridSpan w:val="2"/>
          </w:tcPr>
          <w:p>
            <w:pPr>
              <w:spacing w:after="0"/>
              <w:rPr>
                <w:sz w:val="20"/>
                <w:szCs w:val="20"/>
                <w:color w:val="auto"/>
              </w:rPr>
            </w:pPr>
            <w:r>
              <w:rPr>
                <w:rFonts w:ascii="Arial" w:cs="Arial" w:eastAsia="Arial" w:hAnsi="Arial"/>
                <w:sz w:val="18"/>
                <w:szCs w:val="18"/>
                <w:b w:val="1"/>
                <w:bCs w:val="1"/>
                <w:color w:val="auto"/>
                <w:w w:val="98"/>
              </w:rPr>
              <w:t>Net income</w:t>
            </w: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34,179</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4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4"/>
          </w:tcPr>
          <w:p>
            <w:pPr>
              <w:ind w:left="340"/>
              <w:spacing w:after="0"/>
              <w:rPr>
                <w:sz w:val="20"/>
                <w:szCs w:val="20"/>
                <w:color w:val="auto"/>
              </w:rPr>
            </w:pPr>
            <w:r>
              <w:rPr>
                <w:rFonts w:ascii="Arial" w:cs="Arial" w:eastAsia="Arial" w:hAnsi="Arial"/>
                <w:sz w:val="18"/>
                <w:szCs w:val="18"/>
                <w:b w:val="1"/>
                <w:bCs w:val="1"/>
                <w:color w:val="auto"/>
              </w:rPr>
              <w:t>Basic income per share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0.75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440" w:type="dxa"/>
            <w:vAlign w:val="bottom"/>
            <w:gridSpan w:val="4"/>
            <w:shd w:val="clear" w:color="auto" w:fill="CCEEFF"/>
          </w:tcPr>
          <w:p>
            <w:pPr>
              <w:ind w:left="340"/>
              <w:spacing w:after="0"/>
              <w:rPr>
                <w:sz w:val="20"/>
                <w:szCs w:val="20"/>
                <w:color w:val="auto"/>
              </w:rPr>
            </w:pPr>
            <w:r>
              <w:rPr>
                <w:rFonts w:ascii="Arial" w:cs="Arial" w:eastAsia="Arial" w:hAnsi="Arial"/>
                <w:sz w:val="18"/>
                <w:szCs w:val="18"/>
                <w:b w:val="1"/>
                <w:bCs w:val="1"/>
                <w:color w:val="auto"/>
              </w:rPr>
              <w:t>Diluted income per share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40" w:type="dxa"/>
            <w:vAlign w:val="bottom"/>
            <w:gridSpan w:val="4"/>
            <w:vMerge w:val="restart"/>
          </w:tcPr>
          <w:p>
            <w:pPr>
              <w:ind w:left="340"/>
              <w:spacing w:after="0"/>
              <w:rPr>
                <w:sz w:val="20"/>
                <w:szCs w:val="20"/>
                <w:color w:val="auto"/>
              </w:rPr>
            </w:pPr>
            <w:r>
              <w:rPr>
                <w:rFonts w:ascii="Arial" w:cs="Arial" w:eastAsia="Arial" w:hAnsi="Arial"/>
                <w:sz w:val="18"/>
                <w:szCs w:val="18"/>
                <w:b w:val="1"/>
                <w:bCs w:val="1"/>
                <w:color w:val="auto"/>
              </w:rPr>
              <w:t>Basic weighted average shares outstanding</w:t>
            </w: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44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45,789</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440" w:type="dxa"/>
            <w:vAlign w:val="bottom"/>
            <w:gridSpan w:val="4"/>
            <w:shd w:val="clear" w:color="auto" w:fill="CCEEFF"/>
          </w:tcPr>
          <w:p>
            <w:pPr>
              <w:ind w:left="340"/>
              <w:spacing w:after="0"/>
              <w:rPr>
                <w:sz w:val="20"/>
                <w:szCs w:val="20"/>
                <w:color w:val="auto"/>
              </w:rPr>
            </w:pPr>
            <w:r>
              <w:rPr>
                <w:rFonts w:ascii="Arial" w:cs="Arial" w:eastAsia="Arial" w:hAnsi="Arial"/>
                <w:sz w:val="18"/>
                <w:szCs w:val="18"/>
                <w:b w:val="1"/>
                <w:bCs w:val="1"/>
                <w:color w:val="auto"/>
              </w:rPr>
              <w:t>Diluted weighted average shares outstanding</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47,201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46"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162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9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9800" w:type="dxa"/>
            <w:vAlign w:val="bottom"/>
            <w:gridSpan w:val="3"/>
            <w:vMerge w:val="continue"/>
          </w:tcPr>
          <w:p>
            <w:pPr>
              <w:spacing w:after="0"/>
              <w:rPr>
                <w:sz w:val="12"/>
                <w:szCs w:val="12"/>
                <w:color w:val="auto"/>
              </w:rPr>
            </w:pPr>
          </w:p>
        </w:tc>
        <w:tc>
          <w:tcPr>
            <w:tcW w:w="60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8"/>
              </w:rPr>
              <w:t>Net income</w:t>
            </w:r>
          </w:p>
        </w:tc>
        <w:tc>
          <w:tcPr>
            <w:tcW w:w="89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$34,179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$26,288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3"/>
              </w:rPr>
              <w:t>Unrealized gains (losses) on available-for-sale securities, net of taxes of $3 and $10 for March 31, 2015 and 2014, respectively</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tcPr>
          <w:p>
            <w:pPr>
              <w:ind w:left="340"/>
              <w:spacing w:after="0"/>
              <w:rPr>
                <w:sz w:val="20"/>
                <w:szCs w:val="20"/>
                <w:color w:val="auto"/>
              </w:rPr>
            </w:pPr>
            <w:r>
              <w:rPr>
                <w:rFonts w:ascii="Arial" w:cs="Arial" w:eastAsia="Arial" w:hAnsi="Arial"/>
                <w:sz w:val="18"/>
                <w:szCs w:val="18"/>
                <w:color w:val="auto"/>
              </w:rPr>
              <w:t>Unrealized losses on hedging derivatives, net of taxes of $153 and $17 for March 31, 2015 and 2014, respectively</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(239)</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89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33,945</w:t>
            </w: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26,246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par value)</w:t>
            </w:r>
          </w:p>
        </w:tc>
        <w:tc>
          <w:tcPr>
            <w:tcW w:w="12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2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50"/>
              <w:spacing w:after="0"/>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19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60" w:type="dxa"/>
            <w:vAlign w:val="bottom"/>
            <w:tcBorders>
              <w:top w:val="single" w:sz="8" w:color="auto"/>
            </w:tcBorders>
          </w:tcPr>
          <w:p>
            <w:pPr>
              <w:spacing w:after="0"/>
              <w:rPr>
                <w:sz w:val="12"/>
                <w:szCs w:val="12"/>
                <w:color w:val="auto"/>
              </w:rPr>
            </w:pPr>
          </w:p>
        </w:tc>
        <w:tc>
          <w:tcPr>
            <w:tcW w:w="7300" w:type="dxa"/>
            <w:vAlign w:val="bottom"/>
          </w:tcPr>
          <w:p>
            <w:pPr>
              <w:spacing w:after="0"/>
              <w:rPr>
                <w:sz w:val="12"/>
                <w:szCs w:val="12"/>
                <w:color w:val="auto"/>
              </w:rPr>
            </w:pPr>
          </w:p>
        </w:tc>
        <w:tc>
          <w:tcPr>
            <w:tcW w:w="76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(Unaudited)</w:t>
            </w:r>
          </w:p>
        </w:tc>
        <w:tc>
          <w:tcPr>
            <w:tcW w:w="4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7300" w:type="dxa"/>
            <w:vAlign w:val="bottom"/>
            <w:shd w:val="clear" w:color="auto" w:fill="CCEEFF"/>
          </w:tcPr>
          <w:p>
            <w:pPr>
              <w:jc w:val="center"/>
              <w:ind w:right="2210"/>
              <w:spacing w:after="0"/>
              <w:rPr>
                <w:sz w:val="20"/>
                <w:szCs w:val="20"/>
                <w:color w:val="auto"/>
              </w:rPr>
            </w:pPr>
            <w:r>
              <w:rPr>
                <w:rFonts w:ascii="Arial" w:cs="Arial" w:eastAsia="Arial" w:hAnsi="Arial"/>
                <w:sz w:val="18"/>
                <w:szCs w:val="18"/>
                <w:b w:val="1"/>
                <w:bCs w:val="1"/>
                <w:color w:val="auto"/>
                <w:w w:val="92"/>
              </w:rPr>
              <w:t>ASSETS: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86,156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340"/>
              <w:spacing w:after="0"/>
              <w:rPr>
                <w:sz w:val="20"/>
                <w:szCs w:val="20"/>
                <w:color w:val="auto"/>
              </w:rPr>
            </w:pPr>
            <w:r>
              <w:rPr>
                <w:rFonts w:ascii="Arial" w:cs="Arial" w:eastAsia="Arial" w:hAnsi="Arial"/>
                <w:sz w:val="18"/>
                <w:szCs w:val="18"/>
                <w:color w:val="auto"/>
              </w:rPr>
              <w:t>Restricted cash, cash equivalents and investments</w:t>
            </w:r>
          </w:p>
        </w:tc>
        <w:tc>
          <w:tcPr>
            <w:tcW w:w="1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57,875</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67,840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Investments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101,015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34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6,689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6,106</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gridSpan w:val="2"/>
          </w:tcPr>
          <w:p>
            <w:pPr>
              <w:ind w:left="34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9"/>
                <w:szCs w:val="19"/>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20,240</w:t>
            </w: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278,081</w:t>
            </w: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527,729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478,170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royalties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2,941</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3,907</w:t>
            </w:r>
          </w:p>
        </w:tc>
        <w:tc>
          <w:tcPr>
            <w:tcW w:w="0" w:type="dxa"/>
            <w:vAlign w:val="bottom"/>
          </w:tcPr>
          <w:p>
            <w:pPr>
              <w:spacing w:after="0"/>
              <w:rPr>
                <w:sz w:val="1"/>
                <w:szCs w:val="1"/>
                <w:color w:val="auto"/>
              </w:rPr>
            </w:pPr>
          </w:p>
        </w:tc>
      </w:tr>
      <w:tr>
        <w:trPr>
          <w:trHeight w:val="223"/>
        </w:trPr>
        <w:tc>
          <w:tcPr>
            <w:tcW w:w="9280" w:type="dxa"/>
            <w:vAlign w:val="bottom"/>
            <w:gridSpan w:val="3"/>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815,570</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755,713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7300" w:type="dxa"/>
            <w:vAlign w:val="bottom"/>
            <w:shd w:val="clear" w:color="auto" w:fill="CCEEFF"/>
          </w:tcPr>
          <w:p>
            <w:pPr>
              <w:jc w:val="center"/>
              <w:ind w:right="221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34,316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340"/>
              <w:spacing w:after="0"/>
              <w:rPr>
                <w:sz w:val="20"/>
                <w:szCs w:val="20"/>
                <w:color w:val="auto"/>
              </w:rPr>
            </w:pPr>
            <w:r>
              <w:rPr>
                <w:rFonts w:ascii="Arial" w:cs="Arial" w:eastAsia="Arial" w:hAnsi="Arial"/>
                <w:sz w:val="18"/>
                <w:szCs w:val="18"/>
                <w:color w:val="auto"/>
              </w:rPr>
              <w:t>Accrued compensation and benefits</w:t>
            </w:r>
          </w:p>
        </w:tc>
        <w:tc>
          <w:tcPr>
            <w:tcW w:w="1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18,216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14,804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340"/>
              <w:spacing w:after="0"/>
              <w:rPr>
                <w:sz w:val="20"/>
                <w:szCs w:val="20"/>
                <w:color w:val="auto"/>
              </w:rPr>
            </w:pPr>
            <w:r>
              <w:rPr>
                <w:rFonts w:ascii="Arial" w:cs="Arial" w:eastAsia="Arial" w:hAnsi="Arial"/>
                <w:sz w:val="18"/>
                <w:szCs w:val="18"/>
                <w:color w:val="auto"/>
              </w:rPr>
              <w:t>Income taxes payable</w:t>
            </w:r>
          </w:p>
        </w:tc>
        <w:tc>
          <w:tcPr>
            <w:tcW w:w="1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15,544</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Student deposits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58,949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34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53,407</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36,868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Due to related parties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340"/>
              <w:spacing w:after="0"/>
              <w:rPr>
                <w:sz w:val="20"/>
                <w:szCs w:val="20"/>
                <w:color w:val="auto"/>
              </w:rPr>
            </w:pPr>
            <w:r>
              <w:rPr>
                <w:rFonts w:ascii="Arial" w:cs="Arial" w:eastAsia="Arial" w:hAnsi="Arial"/>
                <w:sz w:val="18"/>
                <w:szCs w:val="18"/>
                <w:color w:val="auto"/>
              </w:rPr>
              <w:t>Current portion of capital lease obligations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 portion of notes payable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6,616</w:t>
            </w:r>
          </w:p>
        </w:tc>
        <w:tc>
          <w:tcPr>
            <w:tcW w:w="0" w:type="dxa"/>
            <w:vAlign w:val="bottom"/>
          </w:tcPr>
          <w:p>
            <w:pPr>
              <w:spacing w:after="0"/>
              <w:rPr>
                <w:sz w:val="1"/>
                <w:szCs w:val="1"/>
                <w:color w:val="auto"/>
              </w:rPr>
            </w:pPr>
          </w:p>
        </w:tc>
      </w:tr>
      <w:tr>
        <w:trPr>
          <w:trHeight w:val="223"/>
        </w:trPr>
        <w:tc>
          <w:tcPr>
            <w:tcW w:w="9280" w:type="dxa"/>
            <w:vAlign w:val="bottom"/>
            <w:gridSpan w:val="3"/>
          </w:tcPr>
          <w:p>
            <w:pPr>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202,366</w:t>
            </w: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178,711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4,245</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 noncurrent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17,166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Notes payable, less current portion</w:t>
            </w:r>
          </w:p>
        </w:tc>
        <w:tc>
          <w:tcPr>
            <w:tcW w:w="140" w:type="dxa"/>
            <w:vAlign w:val="bottom"/>
          </w:tcPr>
          <w:p>
            <w:pPr>
              <w:spacing w:after="0"/>
              <w:rPr>
                <w:sz w:val="19"/>
                <w:szCs w:val="19"/>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78,221</w:t>
            </w: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79,877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302,381</w:t>
            </w: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279,481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80" w:type="dxa"/>
            <w:vAlign w:val="bottom"/>
            <w:gridSpan w:val="3"/>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60" w:type="dxa"/>
            <w:vAlign w:val="bottom"/>
            <w:gridSpan w:val="2"/>
          </w:tcPr>
          <w:p>
            <w:pPr>
              <w:spacing w:after="0" w:line="201" w:lineRule="exact"/>
              <w:rPr>
                <w:sz w:val="20"/>
                <w:szCs w:val="20"/>
                <w:color w:val="auto"/>
              </w:rPr>
            </w:pPr>
            <w:r>
              <w:rPr>
                <w:rFonts w:ascii="Arial" w:cs="Arial" w:eastAsia="Arial" w:hAnsi="Arial"/>
                <w:sz w:val="18"/>
                <w:szCs w:val="18"/>
                <w:color w:val="auto"/>
              </w:rPr>
              <w:t>Preferred stock, $0.01 par value, 10,000 shares authorized; 0 shares issued and outstanding at March 31, 2015 and</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gridSpan w:val="2"/>
          </w:tcPr>
          <w:p>
            <w:pPr>
              <w:ind w:left="160"/>
              <w:spacing w:after="0"/>
              <w:rPr>
                <w:sz w:val="20"/>
                <w:szCs w:val="20"/>
                <w:color w:val="auto"/>
              </w:rPr>
            </w:pPr>
            <w:r>
              <w:rPr>
                <w:rFonts w:ascii="Arial" w:cs="Arial" w:eastAsia="Arial" w:hAnsi="Arial"/>
                <w:sz w:val="18"/>
                <w:szCs w:val="18"/>
                <w:color w:val="auto"/>
              </w:rPr>
              <w:t>December 31, 2014</w:t>
            </w:r>
          </w:p>
        </w:tc>
        <w:tc>
          <w:tcPr>
            <w:tcW w:w="140" w:type="dxa"/>
            <w:vAlign w:val="bottom"/>
          </w:tcPr>
          <w:p>
            <w:pPr>
              <w:spacing w:after="0"/>
              <w:rPr>
                <w:sz w:val="20"/>
                <w:szCs w:val="20"/>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Common stock, $0.01 par value, 100,000 shares authorized; 50,164 and 49,746 shares issued and 47,068 and 46,744 shares</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outstanding at March 31, 2015 and December 31, 2014, respectively</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502</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w w:val="94"/>
              </w:rPr>
              <w:t>Treasury stock, at cost, 3,096 and 3,002 shares of common stock at March 31, 2015 and December 31, 2014, respectively</w:t>
            </w:r>
          </w:p>
        </w:tc>
        <w:tc>
          <w:tcPr>
            <w:tcW w:w="14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(57,948)</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(53,770)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165,734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(269)</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405,170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370,991</w:t>
            </w:r>
          </w:p>
        </w:tc>
        <w:tc>
          <w:tcPr>
            <w:tcW w:w="0" w:type="dxa"/>
            <w:vAlign w:val="bottom"/>
          </w:tcPr>
          <w:p>
            <w:pPr>
              <w:spacing w:after="0"/>
              <w:rPr>
                <w:sz w:val="1"/>
                <w:szCs w:val="1"/>
                <w:color w:val="auto"/>
              </w:rPr>
            </w:pPr>
          </w:p>
        </w:tc>
      </w:tr>
      <w:tr>
        <w:trPr>
          <w:trHeight w:val="230"/>
        </w:trPr>
        <w:tc>
          <w:tcPr>
            <w:tcW w:w="9280" w:type="dxa"/>
            <w:vAlign w:val="bottom"/>
            <w:gridSpan w:val="3"/>
          </w:tcPr>
          <w:p>
            <w:pPr>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513,189</w:t>
            </w:r>
          </w:p>
        </w:tc>
        <w:tc>
          <w:tcPr>
            <w:tcW w:w="4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476,232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815,570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755,713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3"/>
              </w:rPr>
              <w:t>Additional</w:t>
            </w: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700" w:type="dxa"/>
            <w:vAlign w:val="bottom"/>
            <w:gridSpan w:val="6"/>
            <w:vMerge w:val="restart"/>
          </w:tcPr>
          <w:p>
            <w:pPr>
              <w:ind w:left="240"/>
              <w:spacing w:after="0"/>
              <w:rPr>
                <w:sz w:val="20"/>
                <w:szCs w:val="20"/>
                <w:color w:val="auto"/>
              </w:rPr>
            </w:pPr>
            <w:r>
              <w:rPr>
                <w:rFonts w:ascii="Arial" w:cs="Arial" w:eastAsia="Arial" w:hAnsi="Arial"/>
                <w:sz w:val="14"/>
                <w:szCs w:val="14"/>
                <w:b w:val="1"/>
                <w:bCs w:val="1"/>
                <w:color w:val="auto"/>
              </w:rPr>
              <w:t>Common Stock</w:t>
            </w:r>
          </w:p>
        </w:tc>
        <w:tc>
          <w:tcPr>
            <w:tcW w:w="156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700" w:type="dxa"/>
            <w:vAlign w:val="bottom"/>
            <w:gridSpan w:val="6"/>
            <w:vMerge w:val="continue"/>
          </w:tcPr>
          <w:p>
            <w:pPr>
              <w:spacing w:after="0"/>
              <w:rPr>
                <w:sz w:val="14"/>
                <w:szCs w:val="14"/>
                <w:color w:val="auto"/>
              </w:rPr>
            </w:pPr>
          </w:p>
        </w:tc>
        <w:tc>
          <w:tcPr>
            <w:tcW w:w="156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Paid-in</w:t>
            </w: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68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Par Value</w:t>
            </w:r>
          </w:p>
        </w:tc>
        <w:tc>
          <w:tcPr>
            <w:tcW w:w="280" w:type="dxa"/>
            <w:vAlign w:val="bottom"/>
          </w:tcPr>
          <w:p>
            <w:pPr>
              <w:spacing w:after="0"/>
              <w:rPr>
                <w:sz w:val="12"/>
                <w:szCs w:val="12"/>
                <w:color w:val="auto"/>
              </w:rPr>
            </w:pPr>
          </w:p>
        </w:tc>
        <w:tc>
          <w:tcPr>
            <w:tcW w:w="7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Shares</w:t>
            </w:r>
          </w:p>
        </w:tc>
        <w:tc>
          <w:tcPr>
            <w:tcW w:w="66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2"/>
                <w:szCs w:val="12"/>
                <w:color w:val="auto"/>
              </w:rPr>
            </w:pPr>
          </w:p>
        </w:tc>
        <w:tc>
          <w:tcPr>
            <w:tcW w:w="94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2"/>
                <w:szCs w:val="12"/>
                <w:color w:val="auto"/>
              </w:rPr>
            </w:pPr>
          </w:p>
        </w:tc>
        <w:tc>
          <w:tcPr>
            <w:tcW w:w="9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Earnings</w:t>
            </w:r>
          </w:p>
        </w:tc>
        <w:tc>
          <w:tcPr>
            <w:tcW w:w="80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5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49,746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79"/>
              </w:rPr>
              <w:t>497</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3,002</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$(53,770)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$158,549</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$370,991</w:t>
            </w:r>
          </w:p>
        </w:tc>
        <w:tc>
          <w:tcPr>
            <w:tcW w:w="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$476,232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Comprehensive income</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34,179</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33,945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forfeited</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2</w:t>
            </w:r>
          </w:p>
        </w:tc>
        <w:tc>
          <w:tcPr>
            <w:tcW w:w="7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1,733</w:t>
            </w:r>
          </w:p>
        </w:tc>
        <w:tc>
          <w:tcPr>
            <w:tcW w:w="1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benefits</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2,870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313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3</w:t>
            </w:r>
          </w:p>
        </w:tc>
        <w:tc>
          <w:tcPr>
            <w:tcW w:w="460" w:type="dxa"/>
            <w:vAlign w:val="bottom"/>
          </w:tcPr>
          <w:p>
            <w:pPr>
              <w:jc w:val="right"/>
              <w:spacing w:after="0"/>
              <w:rPr>
                <w:sz w:val="20"/>
                <w:szCs w:val="20"/>
                <w:color w:val="auto"/>
              </w:rPr>
            </w:pPr>
            <w:r>
              <w:rPr>
                <w:rFonts w:ascii="Arial" w:cs="Arial" w:eastAsia="Arial" w:hAnsi="Arial"/>
                <w:sz w:val="18"/>
                <w:szCs w:val="18"/>
                <w:color w:val="auto"/>
              </w:rPr>
              <w:t>91</w:t>
            </w:r>
          </w:p>
        </w:tc>
        <w:tc>
          <w:tcPr>
            <w:tcW w:w="2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(4,178)</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2,582</w:t>
            </w:r>
          </w:p>
        </w:tc>
        <w:tc>
          <w:tcPr>
            <w:tcW w:w="1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2015</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50,164</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502</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3,096</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(57,948)</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165,734</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405,170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513,189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71"/>
        </w:trPr>
        <w:tc>
          <w:tcPr>
            <w:tcW w:w="7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7900" w:type="dxa"/>
            <w:vAlign w:val="bottom"/>
            <w:gridSpan w:val="3"/>
            <w:vMerge w:val="continue"/>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0"/>
              </w:rPr>
              <w:t>Cash flows</w:t>
            </w:r>
          </w:p>
        </w:tc>
        <w:tc>
          <w:tcPr>
            <w:tcW w:w="7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provided by operating activities:</w:t>
            </w:r>
          </w:p>
        </w:tc>
        <w:tc>
          <w:tcPr>
            <w:tcW w:w="1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34,179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ind w:left="340"/>
              <w:spacing w:after="0"/>
              <w:rPr>
                <w:sz w:val="20"/>
                <w:szCs w:val="20"/>
                <w:color w:val="auto"/>
              </w:rPr>
            </w:pPr>
            <w:r>
              <w:rPr>
                <w:rFonts w:ascii="Arial" w:cs="Arial" w:eastAsia="Arial" w:hAnsi="Arial"/>
                <w:sz w:val="18"/>
                <w:szCs w:val="18"/>
                <w:color w:val="auto"/>
              </w:rPr>
              <w:t>Share-based compensation</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2,603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Excess tax benefits from share-based compensation</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(2,816)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ind w:left="340"/>
              <w:spacing w:after="0"/>
              <w:rPr>
                <w:sz w:val="20"/>
                <w:szCs w:val="20"/>
                <w:color w:val="auto"/>
              </w:rPr>
            </w:pPr>
            <w:r>
              <w:rPr>
                <w:rFonts w:ascii="Arial" w:cs="Arial" w:eastAsia="Arial" w:hAnsi="Arial"/>
                <w:sz w:val="18"/>
                <w:szCs w:val="18"/>
                <w:color w:val="auto"/>
              </w:rPr>
              <w:t>Provision for bad debts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3,968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ind w:left="340"/>
              <w:spacing w:after="0"/>
              <w:rPr>
                <w:sz w:val="20"/>
                <w:szCs w:val="20"/>
                <w:color w:val="auto"/>
              </w:rPr>
            </w:pPr>
            <w:r>
              <w:rPr>
                <w:rFonts w:ascii="Arial" w:cs="Arial" w:eastAsia="Arial" w:hAnsi="Arial"/>
                <w:sz w:val="18"/>
                <w:szCs w:val="18"/>
                <w:color w:val="auto"/>
              </w:rPr>
              <w:t>Deferred income taxes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Prepaid royalty impairment</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Changes in assets and liabilities: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ind w:left="700"/>
              <w:spacing w:after="0"/>
              <w:rPr>
                <w:sz w:val="20"/>
                <w:szCs w:val="20"/>
                <w:color w:val="auto"/>
              </w:rPr>
            </w:pPr>
            <w:r>
              <w:rPr>
                <w:rFonts w:ascii="Arial" w:cs="Arial" w:eastAsia="Arial" w:hAnsi="Arial"/>
                <w:sz w:val="18"/>
                <w:szCs w:val="18"/>
                <w:color w:val="auto"/>
              </w:rPr>
              <w:t>Restricted cash, cash equivalents and investments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9,965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Accounts receivable</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(3,052)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ind w:left="700"/>
              <w:spacing w:after="0"/>
              <w:rPr>
                <w:sz w:val="20"/>
                <w:szCs w:val="20"/>
                <w:color w:val="auto"/>
              </w:rPr>
            </w:pPr>
            <w:r>
              <w:rPr>
                <w:rFonts w:ascii="Arial" w:cs="Arial" w:eastAsia="Arial" w:hAnsi="Arial"/>
                <w:sz w:val="18"/>
                <w:szCs w:val="18"/>
                <w:color w:val="auto"/>
              </w:rPr>
              <w:t>Prepaid expenses and other</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(283)</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Due to/from related parties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ind w:left="700"/>
              <w:spacing w:after="0"/>
              <w:rPr>
                <w:sz w:val="20"/>
                <w:szCs w:val="20"/>
                <w:color w:val="auto"/>
              </w:rPr>
            </w:pPr>
            <w:r>
              <w:rPr>
                <w:rFonts w:ascii="Arial" w:cs="Arial" w:eastAsia="Arial" w:hAnsi="Arial"/>
                <w:sz w:val="18"/>
                <w:szCs w:val="18"/>
                <w:color w:val="auto"/>
              </w:rPr>
              <w:t>Accounts payable</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Accrued liabilities and employee related liabilities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(4,526)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ind w:left="700"/>
              <w:spacing w:after="0"/>
              <w:rPr>
                <w:sz w:val="20"/>
                <w:szCs w:val="20"/>
                <w:color w:val="auto"/>
              </w:rPr>
            </w:pPr>
            <w:r>
              <w:rPr>
                <w:rFonts w:ascii="Arial" w:cs="Arial" w:eastAsia="Arial" w:hAnsi="Arial"/>
                <w:sz w:val="18"/>
                <w:szCs w:val="18"/>
                <w:color w:val="auto"/>
              </w:rPr>
              <w:t>Income taxes receivable/payable</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13,508</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Deferred rent</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ind w:left="700"/>
              <w:spacing w:after="0"/>
              <w:rPr>
                <w:sz w:val="20"/>
                <w:szCs w:val="20"/>
                <w:color w:val="auto"/>
              </w:rPr>
            </w:pPr>
            <w:r>
              <w:rPr>
                <w:rFonts w:ascii="Arial" w:cs="Arial" w:eastAsia="Arial" w:hAnsi="Arial"/>
                <w:sz w:val="18"/>
                <w:szCs w:val="18"/>
                <w:color w:val="auto"/>
              </w:rPr>
              <w:t>Deferred revenue</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16,539</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Student deposits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(10,635)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(12,561)</w:t>
            </w:r>
          </w:p>
        </w:tc>
        <w:tc>
          <w:tcPr>
            <w:tcW w:w="0" w:type="dxa"/>
            <w:vAlign w:val="bottom"/>
          </w:tcPr>
          <w:p>
            <w:pPr>
              <w:spacing w:after="0"/>
              <w:rPr>
                <w:sz w:val="1"/>
                <w:szCs w:val="1"/>
                <w:color w:val="auto"/>
              </w:rPr>
            </w:pPr>
          </w:p>
        </w:tc>
      </w:tr>
      <w:tr>
        <w:trPr>
          <w:trHeight w:val="230"/>
        </w:trPr>
        <w:tc>
          <w:tcPr>
            <w:tcW w:w="7900" w:type="dxa"/>
            <w:vAlign w:val="bottom"/>
            <w:gridSpan w:val="3"/>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7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68,189</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ind w:left="340"/>
              <w:spacing w:after="0"/>
              <w:rPr>
                <w:sz w:val="20"/>
                <w:szCs w:val="20"/>
                <w:color w:val="auto"/>
              </w:rPr>
            </w:pPr>
            <w:r>
              <w:rPr>
                <w:rFonts w:ascii="Arial" w:cs="Arial" w:eastAsia="Arial" w:hAnsi="Arial"/>
                <w:sz w:val="18"/>
                <w:szCs w:val="18"/>
                <w:color w:val="auto"/>
              </w:rPr>
              <w:t>Capital expenditures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(45,737)</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(27,214)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Purchases of investments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(10,710)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(62,711)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ind w:left="340"/>
              <w:spacing w:after="0"/>
              <w:rPr>
                <w:sz w:val="20"/>
                <w:szCs w:val="20"/>
                <w:color w:val="auto"/>
              </w:rPr>
            </w:pPr>
            <w:r>
              <w:rPr>
                <w:rFonts w:ascii="Arial" w:cs="Arial" w:eastAsia="Arial" w:hAnsi="Arial"/>
                <w:sz w:val="18"/>
                <w:szCs w:val="18"/>
                <w:color w:val="auto"/>
              </w:rPr>
              <w:t>Proceeds from sale or maturity of investments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10,479</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13,665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(45,968)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(76,260)</w:t>
            </w:r>
          </w:p>
        </w:tc>
        <w:tc>
          <w:tcPr>
            <w:tcW w:w="0" w:type="dxa"/>
            <w:vAlign w:val="bottom"/>
          </w:tcPr>
          <w:p>
            <w:pPr>
              <w:spacing w:after="0"/>
              <w:rPr>
                <w:sz w:val="1"/>
                <w:szCs w:val="1"/>
                <w:color w:val="auto"/>
              </w:rPr>
            </w:pPr>
          </w:p>
        </w:tc>
      </w:tr>
      <w:tr>
        <w:trPr>
          <w:trHeight w:val="223"/>
        </w:trPr>
        <w:tc>
          <w:tcPr>
            <w:tcW w:w="7900" w:type="dxa"/>
            <w:vAlign w:val="bottom"/>
            <w:gridSpan w:val="3"/>
          </w:tcPr>
          <w:p>
            <w:pPr>
              <w:spacing w:after="0"/>
              <w:rPr>
                <w:sz w:val="20"/>
                <w:szCs w:val="20"/>
                <w:color w:val="auto"/>
              </w:rPr>
            </w:pPr>
            <w:r>
              <w:rPr>
                <w:rFonts w:ascii="Arial" w:cs="Arial" w:eastAsia="Arial" w:hAnsi="Arial"/>
                <w:sz w:val="18"/>
                <w:szCs w:val="18"/>
                <w:b w:val="1"/>
                <w:bCs w:val="1"/>
                <w:color w:val="auto"/>
              </w:rPr>
              <w:t>Cash flows (used in) provided by financing activities:</w:t>
            </w:r>
          </w:p>
        </w:tc>
        <w:tc>
          <w:tcPr>
            <w:tcW w:w="17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Principal payments on notes payable and capital lease obligations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(1,676)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ind w:left="340"/>
              <w:spacing w:after="0"/>
              <w:rPr>
                <w:sz w:val="20"/>
                <w:szCs w:val="20"/>
                <w:color w:val="auto"/>
              </w:rPr>
            </w:pPr>
            <w:r>
              <w:rPr>
                <w:rFonts w:ascii="Arial" w:cs="Arial" w:eastAsia="Arial" w:hAnsi="Arial"/>
                <w:sz w:val="18"/>
                <w:szCs w:val="18"/>
                <w:color w:val="auto"/>
              </w:rPr>
              <w:t>Repurchase of common shares including shares withheld in lieu of income taxes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(4,178)</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Excess tax benefits from share-based compensation</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gridSpan w:val="2"/>
          </w:tcPr>
          <w:p>
            <w:pPr>
              <w:ind w:left="340"/>
              <w:spacing w:after="0"/>
              <w:rPr>
                <w:sz w:val="20"/>
                <w:szCs w:val="20"/>
                <w:color w:val="auto"/>
              </w:rPr>
            </w:pPr>
            <w:r>
              <w:rPr>
                <w:rFonts w:ascii="Arial" w:cs="Arial" w:eastAsia="Arial" w:hAnsi="Arial"/>
                <w:sz w:val="18"/>
                <w:szCs w:val="18"/>
                <w:color w:val="auto"/>
              </w:rPr>
              <w:t>Net proceeds from exercise of stock options</w:t>
            </w:r>
          </w:p>
        </w:tc>
        <w:tc>
          <w:tcPr>
            <w:tcW w:w="1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5,894</w:t>
            </w:r>
          </w:p>
        </w:tc>
        <w:tc>
          <w:tcPr>
            <w:tcW w:w="0" w:type="dxa"/>
            <w:vAlign w:val="bottom"/>
          </w:tcPr>
          <w:p>
            <w:pPr>
              <w:spacing w:after="0"/>
              <w:rPr>
                <w:sz w:val="1"/>
                <w:szCs w:val="1"/>
                <w:color w:val="auto"/>
              </w:rPr>
            </w:pPr>
          </w:p>
        </w:tc>
      </w:tr>
      <w:tr>
        <w:trPr>
          <w:trHeight w:val="223"/>
        </w:trPr>
        <w:tc>
          <w:tcPr>
            <w:tcW w:w="7900" w:type="dxa"/>
            <w:vAlign w:val="bottom"/>
            <w:gridSpan w:val="3"/>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7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20,918</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(16,695)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65,238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55,824</w:t>
            </w:r>
          </w:p>
        </w:tc>
        <w:tc>
          <w:tcPr>
            <w:tcW w:w="0" w:type="dxa"/>
            <w:vAlign w:val="bottom"/>
          </w:tcPr>
          <w:p>
            <w:pPr>
              <w:spacing w:after="0"/>
              <w:rPr>
                <w:sz w:val="1"/>
                <w:szCs w:val="1"/>
                <w:color w:val="auto"/>
              </w:rPr>
            </w:pPr>
          </w:p>
        </w:tc>
      </w:tr>
      <w:tr>
        <w:trPr>
          <w:trHeight w:val="223"/>
        </w:trPr>
        <w:tc>
          <w:tcPr>
            <w:tcW w:w="7900" w:type="dxa"/>
            <w:vAlign w:val="bottom"/>
            <w:gridSpan w:val="3"/>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7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86,156</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ind w:left="340"/>
              <w:spacing w:after="0"/>
              <w:rPr>
                <w:sz w:val="20"/>
                <w:szCs w:val="20"/>
                <w:color w:val="auto"/>
              </w:rPr>
            </w:pPr>
            <w:r>
              <w:rPr>
                <w:rFonts w:ascii="Arial" w:cs="Arial" w:eastAsia="Arial" w:hAnsi="Arial"/>
                <w:sz w:val="18"/>
                <w:szCs w:val="18"/>
                <w:color w:val="auto"/>
              </w:rPr>
              <w:t>Cash paid for interest</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386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paid for income taxes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Purchases of property and equipment included in accounts payable</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17,611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ind w:left="340"/>
              <w:spacing w:after="0"/>
              <w:rPr>
                <w:sz w:val="20"/>
                <w:szCs w:val="20"/>
                <w:color w:val="auto"/>
              </w:rPr>
            </w:pPr>
            <w:r>
              <w:rPr>
                <w:rFonts w:ascii="Arial" w:cs="Arial" w:eastAsia="Arial" w:hAnsi="Arial"/>
                <w:sz w:val="18"/>
                <w:szCs w:val="18"/>
                <w:color w:val="auto"/>
              </w:rPr>
              <w:t>Tax benefit of Spirit warrant intangible</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65</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Shortfall tax expense from share-based compensation</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Grand Canyon Education, Inc. (together with its subsidiaries, the “University”) is a comprehensive regionally accredited university that offers over 160 graduate and undergraduate degree programs across eight colleges both online and on ground at our 200+ acre campus in Phoenix, Arizona, and at facilities we lease and at facilities owned by third party employers. Our undergraduate programs are designed to be innovative and to meet the future needs of employers, while providing students with the needed critical thinking and effective communication skills developed through a Christian, liberal arts foundation. The University is accredited by The Higher Learning Commission. The University’s wholly-owned subsidiaries are primarily used to facilitate expansion of the University campus.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consolidated financial statements include the accounts of the University and its wholly-owned subsidiaries. Intercompany transactions have been eliminated in consolidation.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accompanying unaudited interim consolidated financial statements of the University have been prepared in accordance with U.S. generally accepted accounting principles and pursuant to the rules and regulations of the United States Securities and Exchange Commission and the instructions to Form 10-Q and Article 10, consistent in all material respects with those applied in its financial statements included in its Annual Report on Form 10-K for the fiscal year ended December 31, 2014. They do not include all of the information and footnotes required by U.S. generally accepted accounting principles for complete financial statements. Such interim financial information is unaudited but reflects all adjustments that in the opinion of management are necessary for the fair presentation of the interim periods presented. Interim results are not necessarily indicative of results for a full year. These consolidated financial statements should be read in conjunction with the University’s audited financial statements and footnotes included in its Annual Report on Form 10-K for the fiscal year ended December 31, 2014 from which the December 31, 2014 balance sheet information was derived.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Cash Equivalents and Investments</w:t>
      </w:r>
    </w:p>
    <w:p>
      <w:pPr>
        <w:spacing w:after="0" w:line="117"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A significant portion of the University’s revenue is received from students who participate in government financial aid and assistance programs. Restricted cash, cash equivalents and investments primarily represent amounts received from the federal and state governments under various student aid grant and loan programs, such as Title IV. The University receives these funds subsequent to the completion of the authorization and disbursement process and holds them for the benefit of the student. The U.S. Department of Education (“Department of Education”) requires Title IV funds collected in advance of student billings to be restricted until the course begins. The University records all of these amounts as a current asset in restricted cash, cash equivalents and investments. The majority of these funds remains as restricted for an average of 60 to 90 days from the date of receipt.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 University considers its investments in municipal bond, mutual funds and municipal securities as available-for-sale securities. Available-for-sale securities are carried at fair value, determined using Level 2 of the hierarchy of valuation inputs, with the use of inputs other than quoted prices that are observable for the assets, with unrealized gains and losses, net of tax, reported as a separate component of other comprehensive income. Unrealized losses considered to be other-than-temporary are recognized currently in earnings. Amortization of premiums, accretion of discounts, interest and dividend income and realized gains and losses are included in interest and other income.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Receivable</w:t>
      </w:r>
    </w:p>
    <w:p>
      <w:pPr>
        <w:spacing w:after="0" w:line="117"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The University purchased a note receivable from a financial institution at fair market value in the fourth quarter of 2012 for $27,000. The note bore interest at 11%, which represented the 6% rate of the loan plus the 5% default rate. The principal and most of the interest due on the note was paid in March 2013 resulting in the full return on investment of the note receivable and an additional gain in interest income and other income of $2,187 on the</w:t>
      </w:r>
    </w:p>
    <w:p>
      <w:pPr>
        <w:spacing w:after="0" w:line="268" w:lineRule="auto"/>
        <w:rPr>
          <w:sz w:val="20"/>
          <w:szCs w:val="20"/>
          <w:color w:val="auto"/>
        </w:rPr>
      </w:pPr>
      <w:r>
        <w:rPr>
          <w:rFonts w:ascii="Arial" w:cs="Arial" w:eastAsia="Arial" w:hAnsi="Arial"/>
          <w:sz w:val="17"/>
          <w:szCs w:val="17"/>
          <w:color w:val="auto"/>
        </w:rPr>
        <w:t>loan. However, the borrower has disputed certain amounts remaining due under the note agreement, including default interest in the amount of $432, a late payment penalty in the amount of $1,392, and a statutory trustee’s fee in the amount of $139. The funds disputed by the borrower, plus interest thereon, were deposited into an escrow account with the clerk of the Maricopa County Superior Court pending resolution of the disputed issues. In the third quarter of 2013, the court ruled in favor of the University with respect to the late penalty and default interest accrued thereon. Accordingly, the University recorded interest and other income of $1,459 for the year ended December 31, 2013. The court ordered the late penalty funds and interest thereon to be released to the University on October 28, 2013 unless prior to said date, borrower filed with the court a formal notice of appeal and simultaneously deposited an additional $344 into escrow with the clerk of the court representing continued interest accruing on the late penalty pending an appeal. On October 28, 2013 borrower deposited with the clerk of the court the required cash bond in the amount of $344 and filed its formal notice of appeal. On January 29, 2015, the court ruled in favor of the University with respect to the remaining default interest and interest thereon. The University is waiting for the formal written decision from the Arizona Court of Appeals.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117"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Derivative financial instruments are recorded on the balance sheet as assets or liabilities and re-measured at fair value at each reporting date. For derivatives designated as cash flow hedges, the effective portion of the gain or loss on the derivative is reported as a component of other comprehensive income and reclassified into earnings in the same period or periods during which the hedged transaction affects earnings. Gains and losses on the derivative representing either hedge ineffectiveness or hedge components excluded from the assessment of effectiveness are recognized in current earnings.</w:t>
      </w:r>
    </w:p>
    <w:p>
      <w:pPr>
        <w:spacing w:after="0" w:line="154"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Derivative financial instruments enable the University to manage its exposure to interest rate risk. The University does not engage in any derivative instrument trading activity. Credit risk associated with the University’s derivatives is limited to the risk that a derivative counterparty will not perform in accordance with the terms of the contract. Exposure to counterparty credit risk is considered low because these agreements have been entered into with institutions with strong credit ratings, and they are expected to perform fully under the terms of the agreements.</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June 30, 2009 and February 27, 2013, respectively, the University entered into an interest rate swap and an interest rate corridor to manage its 30 Day LIBOR interest exposure related to its variable rate debt. The fair values of the interest rate corridor instrument as of March 31, 2015 and December 31, 2014 were $937 and $1,332, respectively, which are included in other assets. The interest rate swap was terminated upon its expiration date in April 2014. The fair values of each derivative instrument were determined using a hypothetical derivative transaction and Level 2 of the hierarchy of valuation inputs. These derivative instruments were originally designated as cash flow hedges of variable rate debt obligations. The adjustment of ($392) and ($43) for the three months ended March 31, 2015 and 2014, respectively, for the effective portion of the gain/(loss) on the derivatives are included as a component of other comprehensive income (loss), net of taxes.</w:t>
      </w:r>
    </w:p>
    <w:p>
      <w:pPr>
        <w:spacing w:after="0" w:line="189"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The interest rate corridor instrument reduces variable interest rate risk starting March 1, 2013 through December 20, 2019 with a notional amount of $85,000 as of March 31, 2015. The corridor instrument’s terms permits the University to hedge its interest rate risk at several thresholds; the University pays variable interest monthly based on the 30 Day LIBOR rates until that index reaches 1.5%. If 30 Day LIBOR is equal to 1.5% through 3.0%, the University pays 1.5%. If 30 Day LIBOR exceeds 3.0%, the University pays actual 30 Day LIBOR less 1.5%.</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of March 31, 2015, no derivative ineffectiveness was identified. Any ineffectiveness in the University’s derivative instrument designated as a hedge is reported in interest expense in the income statement. For the three months ended March 31, 2015 and 2014, $3 of credit risk was recorded in interest expense for the interest rate corridor. At March 31, 2015, the University does not expect to reclassify gains or losses on derivative instruments from accumulated other comprehensive income (loss) into earnings during the next 12 months.</w:t>
      </w:r>
    </w:p>
    <w:p>
      <w:pPr>
        <w:sectPr>
          <w:pgSz w:w="11900" w:h="16838" w:orient="portrait"/>
          <w:cols w:equalWidth="0" w:num="1">
            <w:col w:w="11400"/>
          </w:cols>
          <w:pgMar w:left="240" w:top="459"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As of March 31, 2015, the carrying value of cash and cash equivalents, investments, accounts receivable, account payable and accrued compensation and benefits and accrued liabilities expenses approximate their fair value based on the liquidity or the short-term maturities of these instruments. The carrying value of notes payable approximates fair value as it is based on variable rate index. The carrying value of capital lease obligations approximate fair value based upon market interest rates available to the University for debt of similar risk and maturities. Derivative financial instruments are carried at fair value, determined using Level 2 of the hierarchy of valuation inputs, with the use of inputs other than quoted prices that are observable for the asset or liability.</w:t>
      </w: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25"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fair value of investments, primarily municipal securities, including municipal bond portfolios were determined using Level 2 of the hierarchy of valuation inputs, with the use of inputs other than quoted prices that are observable for the assets. The unit of account used for valuation is the individual underlying security. The municipal securities are comprised of city and county bonds related to schools, water and sewer, utilities, transportation, healthcare and housing. Because these securities are held by the University as investments, assessment of non-performance risk is not applicable as such considerations are only applicable in evaluating the fair value measurements for liabilities.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Net revenues consist primarily of tuition and fees derived from courses taught by the University online, on ground at its 200+ acre campus in Phoenix, Arizona, and at facilities it leases or those of employers, as well as from related educational resources that the University provides to its students, such as access to online materials. Tuition revenue and most fees from related educational resources are recognized pro-rata over the applicable period of instruction, net of scholarships provided by the University. For the three months ended March 31, 2015 and 2014, the University’s revenue was reduced by approximately $46,432 and $37,719, respectively, as a result of scholarships that the University offered to students. The University maintains an institutional tuition refund policy, which provides for all or a portion of tuition to be refunded if a student withdraws during stated refund periods. Certain states in which students reside impose separate, mandatory refund policies, which override the University’s policy to the extent in conflict. If a student withdraws at a time when only a portion, or none, of the tuition is refundable, then in accordance with its revenue recognition policy, the University continues to recognize the tuition that was not refunded pro-rata over the applicable period of instruction. However, for students that have taken out financial aid to pay their tuition and for which a Return to Title IV is required as a result of his or her withdrawal, the University recognizes revenue after a student withdraws only at the time of cash collection. Sales tax collected from students is excluded from net revenues. Collected but unremitted sales tax is included as an accrued liability in the consolidated balance sheets. The University also charges online students an upfront learning management fee, which is deferred and recognized over the average expected term of a student. Costs that are direct and incremental to new online students are also deferred and recognized ratably over the average expected term of a student. Deferred revenue and student deposits in any period represent the excess of tuition, fees, and other student payments received as compared to amounts recognized as revenue on the income statement and are reflected as current liabilities in the accompanying consolidated balance sheet. The University’s educational programs have starting and ending dates that differ from its fiscal quarters. Therefore, at the end of each fiscal quarter, a portion of revenue from these programs is not yet earned. Other revenues may be recognized as sales occur or services are performed.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1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University records an allowance for doubtful accounts for estimated losses resulting from the inability, failure or refusal of its students to make required payments, which includes the recovery of financial aid funds advanced to a student for amounts in excess of the student’s cost of tuition and related fees. The University determines the adequacy of its allowance for doubtful accounts based on an analysis of its historical bad debt experience, current economic trends, the aging of the accounts receivable and student status. The University applies reserves to its receivables based upon an estimate of the risk presented by the age of the receivables and student status. The University writes off accounts receivable balances at the earlier of the time the balances were deemed uncollectible, or one year after the revenue is generated. The University accelerates the write off of inactive student accounts such that the accounts are written off by day 150. The University reflects accounts receivable with an offsetting allowance as long as management believes there is a reasonable possibility of collection. Bad debt expense is recorded as an instructional costs and services expense in the consolidated income statement.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 (other than goodwill)</w:t>
      </w:r>
    </w:p>
    <w:p>
      <w:pPr>
        <w:spacing w:after="0" w:line="225"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The University evaluates the recoverability of our long-lived assets for impairment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ectPr>
          <w:pgSz w:w="11900" w:h="16838" w:orient="portrait"/>
          <w:cols w:equalWidth="0" w:num="1">
            <w:col w:w="11380"/>
          </w:cols>
          <w:pgMar w:left="240" w:top="459" w:right="2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Instructional Costs and Services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Instructional costs and services consist primarily of costs related to the administration and delivery of the University’s educational programs. This expense category includes salaries, benefits and share-based compensation for full-time and adjunct faculty and administrative personnel, information technology costs, bad debt expense, curriculum and new program development costs (which are expensed as incurred) and costs associated with other support groups that provide services directly to the students. This category also includes an allocation of depreciation, amortization, rent, and occupancy costs attributable to the provision of educational services, primarily at the University’s Phoenix, Arizona campus.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125"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Admissions Advisory and Related</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Admissions advisory and related expenses include salaries and benefits for admissions advisory personnel and, revenue share expense as well as an allocation of depreciation, amortization, rent and occupancy costs attributable to the admissions advisory personnel.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Advertising expenses include brand advertising, marketing leads and other branding activities. Advertising costs are expensed as incurred.</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Promotional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Marketing and promotional expenses include salaries, benefits and share-based compensation for marketing personnel, and other promotional expenses.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This category also includes an allocation of depreciation, amortization, rent, and occupancy costs attributable to marketing and promotional activities.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Marketing and promotional costs are expensed as incurred.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General and administrative expenses include salaries, benefits and share-based compensation of employees engaged in corporate management, finance, human resources, compliance, and other corporate functions. General and administrative expenses also include an allocation of depreciation, amortization, rent, and occupancy costs attributable to the departments providing general and administrative functions.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117"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color w:val="auto"/>
        </w:rPr>
        <w:t>The University accrues for contingent obligations when it is probable that a liability has been incurred and the amount is reasonably estimable. When the University becomes aware of a claim or potential claim, the likelihood of any loss exposure is assessed. If it is probable that a loss will result and the amount of the loss is estimable, the University records a liability for the estimated loss. If the loss is not probable or the amount of the potential loss is not estimable, the University will disclose the claim if the likelihood of a potential loss is reasonably possible and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University expenses legal fees as incurred.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requires management to make estimates and assumptions that affect the reported amounts in the consolidated financial statements and accompanying notes. Actual results could differ from those estimates.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University operates as a single educational delivery operation using a core infrastructure that serves the curriculum and educational delivery needs of both its ground and online students regardless of geography. The University’s Chief Executive Officer manages the University’s operations as a whole and no expense or operating income information is generated or evaluated on any component level.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May 2014, the Financial Accounting Standards Board (“FASB”) issued “Revenue from Contracts with Customers.” The standard is a comprehensive new revenue recognition model that requires revenue to be recognized in a manner to depict the transfer of goods or services to a customer at an amount that reflects the consideration expected to be received in exchange for those goods or services. The standard is effective for fiscal years, and interim periods within those years, beginning after December 15, 2016, and early adoption is not permitted. Accordingly, the standard is effective for us on January 1, 2017. The University is currently evaluating the impact that the standard will have on our financial condition, results of operations and disclosures.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University has determined that no other recent accounting pronouncements apply to its operations or would otherwise have a material impact on its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12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The following is a summary of amounts included in restricted and unrestricted investments as of March 31, 2015 and December 31, 2014. The University sold $9,965 of restricted investments during the three months ended March 31, 2015. The University considered all investments as available for sale.</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As of March 31, 2015</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Adjusted</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660"/>
              <w:spacing w:after="0" w:line="119" w:lineRule="exact"/>
              <w:rPr>
                <w:sz w:val="20"/>
                <w:szCs w:val="20"/>
                <w:color w:val="auto"/>
              </w:rPr>
            </w:pPr>
            <w:r>
              <w:rPr>
                <w:rFonts w:ascii="Arial" w:cs="Arial" w:eastAsia="Arial" w:hAnsi="Arial"/>
                <w:sz w:val="13"/>
                <w:szCs w:val="13"/>
                <w:b w:val="1"/>
                <w:bCs w:val="1"/>
                <w:color w:val="auto"/>
                <w:w w:val="90"/>
              </w:rPr>
              <w:t>Gross</w:t>
            </w:r>
          </w:p>
        </w:tc>
        <w:tc>
          <w:tcPr>
            <w:tcW w:w="100" w:type="dxa"/>
            <w:vAlign w:val="bottom"/>
          </w:tcPr>
          <w:p>
            <w:pPr>
              <w:spacing w:after="0"/>
              <w:rPr>
                <w:sz w:val="10"/>
                <w:szCs w:val="10"/>
                <w:color w:val="auto"/>
              </w:rPr>
            </w:pPr>
          </w:p>
        </w:tc>
        <w:tc>
          <w:tcPr>
            <w:tcW w:w="90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Gross</w:t>
            </w:r>
          </w:p>
        </w:tc>
        <w:tc>
          <w:tcPr>
            <w:tcW w:w="240" w:type="dxa"/>
            <w:vAlign w:val="bottom"/>
          </w:tcPr>
          <w:p>
            <w:pPr>
              <w:spacing w:after="0"/>
              <w:rPr>
                <w:sz w:val="10"/>
                <w:szCs w:val="10"/>
                <w:color w:val="auto"/>
              </w:rPr>
            </w:pPr>
          </w:p>
        </w:tc>
        <w:tc>
          <w:tcPr>
            <w:tcW w:w="6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Estimated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Cost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3"/>
              </w:rPr>
              <w:t>(Losses)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14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$ 83,523</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79"/>
              </w:rPr>
              <w:t>48</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71"/>
              </w:rPr>
              <w:t>(165)</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83,406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Municipal bond mutual fund</w:t>
            </w:r>
          </w:p>
        </w:tc>
        <w:tc>
          <w:tcPr>
            <w:tcW w:w="1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75,484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75,484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restricted and unrestricted investments</w:t>
            </w:r>
          </w:p>
        </w:tc>
        <w:tc>
          <w:tcPr>
            <w:tcW w:w="1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159,007</w:t>
            </w: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(165)</w:t>
            </w: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158,890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As of December 31, 2014</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Adjusted</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660"/>
              <w:spacing w:after="0" w:line="119" w:lineRule="exact"/>
              <w:rPr>
                <w:sz w:val="20"/>
                <w:szCs w:val="20"/>
                <w:color w:val="auto"/>
              </w:rPr>
            </w:pPr>
            <w:r>
              <w:rPr>
                <w:rFonts w:ascii="Arial" w:cs="Arial" w:eastAsia="Arial" w:hAnsi="Arial"/>
                <w:sz w:val="13"/>
                <w:szCs w:val="13"/>
                <w:b w:val="1"/>
                <w:bCs w:val="1"/>
                <w:color w:val="auto"/>
                <w:w w:val="90"/>
              </w:rPr>
              <w:t>Gross</w:t>
            </w:r>
          </w:p>
        </w:tc>
        <w:tc>
          <w:tcPr>
            <w:tcW w:w="100" w:type="dxa"/>
            <w:vAlign w:val="bottom"/>
          </w:tcPr>
          <w:p>
            <w:pPr>
              <w:spacing w:after="0"/>
              <w:rPr>
                <w:sz w:val="10"/>
                <w:szCs w:val="10"/>
                <w:color w:val="auto"/>
              </w:rPr>
            </w:pPr>
          </w:p>
        </w:tc>
        <w:tc>
          <w:tcPr>
            <w:tcW w:w="90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Gross</w:t>
            </w:r>
          </w:p>
        </w:tc>
        <w:tc>
          <w:tcPr>
            <w:tcW w:w="240" w:type="dxa"/>
            <w:vAlign w:val="bottom"/>
          </w:tcPr>
          <w:p>
            <w:pPr>
              <w:spacing w:after="0"/>
              <w:rPr>
                <w:sz w:val="10"/>
                <w:szCs w:val="10"/>
                <w:color w:val="auto"/>
              </w:rPr>
            </w:pPr>
          </w:p>
        </w:tc>
        <w:tc>
          <w:tcPr>
            <w:tcW w:w="6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Estimated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Cost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3"/>
              </w:rPr>
              <w:t>(Losses)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14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$ 83,364</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79"/>
              </w:rPr>
              <w:t>51</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71"/>
              </w:rPr>
              <w:t>(177)</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83,238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Municipal bond mutual fund</w:t>
            </w:r>
          </w:p>
        </w:tc>
        <w:tc>
          <w:tcPr>
            <w:tcW w:w="1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85,386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85,386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unrestricted investments</w:t>
            </w:r>
          </w:p>
        </w:tc>
        <w:tc>
          <w:tcPr>
            <w:tcW w:w="1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168,750</w:t>
            </w: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(177)</w:t>
            </w: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168,624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The cash flows of municipal securities are backed by the issuing municipality’s credit worthiness. All municipal securities are due in one year or less as of March 31, 2015. For the three months ended March 31, 2015, the net unrealized loss on available-for-sale securities was $72, net of taxes.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Income Per Common Share</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Basic net income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stock options and restricted stock awards, for which the estimated fair value exceeds the exercise price, less shares which could have been purchased with the related proceeds, unless anti-dilutive. For employee equity awards, repurchased shares are also included for any unearned compensation adjusted for tax.</w:t>
      </w:r>
    </w:p>
    <w:p>
      <w:pPr>
        <w:spacing w:after="0" w:line="154"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table below reflects the calculation of the weighted average number of common shares outstanding, on an as if converted basis, used in computing basic and diluted earnings per common share.</w:t>
      </w:r>
    </w:p>
    <w:p>
      <w:pPr>
        <w:spacing w:after="0" w:line="189" w:lineRule="exact"/>
        <w:rPr>
          <w:sz w:val="20"/>
          <w:szCs w:val="20"/>
          <w:color w:val="auto"/>
        </w:rPr>
      </w:pPr>
    </w:p>
    <w:p>
      <w:pPr>
        <w:jc w:val="center"/>
        <w:ind w:left="7020"/>
        <w:spacing w:after="0"/>
        <w:rPr>
          <w:sz w:val="20"/>
          <w:szCs w:val="20"/>
          <w:color w:val="auto"/>
        </w:rPr>
      </w:pPr>
      <w:r>
        <w:rPr>
          <w:rFonts w:ascii="Arial" w:cs="Arial" w:eastAsia="Arial" w:hAnsi="Arial"/>
          <w:sz w:val="14"/>
          <w:szCs w:val="14"/>
          <w:b w:val="1"/>
          <w:bCs w:val="1"/>
          <w:color w:val="auto"/>
        </w:rPr>
        <w:t>Three Months Ended</w:t>
      </w:r>
    </w:p>
    <w:p>
      <w:pPr>
        <w:jc w:val="center"/>
        <w:ind w:left="70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7100" w:type="dxa"/>
            <w:vAlign w:val="bottom"/>
          </w:tcPr>
          <w:p>
            <w:pPr>
              <w:spacing w:after="0"/>
              <w:rPr>
                <w:sz w:val="12"/>
                <w:szCs w:val="12"/>
                <w:color w:val="auto"/>
              </w:rPr>
            </w:pPr>
          </w:p>
        </w:tc>
        <w:tc>
          <w:tcPr>
            <w:tcW w:w="56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2015</w:t>
            </w:r>
          </w:p>
        </w:tc>
        <w:tc>
          <w:tcPr>
            <w:tcW w:w="92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96"/>
        </w:trPr>
        <w:tc>
          <w:tcPr>
            <w:tcW w:w="7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5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100" w:type="dxa"/>
            <w:vAlign w:val="bottom"/>
          </w:tcPr>
          <w:p>
            <w:pPr>
              <w:ind w:left="360"/>
              <w:spacing w:after="0"/>
              <w:rPr>
                <w:sz w:val="20"/>
                <w:szCs w:val="20"/>
                <w:color w:val="auto"/>
              </w:rPr>
            </w:pPr>
            <w:r>
              <w:rPr>
                <w:rFonts w:ascii="Arial" w:cs="Arial" w:eastAsia="Arial" w:hAnsi="Arial"/>
                <w:sz w:val="18"/>
                <w:szCs w:val="18"/>
                <w:color w:val="auto"/>
              </w:rPr>
              <w:t>Basic weighted average shares outstanding</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45,789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45,205</w:t>
            </w:r>
          </w:p>
        </w:tc>
        <w:tc>
          <w:tcPr>
            <w:tcW w:w="100" w:type="dxa"/>
            <w:vAlign w:val="bottom"/>
          </w:tcPr>
          <w:p>
            <w:pPr>
              <w:spacing w:after="0"/>
              <w:rPr>
                <w:sz w:val="18"/>
                <w:szCs w:val="18"/>
                <w:color w:val="auto"/>
              </w:rPr>
            </w:pPr>
          </w:p>
        </w:tc>
      </w:tr>
      <w:tr>
        <w:trPr>
          <w:trHeight w:val="216"/>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dilutive stock options and restricted stock</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100" w:type="dxa"/>
            <w:vAlign w:val="bottom"/>
            <w:shd w:val="clear" w:color="auto" w:fill="CCEEFF"/>
          </w:tcPr>
          <w:p>
            <w:pPr>
              <w:spacing w:after="0"/>
              <w:rPr>
                <w:sz w:val="18"/>
                <w:szCs w:val="18"/>
                <w:color w:val="auto"/>
              </w:rPr>
            </w:pPr>
          </w:p>
        </w:tc>
      </w:tr>
      <w:tr>
        <w:trPr>
          <w:trHeight w:val="223"/>
        </w:trPr>
        <w:tc>
          <w:tcPr>
            <w:tcW w:w="7100" w:type="dxa"/>
            <w:vAlign w:val="bottom"/>
          </w:tcPr>
          <w:p>
            <w:pPr>
              <w:ind w:left="360"/>
              <w:spacing w:after="0"/>
              <w:rPr>
                <w:sz w:val="20"/>
                <w:szCs w:val="20"/>
                <w:color w:val="auto"/>
              </w:rPr>
            </w:pPr>
            <w:r>
              <w:rPr>
                <w:rFonts w:ascii="Arial" w:cs="Arial" w:eastAsia="Arial" w:hAnsi="Arial"/>
                <w:sz w:val="18"/>
                <w:szCs w:val="18"/>
                <w:color w:val="auto"/>
              </w:rPr>
              <w:t>Diluted weighted average shares outstanding</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47,201</w:t>
            </w:r>
          </w:p>
        </w:tc>
        <w:tc>
          <w:tcPr>
            <w:tcW w:w="3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46,841</w:t>
            </w:r>
          </w:p>
        </w:tc>
        <w:tc>
          <w:tcPr>
            <w:tcW w:w="100" w:type="dxa"/>
            <w:vAlign w:val="bottom"/>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Diluted weighted average shares outstanding exclude the incremental effect of shares that would be issued upon the assumed exercise of stock options and vesting of restricted stock. For the three months ended March 31, 2015 and 2014, approximately 268 and 0, respectively, of the University’s stock options outstanding were excluded from the calculation of diluted earnings per share as their inclusion would have been anti-dilutive. These options and restricted stock awards could be dilutive in the future.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Allowance for Doubtful Accounts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rPr>
              <w:t>Balance at</w:t>
            </w:r>
          </w:p>
        </w:tc>
        <w:tc>
          <w:tcPr>
            <w:tcW w:w="1320" w:type="dxa"/>
            <w:vAlign w:val="bottom"/>
            <w:gridSpan w:val="5"/>
            <w:vMerge w:val="restart"/>
          </w:tcPr>
          <w:p>
            <w:pPr>
              <w:jc w:val="right"/>
              <w:ind w:right="620"/>
              <w:spacing w:after="0"/>
              <w:rPr>
                <w:sz w:val="20"/>
                <w:szCs w:val="20"/>
                <w:color w:val="auto"/>
              </w:rPr>
            </w:pPr>
            <w:r>
              <w:rPr>
                <w:rFonts w:ascii="Arial" w:cs="Arial" w:eastAsia="Arial" w:hAnsi="Arial"/>
                <w:sz w:val="14"/>
                <w:szCs w:val="14"/>
                <w:b w:val="1"/>
                <w:bCs w:val="1"/>
                <w:color w:val="auto"/>
                <w:w w:val="91"/>
              </w:rPr>
              <w:t>Charged to</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 of</w:t>
            </w:r>
          </w:p>
        </w:tc>
        <w:tc>
          <w:tcPr>
            <w:tcW w:w="1320" w:type="dxa"/>
            <w:vAlign w:val="bottom"/>
            <w:gridSpan w:val="5"/>
            <w:vMerge w:val="continue"/>
          </w:tcPr>
          <w:p>
            <w:pPr>
              <w:spacing w:after="0"/>
              <w:rPr>
                <w:sz w:val="12"/>
                <w:szCs w:val="12"/>
                <w:color w:val="auto"/>
              </w:rPr>
            </w:pPr>
          </w:p>
        </w:tc>
        <w:tc>
          <w:tcPr>
            <w:tcW w:w="146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Deductions</w:t>
            </w:r>
            <w:r>
              <w:rPr>
                <w:rFonts w:ascii="Arial" w:cs="Arial" w:eastAsia="Arial" w:hAnsi="Arial"/>
                <w:sz w:val="12"/>
                <w:szCs w:val="12"/>
                <w:b w:val="1"/>
                <w:bCs w:val="1"/>
                <w:color w:val="auto"/>
              </w:rPr>
              <w:t>(1)</w:t>
            </w:r>
          </w:p>
        </w:tc>
        <w:tc>
          <w:tcPr>
            <w:tcW w:w="10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Period</w:t>
            </w:r>
          </w:p>
        </w:tc>
        <w:tc>
          <w:tcPr>
            <w:tcW w:w="13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Expense</w:t>
            </w:r>
          </w:p>
        </w:tc>
        <w:tc>
          <w:tcPr>
            <w:tcW w:w="146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6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Three months ended March 31, 2015</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6,472</w:t>
            </w:r>
          </w:p>
        </w:tc>
        <w:tc>
          <w:tcPr>
            <w:tcW w:w="6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3,968</w:t>
            </w: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3"/>
            <w:shd w:val="clear" w:color="auto" w:fill="CCEEFF"/>
          </w:tcPr>
          <w:p>
            <w:pPr>
              <w:ind w:left="380"/>
              <w:spacing w:after="0"/>
              <w:rPr>
                <w:sz w:val="20"/>
                <w:szCs w:val="20"/>
                <w:color w:val="auto"/>
              </w:rPr>
            </w:pPr>
            <w:r>
              <w:rPr>
                <w:rFonts w:ascii="Arial" w:cs="Arial" w:eastAsia="Arial" w:hAnsi="Arial"/>
                <w:sz w:val="18"/>
                <w:szCs w:val="18"/>
                <w:color w:val="auto"/>
                <w:w w:val="77"/>
              </w:rPr>
              <w:t>(3,492)</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Three months ended March 31, 2014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9,678</w:t>
            </w:r>
          </w:p>
        </w:tc>
        <w:tc>
          <w:tcPr>
            <w:tcW w:w="1080" w:type="dxa"/>
            <w:vAlign w:val="bottom"/>
            <w:gridSpan w:val="4"/>
          </w:tcPr>
          <w:p>
            <w:pPr>
              <w:jc w:val="right"/>
              <w:ind w:right="360"/>
              <w:spacing w:after="0"/>
              <w:rPr>
                <w:sz w:val="20"/>
                <w:szCs w:val="20"/>
                <w:color w:val="auto"/>
              </w:rPr>
            </w:pPr>
            <w:r>
              <w:rPr>
                <w:rFonts w:ascii="Arial" w:cs="Arial" w:eastAsia="Arial" w:hAnsi="Arial"/>
                <w:sz w:val="18"/>
                <w:szCs w:val="18"/>
                <w:color w:val="auto"/>
              </w:rPr>
              <w:t>3,795</w:t>
            </w:r>
          </w:p>
        </w:tc>
        <w:tc>
          <w:tcPr>
            <w:tcW w:w="240" w:type="dxa"/>
            <w:vAlign w:val="bottom"/>
          </w:tcPr>
          <w:p>
            <w:pPr>
              <w:spacing w:after="0"/>
              <w:rPr>
                <w:sz w:val="20"/>
                <w:szCs w:val="20"/>
                <w:color w:val="auto"/>
              </w:rPr>
            </w:pPr>
          </w:p>
        </w:tc>
        <w:tc>
          <w:tcPr>
            <w:tcW w:w="1180" w:type="dxa"/>
            <w:vAlign w:val="bottom"/>
            <w:gridSpan w:val="4"/>
          </w:tcPr>
          <w:p>
            <w:pPr>
              <w:ind w:left="380"/>
              <w:spacing w:after="0"/>
              <w:rPr>
                <w:sz w:val="20"/>
                <w:szCs w:val="20"/>
                <w:color w:val="auto"/>
              </w:rPr>
            </w:pPr>
            <w:r>
              <w:rPr>
                <w:rFonts w:ascii="Arial" w:cs="Arial" w:eastAsia="Arial" w:hAnsi="Arial"/>
                <w:sz w:val="18"/>
                <w:szCs w:val="18"/>
                <w:color w:val="auto"/>
              </w:rPr>
              <w:t>(4,973)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8,500</w:t>
            </w:r>
          </w:p>
        </w:tc>
        <w:tc>
          <w:tcPr>
            <w:tcW w:w="0" w:type="dxa"/>
            <w:vAlign w:val="bottom"/>
          </w:tcPr>
          <w:p>
            <w:pPr>
              <w:spacing w:after="0"/>
              <w:rPr>
                <w:sz w:val="1"/>
                <w:szCs w:val="1"/>
                <w:color w:val="auto"/>
              </w:rPr>
            </w:pPr>
          </w:p>
        </w:tc>
      </w:tr>
      <w:tr>
        <w:trPr>
          <w:trHeight w:val="445"/>
        </w:trPr>
        <w:tc>
          <w:tcPr>
            <w:tcW w:w="6060" w:type="dxa"/>
            <w:vAlign w:val="bottom"/>
            <w:gridSpan w:val="3"/>
          </w:tcPr>
          <w:p>
            <w:pPr>
              <w:spacing w:after="0"/>
              <w:rPr>
                <w:sz w:val="20"/>
                <w:szCs w:val="20"/>
                <w:color w:val="auto"/>
              </w:rPr>
            </w:pPr>
            <w:r>
              <w:rPr>
                <w:rFonts w:ascii="Arial" w:cs="Arial" w:eastAsia="Arial" w:hAnsi="Arial"/>
                <w:sz w:val="18"/>
                <w:szCs w:val="18"/>
                <w:color w:val="auto"/>
              </w:rPr>
              <w:t>(1)   Deductions represent accounts written off, net of recoveries.</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6. Property and Equipment, net</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60" w:type="dxa"/>
            <w:vAlign w:val="bottom"/>
            <w:gridSpan w:val="3"/>
          </w:tcPr>
          <w:p>
            <w:pPr>
              <w:ind w:left="460"/>
              <w:spacing w:after="0"/>
              <w:rPr>
                <w:sz w:val="20"/>
                <w:szCs w:val="20"/>
                <w:color w:val="auto"/>
              </w:rPr>
            </w:pPr>
            <w:r>
              <w:rPr>
                <w:rFonts w:ascii="Arial" w:cs="Arial" w:eastAsia="Arial" w:hAnsi="Arial"/>
                <w:sz w:val="18"/>
                <w:szCs w:val="18"/>
                <w:color w:val="auto"/>
              </w:rPr>
              <w:t>Property and equipment, net consist of the following:</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March 31,</w:t>
            </w:r>
          </w:p>
        </w:tc>
        <w:tc>
          <w:tcPr>
            <w:tcW w:w="1460" w:type="dxa"/>
            <w:vAlign w:val="bottom"/>
            <w:gridSpan w:val="6"/>
          </w:tcPr>
          <w:p>
            <w:pPr>
              <w:ind w:left="3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86,278</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76,537</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Land improvements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9,608</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8,800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298,450</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298,124</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46,147</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45,855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Equipment under capital leases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5,310</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5,310</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Computer equipment</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79,275</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75,990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38,449</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38,162</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Internally developed software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21,545</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20,813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1,099</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61,921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20,693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648,082</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591,383</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w w:val="88"/>
              </w:rPr>
              <w:t>(120,353)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w w:val="95"/>
              </w:rPr>
              <w:t>(113,213)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9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527,729</w:t>
            </w: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478,170</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ind w:right="260" w:firstLine="456"/>
        <w:spacing w:after="0" w:line="277" w:lineRule="auto"/>
        <w:rPr>
          <w:sz w:val="20"/>
          <w:szCs w:val="20"/>
          <w:color w:val="auto"/>
        </w:rPr>
      </w:pPr>
      <w:r>
        <w:rPr>
          <w:rFonts w:ascii="Arial" w:cs="Arial" w:eastAsia="Arial" w:hAnsi="Arial"/>
          <w:sz w:val="18"/>
          <w:szCs w:val="18"/>
          <w:color w:val="auto"/>
        </w:rPr>
        <w:t>The University leases certain land, buildings and equipment under non-cancelable operating leases expiring at various dates through 2022. Future minimum lease payments under operating leases due each year are as follows at March 31, 2015:</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2015 (remaining nine months)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2016</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5,310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2018</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3,432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Thereafter</w:t>
            </w:r>
          </w:p>
        </w:tc>
        <w:tc>
          <w:tcPr>
            <w:tcW w:w="2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25,735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Total rent expense and related taxes and operating expenses under operating leases for the three months ended March 31, 2015 and 2014 were $2,176 and $2,090, respectively.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1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From time to time, the University is a party to various lawsuits, claims, and other legal proceedings that arise in the ordinary course of business, some of which are covered by insurance. When the University is aware of a claim or potential claim, it assesses the likelihood of any loss or exposure. If it is probable that a loss will result and the amount of the loss can be reasonably estimated, the University records a liability for the loss. If the loss is not probable or the amount of the loss cannot be reasonably estimated, the University discloses the nature of the specific claim if the likelihood of a potential loss is reasonably possible and the amount involved could be material. With respect to the majority of pending litigation matters, the University’s ultimate legal and financial responsibility, if any, cannot be estimated with certainty and, in most cases, any potential losses related to those matters are not considered probable.</w:t>
      </w:r>
    </w:p>
    <w:p>
      <w:pPr>
        <w:spacing w:after="0" w:line="165"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Upon resolution of any pending legal matters, the University may incur charges in excess of presently established reserves. Management does not believe that any such charges would, individually or in the aggregate, have a material adverse effect on the University’s financial condition, results of operations or cash flows.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Reserves, Non-Income Tax Related</w:t>
      </w:r>
    </w:p>
    <w:p>
      <w:pPr>
        <w:spacing w:after="0" w:line="11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From time to time the University has exposure to various non-income tax related matters that arise in the ordinary course of business. At March 31, 2015 and December 31, 2014, the University reserved approximately $652 and $659, respectively, for tax matters where its ultimate exposure is considered probable and the potential loss can be reasonably estimated.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Plan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During the three months ended March 31, 2015, the University granted 313 shares of common stock with a service vesting condition to certain of its executives, officers, faculty and employees. The restricted shares have voting rights and vest in five annual installments of 20% starting on March 1, 2016 and each of the four anniversaries of the vesting date following the date of grant. Upon vesting, shares will be held in lieu of taxes equivalent to the minimum statutory tax withholding required to be paid when the restricted stock vests. During the three months ended March 31, 2015, the University withheld 91 shares of common stock in lieu of taxes at a cost of $4,178 on the restricted stock vesting dates.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activity related to restricted stock granted under the University’s Incentive Plan since December 31, 2014 is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4"/>
                <w:szCs w:val="14"/>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Shares</w:t>
            </w:r>
          </w:p>
        </w:tc>
        <w:tc>
          <w:tcPr>
            <w:tcW w:w="17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Fair Value 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2014</w:t>
            </w:r>
          </w:p>
        </w:tc>
        <w:tc>
          <w:tcPr>
            <w:tcW w:w="25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1,033</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Granted</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313</w:t>
            </w:r>
          </w:p>
        </w:tc>
        <w:tc>
          <w:tcPr>
            <w:tcW w:w="420" w:type="dxa"/>
            <w:vAlign w:val="bottom"/>
          </w:tcPr>
          <w:p>
            <w:pPr>
              <w:spacing w:after="0"/>
              <w:rPr>
                <w:sz w:val="18"/>
                <w:szCs w:val="18"/>
                <w:color w:val="auto"/>
              </w:rPr>
            </w:pPr>
          </w:p>
        </w:tc>
        <w:tc>
          <w:tcPr>
            <w:tcW w:w="5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34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(257)</w:t>
            </w:r>
          </w:p>
        </w:tc>
        <w:tc>
          <w:tcPr>
            <w:tcW w:w="5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252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(3)</w:t>
            </w:r>
          </w:p>
        </w:tc>
        <w:tc>
          <w:tcPr>
            <w:tcW w:w="5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March 31, 2015</w:t>
            </w:r>
          </w:p>
        </w:tc>
        <w:tc>
          <w:tcPr>
            <w:tcW w:w="252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1,086</w:t>
            </w:r>
          </w:p>
        </w:tc>
        <w:tc>
          <w:tcPr>
            <w:tcW w:w="4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520" w:type="dxa"/>
            <w:vAlign w:val="bottom"/>
            <w:vMerge w:val="restart"/>
          </w:tcPr>
          <w:p>
            <w:pPr>
              <w:jc w:val="right"/>
              <w:ind w:right="1550"/>
              <w:spacing w:after="0"/>
              <w:rPr>
                <w:sz w:val="20"/>
                <w:szCs w:val="20"/>
                <w:color w:val="auto"/>
              </w:rPr>
            </w:pPr>
            <w:r>
              <w:rPr>
                <w:rFonts w:ascii="Arial" w:cs="Arial" w:eastAsia="Arial" w:hAnsi="Arial"/>
                <w:sz w:val="18"/>
                <w:szCs w:val="18"/>
                <w:color w:val="auto"/>
              </w:rPr>
              <w:t>14</w:t>
            </w: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During the three months ended March 31, 2015, no options were granted. A summary of the activity related to stock options granted under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University’s Incentive Plan since December 31, 2014 is as follows:</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6"/>
          </w:tcPr>
          <w:p>
            <w:pPr>
              <w:ind w:left="180"/>
              <w:spacing w:after="0"/>
              <w:rPr>
                <w:sz w:val="20"/>
                <w:szCs w:val="20"/>
                <w:color w:val="auto"/>
              </w:rPr>
            </w:pPr>
            <w:r>
              <w:rPr>
                <w:rFonts w:ascii="Arial" w:cs="Arial" w:eastAsia="Arial" w:hAnsi="Arial"/>
                <w:sz w:val="14"/>
                <w:szCs w:val="14"/>
                <w:b w:val="1"/>
                <w:bCs w:val="1"/>
                <w:color w:val="auto"/>
                <w:w w:val="97"/>
              </w:rPr>
              <w:t>Summary of Stock Options Outstanding</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5"/>
              </w:rPr>
              <w:t>Weighted</w:t>
            </w:r>
          </w:p>
        </w:tc>
        <w:tc>
          <w:tcPr>
            <w:tcW w:w="540" w:type="dxa"/>
            <w:vAlign w:val="bottom"/>
          </w:tcPr>
          <w:p>
            <w:pPr>
              <w:spacing w:after="0"/>
              <w:rPr>
                <w:sz w:val="10"/>
                <w:szCs w:val="10"/>
                <w:color w:val="auto"/>
              </w:rPr>
            </w:pPr>
          </w:p>
        </w:tc>
        <w:tc>
          <w:tcPr>
            <w:tcW w:w="136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54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Average</w:t>
            </w:r>
          </w:p>
        </w:tc>
        <w:tc>
          <w:tcPr>
            <w:tcW w:w="8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7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54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Remaining</w:t>
            </w: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3"/>
              </w:rPr>
              <w:t>Price per</w:t>
            </w:r>
          </w:p>
        </w:tc>
        <w:tc>
          <w:tcPr>
            <w:tcW w:w="54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Shares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center"/>
              <w:ind w:right="13"/>
              <w:spacing w:after="0"/>
              <w:rPr>
                <w:sz w:val="20"/>
                <w:szCs w:val="20"/>
                <w:color w:val="auto"/>
              </w:rPr>
            </w:pPr>
            <w:r>
              <w:rPr>
                <w:rFonts w:ascii="Arial" w:cs="Arial" w:eastAsia="Arial" w:hAnsi="Arial"/>
                <w:sz w:val="14"/>
                <w:szCs w:val="14"/>
                <w:b w:val="1"/>
                <w:bCs w:val="1"/>
                <w:color w:val="auto"/>
                <w:w w:val="87"/>
              </w:rPr>
              <w:t>Share</w:t>
            </w:r>
          </w:p>
        </w:tc>
        <w:tc>
          <w:tcPr>
            <w:tcW w:w="540" w:type="dxa"/>
            <w:vAlign w:val="bottom"/>
          </w:tcPr>
          <w:p>
            <w:pPr>
              <w:spacing w:after="0"/>
              <w:rPr>
                <w:sz w:val="14"/>
                <w:szCs w:val="14"/>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Term (Years)</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2014</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2,452</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5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Granted</w:t>
            </w: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16.90</w:t>
            </w: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March 31, 2015</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2,344</w:t>
            </w: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19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66,930</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Exercisable as of March 31, 2015</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gridSpan w:val="2"/>
            <w:vMerge w:val="continue"/>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2,116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w:t>
            </w:r>
          </w:p>
        </w:tc>
        <w:tc>
          <w:tcPr>
            <w:tcW w:w="5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5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Available for issuance as of March 31, 2015</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1,927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60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intrinsic value represents the value of the University’s closing stock price on March 31, 2015 ($43.30) in excess of the exercise price multiplied by the number of shares underlying options outstanding or exercisable, as applicable.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table below outlines share-based compensation expense for the three months ended March 31, 2015 and 2014 related to restricted stock and stock options granted:</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132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7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r>
      <w:tr>
        <w:trPr>
          <w:trHeight w:val="210"/>
        </w:trPr>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Instructional costs and services</w:t>
            </w:r>
          </w:p>
        </w:tc>
        <w:tc>
          <w:tcPr>
            <w:tcW w:w="7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$ 1,549</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$1,312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Admissions advisory and related expenses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Marketing and promotional</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120" w:type="dxa"/>
            <w:vAlign w:val="bottom"/>
          </w:tcPr>
          <w:p>
            <w:pPr>
              <w:spacing w:after="0"/>
              <w:rPr>
                <w:sz w:val="19"/>
                <w:szCs w:val="19"/>
                <w:color w:val="auto"/>
              </w:rPr>
            </w:pPr>
          </w:p>
        </w:tc>
      </w:tr>
      <w:tr>
        <w:trPr>
          <w:trHeight w:val="216"/>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w w:val="99"/>
              </w:rPr>
              <w:t>Share-based compensation expense included in operating expenses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2,603</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12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Tax effect of share-based compensation</w:t>
            </w:r>
          </w:p>
        </w:tc>
        <w:tc>
          <w:tcPr>
            <w:tcW w:w="7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(1,041)</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(882)</w:t>
            </w:r>
          </w:p>
        </w:tc>
      </w:tr>
      <w:tr>
        <w:trPr>
          <w:trHeight w:val="27"/>
        </w:trPr>
        <w:tc>
          <w:tcPr>
            <w:tcW w:w="6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Share-based compensation expense, net of tax</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$ 1,562</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1,322</w:t>
            </w:r>
          </w:p>
        </w:tc>
        <w:tc>
          <w:tcPr>
            <w:tcW w:w="120" w:type="dxa"/>
            <w:vAlign w:val="bottom"/>
            <w:shd w:val="clear" w:color="auto" w:fill="CCEEFF"/>
          </w:tcPr>
          <w:p>
            <w:pPr>
              <w:spacing w:after="0"/>
              <w:rPr>
                <w:sz w:val="18"/>
                <w:szCs w:val="18"/>
                <w:color w:val="auto"/>
              </w:rPr>
            </w:pPr>
          </w:p>
        </w:tc>
      </w:tr>
      <w:tr>
        <w:trPr>
          <w:trHeight w:val="20"/>
        </w:trPr>
        <w:tc>
          <w:tcPr>
            <w:tcW w:w="6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Regulatory</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University is subject to extensive regulation by federal and state governmental agencies and accrediting bodies. In particular, the Higher Education Act of 1965, as amended (the “Higher Education Act”), and the regulations promulgated thereunder by the Department of Education, subject the University to significant regulatory scrutiny on the basis of numerous standards that schools must satisfy in order to participate in the various federal student financial assistance programs under Title IV of the Higher Education Act.</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To participate in the Title IV programs, an institution must be authorized to offer its programs of instruction by the relevant agency of the state in which it is located, accredited by an accrediting agency recognized by the Department of Education and certified as eligible by the Department of Education. The Department of Education will certify an institution to participate in the Title IV programs only after the institution has demonstrated compliance with the Higher Education Act and the Department of Education’s extensive regulations regarding institutional eligibility. An institution must also demonstrate its compliance to the Department of Education on an ongoing basis. As of March 31, 2015, management believes the University is in compliance with the applicable regulations in all material respects.</w:t>
      </w:r>
    </w:p>
    <w:p>
      <w:pPr>
        <w:spacing w:after="0" w:line="193" w:lineRule="exact"/>
        <w:rPr>
          <w:sz w:val="20"/>
          <w:szCs w:val="20"/>
          <w:color w:val="auto"/>
        </w:rPr>
      </w:pPr>
    </w:p>
    <w:p>
      <w:pPr>
        <w:ind w:right="220" w:firstLine="456"/>
        <w:spacing w:after="0" w:line="297" w:lineRule="auto"/>
        <w:rPr>
          <w:sz w:val="20"/>
          <w:szCs w:val="20"/>
          <w:color w:val="auto"/>
        </w:rPr>
      </w:pPr>
      <w:r>
        <w:rPr>
          <w:rFonts w:ascii="Arial" w:cs="Arial" w:eastAsia="Arial" w:hAnsi="Arial"/>
          <w:sz w:val="16"/>
          <w:szCs w:val="16"/>
          <w:color w:val="auto"/>
        </w:rPr>
        <w:t>Because the University operates in a highly regulated industry, it, like other industry participants, may be subject from time to time to investigations, claims of non-compliance, or lawsuits by governmental agencies or third parties, which allege statutory violations, regulatory infractions, or common law causes of action. While there can be no assurance that regulatory agencies or third parties will not undertake investigations or make claims against the University, or that such claims, if made, will not have a material adverse effect on the University’s business, results of operations or financial condition, management believes the University is in compliance with applicable regulations in all material respects.</w:t>
      </w:r>
    </w:p>
    <w:p>
      <w:pPr>
        <w:sectPr>
          <w:pgSz w:w="11900" w:h="16838" w:orient="portrait"/>
          <w:cols w:equalWidth="0" w:num="1">
            <w:col w:w="11400"/>
          </w:cols>
          <w:pgMar w:left="240" w:top="459" w:right="259" w:bottom="1440" w:gutter="0" w:footer="0" w:header="0"/>
        </w:sectPr>
      </w:pP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00"/>
          </w:cols>
          <w:pgMar w:left="240" w:top="459" w:right="25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Treasury Stock</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Board of Directors has authorized the University to repurchase up to $75,000 in aggregate of common stock, from time to time, depending on market conditions and other considerations. The current expiration date on the repurchase authorization is September 30, 2015. Repurchases occur at the University’s discretion. Repurchases may be made in the open market or in privately negotiated transactions, pursuant to the applicable Securities and Exchange Commission rules. The amount and timing of future share repurchases, if any, will be made as market and business conditions warrant. Since its approval of the share repurchase plan, the University has purchased 2,787 shares of common stock at an aggregate cost of $49,135. During the three months ended March 31, 2015 the University did not repurchase any shares of common stock. At March 31, 2015, there remained $25,865 available under its share repurchase authorization. Shares repurchased in lieu of taxes are not included in the repurchase plan totals as they were approved in conjunction with the restricted share awards.</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60"/>
          </w:cols>
          <w:pgMar w:left="240" w:top="459" w:right="3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financial statements and related notes that appear elsewhere in this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 xml:space="preserve">This Quarterly Report on Form 10-Q, including Item 2,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contains certain “forward-looking statements,” which include information relating to future events, future financial performance, strategies, expectations, competitive environment, regulation, and availability of resources. These forward-looking statements include, without limitation, statements regarding: proposed new programs; statements as to whether regulatory developments or other matters may or may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166"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94" w:lineRule="exact"/>
        <w:rPr>
          <w:sz w:val="20"/>
          <w:szCs w:val="20"/>
          <w:color w:val="auto"/>
        </w:rPr>
      </w:pPr>
    </w:p>
    <w:p>
      <w:pPr>
        <w:ind w:left="900" w:right="6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failure to comply with the extensive regulatory framework applicable to our industry, including Title IV of the Higher Education Act and the regulations thereunder, state laws and regulatory requirements, and accrediting commission requirements;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students to obtain federal Title IV funds, state financial aid, and private financing;</w:t>
      </w:r>
    </w:p>
    <w:p>
      <w:pPr>
        <w:spacing w:after="0" w:line="130" w:lineRule="exact"/>
        <w:rPr>
          <w:rFonts w:ascii="Arial" w:cs="Arial" w:eastAsia="Arial" w:hAnsi="Arial"/>
          <w:sz w:val="18"/>
          <w:szCs w:val="18"/>
          <w:color w:val="auto"/>
        </w:rPr>
      </w:pPr>
    </w:p>
    <w:p>
      <w:pPr>
        <w:ind w:left="900" w:right="340" w:hanging="325"/>
        <w:spacing w:after="0" w:line="34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potential damage to our reputation or other adverse effects as a result of negative publicity in the media, in the industry or in connection with governmental reports or investigations or otherwise, affecting us or other companies in the for-profit postsecondary education sector;</w:t>
      </w:r>
    </w:p>
    <w:p>
      <w:pPr>
        <w:spacing w:after="0" w:line="29" w:lineRule="exact"/>
        <w:rPr>
          <w:rFonts w:ascii="Arial" w:cs="Arial" w:eastAsia="Arial" w:hAnsi="Arial"/>
          <w:sz w:val="16"/>
          <w:szCs w:val="16"/>
          <w:color w:val="auto"/>
        </w:rPr>
      </w:pPr>
    </w:p>
    <w:p>
      <w:pPr>
        <w:ind w:left="900" w:right="50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changes in applicable federal and state laws and regulations and accrediting commission standards including pending rulemaking by the Department of Education;</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properly manage risks and challenges associated with the expansion of our campus, potential acquisitions of, or investments in, new businesses, acquisitions of new properties, or the development of new campuses;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hire and train new, and develop and train existing employees and faculty;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pace of growth of our enrollment;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convert prospective students to enrolled students and to retain active students;</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success in updating and expanding the content of existing programs and developing new programs in a cost-effective manner or on a timely basis;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competition, including competition for students and for qualified executives and other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the competitive environment for marketing our programs;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on our part to keep up with advances in technology that could enhance the online experience for our students;</w:t>
      </w:r>
    </w:p>
    <w:p>
      <w:pPr>
        <w:spacing w:after="0" w:line="130" w:lineRule="exact"/>
        <w:rPr>
          <w:rFonts w:ascii="Arial" w:cs="Arial" w:eastAsia="Arial" w:hAnsi="Arial"/>
          <w:sz w:val="18"/>
          <w:szCs w:val="18"/>
          <w:color w:val="auto"/>
        </w:rPr>
      </w:pPr>
    </w:p>
    <w:p>
      <w:pPr>
        <w:ind w:left="900" w:right="520" w:hanging="325"/>
        <w:spacing w:after="0" w:line="308"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extent to which obligations under our loan agreement, including the need to comply with restrictive and financial covenants and to pay principal and interest payments, limits our ability to conduct our operations or seek new business opportunities;</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future growth effectively;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adverse economic conditions or other developments that affect the job prospects of our students.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Additional factors that could cause actual results to differ from those discussed in the forward-looking statements include, but are not limited to, those described in this “Management’s Discussion and Analysis of Financial Condition and Results of Operations” and in “Risk Factors” in Part I, Item 1A of our Annual Report on Form 10-K for the fiscal year ended December 31, 2014, as updated in our subsequent reports filed with the Securities and Exchange Commission (“SEC”), including any updates found in Part II, Item 1A of this Quarterly Report on Form 10-Q or our other reports on Form 10-Q. You should not put undue reliance on any forward-looking statements. Forward-looking statements speak only as of the date the statements are made and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459" w:right="3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are a comprehensive regionally accredited university that offers over 160 graduate and undergraduate degree programs across eight colleges both online and on ground at our 200+ acre campus in Phoenix, Arizona, and at facilities we lease and at facilities owned by third party employers. Our undergraduate programs are designed to be innovative and meet the future needs of employers, while providing students with the needed critical thinking and effective communication skills developed through a Christian-oriented, liberal arts foundation.</w:t>
      </w:r>
    </w:p>
    <w:p>
      <w:pPr>
        <w:spacing w:after="0" w:line="18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End-of-period enrollment increased 12.9% between March 31, 2015 and March 31, 2014, as ground enrollment increased 25.3% and online enrollment increased 10.6% over the prior year. We attribute the significant growth in our ground enrollment between years to our increasing brand recognition and the value proposition that our ground traditional campus affords to traditional-aged students and their parents. After scholarships, our ground traditional students pay tuition, room, board, and fees in an amount that is often half to a third of what it costs to attend a private, traditional university in another state and an amount comparable to what it costs to attend the public universities in the state of Arizona as an in-state student. Net revenues increased 15.9% over the first fiscal quarter of the prior year primarily due to the enrollment growth and due to an increase in ancillary revenues resulting from the increased traditional student enrollment (e.g. housing, food, etc.). We did not raise tuition in any of our programs for our 2013-2014 or 2014-2015 academic years and have not raised our tuition for our traditional ground programs in six years. Operating income was $56.0 million for the three months ended March 31, 2015, an increase of 29.8% over the $43.4 million in operating income for the three months ended March 31, 2014.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student enrollment at March 31, 2015 and 2014 by degree type and by instructional delivery method:</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2015</w:t>
            </w:r>
            <w:r>
              <w:rPr>
                <w:rFonts w:ascii="Arial" w:cs="Arial" w:eastAsia="Arial" w:hAnsi="Arial"/>
                <w:sz w:val="12"/>
                <w:szCs w:val="12"/>
                <w:b w:val="1"/>
                <w:bCs w:val="1"/>
                <w:color w:val="auto"/>
              </w:rPr>
              <w:t>(1)</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2014</w:t>
            </w:r>
            <w:r>
              <w:rPr>
                <w:rFonts w:ascii="Arial" w:cs="Arial" w:eastAsia="Arial" w:hAnsi="Arial"/>
                <w:sz w:val="12"/>
                <w:szCs w:val="12"/>
                <w:b w:val="1"/>
                <w:bCs w:val="1"/>
                <w:color w:val="auto"/>
              </w:rPr>
              <w:t>(1)</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000" w:type="dxa"/>
            <w:vAlign w:val="bottom"/>
          </w:tcPr>
          <w:p>
            <w:pPr>
              <w:spacing w:after="0"/>
              <w:rPr>
                <w:sz w:val="10"/>
                <w:szCs w:val="10"/>
                <w:color w:val="auto"/>
              </w:rPr>
            </w:pPr>
          </w:p>
        </w:tc>
        <w:tc>
          <w:tcPr>
            <w:tcW w:w="940" w:type="dxa"/>
            <w:vAlign w:val="bottom"/>
            <w:tcBorders>
              <w:top w:val="single" w:sz="8" w:color="auto"/>
            </w:tcBorders>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4"/>
              </w:rPr>
              <w:t># of</w:t>
            </w:r>
          </w:p>
        </w:tc>
        <w:tc>
          <w:tcPr>
            <w:tcW w:w="440" w:type="dxa"/>
            <w:vAlign w:val="bottom"/>
            <w:tcBorders>
              <w:top w:val="single" w:sz="8" w:color="auto"/>
            </w:tcBorders>
          </w:tcPr>
          <w:p>
            <w:pPr>
              <w:ind w:left="80"/>
              <w:spacing w:after="0" w:line="119" w:lineRule="exact"/>
              <w:rPr>
                <w:sz w:val="20"/>
                <w:szCs w:val="20"/>
                <w:color w:val="auto"/>
              </w:rPr>
            </w:pPr>
            <w:r>
              <w:rPr>
                <w:rFonts w:ascii="Arial" w:cs="Arial" w:eastAsia="Arial" w:hAnsi="Arial"/>
                <w:sz w:val="13"/>
                <w:szCs w:val="13"/>
                <w:b w:val="1"/>
                <w:bCs w:val="1"/>
                <w:color w:val="auto"/>
              </w:rPr>
              <w:t>% of</w:t>
            </w:r>
          </w:p>
        </w:tc>
        <w:tc>
          <w:tcPr>
            <w:tcW w:w="520" w:type="dxa"/>
            <w:vAlign w:val="bottom"/>
          </w:tcPr>
          <w:p>
            <w:pPr>
              <w:spacing w:after="0"/>
              <w:rPr>
                <w:sz w:val="10"/>
                <w:szCs w:val="10"/>
                <w:color w:val="auto"/>
              </w:rPr>
            </w:pPr>
          </w:p>
        </w:tc>
        <w:tc>
          <w:tcPr>
            <w:tcW w:w="920" w:type="dxa"/>
            <w:vAlign w:val="bottom"/>
            <w:tcBorders>
              <w:top w:val="single" w:sz="8" w:color="auto"/>
            </w:tcBorders>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4"/>
              </w:rPr>
              <w:t># of</w:t>
            </w:r>
          </w:p>
        </w:tc>
        <w:tc>
          <w:tcPr>
            <w:tcW w:w="460" w:type="dxa"/>
            <w:vAlign w:val="bottom"/>
            <w:tcBorders>
              <w:top w:val="single" w:sz="8" w:color="auto"/>
            </w:tcBorders>
          </w:tcPr>
          <w:p>
            <w:pPr>
              <w:ind w:left="80"/>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Students</w:t>
            </w:r>
          </w:p>
        </w:tc>
        <w:tc>
          <w:tcPr>
            <w:tcW w:w="4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5"/>
              </w:rPr>
              <w:t>Total</w:t>
            </w:r>
          </w:p>
        </w:tc>
        <w:tc>
          <w:tcPr>
            <w:tcW w:w="52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Students</w:t>
            </w:r>
          </w:p>
        </w:tc>
        <w:tc>
          <w:tcPr>
            <w:tcW w:w="4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Graduate degrees</w:t>
            </w:r>
            <w:r>
              <w:rPr>
                <w:rFonts w:ascii="Arial" w:cs="Arial" w:eastAsia="Arial" w:hAnsi="Arial"/>
                <w:sz w:val="15"/>
                <w:szCs w:val="15"/>
                <w:color w:val="auto"/>
              </w:rPr>
              <w:t>(2)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27,767</w:t>
            </w: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39.9%</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23,770</w:t>
            </w:r>
          </w:p>
        </w:tc>
        <w:tc>
          <w:tcPr>
            <w:tcW w:w="400" w:type="dxa"/>
            <w:vAlign w:val="bottom"/>
            <w:tcBorders>
              <w:lef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Undergraduate degree</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41,785</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60.1%</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37,831</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Borders>
              <w:lef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94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69,552</w:t>
            </w:r>
          </w:p>
        </w:tc>
        <w:tc>
          <w:tcPr>
            <w:tcW w:w="96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100.0%</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61,601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2015</w:t>
            </w:r>
            <w:r>
              <w:rPr>
                <w:rFonts w:ascii="Arial" w:cs="Arial" w:eastAsia="Arial" w:hAnsi="Arial"/>
                <w:sz w:val="12"/>
                <w:szCs w:val="12"/>
                <w:b w:val="1"/>
                <w:bCs w:val="1"/>
                <w:color w:val="auto"/>
              </w:rPr>
              <w:t>(1)</w:t>
            </w:r>
          </w:p>
        </w:tc>
        <w:tc>
          <w:tcPr>
            <w:tcW w:w="44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2014</w:t>
            </w:r>
            <w:r>
              <w:rPr>
                <w:rFonts w:ascii="Arial" w:cs="Arial" w:eastAsia="Arial" w:hAnsi="Arial"/>
                <w:sz w:val="12"/>
                <w:szCs w:val="12"/>
                <w:b w:val="1"/>
                <w:bCs w:val="1"/>
                <w:color w:val="auto"/>
              </w:rPr>
              <w:t>(1)</w:t>
            </w:r>
          </w:p>
        </w:tc>
        <w:tc>
          <w:tcPr>
            <w:tcW w:w="4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000" w:type="dxa"/>
            <w:vAlign w:val="bottom"/>
          </w:tcPr>
          <w:p>
            <w:pPr>
              <w:spacing w:after="0"/>
              <w:rPr>
                <w:sz w:val="10"/>
                <w:szCs w:val="10"/>
                <w:color w:val="auto"/>
              </w:rPr>
            </w:pPr>
          </w:p>
        </w:tc>
        <w:tc>
          <w:tcPr>
            <w:tcW w:w="94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 of</w:t>
            </w:r>
          </w:p>
        </w:tc>
        <w:tc>
          <w:tcPr>
            <w:tcW w:w="440" w:type="dxa"/>
            <w:vAlign w:val="bottom"/>
          </w:tcPr>
          <w:p>
            <w:pPr>
              <w:ind w:left="60"/>
              <w:spacing w:after="0" w:line="119" w:lineRule="exact"/>
              <w:rPr>
                <w:sz w:val="20"/>
                <w:szCs w:val="20"/>
                <w:color w:val="auto"/>
              </w:rPr>
            </w:pPr>
            <w:r>
              <w:rPr>
                <w:rFonts w:ascii="Arial" w:cs="Arial" w:eastAsia="Arial" w:hAnsi="Arial"/>
                <w:sz w:val="13"/>
                <w:szCs w:val="13"/>
                <w:b w:val="1"/>
                <w:bCs w:val="1"/>
                <w:color w:val="auto"/>
              </w:rPr>
              <w:t>% of</w:t>
            </w:r>
          </w:p>
        </w:tc>
        <w:tc>
          <w:tcPr>
            <w:tcW w:w="520" w:type="dxa"/>
            <w:vAlign w:val="bottom"/>
          </w:tcPr>
          <w:p>
            <w:pPr>
              <w:spacing w:after="0"/>
              <w:rPr>
                <w:sz w:val="10"/>
                <w:szCs w:val="10"/>
                <w:color w:val="auto"/>
              </w:rPr>
            </w:pPr>
          </w:p>
        </w:tc>
        <w:tc>
          <w:tcPr>
            <w:tcW w:w="92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w w:val="94"/>
              </w:rPr>
              <w:t># of</w:t>
            </w:r>
          </w:p>
        </w:tc>
        <w:tc>
          <w:tcPr>
            <w:tcW w:w="460" w:type="dxa"/>
            <w:vAlign w:val="bottom"/>
          </w:tcPr>
          <w:p>
            <w:pPr>
              <w:ind w:left="80"/>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Students</w:t>
            </w:r>
          </w:p>
        </w:tc>
        <w:tc>
          <w:tcPr>
            <w:tcW w:w="4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Total</w:t>
            </w:r>
          </w:p>
        </w:tc>
        <w:tc>
          <w:tcPr>
            <w:tcW w:w="52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Students</w:t>
            </w:r>
          </w:p>
        </w:tc>
        <w:tc>
          <w:tcPr>
            <w:tcW w:w="4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Online</w:t>
            </w:r>
            <w:r>
              <w:rPr>
                <w:rFonts w:ascii="Arial" w:cs="Arial" w:eastAsia="Arial" w:hAnsi="Arial"/>
                <w:sz w:val="15"/>
                <w:szCs w:val="15"/>
                <w:color w:val="auto"/>
              </w:rPr>
              <w:t>(3)</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57,450</w:t>
            </w: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82.6%</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51,944</w:t>
            </w:r>
          </w:p>
        </w:tc>
        <w:tc>
          <w:tcPr>
            <w:tcW w:w="400" w:type="dxa"/>
            <w:vAlign w:val="bottom"/>
            <w:tcBorders>
              <w:lef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Ground</w:t>
            </w:r>
            <w:r>
              <w:rPr>
                <w:rFonts w:ascii="Arial" w:cs="Arial" w:eastAsia="Arial" w:hAnsi="Arial"/>
                <w:sz w:val="15"/>
                <w:szCs w:val="15"/>
                <w:color w:val="auto"/>
              </w:rPr>
              <w:t>(4)</w:t>
            </w:r>
          </w:p>
        </w:tc>
        <w:tc>
          <w:tcPr>
            <w:tcW w:w="540" w:type="dxa"/>
            <w:vAlign w:val="bottom"/>
          </w:tcPr>
          <w:p>
            <w:pPr>
              <w:jc w:val="center"/>
              <w:spacing w:after="0"/>
              <w:rPr>
                <w:sz w:val="20"/>
                <w:szCs w:val="20"/>
                <w:color w:val="auto"/>
              </w:rPr>
            </w:pPr>
            <w:r>
              <w:rPr>
                <w:rFonts w:ascii="Arial" w:cs="Arial" w:eastAsia="Arial" w:hAnsi="Arial"/>
                <w:sz w:val="18"/>
                <w:szCs w:val="18"/>
                <w:color w:val="auto"/>
                <w:w w:val="90"/>
              </w:rPr>
              <w:t>12,102</w:t>
            </w:r>
          </w:p>
        </w:tc>
        <w:tc>
          <w:tcPr>
            <w:tcW w:w="4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17.4%</w:t>
            </w:r>
          </w:p>
        </w:tc>
        <w:tc>
          <w:tcPr>
            <w:tcW w:w="520" w:type="dxa"/>
            <w:vAlign w:val="bottom"/>
          </w:tcPr>
          <w:p>
            <w:pPr>
              <w:jc w:val="right"/>
              <w:spacing w:after="0"/>
              <w:rPr>
                <w:sz w:val="20"/>
                <w:szCs w:val="20"/>
                <w:color w:val="auto"/>
              </w:rPr>
            </w:pPr>
            <w:r>
              <w:rPr>
                <w:rFonts w:ascii="Arial" w:cs="Arial" w:eastAsia="Arial" w:hAnsi="Arial"/>
                <w:sz w:val="18"/>
                <w:szCs w:val="18"/>
                <w:color w:val="auto"/>
              </w:rPr>
              <w:t>9,657</w:t>
            </w:r>
          </w:p>
        </w:tc>
        <w:tc>
          <w:tcPr>
            <w:tcW w:w="4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69,552</w:t>
            </w: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100.0%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61,601</w:t>
            </w:r>
          </w:p>
        </w:tc>
        <w:tc>
          <w:tcPr>
            <w:tcW w:w="400" w:type="dxa"/>
            <w:vAlign w:val="bottom"/>
            <w:tcBorders>
              <w:lef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560" w:hanging="452"/>
        <w:spacing w:after="0" w:line="274" w:lineRule="auto"/>
        <w:tabs>
          <w:tab w:leader="none" w:pos="460" w:val="left"/>
        </w:tabs>
        <w:numPr>
          <w:ilvl w:val="0"/>
          <w:numId w:val="5"/>
        </w:numPr>
        <w:rPr>
          <w:rFonts w:ascii="Arial" w:cs="Arial" w:eastAsia="Arial" w:hAnsi="Arial"/>
          <w:sz w:val="14"/>
          <w:szCs w:val="14"/>
          <w:color w:val="auto"/>
        </w:rPr>
      </w:pPr>
      <w:r>
        <w:rPr>
          <w:rFonts w:ascii="Arial" w:cs="Arial" w:eastAsia="Arial" w:hAnsi="Arial"/>
          <w:sz w:val="17"/>
          <w:szCs w:val="17"/>
          <w:color w:val="auto"/>
        </w:rPr>
        <w:t>Enrollment at March 31, 2015 and 2014 represents individual students who attended a course during the last two months of the calendar quarter. Included in enrollment at March 31, 2015 and 2014 are students pursuing non-degree certificates of 864 and 801, respectively.</w:t>
      </w:r>
    </w:p>
    <w:p>
      <w:pPr>
        <w:ind w:left="460" w:hanging="452"/>
        <w:spacing w:after="0"/>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Includes 5,792 and 4,619 students pursuing doctoral degrees at March 31, 2015 and 2014, respectively.</w:t>
      </w:r>
    </w:p>
    <w:p>
      <w:pPr>
        <w:spacing w:after="0" w:line="9" w:lineRule="exact"/>
        <w:rPr>
          <w:rFonts w:ascii="Arial" w:cs="Arial" w:eastAsia="Arial" w:hAnsi="Arial"/>
          <w:sz w:val="15"/>
          <w:szCs w:val="15"/>
          <w:color w:val="auto"/>
        </w:rPr>
      </w:pPr>
    </w:p>
    <w:p>
      <w:pPr>
        <w:ind w:left="460" w:right="20" w:hanging="452"/>
        <w:spacing w:after="0" w:line="250"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As of March 31, 2015 and 2014, 46.6% and 44.0%, respectively, of our working adult students (online and professional studies students) were pursuing graduate degrees.</w:t>
      </w:r>
    </w:p>
    <w:p>
      <w:pPr>
        <w:ind w:left="460" w:hanging="452"/>
        <w:spacing w:after="0"/>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Includes both our traditional on-campus ground students, as well as our professional studies students.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Our critical accounting policies are disclosed in our Annual Report on Form 10-K for the fiscal year ended December 31, 2014. During the three months ended March 31, 2015, there have been no significant changes in our critical accounting policies.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Trends, Developments and Challenges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key trends, developments and challenges facing the University are disclosed in our Annual Report on Form 10-K for the fiscal year ended December 31, 2014. During the three months ended March 31, 2015, there have been no significant changes in these trends. See Item 7, “Management’s Discussion and Analysis of Financial Condition and Results of Operations – Key Trends, Developments and Challenges” in our Annual Report on Form 10-K for our fiscal year ended December 31, 2014, which is incorporated herein by reference.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income statement data as a percentage of net revenue for each of the periods indicated:</w:t>
      </w:r>
    </w:p>
    <w:p>
      <w:pPr>
        <w:spacing w:after="0" w:line="244" w:lineRule="exact"/>
        <w:rPr>
          <w:sz w:val="20"/>
          <w:szCs w:val="20"/>
          <w:color w:val="auto"/>
        </w:rPr>
      </w:pPr>
    </w:p>
    <w:p>
      <w:pPr>
        <w:jc w:val="center"/>
        <w:ind w:left="6720"/>
        <w:spacing w:after="0"/>
        <w:rPr>
          <w:sz w:val="20"/>
          <w:szCs w:val="20"/>
          <w:color w:val="auto"/>
        </w:rPr>
      </w:pPr>
      <w:r>
        <w:rPr>
          <w:rFonts w:ascii="Arial" w:cs="Arial" w:eastAsia="Arial" w:hAnsi="Arial"/>
          <w:sz w:val="14"/>
          <w:szCs w:val="14"/>
          <w:b w:val="1"/>
          <w:bCs w:val="1"/>
          <w:color w:val="auto"/>
        </w:rPr>
        <w:t>Three Months Ended</w:t>
      </w:r>
    </w:p>
    <w:p>
      <w:pPr>
        <w:jc w:val="center"/>
        <w:ind w:left="67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88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Instructional costs and services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Admissions advisory and related</w:t>
            </w:r>
          </w:p>
        </w:tc>
        <w:tc>
          <w:tcPr>
            <w:tcW w:w="500" w:type="dxa"/>
            <w:vAlign w:val="bottom"/>
          </w:tcPr>
          <w:p>
            <w:pPr>
              <w:jc w:val="right"/>
              <w:spacing w:after="0"/>
              <w:rPr>
                <w:sz w:val="20"/>
                <w:szCs w:val="20"/>
                <w:color w:val="auto"/>
              </w:rPr>
            </w:pPr>
            <w:r>
              <w:rPr>
                <w:rFonts w:ascii="Arial" w:cs="Arial" w:eastAsia="Arial" w:hAnsi="Arial"/>
                <w:sz w:val="18"/>
                <w:szCs w:val="18"/>
                <w:color w:val="auto"/>
              </w:rPr>
              <w:t>14.6</w:t>
            </w:r>
          </w:p>
        </w:tc>
        <w:tc>
          <w:tcPr>
            <w:tcW w:w="5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15.7</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Advertising</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Marketing and promotional</w:t>
            </w:r>
          </w:p>
        </w:tc>
        <w:tc>
          <w:tcPr>
            <w:tcW w:w="500" w:type="dxa"/>
            <w:vAlign w:val="bottom"/>
          </w:tcPr>
          <w:p>
            <w:pPr>
              <w:jc w:val="right"/>
              <w:spacing w:after="0"/>
              <w:rPr>
                <w:sz w:val="20"/>
                <w:szCs w:val="20"/>
                <w:color w:val="auto"/>
              </w:rPr>
            </w:pPr>
            <w:r>
              <w:rPr>
                <w:rFonts w:ascii="Arial" w:cs="Arial" w:eastAsia="Arial" w:hAnsi="Arial"/>
                <w:sz w:val="18"/>
                <w:szCs w:val="18"/>
                <w:color w:val="auto"/>
              </w:rPr>
              <w:t>0.9</w:t>
            </w:r>
          </w:p>
        </w:tc>
        <w:tc>
          <w:tcPr>
            <w:tcW w:w="5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5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88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540" w:type="dxa"/>
            <w:vAlign w:val="bottom"/>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2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Interest expense</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(0.2)</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r>
      <w:tr>
        <w:trPr>
          <w:trHeight w:val="223"/>
        </w:trPr>
        <w:tc>
          <w:tcPr>
            <w:tcW w:w="69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500" w:type="dxa"/>
            <w:vAlign w:val="bottom"/>
          </w:tcPr>
          <w:p>
            <w:pPr>
              <w:jc w:val="right"/>
              <w:spacing w:after="0"/>
              <w:rPr>
                <w:sz w:val="20"/>
                <w:szCs w:val="20"/>
                <w:color w:val="auto"/>
              </w:rPr>
            </w:pPr>
            <w:r>
              <w:rPr>
                <w:rFonts w:ascii="Arial" w:cs="Arial" w:eastAsia="Arial" w:hAnsi="Arial"/>
                <w:sz w:val="18"/>
                <w:szCs w:val="18"/>
                <w:color w:val="auto"/>
              </w:rPr>
              <w:t>28.8</w:t>
            </w:r>
          </w:p>
        </w:tc>
        <w:tc>
          <w:tcPr>
            <w:tcW w:w="5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25.7</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5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r>
      <w:tr>
        <w:trPr>
          <w:trHeight w:val="223"/>
        </w:trPr>
        <w:tc>
          <w:tcPr>
            <w:tcW w:w="69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54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2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2015 Compared to Three Months Ended March 31, 2014</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Net revenue</w:t>
      </w:r>
      <w:r>
        <w:rPr>
          <w:rFonts w:ascii="Arial" w:cs="Arial" w:eastAsia="Arial" w:hAnsi="Arial"/>
          <w:sz w:val="16"/>
          <w:szCs w:val="16"/>
          <w:color w:val="auto"/>
        </w:rPr>
        <w:t>. Our net revenue for the three months ended March 31, 2015 was $194.1 million, an increase of $26.7 million, or 15.9%, as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net revenue of $167.4 million for the three months ended March 31, 2014. This increase was primarily due to an increase in enrollment and, to a lesser extent, an increase in room and board and other student fees, partially offset by an increase in institutional scholarships. We did not raise tuition in any of our programs for our 2013-2014 or 2014-2015 academic years and have not raised our tuition for our traditional ground program in six years. End-of-period enrollment increased 12.9% between March 31, 2015 and March 31, 2014, as ground enrollment increased 25.3%, and online enrollment increased 10.6% over the prior year. New residential students at our ground traditional campus in Phoenix, Arizona accounted for a majority of the ground enrollment growth between years. We attribute the significant growth in our ground enrollment between years to our increasing brand recognition and the value proposition that our ground traditional campus affords to traditional-aged students and their parents. After scholarships, our ground traditional students pay an amount for tuition, room, board, and fees in an amount that is often half to a third of what it costs to attend a private, traditional university in another state and an amount comparable to what it costs to attend the public universities in the state of Arizona as an in-state student. Although our online enrollment continues to grow, as the proportion of traditional colleges and universities providing alternative learning modalities increases, we will face increasing competition for working adult students from such institutions, including those with well-established reputations for excellence. The growth in revenue per student between years is primarily due to our residential traditional campus enrollment growing at a rate higher than our working adult enrollment. When factoring in room, board and fees, the revenue per student is higher for these students than for our working adult students.</w:t>
      </w:r>
    </w:p>
    <w:p>
      <w:pPr>
        <w:spacing w:after="0" w:line="172"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i w:val="1"/>
          <w:iCs w:val="1"/>
          <w:color w:val="auto"/>
        </w:rPr>
        <w:t>Instructional costs and services expenses</w:t>
      </w:r>
      <w:r>
        <w:rPr>
          <w:rFonts w:ascii="Arial" w:cs="Arial" w:eastAsia="Arial" w:hAnsi="Arial"/>
          <w:sz w:val="17"/>
          <w:szCs w:val="17"/>
          <w:color w:val="auto"/>
        </w:rPr>
        <w:t>. Our instructional costs and services expenses for the three months ended March 31, 2015 were $78.7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an increase of $8.0 million, or 11.3%, as compared to instructional costs and services expenses of $70.7 million for the three months ended March 31, 2014. This increase was primarily due to increases in employee compensation and related expenses including share based compensation, faculty compensation, dues, fees and subscriptions and other instructional supplies, and depreciation and amortization and occupancy expense, partially offset by a decrease in other instructional compensation and related expenses, of $3.2 million, $1.5 million, $2.3 million, $1.3 million, and ($0.3) million, respectively. Bad debt expense improved from 2.3% of net revenues for the three months ended March 31, 2014 to 2.0% for the three months ended March 31, 2015, which resulted primarily from improved student retention and improved collection efforts. The increase in employee compensation and related expenses and faculty compensation are primarily due to the increase in the number of staff and faculty needed to support the increasing number of students attending the University. In addition, we have incurred an increase in benefit costs between years. The increase in dues, fees, subscriptions and other instructional supplies is primarily due to increased licensing fees related to educational resources and increased food costs associated with a higher number of residential students. The increase in depreciation and amortization and occupancy costs is the result of our placing into service additional buildings to support the growing number of ground traditional students in the Fall of 2014. Our instructional costs and services expenses as a percentage of net revenues decreased 1.7% to 40.5% for the three months ended March 31, 2015, from 42.2% for the three months ended March 31, 2014 primarily due to our ability to leverage our instructional services costs across an increasing revenue base.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i w:val="1"/>
          <w:iCs w:val="1"/>
          <w:color w:val="auto"/>
        </w:rPr>
        <w:t>Admissions advisory and related expenses</w:t>
      </w:r>
      <w:r>
        <w:rPr>
          <w:rFonts w:ascii="Arial" w:cs="Arial" w:eastAsia="Arial" w:hAnsi="Arial"/>
          <w:sz w:val="17"/>
          <w:szCs w:val="17"/>
          <w:color w:val="auto"/>
        </w:rPr>
        <w:t>. Our admissions advisory and related expenses for the three months ended March 31, 2015 were $28.3</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an increase of $2.0 million, or 7.9%, as compared to admissions advisory and related expenses of $26.3 million for the three months ended March 31, 2014. This increase is primarily the result of increases in employee compensation and related expenses including share based compensation and other advisory related expense of $1.9 million and $0.1 million, respectively. The increase in employee compensation and related expenses is primarily due to increased headcount and an increase in benefit costs between years. Our admissions advisory and related expenses as a percentage of revenue decreased 1.1% to 14.6% for the three months ended March 31, 2015, from 15.7% for the three months ended March 31, 2014 primarily due to our ability to leverage our admissions advisory personnel across an increasing revenue base.</w:t>
      </w:r>
    </w:p>
    <w:p>
      <w:pPr>
        <w:spacing w:after="0" w:line="178" w:lineRule="exact"/>
        <w:rPr>
          <w:sz w:val="20"/>
          <w:szCs w:val="20"/>
          <w:color w:val="auto"/>
        </w:rPr>
      </w:pPr>
    </w:p>
    <w:p>
      <w:pPr>
        <w:jc w:val="both"/>
        <w:ind w:right="120" w:firstLine="456"/>
        <w:spacing w:after="0" w:line="279" w:lineRule="auto"/>
        <w:rPr>
          <w:sz w:val="20"/>
          <w:szCs w:val="20"/>
          <w:color w:val="auto"/>
        </w:rPr>
      </w:pPr>
      <w:r>
        <w:rPr>
          <w:rFonts w:ascii="Arial" w:cs="Arial" w:eastAsia="Arial" w:hAnsi="Arial"/>
          <w:sz w:val="17"/>
          <w:szCs w:val="17"/>
          <w:i w:val="1"/>
          <w:iCs w:val="1"/>
          <w:color w:val="auto"/>
        </w:rPr>
        <w:t>Advertising expenses</w:t>
      </w:r>
      <w:r>
        <w:rPr>
          <w:rFonts w:ascii="Arial" w:cs="Arial" w:eastAsia="Arial" w:hAnsi="Arial"/>
          <w:sz w:val="17"/>
          <w:szCs w:val="17"/>
          <w:color w:val="auto"/>
        </w:rPr>
        <w:t>. Our advertising expenses for the three months ended March 31, 2015 were $20.0 million, an increase of $3.3 million, or 19.9%,</w:t>
      </w:r>
      <w:r>
        <w:rPr>
          <w:rFonts w:ascii="Arial" w:cs="Arial" w:eastAsia="Arial" w:hAnsi="Arial"/>
          <w:sz w:val="17"/>
          <w:szCs w:val="17"/>
          <w:i w:val="1"/>
          <w:iCs w:val="1"/>
          <w:color w:val="auto"/>
        </w:rPr>
        <w:t xml:space="preserve"> </w:t>
      </w:r>
      <w:r>
        <w:rPr>
          <w:rFonts w:ascii="Arial" w:cs="Arial" w:eastAsia="Arial" w:hAnsi="Arial"/>
          <w:sz w:val="17"/>
          <w:szCs w:val="17"/>
          <w:color w:val="auto"/>
        </w:rPr>
        <w:t>as compared to advertising expenses of $16.7 million for the three months ended March 31, 2014. This increase is primarily the result of increased branding advertising focused on the southwestern United States region. Our advertising expenses as a percentage of net revenue increased slightly by 0.3% to 10.3% for the three months ended March 31, 2015, from 10.0% for the three months ended March 31, 2014.</w:t>
      </w:r>
    </w:p>
    <w:p>
      <w:pPr>
        <w:spacing w:after="0" w:line="17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i w:val="1"/>
          <w:iCs w:val="1"/>
          <w:color w:val="auto"/>
        </w:rPr>
        <w:t>Marketing and promotional expenses</w:t>
      </w:r>
      <w:r>
        <w:rPr>
          <w:rFonts w:ascii="Arial" w:cs="Arial" w:eastAsia="Arial" w:hAnsi="Arial"/>
          <w:sz w:val="18"/>
          <w:szCs w:val="18"/>
          <w:color w:val="auto"/>
        </w:rPr>
        <w:t>. Our marketing and promotional expenses for the three months ended March 31, 2015 were $1.7 million,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of $0.1 million, or 5.5%, as compared to marketing and promotional expenses of $1.8 million for the three months ended March 31, 2014. This decrease is primarily the result of decreases in other promotional expenses partially offset by a slight increase in employee compensation. Our marketing and promotional expenses as a percentage of net revenue decreased 0.2% to 0.9% for the three months ended March 31, 2015, from 1.1% for the three months ended March 31, 2014.</w:t>
      </w:r>
    </w:p>
    <w:p>
      <w:pPr>
        <w:spacing w:after="0" w:line="18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Our general and administrative expenses for the three months ended March 31, 2015 was $9.4 million,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$0.8 million, or 9.8%, as compared to general and administrative expenses of $8.6 million for the three months ended March 31, 2014. This increase was primarily due to increases in employee compensation and related expenses including share based compensation and other general and administrative expenses of $0.2 million and $0.6 million, respectively. Our general and administrative expenses as a percentage of net revenue decreased by 0.3% to 4.8% for the three months ended March 31, 2015, from 5.1% for the three months ended March 31, 2014 due to our ability to leverage the fixed costs structure of our general and administrative expenses across an increasing revenue base.</w:t>
      </w:r>
    </w:p>
    <w:p>
      <w:pPr>
        <w:spacing w:after="0" w:line="1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for the three months ended March 31, 2015 was $0.4 million, a decrease of $0.1 million, as compared to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of $0.5 million for the three months ended March 31, 2014. This decrease was primarily due to a decrease in the average balance of our credit facility between periods due to scheduled monthly principal payments. Our interest expense decreased as a percentage of net revenue by 0.1% to 0.2% for the three months ended March 31, 2015, from 0.3% for the three months ended March 31, 2014.</w:t>
      </w:r>
    </w:p>
    <w:p>
      <w:pPr>
        <w:spacing w:after="0" w:line="187" w:lineRule="exact"/>
        <w:rPr>
          <w:sz w:val="20"/>
          <w:szCs w:val="20"/>
          <w:color w:val="auto"/>
        </w:rPr>
      </w:pPr>
    </w:p>
    <w:p>
      <w:pPr>
        <w:jc w:val="both"/>
        <w:ind w:right="500" w:firstLine="456"/>
        <w:spacing w:after="0" w:line="264" w:lineRule="auto"/>
        <w:rPr>
          <w:sz w:val="20"/>
          <w:szCs w:val="20"/>
          <w:color w:val="auto"/>
        </w:rPr>
      </w:pPr>
      <w:r>
        <w:rPr>
          <w:rFonts w:ascii="Arial" w:cs="Arial" w:eastAsia="Arial" w:hAnsi="Arial"/>
          <w:sz w:val="18"/>
          <w:szCs w:val="18"/>
          <w:i w:val="1"/>
          <w:iCs w:val="1"/>
          <w:color w:val="auto"/>
        </w:rPr>
        <w:t>Interest and other income</w:t>
      </w:r>
      <w:r>
        <w:rPr>
          <w:rFonts w:ascii="Arial" w:cs="Arial" w:eastAsia="Arial" w:hAnsi="Arial"/>
          <w:sz w:val="18"/>
          <w:szCs w:val="18"/>
          <w:color w:val="auto"/>
        </w:rPr>
        <w:t>. Interest and other income for the three months ended March 31, 2015 was $0.3 million, an increase of $0.2 million,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interest and other income of $0.1 million in the three months ended March 31, 2014. The increase was primarily due to higher investment balances period over period.</w:t>
      </w:r>
    </w:p>
    <w:p>
      <w:pPr>
        <w:spacing w:after="0" w:line="181"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Income tax expense for the three months ended March 31, 2015 was $21.7 million, an increase of $4.9 million, or 29.4%,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income tax expense of $16.8 million for the three months ended March 31, 2014. Our effective tax rate was 38.8% during the first quarter of 2015 compared to 38.9% during the first quarter of 2014.</w:t>
      </w:r>
    </w:p>
    <w:p>
      <w:pPr>
        <w:spacing w:after="0" w:line="18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three months ended March 31, 2015 was $34.2 million, an increase of $7.9 million, as compared to $26.3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March 31, 2014, due to the factors discussed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Our net revenue and operating results normally fluctuate as a result of seasonal variations in our business, principally due to changes in enrollment. Student population varies as a result of new enrollments, graduations, and student attrition. The majority of our traditional ground students do not attend courses during the summer months (May through August), which affects our results for our second and third fiscal quarters. Since a significant amount of our campus costs are fixed, the lower revenue resulting from the decreased ground student enrollment has historically contributed to lower operating margins during those periods. As we increased the relative proportion of our online students during prior years, this summer effect lessened. However, during the past year we increased, and over the next few years we intend to continue to increase, the relative proportion of our students that are ground traditional students. Thus, we expect this summer effect to become more pronounced in future years. Partially offsetting this summer effect in the third quarter has been the sequential quarterly increase in enrollments that has occurred as a result of the traditional fall school start. This increase in enrollments also has occurred in the first quarter, corresponding to calendar year matriculation. In addition, we typically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net revenue, resulting in higher operating income in the first and fourth quarters relative to other quarters. We expect quarterly fluctuation in operating results to continue as a result of these seasonal patterns.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Liquidity</w:t>
      </w:r>
      <w:r>
        <w:rPr>
          <w:rFonts w:ascii="Arial" w:cs="Arial" w:eastAsia="Arial" w:hAnsi="Arial"/>
          <w:sz w:val="18"/>
          <w:szCs w:val="18"/>
          <w:color w:val="auto"/>
        </w:rPr>
        <w:t>. We financed our operating activities and capital expenditures during the three months ended March 31, 2015 and 2014 primarily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cash provided by operating activities. Our unrestricted cash and cash equivalents and investments were $187.2 million and $166.0 million at March 31, 2015 and December 31, 2014, respectively. Our restricted cash, cash equivalents and investments at March 31, 2015 and December 31, 2014 were $57.9 million and $67.8 million, respectively.</w:t>
      </w:r>
    </w:p>
    <w:p>
      <w:pPr>
        <w:spacing w:after="0" w:line="187"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Based on our current level of operations and anticipated growth, we believe that our cash flow from operations and other sources of liquidity, including cash and cash equivalents and our revolving line of credit, will provide adequate funds for ongoing operations, planned capital expenditures, and working capital requirements for at least the next 24 months. No amounts were borrowed on the $50.0 million revolving line of credit as of March 31, 2015.</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ind w:right="560" w:firstLine="456"/>
        <w:spacing w:after="0" w:line="264" w:lineRule="auto"/>
        <w:rPr>
          <w:sz w:val="20"/>
          <w:szCs w:val="20"/>
          <w:color w:val="auto"/>
        </w:rPr>
      </w:pPr>
      <w:r>
        <w:rPr>
          <w:rFonts w:ascii="Arial" w:cs="Arial" w:eastAsia="Arial" w:hAnsi="Arial"/>
          <w:sz w:val="18"/>
          <w:szCs w:val="18"/>
          <w:color w:val="auto"/>
        </w:rPr>
        <w:t>Our Board of Directors has authorized the University to repurchase up to an aggregate of $75.0 million of our common stock, from time to time, depending on market conditions and other considerations. The current expiration date on the repurchase authorization by our Board of Directors is September 30, 2015. Repurchases occur at the University’s discretion.</w:t>
      </w:r>
    </w:p>
    <w:p>
      <w:pPr>
        <w:spacing w:after="0" w:line="18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Under our share purchase authorization, we may purchase shares in the open market or in privately negotiated transactions, pursuant to the applicable Securities and Exchange Commission rules. The amount and timing of future share repurchases, if any, will be made as market and business conditions warrant.</w:t>
      </w:r>
    </w:p>
    <w:p>
      <w:pPr>
        <w:spacing w:after="0" w:line="181"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Since the inception of our share repurchase program, the University has purchased 2.8 million shares of common stock at an aggregate cost of $49.1 million. During the three months ended March 31, 2015 the University did not repurchase any shares of common stock. At March 31, 2015, there remains $25.9 million available under our share repurchase authorization.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Operating Activities</w:t>
      </w:r>
      <w:r>
        <w:rPr>
          <w:rFonts w:ascii="Arial" w:cs="Arial" w:eastAsia="Arial" w:hAnsi="Arial"/>
          <w:sz w:val="17"/>
          <w:szCs w:val="17"/>
          <w:color w:val="auto"/>
        </w:rPr>
        <w:t>. Net cash provided by operating activities for the three months ended March 31, 2015 was $68.2 million as compared to</w:t>
      </w:r>
    </w:p>
    <w:p>
      <w:pPr>
        <w:spacing w:after="0" w:line="3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$53.7 million for the three months ended March 31, 2014. The increase in cash generated from operating activities between the three months ended March 31, 2014 and the three months ended March 31, 2015 is primarily due to increased net income and the timing of income tax related payments and deferred revenue.</w:t>
      </w:r>
    </w:p>
    <w:p>
      <w:pPr>
        <w:spacing w:after="0" w:line="1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Investing Activities</w:t>
      </w:r>
      <w:r>
        <w:rPr>
          <w:rFonts w:ascii="Arial" w:cs="Arial" w:eastAsia="Arial" w:hAnsi="Arial"/>
          <w:sz w:val="16"/>
          <w:szCs w:val="16"/>
          <w:color w:val="auto"/>
        </w:rPr>
        <w:t>. Net cash used in investing activities was $46.0 million and $76.3 million for the three months ended March 31, 2015 and 2014,</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Our cash used in investing activities was primarily related to the purchase of short-term investments and capital expenditures. Purchases of short-term investments net of proceeds of these investments was $0.2 million and $49.0 million during the three months ended March 31, 2015 and 2014, respectively. Capital expenditures were $45.7 million and $27.2 million for the three months ended March 31, 2015 and 2014, respectively. During the three-month period for 2015, capital expenditures primarily consisted of ground campus building projects such as the construction of four additional dormitories, an additional classroom building for our College of Science, Engineering and Technology and a new parking structure to support our growing traditional student enrollment as well as purchases of computer equipment, other internal use software projects and furniture and equipment to support our increasing employee headcount. During the three-month period for 2014, capital expenditures primarily consisted of ground campus building projects such as the construction of an additional classroom building, additional residence halls, and the expansion of our arena to support our growing traditional student enrollment as well as purchases of computer equipment, other internal use software projects and furniture and equipment to support our increasing employee headcount.</w:t>
      </w:r>
    </w:p>
    <w:p>
      <w:pPr>
        <w:spacing w:after="0" w:line="169"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Net cash used in financing activities was $1.3 million for the three months ended March 31, 2015. Net cash provided by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was $5.9 million for the three months ended March 31, 2014. During the three-month period for 2015, proceeds from the exercise of stock options of $1.7 million and excess tax benefits from share-based compensation of $2.8 million were offset by $4.2 million used to purchase common shares withheld in lieu of income taxes resulting from restricted share awards and principal payments on notes payable and capital leases totaled $1.7 million. During the three-month period for 2014, proceeds from the exercise of stock options of $5.4 million and excess tax benefits from share-based compensation of $6.4 million were partially offset by $3.6 million used to purchase common shares withheld in lieu of income taxes resulting from restricted share awards, $0.6 million used to purchase treasury stock in accordance with the university’s share repurchase program and principal payments on notes payable and capital leases totaled $1.7 million.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following table sets forth, as of March 31, 2015, the aggregate amounts of our significant contractual obligations and commitments with definitive payment terms due in each of the periods presented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Payments Due by Period</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89"/>
              </w:rPr>
              <w:t>Total</w:t>
            </w:r>
          </w:p>
        </w:tc>
        <w:tc>
          <w:tcPr>
            <w:tcW w:w="8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240" w:type="dxa"/>
            <w:vAlign w:val="bottom"/>
          </w:tcPr>
          <w:p>
            <w:pPr>
              <w:spacing w:after="0"/>
              <w:rPr>
                <w:sz w:val="10"/>
                <w:szCs w:val="10"/>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2-3 Years</w:t>
            </w: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4-5 Years</w:t>
            </w:r>
          </w:p>
        </w:tc>
        <w:tc>
          <w:tcPr>
            <w:tcW w:w="240" w:type="dxa"/>
            <w:vAlign w:val="bottom"/>
          </w:tcPr>
          <w:p>
            <w:pPr>
              <w:spacing w:after="0"/>
              <w:rPr>
                <w:sz w:val="10"/>
                <w:szCs w:val="10"/>
                <w:color w:val="auto"/>
              </w:rPr>
            </w:pPr>
          </w:p>
        </w:tc>
        <w:tc>
          <w:tcPr>
            <w:tcW w:w="6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1 Year (1)</w:t>
            </w:r>
          </w:p>
        </w:tc>
        <w:tc>
          <w:tcPr>
            <w:tcW w:w="24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 term notes payable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10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96.7</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10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25.7</w:t>
            </w:r>
          </w:p>
        </w:tc>
        <w:tc>
          <w:tcPr>
            <w:tcW w:w="1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207.7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93.1</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Payments due in less than one year represent expected expenditures from April 1, 2015 through December 31, 2015.</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purchase obligation amounts include expected spending by period under contracts that were in effect at March 31, 2015.</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i w:val="1"/>
          <w:iCs w:val="1"/>
          <w:color w:val="auto"/>
        </w:rPr>
        <w:t xml:space="preserve">Impact of inflation. </w:t>
      </w:r>
      <w:r>
        <w:rPr>
          <w:rFonts w:ascii="Arial" w:cs="Arial" w:eastAsia="Arial" w:hAnsi="Arial"/>
          <w:sz w:val="17"/>
          <w:szCs w:val="17"/>
          <w:color w:val="auto"/>
        </w:rPr>
        <w:t>We believe that inflation has not had a material impact on our results of operations for the three months ended March 31, 2015 or</w:t>
      </w:r>
      <w:r>
        <w:rPr>
          <w:rFonts w:ascii="Arial" w:cs="Arial" w:eastAsia="Arial" w:hAnsi="Arial"/>
          <w:sz w:val="17"/>
          <w:szCs w:val="17"/>
          <w:i w:val="1"/>
          <w:iCs w:val="1"/>
          <w:color w:val="auto"/>
        </w:rPr>
        <w:t xml:space="preserve"> </w:t>
      </w:r>
      <w:r>
        <w:rPr>
          <w:rFonts w:ascii="Arial" w:cs="Arial" w:eastAsia="Arial" w:hAnsi="Arial"/>
          <w:sz w:val="17"/>
          <w:szCs w:val="17"/>
          <w:color w:val="auto"/>
        </w:rPr>
        <w:t>2014. There can be no assurance that future inflation will not have an adverse impact on our operating results and financial condition.</w:t>
      </w:r>
    </w:p>
    <w:p>
      <w:pPr>
        <w:spacing w:after="0" w:line="14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i w:val="1"/>
          <w:iCs w:val="1"/>
          <w:color w:val="auto"/>
        </w:rPr>
        <w:t>Market risk</w:t>
      </w:r>
      <w:r>
        <w:rPr>
          <w:rFonts w:ascii="Arial" w:cs="Arial" w:eastAsia="Arial" w:hAnsi="Arial"/>
          <w:sz w:val="16"/>
          <w:szCs w:val="16"/>
          <w:color w:val="auto"/>
        </w:rPr>
        <w:t>. On February 27, 2013, respectively, we entered into an interest rate corridor to manage our 30 Day LIBOR interest exposure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variable rate debt, which debt matures in December 2019. The corridor instrument, which hedges variable interest rate risk starting March 1, 2013 through December 20, 2019 with a notional amount of $85.0 million as of March 31, 2015, permits us to hedge our interest rate risk at several thresholds. Under this arrangement, in addition to the credit spread we will pay variable interest rates based on the 30 Day LIBOR rates monthly until that index reaches 1.5%. If 30 Day LIBOR is equal to 1.5% through 3.0%, we will continue to pay 1.5%. If 30 Day LIBOR exceeds 3.0%, we will pay actual 30 Day LIBOR less 1.5%.</w:t>
      </w:r>
    </w:p>
    <w:p>
      <w:pPr>
        <w:spacing w:after="0" w:line="158"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Except with respect to the foregoing, we have no derivative financial instruments or derivative commodity instruments. We invest cash in excess of current operating requirements in short-term certificates of deposit and money market instruments in multiple financial institutions.</w:t>
      </w:r>
    </w:p>
    <w:p>
      <w:pPr>
        <w:spacing w:after="0" w:line="147"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i w:val="1"/>
          <w:iCs w:val="1"/>
          <w:color w:val="auto"/>
        </w:rPr>
        <w:t>Interest rate risk</w:t>
      </w:r>
      <w:r>
        <w:rPr>
          <w:rFonts w:ascii="Arial" w:cs="Arial" w:eastAsia="Arial" w:hAnsi="Arial"/>
          <w:sz w:val="17"/>
          <w:szCs w:val="17"/>
          <w:color w:val="auto"/>
        </w:rPr>
        <w:t>. We manage interest rate risk through the instruments noted above and by investing excess funds in cash equivalents, A rated</w:t>
      </w:r>
      <w:r>
        <w:rPr>
          <w:rFonts w:ascii="Arial" w:cs="Arial" w:eastAsia="Arial" w:hAnsi="Arial"/>
          <w:sz w:val="17"/>
          <w:szCs w:val="17"/>
          <w:i w:val="1"/>
          <w:iCs w:val="1"/>
          <w:color w:val="auto"/>
        </w:rPr>
        <w:t xml:space="preserve"> </w:t>
      </w:r>
      <w:r>
        <w:rPr>
          <w:rFonts w:ascii="Arial" w:cs="Arial" w:eastAsia="Arial" w:hAnsi="Arial"/>
          <w:sz w:val="17"/>
          <w:szCs w:val="17"/>
          <w:color w:val="auto"/>
        </w:rPr>
        <w:t>municipal bonds and municipal mutual funds bearing variable interest rates, which are tied to various market indices or individual bond coupon rates. Our future investment income may fall short of expectations due to changes in interest rates or we may suffer losses in principal if we are forced to sell securities that have declined in market value due to changes in interest rates. At March 31, 2015, a 10% increase or decrease in interest rates would not have a material impact on our future earnings, fair values, or cash flows. For information regarding our variable rate debt, see “Market risk” above.</w:t>
      </w:r>
    </w:p>
    <w:p>
      <w:pPr>
        <w:spacing w:after="0" w:line="31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We carried out an evaluation, under the supervision and with the participation of our management, including our Chief Executive Officer and the Chief Financial Officer, of the effectiveness of the design and operation of our disclosure controls and procedures, as defined in Rules 13a-15(e) and 15d-15(e) under the Securities Exchange Act of 1934, as amended (the “Exchange Act”). Based upon that evaluation, our Chief Executive Officer and Chief Financial Officer concluded that our disclosure controls and procedures are effective, as of March 31, 2015, in ensuring that material information relating to us required to be disclosed by us in reports that we file or submit under the Exchange Act is recorded, processed, summarized and reported within the time periods specified in the SEC rules and forms. Disclosure controls and procedures include, without limitation, controls and procedures designed to ensure that information required to be disclosed by an issuer in reports it files or submits under the Exchange Act is accumulated and communicated to management, including its principal executive officer or officers and principal financial officer or officers, or persons performing similar functions, as appropriate to allow timely decisions regarding required disclosure.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Based on an evaluation, under the supervision and with the participation of our management, including our Chief Executive Officer (who is our principal executive officer) and our Chief Financial Officer (who is our principal financial officer), there were no changes in our internal control over financial reporting identified in connection with the evaluation required by Rule 13a-15(d) and 15d-15(d) of the Exchange Act that occurred during the period covered by this report that have materially affected, or are reasonably likely to materially affect, our internal control over financial reporting.</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There have been no material changes to the risk factors disclosed in the “Risk Factors” section of our Annual Report on Form 10-K for the year ended December 31, 2014.</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Board of Directors has authorized the University to repurchase up to an aggregate of $75.0 million of common stock, from time to time, depending on market conditions and other considerations. The current expiration date on the repurchase authorization is September 30, 2015. Repurchases occur at the University’s discretion. Repurchases may be made in the open market or in privately negotiated transactions, pursuant to the applicable Securities and Exchange Commission rules. The amount and timing of future share repurchases, if any, will be made as market and business conditions warrant. During the three months ended March 31, 2015, we did not repurchase any shares of common stock. At March 31, 2015, there remains $25.9 million available under our share repurchase authorization.</w:t>
      </w:r>
    </w:p>
    <w:p>
      <w:pPr>
        <w:spacing w:after="0" w:line="193" w:lineRule="exact"/>
        <w:rPr>
          <w:sz w:val="20"/>
          <w:szCs w:val="20"/>
          <w:color w:val="auto"/>
        </w:rPr>
      </w:pPr>
    </w:p>
    <w:p>
      <w:pPr>
        <w:ind w:right="700" w:firstLine="456"/>
        <w:spacing w:after="0" w:line="342" w:lineRule="auto"/>
        <w:rPr>
          <w:sz w:val="20"/>
          <w:szCs w:val="20"/>
          <w:color w:val="auto"/>
        </w:rPr>
      </w:pPr>
      <w:r>
        <w:rPr>
          <w:rFonts w:ascii="Arial" w:cs="Arial" w:eastAsia="Arial" w:hAnsi="Arial"/>
          <w:sz w:val="16"/>
          <w:szCs w:val="16"/>
          <w:color w:val="auto"/>
        </w:rPr>
        <w:t>The following table sets forth our share repurchases of common stock and our share repurchases in lieu of taxes, which are not included in the repurchase plan totals as they were approved in conjunction with the restricted share awards, during each period in the first quarter of fiscal 2015:</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68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Maximum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Average</w:t>
            </w:r>
          </w:p>
        </w:tc>
        <w:tc>
          <w:tcPr>
            <w:tcW w:w="6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680" w:type="dxa"/>
            <w:vAlign w:val="bottom"/>
          </w:tcPr>
          <w:p>
            <w:pPr>
              <w:spacing w:after="0"/>
              <w:rPr>
                <w:sz w:val="12"/>
                <w:szCs w:val="12"/>
                <w:color w:val="auto"/>
              </w:rPr>
            </w:pPr>
          </w:p>
        </w:tc>
        <w:tc>
          <w:tcPr>
            <w:tcW w:w="11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Value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Total Number of</w:t>
            </w:r>
          </w:p>
        </w:tc>
        <w:tc>
          <w:tcPr>
            <w:tcW w:w="64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68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That May Yet Be</w:t>
            </w:r>
          </w:p>
        </w:tc>
        <w:tc>
          <w:tcPr>
            <w:tcW w:w="0" w:type="dxa"/>
            <w:vAlign w:val="bottom"/>
          </w:tcPr>
          <w:p>
            <w:pPr>
              <w:spacing w:after="0"/>
              <w:rPr>
                <w:sz w:val="1"/>
                <w:szCs w:val="1"/>
                <w:color w:val="auto"/>
              </w:rPr>
            </w:pPr>
          </w:p>
        </w:tc>
      </w:tr>
      <w:tr>
        <w:trPr>
          <w:trHeight w:val="149"/>
        </w:trPr>
        <w:tc>
          <w:tcPr>
            <w:tcW w:w="42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Period</w:t>
            </w:r>
          </w:p>
        </w:tc>
        <w:tc>
          <w:tcPr>
            <w:tcW w:w="1800" w:type="dxa"/>
            <w:vAlign w:val="bottom"/>
            <w:gridSpan w:val="3"/>
            <w:vMerge w:val="continue"/>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Price Paid</w:t>
            </w:r>
          </w:p>
        </w:tc>
        <w:tc>
          <w:tcPr>
            <w:tcW w:w="6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68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Purchased Under</w:t>
            </w:r>
          </w:p>
        </w:tc>
        <w:tc>
          <w:tcPr>
            <w:tcW w:w="0" w:type="dxa"/>
            <w:vAlign w:val="bottom"/>
          </w:tcPr>
          <w:p>
            <w:pPr>
              <w:spacing w:after="0"/>
              <w:rPr>
                <w:sz w:val="1"/>
                <w:szCs w:val="1"/>
                <w:color w:val="auto"/>
              </w:rPr>
            </w:pPr>
          </w:p>
        </w:tc>
      </w:tr>
      <w:tr>
        <w:trPr>
          <w:trHeight w:val="171"/>
        </w:trPr>
        <w:tc>
          <w:tcPr>
            <w:tcW w:w="4240" w:type="dxa"/>
            <w:vAlign w:val="bottom"/>
            <w:gridSpan w:val="5"/>
            <w:vMerge w:val="continue"/>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Shares Purchased</w:t>
            </w: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Per Share</w:t>
            </w:r>
          </w:p>
        </w:tc>
        <w:tc>
          <w:tcPr>
            <w:tcW w:w="6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7"/>
              </w:rPr>
              <w:t>Program</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the Program</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75"/>
              </w:rPr>
              <w:t>Share</w:t>
            </w:r>
          </w:p>
        </w:tc>
        <w:tc>
          <w:tcPr>
            <w:tcW w:w="1060" w:type="dxa"/>
            <w:vAlign w:val="bottom"/>
            <w:tcBorders>
              <w:top w:val="single" w:sz="8" w:color="CCEEFF"/>
              <w:bottom w:val="single" w:sz="8" w:color="auto"/>
            </w:tcBorders>
            <w:gridSpan w:val="2"/>
            <w:shd w:val="clear" w:color="auto" w:fill="CCEEFF"/>
          </w:tcPr>
          <w:p>
            <w:pPr>
              <w:ind w:left="80"/>
              <w:spacing w:after="0" w:line="156" w:lineRule="exact"/>
              <w:rPr>
                <w:sz w:val="20"/>
                <w:szCs w:val="20"/>
                <w:color w:val="auto"/>
              </w:rPr>
            </w:pPr>
            <w:r>
              <w:rPr>
                <w:rFonts w:ascii="Arial" w:cs="Arial" w:eastAsia="Arial" w:hAnsi="Arial"/>
                <w:sz w:val="18"/>
                <w:szCs w:val="18"/>
                <w:b w:val="1"/>
                <w:bCs w:val="1"/>
                <w:color w:val="auto"/>
                <w:w w:val="84"/>
              </w:rPr>
              <w:t>Repurchases</w:t>
            </w:r>
          </w:p>
        </w:tc>
        <w:tc>
          <w:tcPr>
            <w:tcW w:w="2760" w:type="dxa"/>
            <w:vAlign w:val="bottom"/>
            <w:tcBorders>
              <w:top w:val="single" w:sz="8" w:color="CCEEFF"/>
              <w:bottom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CCEEFF"/>
            </w:tcBorders>
            <w:shd w:val="clear" w:color="auto" w:fill="CCEEFF"/>
          </w:tcPr>
          <w:p>
            <w:pPr>
              <w:spacing w:after="0"/>
              <w:rPr>
                <w:sz w:val="15"/>
                <w:szCs w:val="15"/>
                <w:color w:val="auto"/>
              </w:rPr>
            </w:pPr>
          </w:p>
        </w:tc>
        <w:tc>
          <w:tcPr>
            <w:tcW w:w="680" w:type="dxa"/>
            <w:vAlign w:val="bottom"/>
            <w:tcBorders>
              <w:top w:val="single" w:sz="8" w:color="CCEEFF"/>
              <w:bottom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CCEEFF"/>
            </w:tcBorders>
            <w:shd w:val="clear" w:color="auto" w:fill="CCEEFF"/>
          </w:tcPr>
          <w:p>
            <w:pPr>
              <w:spacing w:after="0"/>
              <w:rPr>
                <w:sz w:val="15"/>
                <w:szCs w:val="15"/>
                <w:color w:val="auto"/>
              </w:rPr>
            </w:pPr>
          </w:p>
        </w:tc>
        <w:tc>
          <w:tcPr>
            <w:tcW w:w="6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4"/>
          </w:tcPr>
          <w:p>
            <w:pPr>
              <w:spacing w:after="0"/>
              <w:rPr>
                <w:sz w:val="20"/>
                <w:szCs w:val="20"/>
                <w:color w:val="auto"/>
              </w:rPr>
            </w:pPr>
            <w:r>
              <w:rPr>
                <w:rFonts w:ascii="Arial" w:cs="Arial" w:eastAsia="Arial" w:hAnsi="Arial"/>
                <w:sz w:val="18"/>
                <w:szCs w:val="18"/>
                <w:color w:val="auto"/>
              </w:rPr>
              <w:t>January 1, 2015 – January 31, 2015</w:t>
            </w:r>
          </w:p>
        </w:tc>
        <w:tc>
          <w:tcPr>
            <w:tcW w:w="1800" w:type="dxa"/>
            <w:vAlign w:val="bottom"/>
            <w:gridSpan w:val="3"/>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680" w:type="dxa"/>
            <w:vAlign w:val="bottom"/>
          </w:tcPr>
          <w:p>
            <w:pPr>
              <w:spacing w:after="0"/>
              <w:rPr>
                <w:sz w:val="18"/>
                <w:szCs w:val="18"/>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68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25,865,000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February 1, 2015 – February 28, 2015</w:t>
            </w:r>
          </w:p>
        </w:tc>
        <w:tc>
          <w:tcPr>
            <w:tcW w:w="180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spacing w:after="0"/>
              <w:rPr>
                <w:sz w:val="18"/>
                <w:szCs w:val="18"/>
                <w:color w:val="auto"/>
              </w:rPr>
            </w:pP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25,865,000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4"/>
          </w:tcPr>
          <w:p>
            <w:pPr>
              <w:spacing w:after="0"/>
              <w:rPr>
                <w:sz w:val="20"/>
                <w:szCs w:val="20"/>
                <w:color w:val="auto"/>
              </w:rPr>
            </w:pPr>
            <w:r>
              <w:rPr>
                <w:rFonts w:ascii="Arial" w:cs="Arial" w:eastAsia="Arial" w:hAnsi="Arial"/>
                <w:sz w:val="18"/>
                <w:szCs w:val="18"/>
                <w:color w:val="auto"/>
              </w:rPr>
              <w:t>March 1, 2015 – March 31, 2015</w:t>
            </w: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c>
          <w:tcPr>
            <w:tcW w:w="700" w:type="dxa"/>
            <w:vAlign w:val="bottom"/>
            <w:gridSpan w:val="2"/>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680" w:type="dxa"/>
            <w:vAlign w:val="bottom"/>
          </w:tcPr>
          <w:p>
            <w:pPr>
              <w:spacing w:after="0"/>
              <w:rPr>
                <w:sz w:val="18"/>
                <w:szCs w:val="18"/>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25,865,000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spacing w:after="0"/>
              <w:rPr>
                <w:sz w:val="18"/>
                <w:szCs w:val="18"/>
                <w:color w:val="auto"/>
              </w:rPr>
            </w:pP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25,865,000</w:t>
            </w:r>
          </w:p>
        </w:tc>
        <w:tc>
          <w:tcPr>
            <w:tcW w:w="0" w:type="dxa"/>
            <w:vAlign w:val="bottom"/>
          </w:tcPr>
          <w:p>
            <w:pPr>
              <w:spacing w:after="0"/>
              <w:rPr>
                <w:sz w:val="1"/>
                <w:szCs w:val="1"/>
                <w:color w:val="auto"/>
              </w:rPr>
            </w:pPr>
          </w:p>
        </w:tc>
      </w:tr>
      <w:tr>
        <w:trPr>
          <w:trHeight w:val="183"/>
        </w:trPr>
        <w:tc>
          <w:tcPr>
            <w:tcW w:w="4240" w:type="dxa"/>
            <w:vAlign w:val="bottom"/>
            <w:gridSpan w:val="5"/>
          </w:tcPr>
          <w:p>
            <w:pPr>
              <w:spacing w:after="0" w:line="182" w:lineRule="exact"/>
              <w:rPr>
                <w:sz w:val="20"/>
                <w:szCs w:val="20"/>
                <w:color w:val="auto"/>
              </w:rPr>
            </w:pPr>
            <w:r>
              <w:rPr>
                <w:rFonts w:ascii="Arial" w:cs="Arial" w:eastAsia="Arial" w:hAnsi="Arial"/>
                <w:sz w:val="18"/>
                <w:szCs w:val="18"/>
                <w:b w:val="1"/>
                <w:bCs w:val="1"/>
                <w:color w:val="auto"/>
              </w:rPr>
              <w:t>Tax Withholdings</w:t>
            </w:r>
          </w:p>
        </w:tc>
        <w:tc>
          <w:tcPr>
            <w:tcW w:w="11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January 1, 2015 – January 31, 2015</w:t>
            </w:r>
          </w:p>
        </w:tc>
        <w:tc>
          <w:tcPr>
            <w:tcW w:w="180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spacing w:after="0"/>
              <w:rPr>
                <w:sz w:val="18"/>
                <w:szCs w:val="18"/>
                <w:color w:val="auto"/>
              </w:rPr>
            </w:pP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4"/>
          </w:tcPr>
          <w:p>
            <w:pPr>
              <w:spacing w:after="0"/>
              <w:rPr>
                <w:sz w:val="20"/>
                <w:szCs w:val="20"/>
                <w:color w:val="auto"/>
              </w:rPr>
            </w:pPr>
            <w:r>
              <w:rPr>
                <w:rFonts w:ascii="Arial" w:cs="Arial" w:eastAsia="Arial" w:hAnsi="Arial"/>
                <w:sz w:val="18"/>
                <w:szCs w:val="18"/>
                <w:color w:val="auto"/>
              </w:rPr>
              <w:t>February 1, 2015 – February 28, 2015</w:t>
            </w:r>
          </w:p>
        </w:tc>
        <w:tc>
          <w:tcPr>
            <w:tcW w:w="1800" w:type="dxa"/>
            <w:vAlign w:val="bottom"/>
            <w:gridSpan w:val="3"/>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680" w:type="dxa"/>
            <w:vAlign w:val="bottom"/>
          </w:tcPr>
          <w:p>
            <w:pPr>
              <w:spacing w:after="0"/>
              <w:rPr>
                <w:sz w:val="18"/>
                <w:szCs w:val="18"/>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68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March 1, 2015 – March 31, 2015</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91,336</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45.75</w:t>
            </w:r>
          </w:p>
        </w:tc>
        <w:tc>
          <w:tcPr>
            <w:tcW w:w="680" w:type="dxa"/>
            <w:vAlign w:val="bottom"/>
            <w:shd w:val="clear" w:color="auto" w:fill="CCEEFF"/>
          </w:tcPr>
          <w:p>
            <w:pPr>
              <w:spacing w:after="0"/>
              <w:rPr>
                <w:sz w:val="18"/>
                <w:szCs w:val="18"/>
                <w:color w:val="auto"/>
              </w:rPr>
            </w:pP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40" w:type="dxa"/>
            <w:vAlign w:val="bottom"/>
            <w:gridSpan w:val="5"/>
          </w:tcPr>
          <w:p>
            <w:pPr>
              <w:spacing w:after="0"/>
              <w:rPr>
                <w:sz w:val="20"/>
                <w:szCs w:val="20"/>
                <w:color w:val="auto"/>
              </w:rPr>
            </w:pPr>
            <w:r>
              <w:rPr>
                <w:rFonts w:ascii="Arial" w:cs="Arial" w:eastAsia="Arial" w:hAnsi="Arial"/>
                <w:sz w:val="18"/>
                <w:szCs w:val="18"/>
                <w:b w:val="1"/>
                <w:bCs w:val="1"/>
                <w:color w:val="auto"/>
              </w:rPr>
              <w:t>Total</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91,336</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45.75</w:t>
            </w:r>
          </w:p>
        </w:tc>
        <w:tc>
          <w:tcPr>
            <w:tcW w:w="680" w:type="dxa"/>
            <w:vAlign w:val="bottom"/>
          </w:tcPr>
          <w:p>
            <w:pPr>
              <w:spacing w:after="0"/>
              <w:rPr>
                <w:sz w:val="19"/>
                <w:szCs w:val="19"/>
                <w:color w:val="auto"/>
              </w:rPr>
            </w:pPr>
          </w:p>
        </w:tc>
        <w:tc>
          <w:tcPr>
            <w:tcW w:w="12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800" w:type="dxa"/>
            <w:vAlign w:val="bottom"/>
            <w:gridSpan w:val="3"/>
          </w:tcPr>
          <w:p>
            <w:pPr>
              <w:jc w:val="right"/>
              <w:ind w:right="70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0" w:type="dxa"/>
            <w:vAlign w:val="bottom"/>
          </w:tcPr>
          <w:p>
            <w:pPr>
              <w:spacing w:after="0"/>
              <w:rPr>
                <w:sz w:val="20"/>
                <w:szCs w:val="20"/>
                <w:color w:val="auto"/>
              </w:rPr>
            </w:pPr>
          </w:p>
        </w:tc>
        <w:tc>
          <w:tcPr>
            <w:tcW w:w="5060" w:type="dxa"/>
            <w:vAlign w:val="bottom"/>
          </w:tcPr>
          <w:p>
            <w:pPr>
              <w:ind w:left="80"/>
              <w:spacing w:after="0"/>
              <w:rPr>
                <w:sz w:val="20"/>
                <w:szCs w:val="20"/>
                <w:color w:val="auto"/>
              </w:rPr>
            </w:pPr>
            <w:r>
              <w:rPr>
                <w:rFonts w:ascii="Arial" w:cs="Arial" w:eastAsia="Arial" w:hAnsi="Arial"/>
                <w:sz w:val="18"/>
                <w:szCs w:val="18"/>
                <w:b w:val="1"/>
                <w:bCs w:val="1"/>
                <w:color w:val="auto"/>
              </w:rPr>
              <w:t>Defaults Upon Senior Securities</w:t>
            </w:r>
          </w:p>
        </w:tc>
      </w:tr>
      <w:tr>
        <w:trPr>
          <w:trHeight w:val="324"/>
        </w:trPr>
        <w:tc>
          <w:tcPr>
            <w:tcW w:w="920" w:type="dxa"/>
            <w:vAlign w:val="bottom"/>
          </w:tcPr>
          <w:p>
            <w:pPr>
              <w:ind w:left="460"/>
              <w:spacing w:after="0"/>
              <w:rPr>
                <w:sz w:val="20"/>
                <w:szCs w:val="20"/>
                <w:color w:val="auto"/>
              </w:rPr>
            </w:pPr>
            <w:r>
              <w:rPr>
                <w:rFonts w:ascii="Arial" w:cs="Arial" w:eastAsia="Arial" w:hAnsi="Arial"/>
                <w:sz w:val="18"/>
                <w:szCs w:val="18"/>
                <w:color w:val="auto"/>
                <w:w w:val="91"/>
              </w:rPr>
              <w:t>None.</w:t>
            </w:r>
          </w:p>
        </w:tc>
        <w:tc>
          <w:tcPr>
            <w:tcW w:w="4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581"/>
        </w:trPr>
        <w:tc>
          <w:tcPr>
            <w:tcW w:w="9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0" w:type="dxa"/>
            <w:vAlign w:val="bottom"/>
          </w:tcPr>
          <w:p>
            <w:pPr>
              <w:spacing w:after="0"/>
              <w:rPr>
                <w:sz w:val="24"/>
                <w:szCs w:val="24"/>
                <w:color w:val="auto"/>
              </w:rPr>
            </w:pPr>
          </w:p>
        </w:tc>
        <w:tc>
          <w:tcPr>
            <w:tcW w:w="5060" w:type="dxa"/>
            <w:vAlign w:val="bottom"/>
          </w:tcPr>
          <w:p>
            <w:pPr>
              <w:ind w:left="80"/>
              <w:spacing w:after="0"/>
              <w:rPr>
                <w:sz w:val="20"/>
                <w:szCs w:val="20"/>
                <w:color w:val="auto"/>
              </w:rPr>
            </w:pPr>
            <w:r>
              <w:rPr>
                <w:rFonts w:ascii="Arial" w:cs="Arial" w:eastAsia="Arial" w:hAnsi="Arial"/>
                <w:sz w:val="18"/>
                <w:szCs w:val="18"/>
                <w:b w:val="1"/>
                <w:bCs w:val="1"/>
                <w:color w:val="auto"/>
              </w:rPr>
              <w:t>Mine Safety Disclosures</w:t>
            </w:r>
          </w:p>
        </w:tc>
      </w:tr>
      <w:tr>
        <w:trPr>
          <w:trHeight w:val="324"/>
        </w:trPr>
        <w:tc>
          <w:tcPr>
            <w:tcW w:w="920" w:type="dxa"/>
            <w:vAlign w:val="bottom"/>
          </w:tcPr>
          <w:p>
            <w:pPr>
              <w:ind w:left="460"/>
              <w:spacing w:after="0"/>
              <w:rPr>
                <w:sz w:val="20"/>
                <w:szCs w:val="20"/>
                <w:color w:val="auto"/>
              </w:rPr>
            </w:pPr>
            <w:r>
              <w:rPr>
                <w:rFonts w:ascii="Arial" w:cs="Arial" w:eastAsia="Arial" w:hAnsi="Arial"/>
                <w:sz w:val="18"/>
                <w:szCs w:val="18"/>
                <w:color w:val="auto"/>
                <w:w w:val="91"/>
              </w:rPr>
              <w:t>None.</w:t>
            </w:r>
          </w:p>
        </w:tc>
        <w:tc>
          <w:tcPr>
            <w:tcW w:w="4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581"/>
        </w:trPr>
        <w:tc>
          <w:tcPr>
            <w:tcW w:w="92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40" w:type="dxa"/>
            <w:vAlign w:val="bottom"/>
          </w:tcPr>
          <w:p>
            <w:pPr>
              <w:spacing w:after="0"/>
              <w:rPr>
                <w:sz w:val="24"/>
                <w:szCs w:val="24"/>
                <w:color w:val="auto"/>
              </w:rPr>
            </w:pPr>
          </w:p>
        </w:tc>
        <w:tc>
          <w:tcPr>
            <w:tcW w:w="5060" w:type="dxa"/>
            <w:vAlign w:val="bottom"/>
          </w:tcPr>
          <w:p>
            <w:pPr>
              <w:ind w:left="80"/>
              <w:spacing w:after="0"/>
              <w:rPr>
                <w:sz w:val="20"/>
                <w:szCs w:val="20"/>
                <w:color w:val="auto"/>
              </w:rPr>
            </w:pPr>
            <w:r>
              <w:rPr>
                <w:rFonts w:ascii="Arial" w:cs="Arial" w:eastAsia="Arial" w:hAnsi="Arial"/>
                <w:sz w:val="18"/>
                <w:szCs w:val="18"/>
                <w:b w:val="1"/>
                <w:bCs w:val="1"/>
                <w:color w:val="auto"/>
              </w:rPr>
              <w:t>Other Information</w:t>
            </w:r>
          </w:p>
        </w:tc>
      </w:tr>
      <w:tr>
        <w:trPr>
          <w:trHeight w:val="324"/>
        </w:trPr>
        <w:tc>
          <w:tcPr>
            <w:tcW w:w="920" w:type="dxa"/>
            <w:vAlign w:val="bottom"/>
          </w:tcPr>
          <w:p>
            <w:pPr>
              <w:ind w:left="460"/>
              <w:spacing w:after="0"/>
              <w:rPr>
                <w:sz w:val="20"/>
                <w:szCs w:val="20"/>
                <w:color w:val="auto"/>
              </w:rPr>
            </w:pPr>
            <w:r>
              <w:rPr>
                <w:rFonts w:ascii="Arial" w:cs="Arial" w:eastAsia="Arial" w:hAnsi="Arial"/>
                <w:sz w:val="18"/>
                <w:szCs w:val="18"/>
                <w:color w:val="auto"/>
                <w:w w:val="91"/>
              </w:rPr>
              <w:t>None.</w:t>
            </w:r>
          </w:p>
        </w:tc>
        <w:tc>
          <w:tcPr>
            <w:tcW w:w="4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581"/>
        </w:trPr>
        <w:tc>
          <w:tcPr>
            <w:tcW w:w="9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40" w:type="dxa"/>
            <w:vAlign w:val="bottom"/>
          </w:tcPr>
          <w:p>
            <w:pPr>
              <w:spacing w:after="0"/>
              <w:rPr>
                <w:sz w:val="24"/>
                <w:szCs w:val="24"/>
                <w:color w:val="auto"/>
              </w:rPr>
            </w:pPr>
          </w:p>
        </w:tc>
        <w:tc>
          <w:tcPr>
            <w:tcW w:w="5060" w:type="dxa"/>
            <w:vAlign w:val="bottom"/>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324"/>
        </w:trPr>
        <w:tc>
          <w:tcPr>
            <w:tcW w:w="6020" w:type="dxa"/>
            <w:vAlign w:val="bottom"/>
            <w:gridSpan w:val="3"/>
          </w:tcPr>
          <w:p>
            <w:pPr>
              <w:ind w:left="460"/>
              <w:spacing w:after="0"/>
              <w:rPr>
                <w:sz w:val="20"/>
                <w:szCs w:val="20"/>
                <w:color w:val="auto"/>
              </w:rPr>
            </w:pPr>
            <w:r>
              <w:rPr>
                <w:rFonts w:ascii="Arial" w:cs="Arial" w:eastAsia="Arial" w:hAnsi="Arial"/>
                <w:sz w:val="18"/>
                <w:szCs w:val="18"/>
                <w:color w:val="auto"/>
              </w:rPr>
              <w:t>(a) Exhibits</w:t>
            </w:r>
          </w:p>
        </w:tc>
      </w:tr>
      <w:tr>
        <w:trPr>
          <w:trHeight w:val="405"/>
        </w:trPr>
        <w:tc>
          <w:tcPr>
            <w:tcW w:w="9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40" w:type="dxa"/>
            <w:vAlign w:val="bottom"/>
          </w:tcPr>
          <w:p>
            <w:pPr>
              <w:spacing w:after="0"/>
              <w:rPr>
                <w:sz w:val="24"/>
                <w:szCs w:val="24"/>
                <w:color w:val="auto"/>
              </w:rPr>
            </w:pPr>
          </w:p>
        </w:tc>
        <w:tc>
          <w:tcPr>
            <w:tcW w:w="5060" w:type="dxa"/>
            <w:vAlign w:val="bottom"/>
            <w:tcBorders>
              <w:bottom w:val="single" w:sz="8" w:color="auto"/>
            </w:tcBorders>
          </w:tcPr>
          <w:p>
            <w:pPr>
              <w:ind w:left="2160"/>
              <w:spacing w:after="0"/>
              <w:rPr>
                <w:sz w:val="20"/>
                <w:szCs w:val="20"/>
                <w:color w:val="auto"/>
              </w:rPr>
            </w:pPr>
            <w:r>
              <w:rPr>
                <w:rFonts w:ascii="Arial" w:cs="Arial" w:eastAsia="Arial" w:hAnsi="Arial"/>
                <w:sz w:val="14"/>
                <w:szCs w:val="14"/>
                <w:b w:val="1"/>
                <w:bCs w:val="1"/>
                <w:color w:val="auto"/>
              </w:rPr>
              <w:t>Description</w:t>
            </w: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3.1</w:t>
            </w:r>
          </w:p>
        </w:tc>
        <w:tc>
          <w:tcPr>
            <w:tcW w:w="5100" w:type="dxa"/>
            <w:vAlign w:val="bottom"/>
            <w:gridSpan w:val="2"/>
          </w:tcPr>
          <w:p>
            <w:pPr>
              <w:ind w:left="40"/>
              <w:spacing w:after="0"/>
              <w:rPr>
                <w:sz w:val="20"/>
                <w:szCs w:val="20"/>
                <w:color w:val="auto"/>
              </w:rPr>
            </w:pPr>
            <w:r>
              <w:rPr>
                <w:rFonts w:ascii="Arial" w:cs="Arial" w:eastAsia="Arial" w:hAnsi="Arial"/>
                <w:sz w:val="18"/>
                <w:szCs w:val="18"/>
                <w:color w:val="auto"/>
              </w:rPr>
              <w:t>Amended and Restated Certificate of Incorporation.</w:t>
            </w:r>
          </w:p>
        </w:tc>
      </w:tr>
      <w:tr>
        <w:trPr>
          <w:trHeight w:val="756"/>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5100" w:type="dxa"/>
            <w:vAlign w:val="bottom"/>
            <w:gridSpan w:val="2"/>
          </w:tcPr>
          <w:p>
            <w:pPr>
              <w:ind w:left="40"/>
              <w:spacing w:after="0"/>
              <w:rPr>
                <w:sz w:val="20"/>
                <w:szCs w:val="20"/>
                <w:color w:val="auto"/>
              </w:rPr>
            </w:pPr>
            <w:r>
              <w:rPr>
                <w:rFonts w:ascii="Arial" w:cs="Arial" w:eastAsia="Arial" w:hAnsi="Arial"/>
                <w:sz w:val="18"/>
                <w:szCs w:val="18"/>
                <w:color w:val="auto"/>
              </w:rPr>
              <w:t>Third Amended and Restated Bylaws.</w:t>
            </w:r>
          </w:p>
        </w:tc>
      </w:tr>
      <w:tr>
        <w:trPr>
          <w:trHeight w:val="540"/>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5100" w:type="dxa"/>
            <w:vAlign w:val="bottom"/>
            <w:gridSpan w:val="2"/>
          </w:tcPr>
          <w:p>
            <w:pPr>
              <w:ind w:left="40"/>
              <w:spacing w:after="0"/>
              <w:rPr>
                <w:sz w:val="20"/>
                <w:szCs w:val="20"/>
                <w:color w:val="auto"/>
              </w:rPr>
            </w:pPr>
            <w:r>
              <w:rPr>
                <w:rFonts w:ascii="Arial" w:cs="Arial" w:eastAsia="Arial" w:hAnsi="Arial"/>
                <w:sz w:val="18"/>
                <w:szCs w:val="18"/>
                <w:color w:val="auto"/>
              </w:rPr>
              <w:t>Specimen of Stock Certificate.</w:t>
            </w:r>
          </w:p>
        </w:tc>
      </w:tr>
      <w:tr>
        <w:trPr>
          <w:trHeight w:val="742"/>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5100" w:type="dxa"/>
            <w:vAlign w:val="bottom"/>
            <w:gridSpan w:val="2"/>
          </w:tcPr>
          <w:p>
            <w:pPr>
              <w:ind w:left="40"/>
              <w:spacing w:after="0"/>
              <w:rPr>
                <w:sz w:val="20"/>
                <w:szCs w:val="20"/>
                <w:color w:val="auto"/>
              </w:rPr>
            </w:pPr>
            <w:r>
              <w:rPr>
                <w:rFonts w:ascii="Arial" w:cs="Arial" w:eastAsia="Arial" w:hAnsi="Arial"/>
                <w:sz w:val="18"/>
                <w:szCs w:val="18"/>
                <w:color w:val="auto"/>
                <w:w w:val="97"/>
              </w:rPr>
              <w:t>Certification of Principal Executive Officer pursuant to Rules 13a-</w:t>
            </w:r>
          </w:p>
        </w:tc>
      </w:tr>
      <w:tr>
        <w:trPr>
          <w:trHeight w:val="216"/>
        </w:trPr>
        <w:tc>
          <w:tcPr>
            <w:tcW w:w="920" w:type="dxa"/>
            <w:vAlign w:val="bottom"/>
          </w:tcPr>
          <w:p>
            <w:pPr>
              <w:spacing w:after="0"/>
              <w:rPr>
                <w:sz w:val="18"/>
                <w:szCs w:val="18"/>
                <w:color w:val="auto"/>
              </w:rPr>
            </w:pPr>
          </w:p>
        </w:tc>
        <w:tc>
          <w:tcPr>
            <w:tcW w:w="5100" w:type="dxa"/>
            <w:vAlign w:val="bottom"/>
            <w:gridSpan w:val="2"/>
          </w:tcPr>
          <w:p>
            <w:pPr>
              <w:ind w:left="40"/>
              <w:spacing w:after="0"/>
              <w:rPr>
                <w:sz w:val="20"/>
                <w:szCs w:val="20"/>
                <w:color w:val="auto"/>
              </w:rPr>
            </w:pPr>
            <w:r>
              <w:rPr>
                <w:rFonts w:ascii="Arial" w:cs="Arial" w:eastAsia="Arial" w:hAnsi="Arial"/>
                <w:sz w:val="18"/>
                <w:szCs w:val="18"/>
                <w:color w:val="auto"/>
                <w:w w:val="99"/>
              </w:rPr>
              <w:t>14(a) and 15d-14(a), as adopted pursuant to Section 302 of the</w:t>
            </w:r>
          </w:p>
        </w:tc>
      </w:tr>
      <w:tr>
        <w:trPr>
          <w:trHeight w:val="230"/>
        </w:trPr>
        <w:tc>
          <w:tcPr>
            <w:tcW w:w="920" w:type="dxa"/>
            <w:vAlign w:val="bottom"/>
          </w:tcPr>
          <w:p>
            <w:pPr>
              <w:spacing w:after="0"/>
              <w:rPr>
                <w:sz w:val="20"/>
                <w:szCs w:val="20"/>
                <w:color w:val="auto"/>
              </w:rPr>
            </w:pPr>
          </w:p>
        </w:tc>
        <w:tc>
          <w:tcPr>
            <w:tcW w:w="5100" w:type="dxa"/>
            <w:vAlign w:val="bottom"/>
            <w:gridSpan w:val="2"/>
          </w:tcPr>
          <w:p>
            <w:pPr>
              <w:ind w:left="40"/>
              <w:spacing w:after="0"/>
              <w:rPr>
                <w:sz w:val="20"/>
                <w:szCs w:val="20"/>
                <w:color w:val="auto"/>
              </w:rPr>
            </w:pPr>
            <w:r>
              <w:rPr>
                <w:rFonts w:ascii="Arial" w:cs="Arial" w:eastAsia="Arial" w:hAnsi="Arial"/>
                <w:sz w:val="18"/>
                <w:szCs w:val="18"/>
                <w:color w:val="auto"/>
              </w:rPr>
              <w:t>Sarbanes-Oxley Act of 2002.</w:t>
            </w:r>
          </w:p>
        </w:tc>
      </w:tr>
      <w:tr>
        <w:trPr>
          <w:trHeight w:val="310"/>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5100" w:type="dxa"/>
            <w:vAlign w:val="bottom"/>
            <w:gridSpan w:val="2"/>
          </w:tcPr>
          <w:p>
            <w:pPr>
              <w:ind w:left="40"/>
              <w:spacing w:after="0"/>
              <w:rPr>
                <w:sz w:val="20"/>
                <w:szCs w:val="20"/>
                <w:color w:val="auto"/>
              </w:rPr>
            </w:pPr>
            <w:r>
              <w:rPr>
                <w:rFonts w:ascii="Arial" w:cs="Arial" w:eastAsia="Arial" w:hAnsi="Arial"/>
                <w:sz w:val="18"/>
                <w:szCs w:val="18"/>
                <w:color w:val="auto"/>
                <w:w w:val="98"/>
              </w:rPr>
              <w:t>Certification of Principal Financial Officer pursuant to Rules 13a-</w:t>
            </w:r>
          </w:p>
        </w:tc>
      </w:tr>
      <w:tr>
        <w:trPr>
          <w:trHeight w:val="216"/>
        </w:trPr>
        <w:tc>
          <w:tcPr>
            <w:tcW w:w="920" w:type="dxa"/>
            <w:vAlign w:val="bottom"/>
          </w:tcPr>
          <w:p>
            <w:pPr>
              <w:spacing w:after="0"/>
              <w:rPr>
                <w:sz w:val="18"/>
                <w:szCs w:val="18"/>
                <w:color w:val="auto"/>
              </w:rPr>
            </w:pPr>
          </w:p>
        </w:tc>
        <w:tc>
          <w:tcPr>
            <w:tcW w:w="5100" w:type="dxa"/>
            <w:vAlign w:val="bottom"/>
            <w:gridSpan w:val="2"/>
          </w:tcPr>
          <w:p>
            <w:pPr>
              <w:ind w:left="40"/>
              <w:spacing w:after="0"/>
              <w:rPr>
                <w:sz w:val="20"/>
                <w:szCs w:val="20"/>
                <w:color w:val="auto"/>
              </w:rPr>
            </w:pPr>
            <w:r>
              <w:rPr>
                <w:rFonts w:ascii="Arial" w:cs="Arial" w:eastAsia="Arial" w:hAnsi="Arial"/>
                <w:sz w:val="18"/>
                <w:szCs w:val="18"/>
                <w:color w:val="auto"/>
                <w:w w:val="99"/>
              </w:rPr>
              <w:t>14(a) and 15d-14(a), as adopted pursuant to Section 302 of the</w:t>
            </w:r>
          </w:p>
        </w:tc>
      </w:tr>
      <w:tr>
        <w:trPr>
          <w:trHeight w:val="230"/>
        </w:trPr>
        <w:tc>
          <w:tcPr>
            <w:tcW w:w="920" w:type="dxa"/>
            <w:vAlign w:val="bottom"/>
          </w:tcPr>
          <w:p>
            <w:pPr>
              <w:spacing w:after="0"/>
              <w:rPr>
                <w:sz w:val="20"/>
                <w:szCs w:val="20"/>
                <w:color w:val="auto"/>
              </w:rPr>
            </w:pPr>
          </w:p>
        </w:tc>
        <w:tc>
          <w:tcPr>
            <w:tcW w:w="5100" w:type="dxa"/>
            <w:vAlign w:val="bottom"/>
            <w:gridSpan w:val="2"/>
          </w:tcPr>
          <w:p>
            <w:pPr>
              <w:ind w:left="40"/>
              <w:spacing w:after="0"/>
              <w:rPr>
                <w:sz w:val="20"/>
                <w:szCs w:val="20"/>
                <w:color w:val="auto"/>
              </w:rPr>
            </w:pPr>
            <w:r>
              <w:rPr>
                <w:rFonts w:ascii="Arial" w:cs="Arial" w:eastAsia="Arial" w:hAnsi="Arial"/>
                <w:sz w:val="18"/>
                <w:szCs w:val="18"/>
                <w:color w:val="auto"/>
              </w:rPr>
              <w:t>Sarbanes-Oxley Act of 2002.</w:t>
            </w:r>
          </w:p>
        </w:tc>
      </w:tr>
      <w:tr>
        <w:trPr>
          <w:trHeight w:val="310"/>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5100" w:type="dxa"/>
            <w:vAlign w:val="bottom"/>
            <w:gridSpan w:val="2"/>
          </w:tcPr>
          <w:p>
            <w:pPr>
              <w:ind w:left="40"/>
              <w:spacing w:after="0"/>
              <w:rPr>
                <w:sz w:val="20"/>
                <w:szCs w:val="20"/>
                <w:color w:val="auto"/>
              </w:rPr>
            </w:pPr>
            <w:r>
              <w:rPr>
                <w:rFonts w:ascii="Arial" w:cs="Arial" w:eastAsia="Arial" w:hAnsi="Arial"/>
                <w:sz w:val="18"/>
                <w:szCs w:val="18"/>
                <w:color w:val="auto"/>
                <w:w w:val="99"/>
              </w:rPr>
              <w:t>Certification of Principal Executive Officer pursuant to 18 U.S.C.</w:t>
            </w:r>
          </w:p>
        </w:tc>
      </w:tr>
      <w:tr>
        <w:trPr>
          <w:trHeight w:val="216"/>
        </w:trPr>
        <w:tc>
          <w:tcPr>
            <w:tcW w:w="920" w:type="dxa"/>
            <w:vAlign w:val="bottom"/>
          </w:tcPr>
          <w:p>
            <w:pPr>
              <w:spacing w:after="0"/>
              <w:rPr>
                <w:sz w:val="18"/>
                <w:szCs w:val="18"/>
                <w:color w:val="auto"/>
              </w:rPr>
            </w:pPr>
          </w:p>
        </w:tc>
        <w:tc>
          <w:tcPr>
            <w:tcW w:w="5100" w:type="dxa"/>
            <w:vAlign w:val="bottom"/>
            <w:gridSpan w:val="2"/>
          </w:tcPr>
          <w:p>
            <w:pPr>
              <w:ind w:left="40"/>
              <w:spacing w:after="0"/>
              <w:rPr>
                <w:sz w:val="20"/>
                <w:szCs w:val="20"/>
                <w:color w:val="auto"/>
              </w:rPr>
            </w:pPr>
            <w:r>
              <w:rPr>
                <w:rFonts w:ascii="Arial" w:cs="Arial" w:eastAsia="Arial" w:hAnsi="Arial"/>
                <w:sz w:val="18"/>
                <w:szCs w:val="18"/>
                <w:color w:val="auto"/>
                <w:w w:val="93"/>
              </w:rPr>
              <w:t>Section 1350, as adopted pursuant to Section 906 of the Sarbanes-</w:t>
            </w:r>
          </w:p>
        </w:tc>
      </w:tr>
      <w:tr>
        <w:trPr>
          <w:trHeight w:val="230"/>
        </w:trPr>
        <w:tc>
          <w:tcPr>
            <w:tcW w:w="920" w:type="dxa"/>
            <w:vAlign w:val="bottom"/>
          </w:tcPr>
          <w:p>
            <w:pPr>
              <w:spacing w:after="0"/>
              <w:rPr>
                <w:sz w:val="20"/>
                <w:szCs w:val="20"/>
                <w:color w:val="auto"/>
              </w:rPr>
            </w:pPr>
          </w:p>
        </w:tc>
        <w:tc>
          <w:tcPr>
            <w:tcW w:w="5100" w:type="dxa"/>
            <w:vAlign w:val="bottom"/>
            <w:gridSpan w:val="2"/>
          </w:tcPr>
          <w:p>
            <w:pPr>
              <w:ind w:left="40"/>
              <w:spacing w:after="0"/>
              <w:rPr>
                <w:sz w:val="20"/>
                <w:szCs w:val="20"/>
                <w:color w:val="auto"/>
              </w:rPr>
            </w:pPr>
            <w:r>
              <w:rPr>
                <w:rFonts w:ascii="Arial" w:cs="Arial" w:eastAsia="Arial" w:hAnsi="Arial"/>
                <w:sz w:val="18"/>
                <w:szCs w:val="18"/>
                <w:color w:val="auto"/>
              </w:rPr>
              <w:t>Oxley Act of 2002. ††</w:t>
            </w:r>
          </w:p>
        </w:tc>
      </w:tr>
      <w:tr>
        <w:trPr>
          <w:trHeight w:val="310"/>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5100" w:type="dxa"/>
            <w:vAlign w:val="bottom"/>
            <w:gridSpan w:val="2"/>
          </w:tcPr>
          <w:p>
            <w:pPr>
              <w:ind w:left="40"/>
              <w:spacing w:after="0"/>
              <w:rPr>
                <w:sz w:val="20"/>
                <w:szCs w:val="20"/>
                <w:color w:val="auto"/>
              </w:rPr>
            </w:pPr>
            <w:r>
              <w:rPr>
                <w:rFonts w:ascii="Arial" w:cs="Arial" w:eastAsia="Arial" w:hAnsi="Arial"/>
                <w:sz w:val="18"/>
                <w:szCs w:val="18"/>
                <w:color w:val="auto"/>
              </w:rPr>
              <w:t>Certification of Principal Financial Officer pursuant to 18 U.S.C.</w:t>
            </w:r>
          </w:p>
        </w:tc>
      </w:tr>
      <w:tr>
        <w:trPr>
          <w:trHeight w:val="216"/>
        </w:trPr>
        <w:tc>
          <w:tcPr>
            <w:tcW w:w="920" w:type="dxa"/>
            <w:vAlign w:val="bottom"/>
          </w:tcPr>
          <w:p>
            <w:pPr>
              <w:spacing w:after="0"/>
              <w:rPr>
                <w:sz w:val="18"/>
                <w:szCs w:val="18"/>
                <w:color w:val="auto"/>
              </w:rPr>
            </w:pPr>
          </w:p>
        </w:tc>
        <w:tc>
          <w:tcPr>
            <w:tcW w:w="5100" w:type="dxa"/>
            <w:vAlign w:val="bottom"/>
            <w:gridSpan w:val="2"/>
          </w:tcPr>
          <w:p>
            <w:pPr>
              <w:ind w:left="40"/>
              <w:spacing w:after="0"/>
              <w:rPr>
                <w:sz w:val="20"/>
                <w:szCs w:val="20"/>
                <w:color w:val="auto"/>
              </w:rPr>
            </w:pPr>
            <w:r>
              <w:rPr>
                <w:rFonts w:ascii="Arial" w:cs="Arial" w:eastAsia="Arial" w:hAnsi="Arial"/>
                <w:sz w:val="18"/>
                <w:szCs w:val="18"/>
                <w:color w:val="auto"/>
                <w:w w:val="93"/>
              </w:rPr>
              <w:t>Section 1350, as adopted pursuant to Section 906 of the Sarbanes-</w:t>
            </w:r>
          </w:p>
        </w:tc>
      </w:tr>
      <w:tr>
        <w:trPr>
          <w:trHeight w:val="230"/>
        </w:trPr>
        <w:tc>
          <w:tcPr>
            <w:tcW w:w="920" w:type="dxa"/>
            <w:vAlign w:val="bottom"/>
          </w:tcPr>
          <w:p>
            <w:pPr>
              <w:spacing w:after="0"/>
              <w:rPr>
                <w:sz w:val="20"/>
                <w:szCs w:val="20"/>
                <w:color w:val="auto"/>
              </w:rPr>
            </w:pPr>
          </w:p>
        </w:tc>
        <w:tc>
          <w:tcPr>
            <w:tcW w:w="5100" w:type="dxa"/>
            <w:vAlign w:val="bottom"/>
            <w:gridSpan w:val="2"/>
          </w:tcPr>
          <w:p>
            <w:pPr>
              <w:ind w:left="40"/>
              <w:spacing w:after="0"/>
              <w:rPr>
                <w:sz w:val="20"/>
                <w:szCs w:val="20"/>
                <w:color w:val="auto"/>
              </w:rPr>
            </w:pPr>
            <w:r>
              <w:rPr>
                <w:rFonts w:ascii="Arial" w:cs="Arial" w:eastAsia="Arial" w:hAnsi="Arial"/>
                <w:sz w:val="18"/>
                <w:szCs w:val="18"/>
                <w:color w:val="auto"/>
              </w:rPr>
              <w:t>Oxley Act of 2002. ††</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32156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3.1 to Amendment No. 6 to the University’s Registration Statement on Form S-1 filed with the SEC on November 12, 2008.</w:t>
      </w:r>
    </w:p>
    <w:p>
      <w:pPr>
        <w:spacing w:after="0" w:line="73"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Incorporated by reference to Exhibit 3.1 to the University’s Current Report on Form 8-K filed with the SEC on October 29, 2014.</w:t>
      </w:r>
    </w:p>
    <w:p>
      <w:pPr>
        <w:spacing w:after="0" w:line="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4.1 to Amendment No. 2 to the University’s Registration Statement on Form S-1 filed with the SEC on September 29, 2008.</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655" w:lineRule="exact"/>
        <w:rPr>
          <w:sz w:val="20"/>
          <w:szCs w:val="20"/>
          <w:color w:val="auto"/>
        </w:rPr>
      </w:pPr>
    </w:p>
    <w:p>
      <w:pPr>
        <w:sectPr>
          <w:pgSz w:w="11900" w:h="16838" w:orient="portrait"/>
          <w:cols w:equalWidth="0" w:num="2">
            <w:col w:w="6020" w:space="340"/>
            <w:col w:w="4900"/>
          </w:cols>
          <w:pgMar w:left="240" w:top="459" w:right="399" w:bottom="1440" w:gutter="0" w:footer="0" w:header="0"/>
        </w:sectPr>
      </w:pPr>
    </w:p>
    <w:p>
      <w:pPr>
        <w:spacing w:after="0" w:line="29" w:lineRule="exact"/>
        <w:rPr>
          <w:sz w:val="20"/>
          <w:szCs w:val="20"/>
          <w:color w:val="auto"/>
        </w:rPr>
      </w:pPr>
    </w:p>
    <w:p>
      <w:pPr>
        <w:ind w:left="460" w:right="260" w:hanging="452"/>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60"/>
          </w:cols>
          <w:pgMar w:left="240" w:top="459" w:right="39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GRAND CANYON EDUCATION, INC.</w:t>
      </w:r>
    </w:p>
    <w:p>
      <w:pPr>
        <w:spacing w:after="0" w:line="229" w:lineRule="exact"/>
        <w:rPr>
          <w:sz w:val="20"/>
          <w:szCs w:val="20"/>
          <w:color w:val="auto"/>
        </w:rPr>
      </w:pPr>
    </w:p>
    <w:p>
      <w:pPr>
        <w:spacing w:after="0"/>
        <w:tabs>
          <w:tab w:leader="none" w:pos="6080" w:val="left"/>
          <w:tab w:leader="none" w:pos="6500" w:val="left"/>
        </w:tabs>
        <w:rPr>
          <w:sz w:val="20"/>
          <w:szCs w:val="20"/>
          <w:color w:val="auto"/>
        </w:rPr>
      </w:pPr>
      <w:r>
        <w:rPr>
          <w:rFonts w:ascii="Arial" w:cs="Arial" w:eastAsia="Arial" w:hAnsi="Arial"/>
          <w:sz w:val="18"/>
          <w:szCs w:val="18"/>
          <w:color w:val="auto"/>
        </w:rPr>
        <w:t>Date: April 29,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14605</wp:posOffset>
            </wp:positionV>
            <wp:extent cx="31127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(Principal Financial Officer and Principal Accounting Officer)</w:t>
      </w:r>
    </w:p>
    <w:p>
      <w:pPr>
        <w:spacing w:after="0" w:line="15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740"/>
          </w:cols>
          <w:pgMar w:left="240" w:top="459" w:right="9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EXHIBIT INDEX</w:t>
      </w:r>
    </w:p>
    <w:p>
      <w:pPr>
        <w:sectPr>
          <w:pgSz w:w="11900" w:h="16838" w:orient="portrait"/>
          <w:cols w:equalWidth="0" w:num="1">
            <w:col w:w="11260"/>
          </w:cols>
          <w:pgMar w:left="240" w:top="459" w:right="399" w:bottom="1440" w:gutter="0" w:footer="0" w:header="0"/>
        </w:sect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6"/>
                <w:szCs w:val="16"/>
                <w:color w:val="auto"/>
              </w:rPr>
            </w:pPr>
          </w:p>
        </w:tc>
        <w:tc>
          <w:tcPr>
            <w:tcW w:w="5060" w:type="dxa"/>
            <w:vAlign w:val="bottom"/>
            <w:tcBorders>
              <w:bottom w:val="single" w:sz="8" w:color="auto"/>
            </w:tcBorders>
          </w:tcPr>
          <w:p>
            <w:pPr>
              <w:ind w:left="2160"/>
              <w:spacing w:after="0"/>
              <w:rPr>
                <w:sz w:val="20"/>
                <w:szCs w:val="20"/>
                <w:color w:val="auto"/>
              </w:rPr>
            </w:pPr>
            <w:r>
              <w:rPr>
                <w:rFonts w:ascii="Arial" w:cs="Arial" w:eastAsia="Arial" w:hAnsi="Arial"/>
                <w:sz w:val="14"/>
                <w:szCs w:val="14"/>
                <w:b w:val="1"/>
                <w:bCs w:val="1"/>
                <w:color w:val="auto"/>
              </w:rPr>
              <w:t>Description</w:t>
            </w: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3.1</w:t>
            </w:r>
          </w:p>
        </w:tc>
        <w:tc>
          <w:tcPr>
            <w:tcW w:w="5280" w:type="dxa"/>
            <w:vAlign w:val="bottom"/>
            <w:gridSpan w:val="2"/>
          </w:tcPr>
          <w:p>
            <w:pPr>
              <w:ind w:left="220"/>
              <w:spacing w:after="0"/>
              <w:rPr>
                <w:sz w:val="20"/>
                <w:szCs w:val="20"/>
                <w:color w:val="auto"/>
              </w:rPr>
            </w:pPr>
            <w:r>
              <w:rPr>
                <w:rFonts w:ascii="Arial" w:cs="Arial" w:eastAsia="Arial" w:hAnsi="Arial"/>
                <w:sz w:val="18"/>
                <w:szCs w:val="18"/>
                <w:color w:val="auto"/>
              </w:rPr>
              <w:t>Amended and Restated Certificate of Incorporation.</w:t>
            </w:r>
          </w:p>
        </w:tc>
      </w:tr>
      <w:tr>
        <w:trPr>
          <w:trHeight w:val="756"/>
        </w:trPr>
        <w:tc>
          <w:tcPr>
            <w:tcW w:w="740" w:type="dxa"/>
            <w:vAlign w:val="bottom"/>
          </w:tcPr>
          <w:p>
            <w:pPr>
              <w:spacing w:after="0"/>
              <w:rPr>
                <w:sz w:val="20"/>
                <w:szCs w:val="20"/>
                <w:color w:val="auto"/>
              </w:rPr>
            </w:pPr>
            <w:r>
              <w:rPr>
                <w:rFonts w:ascii="Arial" w:cs="Arial" w:eastAsia="Arial" w:hAnsi="Arial"/>
                <w:sz w:val="18"/>
                <w:szCs w:val="18"/>
                <w:color w:val="auto"/>
              </w:rPr>
              <w:t>3.2</w:t>
            </w:r>
          </w:p>
        </w:tc>
        <w:tc>
          <w:tcPr>
            <w:tcW w:w="5280" w:type="dxa"/>
            <w:vAlign w:val="bottom"/>
            <w:gridSpan w:val="2"/>
          </w:tcPr>
          <w:p>
            <w:pPr>
              <w:ind w:left="220"/>
              <w:spacing w:after="0"/>
              <w:rPr>
                <w:sz w:val="20"/>
                <w:szCs w:val="20"/>
                <w:color w:val="auto"/>
              </w:rPr>
            </w:pPr>
            <w:r>
              <w:rPr>
                <w:rFonts w:ascii="Arial" w:cs="Arial" w:eastAsia="Arial" w:hAnsi="Arial"/>
                <w:sz w:val="18"/>
                <w:szCs w:val="18"/>
                <w:color w:val="auto"/>
              </w:rPr>
              <w:t>Third Amended and Restated Bylaws.</w:t>
            </w:r>
          </w:p>
        </w:tc>
      </w:tr>
      <w:tr>
        <w:trPr>
          <w:trHeight w:val="540"/>
        </w:trPr>
        <w:tc>
          <w:tcPr>
            <w:tcW w:w="740" w:type="dxa"/>
            <w:vAlign w:val="bottom"/>
          </w:tcPr>
          <w:p>
            <w:pPr>
              <w:spacing w:after="0"/>
              <w:rPr>
                <w:sz w:val="20"/>
                <w:szCs w:val="20"/>
                <w:color w:val="auto"/>
              </w:rPr>
            </w:pPr>
            <w:r>
              <w:rPr>
                <w:rFonts w:ascii="Arial" w:cs="Arial" w:eastAsia="Arial" w:hAnsi="Arial"/>
                <w:sz w:val="18"/>
                <w:szCs w:val="18"/>
                <w:color w:val="auto"/>
              </w:rPr>
              <w:t>4.1</w:t>
            </w:r>
          </w:p>
        </w:tc>
        <w:tc>
          <w:tcPr>
            <w:tcW w:w="5280" w:type="dxa"/>
            <w:vAlign w:val="bottom"/>
            <w:gridSpan w:val="2"/>
          </w:tcPr>
          <w:p>
            <w:pPr>
              <w:ind w:left="220"/>
              <w:spacing w:after="0"/>
              <w:rPr>
                <w:sz w:val="20"/>
                <w:szCs w:val="20"/>
                <w:color w:val="auto"/>
              </w:rPr>
            </w:pPr>
            <w:r>
              <w:rPr>
                <w:rFonts w:ascii="Arial" w:cs="Arial" w:eastAsia="Arial" w:hAnsi="Arial"/>
                <w:sz w:val="18"/>
                <w:szCs w:val="18"/>
                <w:color w:val="auto"/>
              </w:rPr>
              <w:t>Specimen of Stock Certificate.</w:t>
            </w:r>
          </w:p>
        </w:tc>
      </w:tr>
      <w:tr>
        <w:trPr>
          <w:trHeight w:val="742"/>
        </w:trPr>
        <w:tc>
          <w:tcPr>
            <w:tcW w:w="740" w:type="dxa"/>
            <w:vAlign w:val="bottom"/>
          </w:tcPr>
          <w:p>
            <w:pPr>
              <w:spacing w:after="0"/>
              <w:rPr>
                <w:sz w:val="20"/>
                <w:szCs w:val="20"/>
                <w:color w:val="auto"/>
              </w:rPr>
            </w:pPr>
            <w:r>
              <w:rPr>
                <w:rFonts w:ascii="Arial" w:cs="Arial" w:eastAsia="Arial" w:hAnsi="Arial"/>
                <w:sz w:val="18"/>
                <w:szCs w:val="18"/>
                <w:color w:val="auto"/>
              </w:rPr>
              <w:t>31.1</w:t>
            </w:r>
          </w:p>
        </w:tc>
        <w:tc>
          <w:tcPr>
            <w:tcW w:w="5280" w:type="dxa"/>
            <w:vAlign w:val="bottom"/>
            <w:gridSpan w:val="2"/>
          </w:tcPr>
          <w:p>
            <w:pPr>
              <w:ind w:left="220"/>
              <w:spacing w:after="0"/>
              <w:rPr>
                <w:sz w:val="20"/>
                <w:szCs w:val="20"/>
                <w:color w:val="auto"/>
              </w:rPr>
            </w:pPr>
            <w:r>
              <w:rPr>
                <w:rFonts w:ascii="Arial" w:cs="Arial" w:eastAsia="Arial" w:hAnsi="Arial"/>
                <w:sz w:val="18"/>
                <w:szCs w:val="18"/>
                <w:color w:val="auto"/>
                <w:w w:val="97"/>
              </w:rPr>
              <w:t>Certification of Principal Executive Officer pursuant to Rules 13a-</w:t>
            </w:r>
          </w:p>
        </w:tc>
      </w:tr>
      <w:tr>
        <w:trPr>
          <w:trHeight w:val="216"/>
        </w:trPr>
        <w:tc>
          <w:tcPr>
            <w:tcW w:w="740" w:type="dxa"/>
            <w:vAlign w:val="bottom"/>
          </w:tcPr>
          <w:p>
            <w:pPr>
              <w:spacing w:after="0"/>
              <w:rPr>
                <w:sz w:val="18"/>
                <w:szCs w:val="18"/>
                <w:color w:val="auto"/>
              </w:rPr>
            </w:pPr>
          </w:p>
        </w:tc>
        <w:tc>
          <w:tcPr>
            <w:tcW w:w="5280" w:type="dxa"/>
            <w:vAlign w:val="bottom"/>
            <w:gridSpan w:val="2"/>
          </w:tcPr>
          <w:p>
            <w:pPr>
              <w:ind w:left="220"/>
              <w:spacing w:after="0"/>
              <w:rPr>
                <w:sz w:val="20"/>
                <w:szCs w:val="20"/>
                <w:color w:val="auto"/>
              </w:rPr>
            </w:pPr>
            <w:r>
              <w:rPr>
                <w:rFonts w:ascii="Arial" w:cs="Arial" w:eastAsia="Arial" w:hAnsi="Arial"/>
                <w:sz w:val="18"/>
                <w:szCs w:val="18"/>
                <w:color w:val="auto"/>
                <w:w w:val="99"/>
              </w:rPr>
              <w:t>14(a) and 15d-14(a), as adopted pursuant to Section 302 of the</w:t>
            </w:r>
          </w:p>
        </w:tc>
      </w:tr>
      <w:tr>
        <w:trPr>
          <w:trHeight w:val="230"/>
        </w:trPr>
        <w:tc>
          <w:tcPr>
            <w:tcW w:w="740" w:type="dxa"/>
            <w:vAlign w:val="bottom"/>
          </w:tcPr>
          <w:p>
            <w:pPr>
              <w:spacing w:after="0"/>
              <w:rPr>
                <w:sz w:val="20"/>
                <w:szCs w:val="20"/>
                <w:color w:val="auto"/>
              </w:rPr>
            </w:pPr>
          </w:p>
        </w:tc>
        <w:tc>
          <w:tcPr>
            <w:tcW w:w="5280" w:type="dxa"/>
            <w:vAlign w:val="bottom"/>
            <w:gridSpan w:val="2"/>
          </w:tcPr>
          <w:p>
            <w:pPr>
              <w:ind w:left="220"/>
              <w:spacing w:after="0"/>
              <w:rPr>
                <w:sz w:val="20"/>
                <w:szCs w:val="20"/>
                <w:color w:val="auto"/>
              </w:rPr>
            </w:pPr>
            <w:r>
              <w:rPr>
                <w:rFonts w:ascii="Arial" w:cs="Arial" w:eastAsia="Arial" w:hAnsi="Arial"/>
                <w:sz w:val="18"/>
                <w:szCs w:val="18"/>
                <w:color w:val="auto"/>
              </w:rPr>
              <w:t>Sarbanes-Oxley Act of 2002.</w:t>
            </w:r>
          </w:p>
        </w:tc>
      </w:tr>
      <w:tr>
        <w:trPr>
          <w:trHeight w:val="310"/>
        </w:trPr>
        <w:tc>
          <w:tcPr>
            <w:tcW w:w="740" w:type="dxa"/>
            <w:vAlign w:val="bottom"/>
          </w:tcPr>
          <w:p>
            <w:pPr>
              <w:spacing w:after="0"/>
              <w:rPr>
                <w:sz w:val="20"/>
                <w:szCs w:val="20"/>
                <w:color w:val="auto"/>
              </w:rPr>
            </w:pPr>
            <w:r>
              <w:rPr>
                <w:rFonts w:ascii="Arial" w:cs="Arial" w:eastAsia="Arial" w:hAnsi="Arial"/>
                <w:sz w:val="18"/>
                <w:szCs w:val="18"/>
                <w:color w:val="auto"/>
              </w:rPr>
              <w:t>31.2</w:t>
            </w:r>
          </w:p>
        </w:tc>
        <w:tc>
          <w:tcPr>
            <w:tcW w:w="5280" w:type="dxa"/>
            <w:vAlign w:val="bottom"/>
            <w:gridSpan w:val="2"/>
          </w:tcPr>
          <w:p>
            <w:pPr>
              <w:ind w:left="220"/>
              <w:spacing w:after="0"/>
              <w:rPr>
                <w:sz w:val="20"/>
                <w:szCs w:val="20"/>
                <w:color w:val="auto"/>
              </w:rPr>
            </w:pPr>
            <w:r>
              <w:rPr>
                <w:rFonts w:ascii="Arial" w:cs="Arial" w:eastAsia="Arial" w:hAnsi="Arial"/>
                <w:sz w:val="18"/>
                <w:szCs w:val="18"/>
                <w:color w:val="auto"/>
                <w:w w:val="98"/>
              </w:rPr>
              <w:t>Certification of Principal Financial Officer pursuant to Rules 13a-</w:t>
            </w:r>
          </w:p>
        </w:tc>
      </w:tr>
      <w:tr>
        <w:trPr>
          <w:trHeight w:val="216"/>
        </w:trPr>
        <w:tc>
          <w:tcPr>
            <w:tcW w:w="740" w:type="dxa"/>
            <w:vAlign w:val="bottom"/>
          </w:tcPr>
          <w:p>
            <w:pPr>
              <w:spacing w:after="0"/>
              <w:rPr>
                <w:sz w:val="18"/>
                <w:szCs w:val="18"/>
                <w:color w:val="auto"/>
              </w:rPr>
            </w:pPr>
          </w:p>
        </w:tc>
        <w:tc>
          <w:tcPr>
            <w:tcW w:w="5280" w:type="dxa"/>
            <w:vAlign w:val="bottom"/>
            <w:gridSpan w:val="2"/>
          </w:tcPr>
          <w:p>
            <w:pPr>
              <w:ind w:left="220"/>
              <w:spacing w:after="0"/>
              <w:rPr>
                <w:sz w:val="20"/>
                <w:szCs w:val="20"/>
                <w:color w:val="auto"/>
              </w:rPr>
            </w:pPr>
            <w:r>
              <w:rPr>
                <w:rFonts w:ascii="Arial" w:cs="Arial" w:eastAsia="Arial" w:hAnsi="Arial"/>
                <w:sz w:val="18"/>
                <w:szCs w:val="18"/>
                <w:color w:val="auto"/>
                <w:w w:val="99"/>
              </w:rPr>
              <w:t>14(a) and 15d-14(a), as adopted pursuant to Section 302 of the</w:t>
            </w:r>
          </w:p>
        </w:tc>
      </w:tr>
      <w:tr>
        <w:trPr>
          <w:trHeight w:val="230"/>
        </w:trPr>
        <w:tc>
          <w:tcPr>
            <w:tcW w:w="740" w:type="dxa"/>
            <w:vAlign w:val="bottom"/>
          </w:tcPr>
          <w:p>
            <w:pPr>
              <w:spacing w:after="0"/>
              <w:rPr>
                <w:sz w:val="20"/>
                <w:szCs w:val="20"/>
                <w:color w:val="auto"/>
              </w:rPr>
            </w:pPr>
          </w:p>
        </w:tc>
        <w:tc>
          <w:tcPr>
            <w:tcW w:w="5280" w:type="dxa"/>
            <w:vAlign w:val="bottom"/>
            <w:gridSpan w:val="2"/>
          </w:tcPr>
          <w:p>
            <w:pPr>
              <w:ind w:left="220"/>
              <w:spacing w:after="0"/>
              <w:rPr>
                <w:sz w:val="20"/>
                <w:szCs w:val="20"/>
                <w:color w:val="auto"/>
              </w:rPr>
            </w:pPr>
            <w:r>
              <w:rPr>
                <w:rFonts w:ascii="Arial" w:cs="Arial" w:eastAsia="Arial" w:hAnsi="Arial"/>
                <w:sz w:val="18"/>
                <w:szCs w:val="18"/>
                <w:color w:val="auto"/>
              </w:rPr>
              <w:t>Sarbanes-Oxley Act of 2002.</w:t>
            </w:r>
          </w:p>
        </w:tc>
      </w:tr>
      <w:tr>
        <w:trPr>
          <w:trHeight w:val="310"/>
        </w:trPr>
        <w:tc>
          <w:tcPr>
            <w:tcW w:w="740" w:type="dxa"/>
            <w:vAlign w:val="bottom"/>
          </w:tcPr>
          <w:p>
            <w:pPr>
              <w:spacing w:after="0"/>
              <w:rPr>
                <w:sz w:val="20"/>
                <w:szCs w:val="20"/>
                <w:color w:val="auto"/>
              </w:rPr>
            </w:pPr>
            <w:r>
              <w:rPr>
                <w:rFonts w:ascii="Arial" w:cs="Arial" w:eastAsia="Arial" w:hAnsi="Arial"/>
                <w:sz w:val="18"/>
                <w:szCs w:val="18"/>
                <w:color w:val="auto"/>
              </w:rPr>
              <w:t>32.1</w:t>
            </w:r>
          </w:p>
        </w:tc>
        <w:tc>
          <w:tcPr>
            <w:tcW w:w="5280" w:type="dxa"/>
            <w:vAlign w:val="bottom"/>
            <w:gridSpan w:val="2"/>
          </w:tcPr>
          <w:p>
            <w:pPr>
              <w:ind w:left="220"/>
              <w:spacing w:after="0"/>
              <w:rPr>
                <w:sz w:val="20"/>
                <w:szCs w:val="20"/>
                <w:color w:val="auto"/>
              </w:rPr>
            </w:pPr>
            <w:r>
              <w:rPr>
                <w:rFonts w:ascii="Arial" w:cs="Arial" w:eastAsia="Arial" w:hAnsi="Arial"/>
                <w:sz w:val="18"/>
                <w:szCs w:val="18"/>
                <w:color w:val="auto"/>
                <w:w w:val="99"/>
              </w:rPr>
              <w:t>Certification of Principal Executive Officer pursuant to 18 U.S.C.</w:t>
            </w:r>
          </w:p>
        </w:tc>
      </w:tr>
      <w:tr>
        <w:trPr>
          <w:trHeight w:val="216"/>
        </w:trPr>
        <w:tc>
          <w:tcPr>
            <w:tcW w:w="740" w:type="dxa"/>
            <w:vAlign w:val="bottom"/>
          </w:tcPr>
          <w:p>
            <w:pPr>
              <w:spacing w:after="0"/>
              <w:rPr>
                <w:sz w:val="18"/>
                <w:szCs w:val="18"/>
                <w:color w:val="auto"/>
              </w:rPr>
            </w:pPr>
          </w:p>
        </w:tc>
        <w:tc>
          <w:tcPr>
            <w:tcW w:w="5280" w:type="dxa"/>
            <w:vAlign w:val="bottom"/>
            <w:gridSpan w:val="2"/>
          </w:tcPr>
          <w:p>
            <w:pPr>
              <w:ind w:left="220"/>
              <w:spacing w:after="0"/>
              <w:rPr>
                <w:sz w:val="20"/>
                <w:szCs w:val="20"/>
                <w:color w:val="auto"/>
              </w:rPr>
            </w:pPr>
            <w:r>
              <w:rPr>
                <w:rFonts w:ascii="Arial" w:cs="Arial" w:eastAsia="Arial" w:hAnsi="Arial"/>
                <w:sz w:val="18"/>
                <w:szCs w:val="18"/>
                <w:color w:val="auto"/>
                <w:w w:val="93"/>
              </w:rPr>
              <w:t>Section 1350, as adopted pursuant to Section 906 of the Sarbanes-</w:t>
            </w:r>
          </w:p>
        </w:tc>
      </w:tr>
      <w:tr>
        <w:trPr>
          <w:trHeight w:val="230"/>
        </w:trPr>
        <w:tc>
          <w:tcPr>
            <w:tcW w:w="740" w:type="dxa"/>
            <w:vAlign w:val="bottom"/>
          </w:tcPr>
          <w:p>
            <w:pPr>
              <w:spacing w:after="0"/>
              <w:rPr>
                <w:sz w:val="20"/>
                <w:szCs w:val="20"/>
                <w:color w:val="auto"/>
              </w:rPr>
            </w:pPr>
          </w:p>
        </w:tc>
        <w:tc>
          <w:tcPr>
            <w:tcW w:w="5280" w:type="dxa"/>
            <w:vAlign w:val="bottom"/>
            <w:gridSpan w:val="2"/>
          </w:tcPr>
          <w:p>
            <w:pPr>
              <w:ind w:left="220"/>
              <w:spacing w:after="0"/>
              <w:rPr>
                <w:sz w:val="20"/>
                <w:szCs w:val="20"/>
                <w:color w:val="auto"/>
              </w:rPr>
            </w:pPr>
            <w:r>
              <w:rPr>
                <w:rFonts w:ascii="Arial" w:cs="Arial" w:eastAsia="Arial" w:hAnsi="Arial"/>
                <w:sz w:val="18"/>
                <w:szCs w:val="18"/>
                <w:color w:val="auto"/>
              </w:rPr>
              <w:t>Oxley Act of 2002. ††</w:t>
            </w:r>
          </w:p>
        </w:tc>
      </w:tr>
      <w:tr>
        <w:trPr>
          <w:trHeight w:val="310"/>
        </w:trPr>
        <w:tc>
          <w:tcPr>
            <w:tcW w:w="740" w:type="dxa"/>
            <w:vAlign w:val="bottom"/>
          </w:tcPr>
          <w:p>
            <w:pPr>
              <w:spacing w:after="0"/>
              <w:rPr>
                <w:sz w:val="20"/>
                <w:szCs w:val="20"/>
                <w:color w:val="auto"/>
              </w:rPr>
            </w:pPr>
            <w:r>
              <w:rPr>
                <w:rFonts w:ascii="Arial" w:cs="Arial" w:eastAsia="Arial" w:hAnsi="Arial"/>
                <w:sz w:val="18"/>
                <w:szCs w:val="18"/>
                <w:color w:val="auto"/>
              </w:rPr>
              <w:t>32.2</w:t>
            </w:r>
          </w:p>
        </w:tc>
        <w:tc>
          <w:tcPr>
            <w:tcW w:w="5280" w:type="dxa"/>
            <w:vAlign w:val="bottom"/>
            <w:gridSpan w:val="2"/>
          </w:tcPr>
          <w:p>
            <w:pPr>
              <w:ind w:left="220"/>
              <w:spacing w:after="0"/>
              <w:rPr>
                <w:sz w:val="20"/>
                <w:szCs w:val="20"/>
                <w:color w:val="auto"/>
              </w:rPr>
            </w:pPr>
            <w:r>
              <w:rPr>
                <w:rFonts w:ascii="Arial" w:cs="Arial" w:eastAsia="Arial" w:hAnsi="Arial"/>
                <w:sz w:val="18"/>
                <w:szCs w:val="18"/>
                <w:color w:val="auto"/>
              </w:rPr>
              <w:t>Certification of Principal Financial Officer pursuant to 18 U.S.C.</w:t>
            </w:r>
          </w:p>
        </w:tc>
      </w:tr>
      <w:tr>
        <w:trPr>
          <w:trHeight w:val="216"/>
        </w:trPr>
        <w:tc>
          <w:tcPr>
            <w:tcW w:w="740" w:type="dxa"/>
            <w:vAlign w:val="bottom"/>
          </w:tcPr>
          <w:p>
            <w:pPr>
              <w:spacing w:after="0"/>
              <w:rPr>
                <w:sz w:val="18"/>
                <w:szCs w:val="18"/>
                <w:color w:val="auto"/>
              </w:rPr>
            </w:pPr>
          </w:p>
        </w:tc>
        <w:tc>
          <w:tcPr>
            <w:tcW w:w="5280" w:type="dxa"/>
            <w:vAlign w:val="bottom"/>
            <w:gridSpan w:val="2"/>
          </w:tcPr>
          <w:p>
            <w:pPr>
              <w:ind w:left="220"/>
              <w:spacing w:after="0"/>
              <w:rPr>
                <w:sz w:val="20"/>
                <w:szCs w:val="20"/>
                <w:color w:val="auto"/>
              </w:rPr>
            </w:pPr>
            <w:r>
              <w:rPr>
                <w:rFonts w:ascii="Arial" w:cs="Arial" w:eastAsia="Arial" w:hAnsi="Arial"/>
                <w:sz w:val="18"/>
                <w:szCs w:val="18"/>
                <w:color w:val="auto"/>
                <w:w w:val="93"/>
              </w:rPr>
              <w:t>Section 1350, as adopted pursuant to Section 906 of the Sarbanes-</w:t>
            </w:r>
          </w:p>
        </w:tc>
      </w:tr>
      <w:tr>
        <w:trPr>
          <w:trHeight w:val="230"/>
        </w:trPr>
        <w:tc>
          <w:tcPr>
            <w:tcW w:w="740" w:type="dxa"/>
            <w:vAlign w:val="bottom"/>
          </w:tcPr>
          <w:p>
            <w:pPr>
              <w:spacing w:after="0"/>
              <w:rPr>
                <w:sz w:val="20"/>
                <w:szCs w:val="20"/>
                <w:color w:val="auto"/>
              </w:rPr>
            </w:pPr>
          </w:p>
        </w:tc>
        <w:tc>
          <w:tcPr>
            <w:tcW w:w="5280" w:type="dxa"/>
            <w:vAlign w:val="bottom"/>
            <w:gridSpan w:val="2"/>
          </w:tcPr>
          <w:p>
            <w:pPr>
              <w:ind w:left="220"/>
              <w:spacing w:after="0"/>
              <w:rPr>
                <w:sz w:val="20"/>
                <w:szCs w:val="20"/>
                <w:color w:val="auto"/>
              </w:rPr>
            </w:pPr>
            <w:r>
              <w:rPr>
                <w:rFonts w:ascii="Arial" w:cs="Arial" w:eastAsia="Arial" w:hAnsi="Arial"/>
                <w:sz w:val="18"/>
                <w:szCs w:val="18"/>
                <w:color w:val="auto"/>
              </w:rPr>
              <w:t>Oxley Act of 2002. ††</w:t>
            </w:r>
          </w:p>
        </w:tc>
      </w:tr>
    </w:tbl>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32156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3.1 to Amendment No. 6 to the University’s Registration Statement on Form S-1 filed with the SEC on November 12, 2008.</w:t>
      </w:r>
    </w:p>
    <w:p>
      <w:pPr>
        <w:spacing w:after="0" w:line="73"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Incorporated by reference to Exhibit 3.1 to the University’s Current Report on Form 8-K filed with the SEC on October 29, 2014.</w:t>
      </w:r>
    </w:p>
    <w:p>
      <w:pPr>
        <w:spacing w:after="0" w:line="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4.1 to Amendment No. 2 to the University’s Registration Statement on Form S-1 filed with the SEC on September 29, 2008.</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655" w:lineRule="exact"/>
        <w:rPr>
          <w:sz w:val="20"/>
          <w:szCs w:val="20"/>
          <w:color w:val="auto"/>
        </w:rPr>
      </w:pPr>
    </w:p>
    <w:p>
      <w:pPr>
        <w:sectPr>
          <w:pgSz w:w="11900" w:h="16838" w:orient="portrait"/>
          <w:cols w:equalWidth="0" w:num="2">
            <w:col w:w="6020" w:space="340"/>
            <w:col w:w="4900"/>
          </w:cols>
          <w:pgMar w:left="240" w:top="459" w:right="399" w:bottom="1440" w:gutter="0" w:footer="0" w:header="0"/>
          <w:type w:val="continuous"/>
        </w:sectPr>
      </w:pPr>
    </w:p>
    <w:p>
      <w:pPr>
        <w:spacing w:after="0" w:line="29" w:lineRule="exact"/>
        <w:rPr>
          <w:sz w:val="20"/>
          <w:szCs w:val="20"/>
          <w:color w:val="auto"/>
        </w:rPr>
      </w:pPr>
    </w:p>
    <w:p>
      <w:pPr>
        <w:ind w:left="460" w:right="260" w:hanging="452"/>
        <w:spacing w:after="0" w:line="26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60"/>
          </w:cols>
          <w:pgMar w:left="240" w:top="459" w:right="399" w:bottom="1440" w:gutter="0" w:footer="0" w:header="0"/>
          <w:type w:val="continuous"/>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E. Mueller, certify that:</w:t>
      </w:r>
    </w:p>
    <w:p>
      <w:pPr>
        <w:spacing w:after="0" w:line="117" w:lineRule="exact"/>
        <w:rPr>
          <w:sz w:val="20"/>
          <w:szCs w:val="20"/>
          <w:color w:val="auto"/>
        </w:rPr>
      </w:pPr>
    </w:p>
    <w:p>
      <w:pPr>
        <w:ind w:left="640" w:hanging="17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ending March 31, 2015 of Grand Canyon Education, Inc.;</w:t>
      </w:r>
    </w:p>
    <w:p>
      <w:pPr>
        <w:spacing w:after="0" w:line="117"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60" w:firstLine="464"/>
        <w:spacing w:after="0" w:line="264" w:lineRule="auto"/>
        <w:tabs>
          <w:tab w:leader="none" w:pos="63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100" w:firstLine="921"/>
        <w:spacing w:after="0" w:line="264" w:lineRule="auto"/>
        <w:tabs>
          <w:tab w:leader="none" w:pos="1098"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921"/>
        <w:spacing w:after="0" w:line="264" w:lineRule="auto"/>
        <w:tabs>
          <w:tab w:leader="none" w:pos="1108"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620" w:firstLine="921"/>
        <w:spacing w:after="0" w:line="342" w:lineRule="auto"/>
        <w:tabs>
          <w:tab w:leader="none" w:pos="1098"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80" w:firstLine="921"/>
        <w:spacing w:after="0" w:line="264" w:lineRule="auto"/>
        <w:tabs>
          <w:tab w:leader="none" w:pos="1108"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firstLine="464"/>
        <w:spacing w:after="0" w:line="308" w:lineRule="auto"/>
        <w:tabs>
          <w:tab w:leader="none" w:pos="636"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firstLine="921"/>
        <w:spacing w:after="0" w:line="277" w:lineRule="auto"/>
        <w:tabs>
          <w:tab w:leader="none" w:pos="1098"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520" w:firstLine="921"/>
        <w:spacing w:after="0" w:line="277" w:lineRule="auto"/>
        <w:tabs>
          <w:tab w:leader="none" w:pos="1098"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April 29, 2015</w:t>
      </w:r>
      <w:r>
        <w:rPr>
          <w:sz w:val="20"/>
          <w:szCs w:val="20"/>
          <w:color w:val="auto"/>
        </w:rPr>
        <w:tab/>
      </w:r>
      <w:r>
        <w:rPr>
          <w:rFonts w:ascii="Arial" w:cs="Arial" w:eastAsia="Arial" w:hAnsi="Arial"/>
          <w:sz w:val="16"/>
          <w:szCs w:val="16"/>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E. Bachus, certify that:</w:t>
      </w:r>
    </w:p>
    <w:p>
      <w:pPr>
        <w:spacing w:after="0" w:line="117" w:lineRule="exact"/>
        <w:rPr>
          <w:sz w:val="20"/>
          <w:szCs w:val="20"/>
          <w:color w:val="auto"/>
        </w:rPr>
      </w:pPr>
    </w:p>
    <w:p>
      <w:pPr>
        <w:ind w:left="640" w:hanging="17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ending March 31, 2015 of Grand Canyon Education, Inc.;</w:t>
      </w:r>
    </w:p>
    <w:p>
      <w:pPr>
        <w:spacing w:after="0" w:line="117"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60" w:firstLine="464"/>
        <w:spacing w:after="0" w:line="264" w:lineRule="auto"/>
        <w:tabs>
          <w:tab w:leader="none" w:pos="63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100" w:firstLine="921"/>
        <w:spacing w:after="0" w:line="264" w:lineRule="auto"/>
        <w:tabs>
          <w:tab w:leader="none" w:pos="109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921"/>
        <w:spacing w:after="0" w:line="264" w:lineRule="auto"/>
        <w:tabs>
          <w:tab w:leader="none" w:pos="110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620" w:firstLine="921"/>
        <w:spacing w:after="0" w:line="342" w:lineRule="auto"/>
        <w:tabs>
          <w:tab w:leader="none" w:pos="1098"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80" w:firstLine="921"/>
        <w:spacing w:after="0" w:line="264" w:lineRule="auto"/>
        <w:tabs>
          <w:tab w:leader="none" w:pos="110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firstLine="464"/>
        <w:spacing w:after="0" w:line="308" w:lineRule="auto"/>
        <w:tabs>
          <w:tab w:leader="none" w:pos="636"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firstLine="921"/>
        <w:spacing w:after="0" w:line="277" w:lineRule="auto"/>
        <w:tabs>
          <w:tab w:leader="none" w:pos="1098"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520" w:firstLine="921"/>
        <w:spacing w:after="0" w:line="277" w:lineRule="auto"/>
        <w:tabs>
          <w:tab w:leader="none" w:pos="1098"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April 29, 2015</w:t>
      </w:r>
      <w:r>
        <w:rPr>
          <w:sz w:val="20"/>
          <w:szCs w:val="20"/>
          <w:color w:val="auto"/>
        </w:rPr>
        <w:tab/>
      </w:r>
      <w:r>
        <w:rPr>
          <w:rFonts w:ascii="Arial" w:cs="Arial" w:eastAsia="Arial" w:hAnsi="Arial"/>
          <w:sz w:val="16"/>
          <w:szCs w:val="16"/>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In connection with the Quarterly Report on Form 10-Q of Grand Canyon Education, Inc. (the “University”) for the quarter ended March 31, 2015 as filed with the Securities and Exchange Commission on the date hereof (the “Report”), I, Brian E. Mueller, Chief Executive Officer, of the University, certify, pursuant to 18 U.S.C. Section 1350, as adopted pursuant to Section 906 of the Sarbanes-Oxley Act of 2002, that to the best of my knowledge:</w:t>
      </w:r>
    </w:p>
    <w:p>
      <w:pPr>
        <w:spacing w:after="0" w:line="71" w:lineRule="exact"/>
        <w:rPr>
          <w:sz w:val="20"/>
          <w:szCs w:val="20"/>
          <w:color w:val="auto"/>
        </w:rPr>
      </w:pPr>
    </w:p>
    <w:p>
      <w:pPr>
        <w:ind w:left="460" w:right="20" w:hanging="452"/>
        <w:spacing w:after="0" w:line="27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(15 U.S.C. 78m or 78o); and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University.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(Principal Executive Officer)</w:t>
      </w:r>
    </w:p>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In connection with the Quarterly Report on Form 10Q of Grand Canyon Education, Inc. (the “University”) for the quarter ended March 31, 2015 as filed with the Securities and Exchange Commission on the date hereof (the “Report”), I, Daniel E. Bachus, Chief Financial Officer, of the University, certify, pursuant to 18 U.S.C. Section 1350, as adopted pursuant to Section 906 of the Sarbanes-Oxley Act of 2002, that to the best of my knowledge:</w:t>
      </w:r>
    </w:p>
    <w:p>
      <w:pPr>
        <w:spacing w:after="0" w:line="71" w:lineRule="exact"/>
        <w:rPr>
          <w:sz w:val="20"/>
          <w:szCs w:val="20"/>
          <w:color w:val="auto"/>
        </w:rPr>
      </w:pPr>
    </w:p>
    <w:p>
      <w:pPr>
        <w:ind w:left="460" w:right="20" w:hanging="452"/>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(15 U.S.C. 78m or 78o); and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University.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845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(Principal Financial and Principal Accounting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2019-12-29T17:55:37Z</dcterms:created>
  <dcterms:modified xsi:type="dcterms:W3CDTF">2019-12-29T17:55:37Z</dcterms:modified>
</cp:coreProperties>
</file>