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61747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7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71"/>
        <w:spacing w:after="0"/>
        <w:rPr>
          <w:sz w:val="20"/>
          <w:szCs w:val="20"/>
          <w:color w:val="auto"/>
        </w:rPr>
      </w:pPr>
      <w:r>
        <w:rPr>
          <w:rFonts w:ascii="Arial" w:cs="Arial" w:eastAsia="Arial" w:hAnsi="Arial"/>
          <w:sz w:val="32"/>
          <w:szCs w:val="32"/>
          <w:b w:val="1"/>
          <w:bCs w:val="1"/>
          <w:color w:val="auto"/>
        </w:rPr>
        <w:t>SCHEDULE 13D</w:t>
      </w:r>
    </w:p>
    <w:p>
      <w:pPr>
        <w:spacing w:after="0" w:line="335"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(Amendment No. 3)*</w:t>
      </w:r>
    </w:p>
    <w:p>
      <w:pPr>
        <w:spacing w:after="0" w:line="259" w:lineRule="exact"/>
        <w:rPr>
          <w:sz w:val="24"/>
          <w:szCs w:val="24"/>
          <w:color w:val="auto"/>
        </w:rPr>
      </w:pPr>
    </w:p>
    <w:p>
      <w:pPr>
        <w:jc w:val="center"/>
        <w:ind w:right="171"/>
        <w:spacing w:after="0"/>
        <w:rPr>
          <w:sz w:val="20"/>
          <w:szCs w:val="20"/>
          <w:color w:val="auto"/>
        </w:rPr>
      </w:pPr>
      <w:r>
        <w:rPr>
          <w:rFonts w:ascii="Arial" w:cs="Arial" w:eastAsia="Arial" w:hAnsi="Arial"/>
          <w:sz w:val="43"/>
          <w:szCs w:val="43"/>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2"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Common Stock, $0.01 per value</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72"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38526M 106</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85"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Christopher C. Richardson</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3300 West Camelback Road</w:t>
      </w:r>
    </w:p>
    <w:p>
      <w:pPr>
        <w:spacing w:after="0" w:line="9"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Phoenix, Arizona 85017</w:t>
      </w:r>
    </w:p>
    <w:p>
      <w:pPr>
        <w:spacing w:after="0" w:line="9"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602-639-7500</w:t>
      </w:r>
    </w:p>
    <w:p>
      <w:pPr>
        <w:spacing w:after="0" w:line="9"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Receive Notices and Communications)</w:t>
      </w:r>
    </w:p>
    <w:p>
      <w:pPr>
        <w:spacing w:after="0" w:line="278"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September 18, 2009</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4" w:lineRule="exact"/>
        <w:rPr>
          <w:sz w:val="24"/>
          <w:szCs w:val="24"/>
          <w:color w:val="auto"/>
        </w:rPr>
      </w:pPr>
    </w:p>
    <w:p>
      <w:pPr>
        <w:ind w:left="8" w:right="259"/>
        <w:spacing w:after="0" w:line="308" w:lineRule="auto"/>
        <w:rPr>
          <w:sz w:val="20"/>
          <w:szCs w:val="20"/>
          <w:color w:val="auto"/>
        </w:rPr>
      </w:pPr>
      <w:r>
        <w:rPr>
          <w:rFonts w:ascii="Arial" w:cs="Arial" w:eastAsia="Arial" w:hAnsi="Arial"/>
          <w:sz w:val="17"/>
          <w:szCs w:val="17"/>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16"/>
          <w:szCs w:val="16"/>
          <w:color w:val="auto"/>
        </w:rPr>
        <w:t>o</w:t>
      </w:r>
    </w:p>
    <w:p>
      <w:pPr>
        <w:spacing w:after="0" w:line="116" w:lineRule="exact"/>
        <w:rPr>
          <w:sz w:val="24"/>
          <w:szCs w:val="24"/>
          <w:color w:val="auto"/>
        </w:rPr>
      </w:pPr>
    </w:p>
    <w:p>
      <w:pPr>
        <w:ind w:left="8" w:right="339"/>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w:t>
      </w:r>
      <w:r>
        <w:rPr>
          <w:rFonts w:ascii="Arial" w:cs="Arial" w:eastAsia="Arial" w:hAnsi="Arial"/>
          <w:sz w:val="18"/>
          <w:szCs w:val="18"/>
          <w:b w:val="1"/>
          <w:bCs w:val="1"/>
          <w:color w:val="auto"/>
        </w:rPr>
        <w:t xml:space="preserve"> </w:t>
      </w:r>
      <w:r>
        <w:rPr>
          <w:rFonts w:ascii="Arial" w:cs="Arial" w:eastAsia="Arial" w:hAnsi="Arial"/>
          <w:sz w:val="18"/>
          <w:szCs w:val="18"/>
          <w:color w:val="auto"/>
        </w:rPr>
        <w:t>13d-7 for other parties to whom copies are to be sent.</w:t>
      </w:r>
    </w:p>
    <w:p>
      <w:pPr>
        <w:spacing w:after="0" w:line="125" w:lineRule="exact"/>
        <w:rPr>
          <w:sz w:val="24"/>
          <w:szCs w:val="24"/>
          <w:color w:val="auto"/>
        </w:rPr>
      </w:pPr>
    </w:p>
    <w:p>
      <w:pPr>
        <w:jc w:val="both"/>
        <w:ind w:left="8" w:right="199" w:hanging="8"/>
        <w:spacing w:after="0" w:line="342" w:lineRule="auto"/>
        <w:tabs>
          <w:tab w:leader="none" w:pos="14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3" w:lineRule="exact"/>
        <w:rPr>
          <w:sz w:val="24"/>
          <w:szCs w:val="24"/>
          <w:color w:val="auto"/>
        </w:rPr>
      </w:pPr>
    </w:p>
    <w:p>
      <w:pPr>
        <w:ind w:left="8" w:right="199"/>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17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61747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293370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3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38526M 106</w:t>
            </w: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Brent D. Richardson</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PF</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5</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6</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United States</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2,686,504 (See Item 5)</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2,686,504 (See Item 5)</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2,686,504 (See Item 5)</w:t>
            </w: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820" w:right="1419" w:hanging="4808"/>
        <w:spacing w:after="0" w:line="496" w:lineRule="auto"/>
        <w:tabs>
          <w:tab w:leader="none" w:pos="138"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38526M 106</w:t>
            </w: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Christopher C. Richardson</w:t>
            </w:r>
          </w:p>
        </w:tc>
        <w:tc>
          <w:tcPr>
            <w:tcW w:w="0" w:type="dxa"/>
            <w:vAlign w:val="bottom"/>
          </w:tcPr>
          <w:p>
            <w:pPr>
              <w:spacing w:after="0"/>
              <w:rPr>
                <w:sz w:val="1"/>
                <w:szCs w:val="1"/>
                <w:color w:val="auto"/>
              </w:rPr>
            </w:pPr>
          </w:p>
        </w:tc>
      </w:tr>
      <w:tr>
        <w:trPr>
          <w:trHeight w:val="256"/>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7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PF</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5</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6</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United States</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2,637,370 (See Item 5)</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2"/>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2,637,370 (See Item 5)</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2,637,370 (See Item 5)</w:t>
            </w: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820" w:right="1419" w:hanging="4808"/>
        <w:spacing w:after="0" w:line="496" w:lineRule="auto"/>
        <w:tabs>
          <w:tab w:leader="none" w:pos="138"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right="199" w:firstLine="389"/>
        <w:spacing w:after="0" w:line="273" w:lineRule="auto"/>
        <w:rPr>
          <w:sz w:val="20"/>
          <w:szCs w:val="20"/>
          <w:color w:val="auto"/>
        </w:rPr>
      </w:pPr>
      <w:r>
        <w:rPr>
          <w:rFonts w:ascii="Arial" w:cs="Arial" w:eastAsia="Arial" w:hAnsi="Arial"/>
          <w:sz w:val="17"/>
          <w:szCs w:val="17"/>
          <w:color w:val="auto"/>
        </w:rPr>
        <w:t>In connection with the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shares of common stock of Grand Canyon Education, Inc. (“</w:t>
      </w:r>
      <w:r>
        <w:rPr>
          <w:rFonts w:ascii="Arial" w:cs="Arial" w:eastAsia="Arial" w:hAnsi="Arial"/>
          <w:sz w:val="17"/>
          <w:szCs w:val="17"/>
          <w:b w:val="1"/>
          <w:bCs w:val="1"/>
          <w:i w:val="1"/>
          <w:iCs w:val="1"/>
          <w:color w:val="auto"/>
        </w:rPr>
        <w:t>Grand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Canyon</w:t>
      </w:r>
      <w:r>
        <w:rPr>
          <w:rFonts w:ascii="Arial" w:cs="Arial" w:eastAsia="Arial" w:hAnsi="Arial"/>
          <w:sz w:val="17"/>
          <w:szCs w:val="17"/>
          <w:color w:val="auto"/>
        </w:rPr>
        <w:t>”), certain of Grand Canyon’s stockholders entered into a proxy and voting agreement (the “</w:t>
      </w:r>
      <w:r>
        <w:rPr>
          <w:rFonts w:ascii="Arial" w:cs="Arial" w:eastAsia="Arial" w:hAnsi="Arial"/>
          <w:sz w:val="17"/>
          <w:szCs w:val="17"/>
          <w:b w:val="1"/>
          <w:bCs w:val="1"/>
          <w:i w:val="1"/>
          <w:iCs w:val="1"/>
          <w:color w:val="auto"/>
        </w:rPr>
        <w:t>Initial Voting Agreement</w:t>
      </w:r>
      <w:r>
        <w:rPr>
          <w:rFonts w:ascii="Arial" w:cs="Arial" w:eastAsia="Arial" w:hAnsi="Arial"/>
          <w:sz w:val="17"/>
          <w:szCs w:val="17"/>
          <w:color w:val="auto"/>
        </w:rPr>
        <w: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became effective on November 25, 2008, the closing of the IPO, pursuant to which such holders granted to Brent D. Richardson, Grand Canyon’s Executive Chairman, and Christopher C. Richardson, Grand Canyon’s General Counsel and director (collectively, the “</w:t>
      </w:r>
      <w:r>
        <w:rPr>
          <w:rFonts w:ascii="Arial" w:cs="Arial" w:eastAsia="Arial" w:hAnsi="Arial"/>
          <w:sz w:val="17"/>
          <w:szCs w:val="17"/>
          <w:b w:val="1"/>
          <w:bCs w:val="1"/>
          <w:i w:val="1"/>
          <w:iCs w:val="1"/>
          <w:color w:val="auto"/>
        </w:rPr>
        <w:t>Richardson Voting Group</w:t>
      </w:r>
      <w:r>
        <w:rPr>
          <w:rFonts w:ascii="Arial" w:cs="Arial" w:eastAsia="Arial" w:hAnsi="Arial"/>
          <w:sz w:val="17"/>
          <w:szCs w:val="17"/>
          <w:color w:val="auto"/>
        </w:rPr>
        <w:t>”), a five-year irrevocable proxy to exercise voting authority with respect to certain shares of common stock held by such holders, for so long as such shares are held by such holders.</w:t>
      </w:r>
    </w:p>
    <w:p>
      <w:pPr>
        <w:spacing w:after="0" w:line="138" w:lineRule="exact"/>
        <w:rPr>
          <w:sz w:val="20"/>
          <w:szCs w:val="20"/>
          <w:color w:val="auto"/>
        </w:rPr>
      </w:pPr>
    </w:p>
    <w:p>
      <w:pPr>
        <w:ind w:right="159" w:firstLine="389"/>
        <w:spacing w:after="0" w:line="276" w:lineRule="auto"/>
        <w:rPr>
          <w:sz w:val="20"/>
          <w:szCs w:val="20"/>
          <w:color w:val="auto"/>
        </w:rPr>
      </w:pPr>
      <w:r>
        <w:rPr>
          <w:rFonts w:ascii="Arial" w:cs="Arial" w:eastAsia="Arial" w:hAnsi="Arial"/>
          <w:sz w:val="17"/>
          <w:szCs w:val="17"/>
          <w:color w:val="auto"/>
        </w:rPr>
        <w:t>On September 14, 2009, Endeavour Capital Fund IV, L.P., Endeavour Associates Fund IV, L.P., and Endeavour Capital Parallel Fund IV, L.P. (collectively, the “</w:t>
      </w:r>
      <w:r>
        <w:rPr>
          <w:rFonts w:ascii="Arial" w:cs="Arial" w:eastAsia="Arial" w:hAnsi="Arial"/>
          <w:sz w:val="17"/>
          <w:szCs w:val="17"/>
          <w:b w:val="1"/>
          <w:bCs w:val="1"/>
          <w:i w:val="1"/>
          <w:iCs w:val="1"/>
          <w:color w:val="auto"/>
        </w:rPr>
        <w:t>Endeavour Entities</w:t>
      </w:r>
      <w:r>
        <w:rPr>
          <w:rFonts w:ascii="Arial" w:cs="Arial" w:eastAsia="Arial" w:hAnsi="Arial"/>
          <w:sz w:val="17"/>
          <w:szCs w:val="17"/>
          <w:color w:val="auto"/>
        </w:rPr>
        <w:t>”) entered into a proxy and voting agreement (the “</w:t>
      </w:r>
      <w:r>
        <w:rPr>
          <w:rFonts w:ascii="Arial" w:cs="Arial" w:eastAsia="Arial" w:hAnsi="Arial"/>
          <w:sz w:val="17"/>
          <w:szCs w:val="17"/>
          <w:b w:val="1"/>
          <w:bCs w:val="1"/>
          <w:i w:val="1"/>
          <w:iCs w:val="1"/>
          <w:color w:val="auto"/>
        </w:rPr>
        <w:t>Endeavour Voting Agreement</w:t>
      </w:r>
      <w:r>
        <w:rPr>
          <w:rFonts w:ascii="Arial" w:cs="Arial" w:eastAsia="Arial" w:hAnsi="Arial"/>
          <w:sz w:val="17"/>
          <w:szCs w:val="17"/>
          <w:color w:val="auto"/>
        </w:rPr>
        <w:t>” and together with the Initial Voting Agreement, the “</w:t>
      </w:r>
      <w:r>
        <w:rPr>
          <w:rFonts w:ascii="Arial" w:cs="Arial" w:eastAsia="Arial" w:hAnsi="Arial"/>
          <w:sz w:val="17"/>
          <w:szCs w:val="17"/>
          <w:b w:val="1"/>
          <w:bCs w:val="1"/>
          <w:i w:val="1"/>
          <w:iCs w:val="1"/>
          <w:color w:val="auto"/>
        </w:rPr>
        <w:t>Voting Agreements</w:t>
      </w:r>
      <w:r>
        <w:rPr>
          <w:rFonts w:ascii="Arial" w:cs="Arial" w:eastAsia="Arial" w:hAnsi="Arial"/>
          <w:sz w:val="17"/>
          <w:szCs w:val="17"/>
          <w:color w:val="auto"/>
        </w:rPr>
        <w:t>”) pursuant to which such entities granted to the Richardson Voting Group a similar five-year irrevocable proxy to exercise voting authority with respect to certain shares of common stock held by such entities, for so long as such shares are held by such entities.</w:t>
      </w:r>
    </w:p>
    <w:p>
      <w:pPr>
        <w:spacing w:after="0" w:line="132" w:lineRule="exact"/>
        <w:rPr>
          <w:sz w:val="20"/>
          <w:szCs w:val="20"/>
          <w:color w:val="auto"/>
        </w:rPr>
      </w:pPr>
    </w:p>
    <w:p>
      <w:pPr>
        <w:ind w:right="179" w:firstLine="389"/>
        <w:spacing w:after="0" w:line="285" w:lineRule="auto"/>
        <w:rPr>
          <w:sz w:val="20"/>
          <w:szCs w:val="20"/>
          <w:color w:val="auto"/>
        </w:rPr>
      </w:pPr>
      <w:r>
        <w:rPr>
          <w:rFonts w:ascii="Arial" w:cs="Arial" w:eastAsia="Arial" w:hAnsi="Arial"/>
          <w:sz w:val="16"/>
          <w:szCs w:val="16"/>
          <w:color w:val="auto"/>
        </w:rPr>
        <w:t>This Amendment No. 3 to Schedule 13D (the “</w:t>
      </w:r>
      <w:r>
        <w:rPr>
          <w:rFonts w:ascii="Arial" w:cs="Arial" w:eastAsia="Arial" w:hAnsi="Arial"/>
          <w:sz w:val="16"/>
          <w:szCs w:val="16"/>
          <w:b w:val="1"/>
          <w:bCs w:val="1"/>
          <w:i w:val="1"/>
          <w:iCs w:val="1"/>
          <w:color w:val="auto"/>
        </w:rPr>
        <w:t>Amended Schedule 13D</w:t>
      </w:r>
      <w:r>
        <w:rPr>
          <w:rFonts w:ascii="Arial" w:cs="Arial" w:eastAsia="Arial" w:hAnsi="Arial"/>
          <w:sz w:val="16"/>
          <w:szCs w:val="16"/>
          <w:color w:val="auto"/>
        </w:rPr>
        <w:t>”) is being filed to reflect the termination of the Endeavour Voting Agreement and the Richardson Voting Group’s waiver of all rights under the Initial Voting Agreement, with the effect that the Voting Agreements are no longer in effect and that the Richardson Voting Group no longer has voting authority over any shares of other persons that had been subject to the Voting Agreements. This Amended Schedule 13D amends the Schedule 13D filed on December 5, 2008 (the “</w:t>
      </w:r>
      <w:r>
        <w:rPr>
          <w:rFonts w:ascii="Arial" w:cs="Arial" w:eastAsia="Arial" w:hAnsi="Arial"/>
          <w:sz w:val="16"/>
          <w:szCs w:val="16"/>
          <w:b w:val="1"/>
          <w:bCs w:val="1"/>
          <w:i w:val="1"/>
          <w:iCs w:val="1"/>
          <w:color w:val="auto"/>
        </w:rPr>
        <w:t>Original Schedule 13D</w:t>
      </w:r>
      <w:r>
        <w:rPr>
          <w:rFonts w:ascii="Arial" w:cs="Arial" w:eastAsia="Arial" w:hAnsi="Arial"/>
          <w:sz w:val="16"/>
          <w:szCs w:val="16"/>
          <w:color w:val="auto"/>
        </w:rPr>
        <w:t>”), Amendment No. 1 to Schedule 13D filed on June 9, 2009 (“</w:t>
      </w:r>
      <w:r>
        <w:rPr>
          <w:rFonts w:ascii="Arial" w:cs="Arial" w:eastAsia="Arial" w:hAnsi="Arial"/>
          <w:sz w:val="16"/>
          <w:szCs w:val="16"/>
          <w:b w:val="1"/>
          <w:bCs w:val="1"/>
          <w:i w:val="1"/>
          <w:iCs w:val="1"/>
          <w:color w:val="auto"/>
        </w:rPr>
        <w:t>Amendment</w:t>
      </w:r>
    </w:p>
    <w:p>
      <w:pPr>
        <w:spacing w:after="0" w:line="2" w:lineRule="exact"/>
        <w:rPr>
          <w:sz w:val="20"/>
          <w:szCs w:val="20"/>
          <w:color w:val="auto"/>
        </w:rPr>
      </w:pPr>
    </w:p>
    <w:p>
      <w:pPr>
        <w:ind w:right="239"/>
        <w:spacing w:after="0" w:line="261" w:lineRule="auto"/>
        <w:rPr>
          <w:sz w:val="20"/>
          <w:szCs w:val="20"/>
          <w:color w:val="auto"/>
        </w:rPr>
      </w:pPr>
      <w:r>
        <w:rPr>
          <w:rFonts w:ascii="Arial" w:cs="Arial" w:eastAsia="Arial" w:hAnsi="Arial"/>
          <w:sz w:val="18"/>
          <w:szCs w:val="18"/>
          <w:b w:val="1"/>
          <w:bCs w:val="1"/>
          <w:i w:val="1"/>
          <w:iCs w:val="1"/>
          <w:color w:val="auto"/>
        </w:rPr>
        <w:t>No. 1</w:t>
      </w:r>
      <w:r>
        <w:rPr>
          <w:rFonts w:ascii="Arial" w:cs="Arial" w:eastAsia="Arial" w:hAnsi="Arial"/>
          <w:sz w:val="18"/>
          <w:szCs w:val="18"/>
          <w:color w:val="auto"/>
        </w:rPr>
        <w:t>”), and Amendment No. 2 to Schedule 13D filed on September 23, 2009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and Item 5 of the Schedule 13D,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amended, is amended and supplemented as set forth below.</w:t>
      </w:r>
    </w:p>
    <w:p>
      <w:pPr>
        <w:spacing w:after="0" w:line="15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89" w:lineRule="exact"/>
        <w:rPr>
          <w:sz w:val="20"/>
          <w:szCs w:val="20"/>
          <w:color w:val="auto"/>
        </w:rPr>
      </w:pPr>
    </w:p>
    <w:p>
      <w:pPr>
        <w:ind w:right="319" w:firstLine="389"/>
        <w:spacing w:after="0" w:line="277" w:lineRule="auto"/>
        <w:rPr>
          <w:sz w:val="20"/>
          <w:szCs w:val="20"/>
          <w:color w:val="auto"/>
        </w:rPr>
      </w:pPr>
      <w:r>
        <w:rPr>
          <w:rFonts w:ascii="Arial" w:cs="Arial" w:eastAsia="Arial" w:hAnsi="Arial"/>
          <w:sz w:val="18"/>
          <w:szCs w:val="18"/>
          <w:color w:val="auto"/>
        </w:rPr>
        <w:t>(a, b) The total for Brent D. Richardson consists of 2,686,504 shares of common stock held of record by Exeter Capital, LLC, a limited liability company of which Brent D. Richardson is the manager.</w:t>
      </w:r>
    </w:p>
    <w:p>
      <w:pPr>
        <w:spacing w:after="0" w:line="130" w:lineRule="exact"/>
        <w:rPr>
          <w:sz w:val="20"/>
          <w:szCs w:val="20"/>
          <w:color w:val="auto"/>
        </w:rPr>
      </w:pPr>
    </w:p>
    <w:p>
      <w:pPr>
        <w:ind w:right="519" w:firstLine="778"/>
        <w:spacing w:after="0" w:line="277" w:lineRule="auto"/>
        <w:rPr>
          <w:sz w:val="20"/>
          <w:szCs w:val="20"/>
          <w:color w:val="auto"/>
        </w:rPr>
      </w:pPr>
      <w:r>
        <w:rPr>
          <w:rFonts w:ascii="Arial" w:cs="Arial" w:eastAsia="Arial" w:hAnsi="Arial"/>
          <w:sz w:val="18"/>
          <w:szCs w:val="18"/>
          <w:color w:val="auto"/>
        </w:rPr>
        <w:t>The total for Christopher C. Richardson consists of 2,637,370 shares of common stock held of record by Calle Camelia Investments, LLC, a limited liability company of which Christopher C. Richardson is a manager.</w:t>
      </w:r>
    </w:p>
    <w:p>
      <w:pPr>
        <w:spacing w:after="0" w:line="143" w:lineRule="exact"/>
        <w:rPr>
          <w:sz w:val="20"/>
          <w:szCs w:val="20"/>
          <w:color w:val="auto"/>
        </w:rPr>
      </w:pPr>
    </w:p>
    <w:p>
      <w:pPr>
        <w:ind w:right="279" w:firstLine="381"/>
        <w:spacing w:after="0" w:line="259"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3, 2011, Brent D. Richardson sold 39,206 shares of common stock at a weighted average price of $19.93 per share. On January 4, 2011, Brent D. Richardson sold 35,794 shares of common stock at a weighted average price of $19.88 per share. Such shares were sold in open market transactions pursuant to the requirements of Rule 144 under the Securities Act of 1933, as amended, and were reported on a Form 4 filed on January 5, 2011.</w:t>
      </w:r>
    </w:p>
    <w:p>
      <w:pPr>
        <w:spacing w:after="0" w:line="146" w:lineRule="exact"/>
        <w:rPr>
          <w:sz w:val="20"/>
          <w:szCs w:val="20"/>
          <w:color w:val="auto"/>
        </w:rPr>
      </w:pPr>
    </w:p>
    <w:p>
      <w:pPr>
        <w:ind w:right="259" w:firstLine="778"/>
        <w:spacing w:after="0" w:line="279" w:lineRule="auto"/>
        <w:rPr>
          <w:sz w:val="20"/>
          <w:szCs w:val="20"/>
          <w:color w:val="auto"/>
        </w:rPr>
      </w:pPr>
      <w:r>
        <w:rPr>
          <w:rFonts w:ascii="Arial" w:cs="Arial" w:eastAsia="Arial" w:hAnsi="Arial"/>
          <w:sz w:val="17"/>
          <w:szCs w:val="17"/>
          <w:color w:val="auto"/>
        </w:rPr>
        <w:t>On January 3, 2011, Christopher C. Richardson sold 38,692 shares of common stock at a weighted average price of $19.93 per share. On January 4, 2011, Christopher C. Richardson sold 86,308 shares of common stock at a weighted average price of $19.88 per share. Such shares were sold in open market transactions pursuant to the requirements of Rule 144 under the Securities Act of 1933, as amended, and were reported on a Form 4 filed on January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621665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Signature</w:t>
      </w:r>
    </w:p>
    <w:p>
      <w:pPr>
        <w:spacing w:after="0" w:line="198" w:lineRule="exact"/>
        <w:rPr>
          <w:sz w:val="20"/>
          <w:szCs w:val="20"/>
          <w:color w:val="auto"/>
        </w:rPr>
      </w:pPr>
    </w:p>
    <w:p>
      <w:pPr>
        <w:ind w:right="419" w:firstLine="38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January 21, 2011</w:t>
      </w:r>
    </w:p>
    <w:p>
      <w:pPr>
        <w:spacing w:after="0" w:line="225"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Pr>
          <w:p>
            <w:pPr>
              <w:spacing w:after="0"/>
              <w:rPr>
                <w:sz w:val="20"/>
                <w:szCs w:val="20"/>
                <w:color w:val="auto"/>
              </w:rPr>
            </w:pPr>
            <w:r>
              <w:rPr>
                <w:rFonts w:ascii="Arial" w:cs="Arial" w:eastAsia="Arial" w:hAnsi="Arial"/>
                <w:sz w:val="18"/>
                <w:szCs w:val="18"/>
                <w:color w:val="auto"/>
              </w:rPr>
              <w:t>Brent D. Richardson</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tcPr>
          <w:p>
            <w:pPr>
              <w:spacing w:after="0"/>
              <w:rPr>
                <w:sz w:val="20"/>
                <w:szCs w:val="20"/>
                <w:color w:val="auto"/>
              </w:rPr>
            </w:pPr>
            <w:r>
              <w:rPr>
                <w:rFonts w:ascii="Arial" w:cs="Arial" w:eastAsia="Arial" w:hAnsi="Arial"/>
                <w:sz w:val="18"/>
                <w:szCs w:val="18"/>
                <w:color w:val="auto"/>
              </w:rPr>
              <w:t>Christopher C. Richardson</w:t>
            </w:r>
          </w:p>
        </w:tc>
      </w:tr>
    </w:tbl>
    <w:p>
      <w:pPr>
        <w:spacing w:after="0" w:line="1" w:lineRule="exact"/>
        <w:rPr>
          <w:sz w:val="20"/>
          <w:szCs w:val="20"/>
          <w:color w:val="auto"/>
        </w:rPr>
      </w:pP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2019-12-11T06:31:22Z</dcterms:created>
  <dcterms:modified xsi:type="dcterms:W3CDTF">2019-12-11T06:31:22Z</dcterms:modified>
</cp:coreProperties>
</file>