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39" w:lineRule="exact"/>
        <w:rPr>
          <w:sz w:val="24"/>
          <w:szCs w:val="24"/>
          <w:color w:val="auto"/>
        </w:rPr>
      </w:pPr>
    </w:p>
    <w:p>
      <w:pPr>
        <w:ind w:left="460" w:right="420" w:hanging="452"/>
        <w:spacing w:after="0" w:line="371" w:lineRule="auto"/>
        <w:tabs>
          <w:tab w:leader="none" w:pos="44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2" w:lineRule="exact"/>
        <w:rPr>
          <w:sz w:val="24"/>
          <w:szCs w:val="24"/>
          <w:color w:val="auto"/>
        </w:rPr>
      </w:pPr>
    </w:p>
    <w:p>
      <w:pPr>
        <w:ind w:left="460"/>
        <w:spacing w:after="0"/>
        <w:tabs>
          <w:tab w:leader="none" w:pos="4440" w:val="left"/>
          <w:tab w:leader="none" w:pos="5960" w:val="left"/>
        </w:tabs>
        <w:rPr>
          <w:sz w:val="20"/>
          <w:szCs w:val="20"/>
          <w:color w:val="auto"/>
        </w:rPr>
      </w:pPr>
      <w:r>
        <w:rPr>
          <w:rFonts w:ascii="Arial" w:cs="Arial" w:eastAsia="Arial" w:hAnsi="Arial"/>
          <w:sz w:val="22"/>
          <w:szCs w:val="22"/>
          <w:b w:val="1"/>
          <w:bCs w:val="1"/>
          <w:color w:val="auto"/>
        </w:rPr>
        <w:t>For the transition period from [</w:t>
      </w:r>
      <w:r>
        <w:rPr>
          <w:sz w:val="20"/>
          <w:szCs w:val="20"/>
          <w:color w:val="auto"/>
        </w:rPr>
        <w:tab/>
      </w:r>
      <w:r>
        <w:rPr>
          <w:rFonts w:ascii="Arial" w:cs="Arial" w:eastAsia="Arial" w:hAnsi="Arial"/>
          <w:sz w:val="22"/>
          <w:szCs w:val="22"/>
          <w:b w:val="1"/>
          <w:bCs w:val="1"/>
          <w:color w:val="auto"/>
        </w:rPr>
        <w:t>] to [</w:t>
      </w:r>
      <w:r>
        <w:rPr>
          <w:sz w:val="20"/>
          <w:szCs w:val="20"/>
          <w:color w:val="auto"/>
        </w:rPr>
        <w:tab/>
      </w:r>
      <w:r>
        <w:rPr>
          <w:rFonts w:ascii="Arial" w:cs="Arial" w:eastAsia="Arial" w:hAnsi="Arial"/>
          <w:sz w:val="18"/>
          <w:szCs w:val="18"/>
          <w:b w:val="1"/>
          <w:bCs w:val="1"/>
          <w:color w:val="auto"/>
        </w:rPr>
        <w:t>]</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GRAND CANYON EDUCATION,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8" w:lineRule="exact"/>
        <w:rPr>
          <w:sz w:val="24"/>
          <w:szCs w:val="24"/>
          <w:color w:val="auto"/>
        </w:rPr>
      </w:pPr>
    </w:p>
    <w:tbl>
      <w:tblPr>
        <w:tblLayout w:type="fixed"/>
        <w:tblInd w:w="1980" w:type="dxa"/>
        <w:tblCellMar>
          <w:top w:w="0" w:type="dxa"/>
          <w:left w:w="0" w:type="dxa"/>
          <w:bottom w:w="0" w:type="dxa"/>
          <w:right w:w="0" w:type="dxa"/>
        </w:tblCellMar>
      </w:tblPr>
      <w:tr>
        <w:trPr>
          <w:trHeight w:val="218"/>
        </w:trPr>
        <w:tc>
          <w:tcPr>
            <w:tcW w:w="3980" w:type="dxa"/>
            <w:vAlign w:val="bottom"/>
          </w:tcPr>
          <w:p>
            <w:pPr>
              <w:jc w:val="center"/>
              <w:ind w:right="2146"/>
              <w:spacing w:after="0"/>
              <w:rPr>
                <w:sz w:val="20"/>
                <w:szCs w:val="20"/>
                <w:color w:val="auto"/>
              </w:rPr>
            </w:pPr>
            <w:r>
              <w:rPr>
                <w:rFonts w:ascii="Arial" w:cs="Arial" w:eastAsia="Arial" w:hAnsi="Arial"/>
                <w:sz w:val="18"/>
                <w:szCs w:val="18"/>
                <w:b w:val="1"/>
                <w:bCs w:val="1"/>
                <w:color w:val="auto"/>
                <w:w w:val="96"/>
              </w:rPr>
              <w:t>DELAWARE</w:t>
            </w:r>
          </w:p>
        </w:tc>
        <w:tc>
          <w:tcPr>
            <w:tcW w:w="3260" w:type="dxa"/>
            <w:vAlign w:val="bottom"/>
          </w:tcPr>
          <w:p>
            <w:pPr>
              <w:jc w:val="center"/>
              <w:ind w:left="2106"/>
              <w:spacing w:after="0"/>
              <w:rPr>
                <w:sz w:val="20"/>
                <w:szCs w:val="20"/>
                <w:color w:val="auto"/>
              </w:rPr>
            </w:pPr>
            <w:r>
              <w:rPr>
                <w:rFonts w:ascii="Arial" w:cs="Arial" w:eastAsia="Arial" w:hAnsi="Arial"/>
                <w:sz w:val="18"/>
                <w:szCs w:val="18"/>
                <w:b w:val="1"/>
                <w:bCs w:val="1"/>
                <w:color w:val="auto"/>
                <w:w w:val="87"/>
              </w:rPr>
              <w:t>20-3356009</w:t>
            </w:r>
          </w:p>
        </w:tc>
      </w:tr>
      <w:tr>
        <w:trPr>
          <w:trHeight w:val="149"/>
        </w:trPr>
        <w:tc>
          <w:tcPr>
            <w:tcW w:w="3980" w:type="dxa"/>
            <w:vAlign w:val="bottom"/>
          </w:tcPr>
          <w:p>
            <w:pPr>
              <w:jc w:val="center"/>
              <w:ind w:right="214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260" w:type="dxa"/>
            <w:vAlign w:val="bottom"/>
          </w:tcPr>
          <w:p>
            <w:pPr>
              <w:jc w:val="center"/>
              <w:ind w:left="212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980" w:type="dxa"/>
            <w:vAlign w:val="bottom"/>
          </w:tcPr>
          <w:p>
            <w:pPr>
              <w:jc w:val="center"/>
              <w:ind w:right="2146"/>
              <w:spacing w:after="0"/>
              <w:rPr>
                <w:sz w:val="20"/>
                <w:szCs w:val="20"/>
                <w:color w:val="auto"/>
              </w:rPr>
            </w:pPr>
            <w:r>
              <w:rPr>
                <w:rFonts w:ascii="Arial" w:cs="Arial" w:eastAsia="Arial" w:hAnsi="Arial"/>
                <w:sz w:val="14"/>
                <w:szCs w:val="14"/>
                <w:b w:val="1"/>
                <w:bCs w:val="1"/>
                <w:color w:val="auto"/>
                <w:w w:val="88"/>
              </w:rPr>
              <w:t>incorporation or organization)</w:t>
            </w:r>
          </w:p>
        </w:tc>
        <w:tc>
          <w:tcPr>
            <w:tcW w:w="3260" w:type="dxa"/>
            <w:vAlign w:val="bottom"/>
          </w:tcPr>
          <w:p>
            <w:pPr>
              <w:jc w:val="center"/>
              <w:ind w:left="212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3300 W. CAMELBACK ROAD, PHOENIX, ARIZONA 85017</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(602) 639-7500</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9" w:lineRule="exact"/>
        <w:rPr>
          <w:sz w:val="24"/>
          <w:szCs w:val="24"/>
          <w:color w:val="auto"/>
        </w:rPr>
      </w:pPr>
    </w:p>
    <w:tbl>
      <w:tblPr>
        <w:tblLayout w:type="fixed"/>
        <w:tblInd w:w="178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00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 of Each Class)</w:t>
            </w: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201"/>
        </w:trPr>
        <w:tc>
          <w:tcPr>
            <w:tcW w:w="460" w:type="dxa"/>
            <w:vAlign w:val="bottom"/>
          </w:tcPr>
          <w:p>
            <w:pPr>
              <w:ind w:left="20"/>
              <w:spacing w:after="0" w:line="201" w:lineRule="exact"/>
              <w:rPr>
                <w:sz w:val="20"/>
                <w:szCs w:val="20"/>
                <w:color w:val="auto"/>
              </w:rPr>
            </w:pPr>
            <w:r>
              <w:rPr>
                <w:rFonts w:ascii="Arial" w:cs="Arial" w:eastAsia="Arial" w:hAnsi="Arial"/>
                <w:sz w:val="18"/>
                <w:szCs w:val="18"/>
                <w:color w:val="auto"/>
                <w:w w:val="83"/>
              </w:rPr>
              <w:t>Grand</w:t>
            </w:r>
          </w:p>
        </w:tc>
        <w:tc>
          <w:tcPr>
            <w:tcW w:w="126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w w:val="78"/>
              </w:rPr>
              <w:t>Canyon Education,</w:t>
            </w:r>
          </w:p>
        </w:tc>
        <w:tc>
          <w:tcPr>
            <w:tcW w:w="3740" w:type="dxa"/>
            <w:vAlign w:val="bottom"/>
          </w:tcPr>
          <w:p>
            <w:pPr>
              <w:ind w:left="160"/>
              <w:spacing w:after="0" w:line="201" w:lineRule="exact"/>
              <w:rPr>
                <w:sz w:val="20"/>
                <w:szCs w:val="20"/>
                <w:color w:val="auto"/>
              </w:rPr>
            </w:pPr>
            <w:r>
              <w:rPr>
                <w:rFonts w:ascii="Arial" w:cs="Arial" w:eastAsia="Arial" w:hAnsi="Arial"/>
                <w:sz w:val="18"/>
                <w:szCs w:val="18"/>
                <w:color w:val="auto"/>
              </w:rPr>
              <w:t>Inc.</w:t>
            </w:r>
          </w:p>
        </w:tc>
        <w:tc>
          <w:tcPr>
            <w:tcW w:w="29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The NASDAQ Global Market</w:t>
            </w:r>
          </w:p>
        </w:tc>
      </w:tr>
      <w:tr>
        <w:trPr>
          <w:trHeight w:val="222"/>
        </w:trPr>
        <w:tc>
          <w:tcPr>
            <w:tcW w:w="5460" w:type="dxa"/>
            <w:vAlign w:val="bottom"/>
            <w:gridSpan w:val="3"/>
          </w:tcPr>
          <w:p>
            <w:pPr>
              <w:spacing w:after="0"/>
              <w:rPr>
                <w:sz w:val="20"/>
                <w:szCs w:val="20"/>
                <w:color w:val="auto"/>
              </w:rPr>
            </w:pPr>
            <w:r>
              <w:rPr>
                <w:rFonts w:ascii="Arial" w:cs="Arial" w:eastAsia="Arial" w:hAnsi="Arial"/>
                <w:sz w:val="18"/>
                <w:szCs w:val="18"/>
                <w:color w:val="auto"/>
              </w:rPr>
              <w:t>Common stock, $.01 par value</w:t>
            </w:r>
          </w:p>
        </w:tc>
        <w:tc>
          <w:tcPr>
            <w:tcW w:w="2920" w:type="dxa"/>
            <w:vAlign w:val="bottom"/>
          </w:tcPr>
          <w:p>
            <w:pPr>
              <w:spacing w:after="0"/>
              <w:rPr>
                <w:sz w:val="19"/>
                <w:szCs w:val="19"/>
                <w:color w:val="auto"/>
              </w:rPr>
            </w:pPr>
          </w:p>
        </w:tc>
      </w:tr>
    </w:tbl>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153035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22" w:gutter="0" w:footer="0" w:header="0"/>
        </w:sectPr>
      </w:pPr>
    </w:p>
    <w:p>
      <w:pPr>
        <w:spacing w:after="0" w:line="381"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32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32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1" w:lineRule="exact"/>
        <w:rPr>
          <w:sz w:val="24"/>
          <w:szCs w:val="24"/>
          <w:color w:val="auto"/>
        </w:rPr>
      </w:pPr>
    </w:p>
    <w:p>
      <w:pPr>
        <w:sectPr>
          <w:pgSz w:w="11900" w:h="16838" w:orient="portrait"/>
          <w:cols w:equalWidth="0" w:num="5">
            <w:col w:w="8700" w:space="220"/>
            <w:col w:w="260" w:space="80"/>
            <w:col w:w="160" w:space="180"/>
            <w:col w:w="220" w:space="80"/>
            <w:col w:w="1520"/>
          </w:cols>
          <w:pgMar w:left="240" w:top="230" w:right="239" w:bottom="22"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23" w:lineRule="exact"/>
        <w:rPr>
          <w:sz w:val="24"/>
          <w:szCs w:val="24"/>
          <w:color w:val="auto"/>
        </w:rPr>
      </w:pPr>
    </w:p>
    <w:p>
      <w:pPr>
        <w:sectPr>
          <w:pgSz w:w="11900" w:h="16838" w:orient="portrait"/>
          <w:cols w:equalWidth="0" w:num="5">
            <w:col w:w="8860" w:space="220"/>
            <w:col w:w="260" w:space="80"/>
            <w:col w:w="160" w:space="180"/>
            <w:col w:w="220" w:space="80"/>
            <w:col w:w="1360"/>
          </w:cols>
          <w:pgMar w:left="240" w:top="230" w:right="239" w:bottom="22" w:gutter="0" w:footer="0" w:header="0"/>
          <w:type w:val="continuous"/>
        </w:sect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11"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22" w:gutter="0" w:footer="0" w:header="0"/>
          <w:type w:val="continuous"/>
        </w:sectPr>
      </w:pPr>
    </w:p>
    <w:p>
      <w:pPr>
        <w:spacing w:after="0" w:line="72"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22"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1"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22"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Securities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43" w:lineRule="exact"/>
        <w:rPr>
          <w:sz w:val="24"/>
          <w:szCs w:val="24"/>
          <w:color w:val="auto"/>
        </w:rPr>
      </w:pPr>
    </w:p>
    <w:p>
      <w:pPr>
        <w:sectPr>
          <w:pgSz w:w="11900" w:h="16838" w:orient="portrait"/>
          <w:cols w:equalWidth="0" w:num="5">
            <w:col w:w="9180" w:space="200"/>
            <w:col w:w="260" w:space="100"/>
            <w:col w:w="140" w:space="200"/>
            <w:col w:w="200" w:space="100"/>
            <w:col w:w="1040"/>
          </w:cols>
          <w:pgMar w:left="240" w:top="230" w:right="239" w:bottom="22" w:gutter="0" w:footer="0" w:header="0"/>
          <w:type w:val="continuous"/>
        </w:sectPr>
      </w:pPr>
    </w:p>
    <w:p>
      <w:pPr>
        <w:ind w:left="460"/>
        <w:spacing w:after="0"/>
        <w:rPr>
          <w:sz w:val="20"/>
          <w:szCs w:val="20"/>
          <w:color w:val="auto"/>
        </w:rPr>
      </w:pPr>
      <w:r>
        <w:rPr>
          <w:rFonts w:ascii="Arial" w:cs="Arial" w:eastAsia="Arial" w:hAnsi="Arial"/>
          <w:sz w:val="18"/>
          <w:szCs w:val="18"/>
          <w:color w:val="auto"/>
        </w:rPr>
        <w:t>The total number of shares of common stock outstanding as of February 14, 2012 was 44,300,233.</w:t>
      </w:r>
    </w:p>
    <w:p>
      <w:pPr>
        <w:spacing w:after="0" w:line="144" w:lineRule="exact"/>
        <w:rPr>
          <w:sz w:val="24"/>
          <w:szCs w:val="24"/>
          <w:color w:val="auto"/>
        </w:rPr>
      </w:pPr>
    </w:p>
    <w:p>
      <w:pPr>
        <w:ind w:right="80" w:firstLine="456"/>
        <w:spacing w:after="0" w:line="259" w:lineRule="auto"/>
        <w:rPr>
          <w:sz w:val="20"/>
          <w:szCs w:val="20"/>
          <w:color w:val="auto"/>
        </w:rPr>
      </w:pPr>
      <w:r>
        <w:rPr>
          <w:rFonts w:ascii="Arial" w:cs="Arial" w:eastAsia="Arial" w:hAnsi="Arial"/>
          <w:sz w:val="18"/>
          <w:szCs w:val="18"/>
          <w:color w:val="auto"/>
        </w:rPr>
        <w:t>As of June 30, 2011, the last business day of the registrant’s most recently completed second fiscal quarter, the registrant’s common stock was listed on the NASDAQ Global Market. As of June 30, 2011, the aggregate market value of the registrant’s common stock held by nonaffiliates was approximately $552.1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22" w:gutter="0" w:footer="0" w:header="0"/>
          <w:type w:val="continuous"/>
        </w:sectPr>
      </w:pPr>
    </w:p>
    <w:bookmarkStart w:id="1" w:name="page2"/>
    <w:bookmarkEnd w:id="1"/>
    <w:p>
      <w:pPr>
        <w:jc w:val="center"/>
        <w:ind w:right="-6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5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Certain portions of the registrant’s Definitive Proxy Statement for its 2012 Annual Meeting of Stockholders (which is expected to be filed with the Commission within 120 days after the end of the registrant’s 2011 fiscal year)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125" w:right="8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140" w:type="dxa"/>
            <w:vAlign w:val="bottom"/>
            <w:gridSpan w:val="11"/>
          </w:tcPr>
          <w:p>
            <w:pPr>
              <w:jc w:val="center"/>
              <w:ind w:right="3440"/>
              <w:spacing w:after="0"/>
              <w:rPr>
                <w:sz w:val="20"/>
                <w:szCs w:val="20"/>
                <w:color w:val="auto"/>
              </w:rPr>
            </w:pPr>
            <w:r>
              <w:rPr>
                <w:rFonts w:ascii="Arial" w:cs="Arial" w:eastAsia="Arial" w:hAnsi="Arial"/>
                <w:sz w:val="18"/>
                <w:szCs w:val="18"/>
                <w:color w:val="auto"/>
                <w:w w:val="95"/>
              </w:rPr>
              <w:t>GRAND CANYON EDUCATION, INC.</w:t>
            </w:r>
          </w:p>
        </w:tc>
        <w:tc>
          <w:tcPr>
            <w:tcW w:w="320" w:type="dxa"/>
            <w:vAlign w:val="bottom"/>
          </w:tcPr>
          <w:p>
            <w:pPr>
              <w:spacing w:after="0"/>
              <w:rPr>
                <w:sz w:val="19"/>
                <w:szCs w:val="19"/>
                <w:color w:val="auto"/>
              </w:rPr>
            </w:pPr>
          </w:p>
        </w:tc>
      </w:tr>
      <w:tr>
        <w:trPr>
          <w:trHeight w:val="351"/>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0" w:type="dxa"/>
            <w:vAlign w:val="bottom"/>
            <w:gridSpan w:val="7"/>
          </w:tcPr>
          <w:p>
            <w:pPr>
              <w:jc w:val="center"/>
              <w:ind w:right="4780"/>
              <w:spacing w:after="0"/>
              <w:rPr>
                <w:sz w:val="20"/>
                <w:szCs w:val="20"/>
                <w:color w:val="auto"/>
              </w:rPr>
            </w:pPr>
            <w:r>
              <w:rPr>
                <w:rFonts w:ascii="Arial" w:cs="Arial" w:eastAsia="Arial" w:hAnsi="Arial"/>
                <w:sz w:val="18"/>
                <w:szCs w:val="18"/>
                <w:color w:val="auto"/>
                <w:w w:val="93"/>
              </w:rPr>
              <w:t>FORM 10-K</w:t>
            </w:r>
          </w:p>
        </w:tc>
        <w:tc>
          <w:tcPr>
            <w:tcW w:w="320" w:type="dxa"/>
            <w:vAlign w:val="bottom"/>
          </w:tcPr>
          <w:p>
            <w:pPr>
              <w:spacing w:after="0"/>
              <w:rPr>
                <w:sz w:val="24"/>
                <w:szCs w:val="24"/>
                <w:color w:val="auto"/>
              </w:rPr>
            </w:pPr>
          </w:p>
        </w:tc>
      </w:tr>
      <w:tr>
        <w:trPr>
          <w:trHeight w:val="351"/>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40" w:type="dxa"/>
            <w:vAlign w:val="bottom"/>
            <w:gridSpan w:val="6"/>
          </w:tcPr>
          <w:p>
            <w:pPr>
              <w:jc w:val="center"/>
              <w:ind w:right="4940"/>
              <w:spacing w:after="0"/>
              <w:rPr>
                <w:sz w:val="20"/>
                <w:szCs w:val="20"/>
                <w:color w:val="auto"/>
              </w:rPr>
            </w:pPr>
            <w:r>
              <w:rPr>
                <w:rFonts w:ascii="Arial" w:cs="Arial" w:eastAsia="Arial" w:hAnsi="Arial"/>
                <w:sz w:val="18"/>
                <w:szCs w:val="18"/>
                <w:color w:val="auto"/>
                <w:w w:val="98"/>
              </w:rPr>
              <w:t>INDEX</w:t>
            </w:r>
          </w:p>
        </w:tc>
        <w:tc>
          <w:tcPr>
            <w:tcW w:w="320" w:type="dxa"/>
            <w:vAlign w:val="bottom"/>
          </w:tcPr>
          <w:p>
            <w:pPr>
              <w:spacing w:after="0"/>
              <w:rPr>
                <w:sz w:val="24"/>
                <w:szCs w:val="24"/>
                <w:color w:val="auto"/>
              </w:rPr>
            </w:pPr>
          </w:p>
        </w:tc>
      </w:tr>
      <w:tr>
        <w:trPr>
          <w:trHeight w:val="299"/>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58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6">
              <w:r>
                <w:rPr>
                  <w:rFonts w:ascii="Arial" w:cs="Arial" w:eastAsia="Arial" w:hAnsi="Arial"/>
                  <w:sz w:val="18"/>
                  <w:szCs w:val="18"/>
                  <w:b w:val="1"/>
                  <w:bCs w:val="1"/>
                  <w:color w:val="0000EE"/>
                  <w:w w:val="94"/>
                </w:rPr>
                <w:t>PART I</w:t>
              </w:r>
            </w:hyperlink>
          </w:p>
        </w:tc>
        <w:tc>
          <w:tcPr>
            <w:tcW w:w="10420" w:type="dxa"/>
            <w:vAlign w:val="bottom"/>
            <w:gridSpan w:val="27"/>
          </w:tcPr>
          <w:p>
            <w:pPr>
              <w:spacing w:after="0"/>
              <w:rPr>
                <w:sz w:val="22"/>
                <w:szCs w:val="22"/>
                <w:color w:val="auto"/>
              </w:rPr>
            </w:pPr>
          </w:p>
        </w:tc>
        <w:tc>
          <w:tcPr>
            <w:tcW w:w="320" w:type="dxa"/>
            <w:vAlign w:val="bottom"/>
          </w:tcPr>
          <w:p>
            <w:pPr>
              <w:spacing w:after="0"/>
              <w:rPr>
                <w:sz w:val="22"/>
                <w:szCs w:val="22"/>
                <w:color w:val="auto"/>
              </w:rPr>
            </w:pPr>
          </w:p>
        </w:tc>
      </w:tr>
      <w:tr>
        <w:trPr>
          <w:trHeight w:val="304"/>
        </w:trPr>
        <w:tc>
          <w:tcPr>
            <w:tcW w:w="38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Special Note Regarding Forward-Looking Statements</w:t>
              </w:r>
            </w:hyperlink>
          </w:p>
        </w:tc>
        <w:tc>
          <w:tcPr>
            <w:tcW w:w="720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10560" w:type="dxa"/>
            <w:vAlign w:val="bottom"/>
            <w:gridSpan w:val="2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 Business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Item 1A. Risk Factors</w:t>
              </w:r>
            </w:hyperlink>
          </w:p>
        </w:tc>
        <w:tc>
          <w:tcPr>
            <w:tcW w:w="9000" w:type="dxa"/>
            <w:vAlign w:val="bottom"/>
            <w:gridSpan w:val="19"/>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440" w:type="dxa"/>
            <w:vAlign w:val="bottom"/>
          </w:tcPr>
          <w:p>
            <w:pPr>
              <w:spacing w:after="0"/>
              <w:rPr>
                <w:sz w:val="24"/>
                <w:szCs w:val="24"/>
                <w:color w:val="auto"/>
              </w:rPr>
            </w:pPr>
          </w:p>
        </w:tc>
        <w:tc>
          <w:tcPr>
            <w:tcW w:w="266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65">
              <w:r>
                <w:rPr>
                  <w:rFonts w:ascii="Arial" w:cs="Arial" w:eastAsia="Arial" w:hAnsi="Arial"/>
                  <w:sz w:val="18"/>
                  <w:szCs w:val="18"/>
                  <w:color w:val="0000EE"/>
                  <w:w w:val="88"/>
                </w:rPr>
                <w:t>Item 1B. Unresolved Staff Comments</w:t>
              </w:r>
            </w:hyperlink>
          </w:p>
        </w:tc>
        <w:tc>
          <w:tcPr>
            <w:tcW w:w="790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04"/>
        </w:trPr>
        <w:tc>
          <w:tcPr>
            <w:tcW w:w="440" w:type="dxa"/>
            <w:vAlign w:val="bottom"/>
          </w:tcPr>
          <w:p>
            <w:pPr>
              <w:spacing w:after="0"/>
              <w:rPr>
                <w:sz w:val="24"/>
                <w:szCs w:val="24"/>
                <w:color w:val="auto"/>
              </w:rPr>
            </w:pPr>
          </w:p>
        </w:tc>
        <w:tc>
          <w:tcPr>
            <w:tcW w:w="12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65">
              <w:r>
                <w:rPr>
                  <w:rFonts w:ascii="Arial" w:cs="Arial" w:eastAsia="Arial" w:hAnsi="Arial"/>
                  <w:sz w:val="18"/>
                  <w:szCs w:val="18"/>
                  <w:color w:val="0000EE"/>
                  <w:w w:val="87"/>
                </w:rPr>
                <w:t>Item 2. Properties</w:t>
              </w:r>
            </w:hyperlink>
          </w:p>
        </w:tc>
        <w:tc>
          <w:tcPr>
            <w:tcW w:w="9300" w:type="dxa"/>
            <w:vAlign w:val="bottom"/>
            <w:gridSpan w:val="2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04"/>
        </w:trPr>
        <w:tc>
          <w:tcPr>
            <w:tcW w:w="440" w:type="dxa"/>
            <w:vAlign w:val="bottom"/>
          </w:tcPr>
          <w:p>
            <w:pPr>
              <w:spacing w:after="0"/>
              <w:rPr>
                <w:sz w:val="24"/>
                <w:szCs w:val="24"/>
                <w:color w:val="auto"/>
              </w:rPr>
            </w:pPr>
          </w:p>
        </w:tc>
        <w:tc>
          <w:tcPr>
            <w:tcW w:w="10560" w:type="dxa"/>
            <w:vAlign w:val="bottom"/>
            <w:gridSpan w:val="2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3. Legal Proceedings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4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560" w:type="dxa"/>
            <w:vAlign w:val="bottom"/>
            <w:gridSpan w:val="2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4. Mine Safety Disclosures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4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000" w:type="dxa"/>
            <w:vAlign w:val="bottom"/>
            <w:gridSpan w:val="29"/>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PART II</w:t>
              </w:r>
            </w:hyperlink>
          </w:p>
        </w:tc>
        <w:tc>
          <w:tcPr>
            <w:tcW w:w="320" w:type="dxa"/>
            <w:vAlign w:val="bottom"/>
          </w:tcPr>
          <w:p>
            <w:pPr>
              <w:spacing w:after="0"/>
              <w:rPr>
                <w:sz w:val="24"/>
                <w:szCs w:val="24"/>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560" w:type="dxa"/>
            <w:vAlign w:val="bottom"/>
            <w:gridSpan w:val="2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5. Market for Registrant’s Common Equity, Related Stockholder Matters and Issuer Purchases of Equity Securities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04"/>
        </w:trPr>
        <w:tc>
          <w:tcPr>
            <w:tcW w:w="440" w:type="dxa"/>
            <w:vAlign w:val="bottom"/>
          </w:tcPr>
          <w:p>
            <w:pPr>
              <w:spacing w:after="0"/>
              <w:rPr>
                <w:sz w:val="24"/>
                <w:szCs w:val="24"/>
                <w:color w:val="auto"/>
              </w:rPr>
            </w:pPr>
          </w:p>
        </w:tc>
        <w:tc>
          <w:tcPr>
            <w:tcW w:w="8460" w:type="dxa"/>
            <w:vAlign w:val="bottom"/>
            <w:tcBorders>
              <w:top w:val="single" w:sz="8" w:color="0000EE"/>
            </w:tcBorders>
            <w:gridSpan w:val="27"/>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6. Selected Consolidated Financial and Other Data</w:t>
              </w:r>
            </w:hyperlink>
          </w:p>
        </w:tc>
        <w:tc>
          <w:tcPr>
            <w:tcW w:w="2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4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560" w:type="dxa"/>
            <w:vAlign w:val="bottom"/>
            <w:gridSpan w:val="28"/>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7. Management’s Discussion and Analysis of Financial Condition and Results of Operations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04"/>
        </w:trPr>
        <w:tc>
          <w:tcPr>
            <w:tcW w:w="440" w:type="dxa"/>
            <w:vAlign w:val="bottom"/>
          </w:tcPr>
          <w:p>
            <w:pPr>
              <w:spacing w:after="0"/>
              <w:rPr>
                <w:sz w:val="24"/>
                <w:szCs w:val="24"/>
                <w:color w:val="auto"/>
              </w:rPr>
            </w:pPr>
          </w:p>
        </w:tc>
        <w:tc>
          <w:tcPr>
            <w:tcW w:w="6840" w:type="dxa"/>
            <w:vAlign w:val="bottom"/>
            <w:tcBorders>
              <w:top w:val="single" w:sz="8" w:color="0000EE"/>
            </w:tcBorders>
            <w:gridSpan w:val="24"/>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Item 7A. Quantitative and Qualitative Disclosures About Market Risk</w:t>
              </w:r>
            </w:hyperlink>
          </w:p>
        </w:tc>
        <w:tc>
          <w:tcPr>
            <w:tcW w:w="372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04"/>
        </w:trPr>
        <w:tc>
          <w:tcPr>
            <w:tcW w:w="440" w:type="dxa"/>
            <w:vAlign w:val="bottom"/>
          </w:tcPr>
          <w:p>
            <w:pPr>
              <w:spacing w:after="0"/>
              <w:rPr>
                <w:sz w:val="24"/>
                <w:szCs w:val="24"/>
                <w:color w:val="auto"/>
              </w:rPr>
            </w:pPr>
          </w:p>
        </w:tc>
        <w:tc>
          <w:tcPr>
            <w:tcW w:w="476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87"/>
              </w:rPr>
            </w:pPr>
            <w:hyperlink w:anchor="page89">
              <w:r>
                <w:rPr>
                  <w:rFonts w:ascii="Arial" w:cs="Arial" w:eastAsia="Arial" w:hAnsi="Arial"/>
                  <w:sz w:val="18"/>
                  <w:szCs w:val="18"/>
                  <w:color w:val="0000EE"/>
                  <w:w w:val="87"/>
                </w:rPr>
                <w:t>Item 8. Consolidated Financial Statements and Supplementary Data</w:t>
              </w:r>
            </w:hyperlink>
          </w:p>
        </w:tc>
        <w:tc>
          <w:tcPr>
            <w:tcW w:w="160" w:type="dxa"/>
            <w:vAlign w:val="bottom"/>
            <w:tcBorders>
              <w:top w:val="single" w:sz="8" w:color="0000EE"/>
            </w:tcBorders>
          </w:tcPr>
          <w:p>
            <w:pPr>
              <w:spacing w:after="0"/>
              <w:rPr>
                <w:sz w:val="24"/>
                <w:szCs w:val="24"/>
                <w:color w:val="auto"/>
              </w:rPr>
            </w:pPr>
          </w:p>
        </w:tc>
        <w:tc>
          <w:tcPr>
            <w:tcW w:w="5640" w:type="dxa"/>
            <w:vAlign w:val="bottom"/>
            <w:gridSpan w:val="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04"/>
        </w:trPr>
        <w:tc>
          <w:tcPr>
            <w:tcW w:w="440" w:type="dxa"/>
            <w:vAlign w:val="bottom"/>
          </w:tcPr>
          <w:p>
            <w:pPr>
              <w:spacing w:after="0"/>
              <w:rPr>
                <w:sz w:val="24"/>
                <w:szCs w:val="24"/>
                <w:color w:val="auto"/>
              </w:rPr>
            </w:pPr>
          </w:p>
        </w:tc>
        <w:tc>
          <w:tcPr>
            <w:tcW w:w="6900" w:type="dxa"/>
            <w:vAlign w:val="bottom"/>
            <w:tcBorders>
              <w:bottom w:val="single" w:sz="8" w:color="0000EE"/>
            </w:tcBorders>
            <w:gridSpan w:val="25"/>
          </w:tcPr>
          <w:p>
            <w:pPr>
              <w:spacing w:after="0"/>
              <w:rPr>
                <w:rFonts w:ascii="Arial" w:cs="Arial" w:eastAsia="Arial" w:hAnsi="Arial"/>
                <w:sz w:val="18"/>
                <w:szCs w:val="18"/>
                <w:color w:val="0000EE"/>
                <w:w w:val="88"/>
              </w:rPr>
            </w:pPr>
            <w:hyperlink w:anchor="page119">
              <w:r>
                <w:rPr>
                  <w:rFonts w:ascii="Arial" w:cs="Arial" w:eastAsia="Arial" w:hAnsi="Arial"/>
                  <w:sz w:val="18"/>
                  <w:szCs w:val="18"/>
                  <w:color w:val="0000EE"/>
                  <w:w w:val="88"/>
                </w:rPr>
                <w:t>Item 9. Changes in and Disagreements With Accountants on Accounting and Financial Disclosure</w:t>
              </w:r>
            </w:hyperlink>
          </w:p>
        </w:tc>
        <w:tc>
          <w:tcPr>
            <w:tcW w:w="3660" w:type="dxa"/>
            <w:vAlign w:val="bottom"/>
            <w:gridSpan w:val="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118</w:t>
            </w:r>
          </w:p>
        </w:tc>
      </w:tr>
      <w:tr>
        <w:trPr>
          <w:trHeight w:val="304"/>
        </w:trPr>
        <w:tc>
          <w:tcPr>
            <w:tcW w:w="440" w:type="dxa"/>
            <w:vAlign w:val="bottom"/>
          </w:tcPr>
          <w:p>
            <w:pPr>
              <w:spacing w:after="0"/>
              <w:rPr>
                <w:sz w:val="24"/>
                <w:szCs w:val="24"/>
                <w:color w:val="auto"/>
              </w:rPr>
            </w:pPr>
          </w:p>
        </w:tc>
        <w:tc>
          <w:tcPr>
            <w:tcW w:w="240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119">
              <w:r>
                <w:rPr>
                  <w:rFonts w:ascii="Arial" w:cs="Arial" w:eastAsia="Arial" w:hAnsi="Arial"/>
                  <w:sz w:val="18"/>
                  <w:szCs w:val="18"/>
                  <w:color w:val="0000EE"/>
                  <w:w w:val="87"/>
                </w:rPr>
                <w:t>Item 9A. Controls and Procedures</w:t>
              </w:r>
            </w:hyperlink>
          </w:p>
        </w:tc>
        <w:tc>
          <w:tcPr>
            <w:tcW w:w="8160" w:type="dxa"/>
            <w:vAlign w:val="bottom"/>
            <w:gridSpan w:val="1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118</w:t>
            </w:r>
          </w:p>
        </w:tc>
      </w:tr>
      <w:tr>
        <w:trPr>
          <w:trHeight w:val="304"/>
        </w:trPr>
        <w:tc>
          <w:tcPr>
            <w:tcW w:w="440" w:type="dxa"/>
            <w:vAlign w:val="bottom"/>
          </w:tcPr>
          <w:p>
            <w:pPr>
              <w:spacing w:after="0"/>
              <w:rPr>
                <w:sz w:val="24"/>
                <w:szCs w:val="24"/>
                <w:color w:val="auto"/>
              </w:rPr>
            </w:pPr>
          </w:p>
        </w:tc>
        <w:tc>
          <w:tcPr>
            <w:tcW w:w="10560" w:type="dxa"/>
            <w:vAlign w:val="bottom"/>
            <w:gridSpan w:val="28"/>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Item 9B. Other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120</w:t>
            </w:r>
          </w:p>
        </w:tc>
      </w:tr>
      <w:tr>
        <w:trPr>
          <w:trHeight w:val="20"/>
        </w:trPr>
        <w:tc>
          <w:tcPr>
            <w:tcW w:w="4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72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122">
              <w:r>
                <w:rPr>
                  <w:rFonts w:ascii="Arial" w:cs="Arial" w:eastAsia="Arial" w:hAnsi="Arial"/>
                  <w:sz w:val="18"/>
                  <w:szCs w:val="18"/>
                  <w:b w:val="1"/>
                  <w:bCs w:val="1"/>
                  <w:color w:val="0000EE"/>
                </w:rPr>
                <w:t>PART III</w:t>
              </w:r>
            </w:hyperlink>
          </w:p>
        </w:tc>
        <w:tc>
          <w:tcPr>
            <w:tcW w:w="10280" w:type="dxa"/>
            <w:vAlign w:val="bottom"/>
            <w:gridSpan w:val="24"/>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440" w:type="dxa"/>
            <w:vAlign w:val="bottom"/>
          </w:tcPr>
          <w:p>
            <w:pPr>
              <w:spacing w:after="0"/>
              <w:rPr>
                <w:sz w:val="24"/>
                <w:szCs w:val="24"/>
                <w:color w:val="auto"/>
              </w:rPr>
            </w:pPr>
          </w:p>
        </w:tc>
        <w:tc>
          <w:tcPr>
            <w:tcW w:w="10560" w:type="dxa"/>
            <w:vAlign w:val="bottom"/>
            <w:gridSpan w:val="28"/>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Item 10. Directors, Executive Officers and Corporate Governance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121</w:t>
            </w:r>
          </w:p>
        </w:tc>
      </w:tr>
      <w:tr>
        <w:trPr>
          <w:trHeight w:val="304"/>
        </w:trPr>
        <w:tc>
          <w:tcPr>
            <w:tcW w:w="440" w:type="dxa"/>
            <w:vAlign w:val="bottom"/>
          </w:tcPr>
          <w:p>
            <w:pPr>
              <w:spacing w:after="0"/>
              <w:rPr>
                <w:sz w:val="24"/>
                <w:szCs w:val="24"/>
                <w:color w:val="auto"/>
              </w:rPr>
            </w:pPr>
          </w:p>
        </w:tc>
        <w:tc>
          <w:tcPr>
            <w:tcW w:w="4620" w:type="dxa"/>
            <w:vAlign w:val="bottom"/>
            <w:tcBorders>
              <w:top w:val="single" w:sz="8" w:color="0000EE"/>
            </w:tcBorders>
            <w:gridSpan w:val="20"/>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Item 11. Executive Compensation</w:t>
              </w:r>
            </w:hyperlink>
          </w:p>
        </w:tc>
        <w:tc>
          <w:tcPr>
            <w:tcW w:w="5940" w:type="dxa"/>
            <w:vAlign w:val="bottom"/>
            <w:gridSpan w:val="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121</w:t>
            </w:r>
          </w:p>
        </w:tc>
      </w:tr>
      <w:tr>
        <w:trPr>
          <w:trHeight w:val="20"/>
        </w:trPr>
        <w:tc>
          <w:tcPr>
            <w:tcW w:w="4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560" w:type="dxa"/>
            <w:vAlign w:val="bottom"/>
            <w:gridSpan w:val="28"/>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Item 12. Security Ownership of Certain Beneficial Owners and Management and Related Stockholder Matters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121</w:t>
            </w:r>
          </w:p>
        </w:tc>
      </w:tr>
      <w:tr>
        <w:trPr>
          <w:trHeight w:val="304"/>
        </w:trPr>
        <w:tc>
          <w:tcPr>
            <w:tcW w:w="440" w:type="dxa"/>
            <w:vAlign w:val="bottom"/>
          </w:tcPr>
          <w:p>
            <w:pPr>
              <w:spacing w:after="0"/>
              <w:rPr>
                <w:sz w:val="24"/>
                <w:szCs w:val="24"/>
                <w:color w:val="auto"/>
              </w:rPr>
            </w:pPr>
          </w:p>
        </w:tc>
        <w:tc>
          <w:tcPr>
            <w:tcW w:w="7780" w:type="dxa"/>
            <w:vAlign w:val="bottom"/>
            <w:tcBorders>
              <w:top w:val="single" w:sz="8" w:color="0000EE"/>
            </w:tcBorders>
            <w:gridSpan w:val="26"/>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Item 13. Certain Relationships and Related Transactions, and Director Independence</w:t>
              </w:r>
            </w:hyperlink>
          </w:p>
        </w:tc>
        <w:tc>
          <w:tcPr>
            <w:tcW w:w="278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121</w:t>
            </w:r>
          </w:p>
        </w:tc>
      </w:tr>
      <w:tr>
        <w:trPr>
          <w:trHeight w:val="304"/>
        </w:trPr>
        <w:tc>
          <w:tcPr>
            <w:tcW w:w="440" w:type="dxa"/>
            <w:vAlign w:val="bottom"/>
          </w:tcPr>
          <w:p>
            <w:pPr>
              <w:spacing w:after="0"/>
              <w:rPr>
                <w:sz w:val="24"/>
                <w:szCs w:val="24"/>
                <w:color w:val="auto"/>
              </w:rPr>
            </w:pPr>
          </w:p>
        </w:tc>
        <w:tc>
          <w:tcPr>
            <w:tcW w:w="5940" w:type="dxa"/>
            <w:vAlign w:val="bottom"/>
            <w:tcBorders>
              <w:top w:val="single" w:sz="8" w:color="0000EE"/>
            </w:tcBorders>
            <w:gridSpan w:val="23"/>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Item 14. Principal Accounting Fees and Services</w:t>
              </w:r>
            </w:hyperlink>
          </w:p>
        </w:tc>
        <w:tc>
          <w:tcPr>
            <w:tcW w:w="462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121</w:t>
            </w:r>
          </w:p>
        </w:tc>
      </w:tr>
      <w:tr>
        <w:trPr>
          <w:trHeight w:val="20"/>
        </w:trPr>
        <w:tc>
          <w:tcPr>
            <w:tcW w:w="4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80" w:type="dxa"/>
            <w:vAlign w:val="bottom"/>
            <w:gridSpan w:val="11"/>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14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000" w:type="dxa"/>
            <w:vAlign w:val="bottom"/>
            <w:gridSpan w:val="29"/>
          </w:tcPr>
          <w:p>
            <w:pPr>
              <w:spacing w:after="0"/>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PART IV</w:t>
              </w:r>
            </w:hyperlink>
          </w:p>
        </w:tc>
        <w:tc>
          <w:tcPr>
            <w:tcW w:w="320" w:type="dxa"/>
            <w:vAlign w:val="bottom"/>
          </w:tcPr>
          <w:p>
            <w:pPr>
              <w:spacing w:after="0"/>
              <w:rPr>
                <w:sz w:val="24"/>
                <w:szCs w:val="24"/>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gridSpan w:val="13"/>
          </w:tcPr>
          <w:p>
            <w:pPr>
              <w:spacing w:after="0" w:line="20" w:lineRule="exact"/>
              <w:rPr>
                <w:sz w:val="1"/>
                <w:szCs w:val="1"/>
                <w:color w:val="auto"/>
              </w:rPr>
            </w:pPr>
          </w:p>
        </w:tc>
        <w:tc>
          <w:tcPr>
            <w:tcW w:w="614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560" w:type="dxa"/>
            <w:vAlign w:val="bottom"/>
            <w:gridSpan w:val="28"/>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Item 15. Exhibits, Consolidated Financial Statement Schedules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122</w:t>
            </w:r>
          </w:p>
        </w:tc>
      </w:tr>
      <w:tr>
        <w:trPr>
          <w:trHeight w:val="20"/>
        </w:trPr>
        <w:tc>
          <w:tcPr>
            <w:tcW w:w="440" w:type="dxa"/>
            <w:vAlign w:val="bottom"/>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780" w:type="dxa"/>
            <w:vAlign w:val="bottom"/>
            <w:gridSpan w:val="13"/>
            <w:shd w:val="clear" w:color="auto" w:fill="0000EE"/>
          </w:tcPr>
          <w:p>
            <w:pPr>
              <w:spacing w:after="0" w:line="20" w:lineRule="exact"/>
              <w:rPr>
                <w:sz w:val="1"/>
                <w:szCs w:val="1"/>
                <w:color w:val="auto"/>
              </w:rPr>
            </w:pPr>
          </w:p>
        </w:tc>
        <w:tc>
          <w:tcPr>
            <w:tcW w:w="614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000" w:type="dxa"/>
            <w:vAlign w:val="bottom"/>
            <w:gridSpan w:val="29"/>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SIGNATURES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125</w:t>
            </w:r>
          </w:p>
        </w:tc>
      </w:tr>
      <w:tr>
        <w:trPr>
          <w:trHeight w:val="304"/>
        </w:trPr>
        <w:tc>
          <w:tcPr>
            <w:tcW w:w="1080" w:type="dxa"/>
            <w:vAlign w:val="bottom"/>
            <w:tcBorders>
              <w:top w:val="single" w:sz="8" w:color="0000EE"/>
            </w:tcBorders>
            <w:gridSpan w:val="7"/>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Exhibit Index</w:t>
              </w:r>
            </w:hyperlink>
          </w:p>
        </w:tc>
        <w:tc>
          <w:tcPr>
            <w:tcW w:w="9920" w:type="dxa"/>
            <w:vAlign w:val="bottom"/>
            <w:gridSpan w:val="2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126</w:t>
            </w:r>
          </w:p>
        </w:tc>
      </w:tr>
      <w:tr>
        <w:trPr>
          <w:trHeight w:val="383"/>
        </w:trPr>
        <w:tc>
          <w:tcPr>
            <w:tcW w:w="960" w:type="dxa"/>
            <w:vAlign w:val="bottom"/>
            <w:tcBorders>
              <w:top w:val="single" w:sz="8" w:color="0000EE"/>
            </w:tcBorders>
            <w:gridSpan w:val="6"/>
          </w:tcPr>
          <w:p>
            <w:pPr>
              <w:spacing w:after="0"/>
              <w:rPr>
                <w:sz w:val="24"/>
                <w:szCs w:val="24"/>
                <w:color w:val="auto"/>
              </w:rPr>
            </w:pPr>
          </w:p>
        </w:tc>
        <w:tc>
          <w:tcPr>
            <w:tcW w:w="5420" w:type="dxa"/>
            <w:vAlign w:val="bottom"/>
            <w:gridSpan w:val="18"/>
          </w:tcPr>
          <w:p>
            <w:pPr>
              <w:jc w:val="center"/>
              <w:ind w:left="4012"/>
              <w:spacing w:after="0"/>
              <w:rPr>
                <w:sz w:val="20"/>
                <w:szCs w:val="20"/>
                <w:color w:val="auto"/>
              </w:rPr>
            </w:pPr>
            <w:r>
              <w:rPr>
                <w:rFonts w:ascii="Arial" w:cs="Arial" w:eastAsia="Arial" w:hAnsi="Arial"/>
                <w:sz w:val="18"/>
                <w:szCs w:val="18"/>
                <w:color w:val="auto"/>
                <w:w w:val="79"/>
              </w:rPr>
              <w:t>2</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50" w:lineRule="exact"/>
        <w:rPr>
          <w:sz w:val="20"/>
          <w:szCs w:val="20"/>
          <w:color w:val="auto"/>
        </w:rPr>
      </w:pPr>
    </w:p>
    <w:p>
      <w:pPr>
        <w:ind w:right="200" w:firstLine="456"/>
        <w:spacing w:after="0" w:line="310" w:lineRule="auto"/>
        <w:rPr>
          <w:sz w:val="20"/>
          <w:szCs w:val="20"/>
          <w:color w:val="auto"/>
        </w:rPr>
      </w:pPr>
      <w:r>
        <w:rPr>
          <w:rFonts w:ascii="Arial" w:cs="Arial" w:eastAsia="Arial" w:hAnsi="Arial"/>
          <w:sz w:val="15"/>
          <w:szCs w:val="15"/>
          <w:color w:val="auto"/>
        </w:rPr>
        <w:t xml:space="preserve">This Annual Report on Form 10-K, including Item 1, </w:t>
      </w:r>
      <w:r>
        <w:rPr>
          <w:rFonts w:ascii="Arial" w:cs="Arial" w:eastAsia="Arial" w:hAnsi="Arial"/>
          <w:sz w:val="15"/>
          <w:szCs w:val="15"/>
          <w:i w:val="1"/>
          <w:iCs w:val="1"/>
          <w:color w:val="auto"/>
        </w:rPr>
        <w:t>Business</w:t>
      </w:r>
      <w:r>
        <w:rPr>
          <w:rFonts w:ascii="Arial" w:cs="Arial" w:eastAsia="Arial" w:hAnsi="Arial"/>
          <w:sz w:val="15"/>
          <w:szCs w:val="15"/>
          <w:color w:val="auto"/>
        </w:rPr>
        <w:t xml:space="preserve">; Item 1A, </w:t>
      </w:r>
      <w:r>
        <w:rPr>
          <w:rFonts w:ascii="Arial" w:cs="Arial" w:eastAsia="Arial" w:hAnsi="Arial"/>
          <w:sz w:val="15"/>
          <w:szCs w:val="15"/>
          <w:i w:val="1"/>
          <w:iCs w:val="1"/>
          <w:color w:val="auto"/>
        </w:rPr>
        <w:t>Risk Factors</w:t>
      </w:r>
      <w:r>
        <w:rPr>
          <w:rFonts w:ascii="Arial" w:cs="Arial" w:eastAsia="Arial" w:hAnsi="Arial"/>
          <w:sz w:val="15"/>
          <w:szCs w:val="15"/>
          <w:color w:val="auto"/>
        </w:rPr>
        <w:t xml:space="preserve">; and Item 7, </w:t>
      </w:r>
      <w:r>
        <w:rPr>
          <w:rFonts w:ascii="Arial" w:cs="Arial" w:eastAsia="Arial" w:hAnsi="Arial"/>
          <w:sz w:val="15"/>
          <w:szCs w:val="15"/>
          <w:i w:val="1"/>
          <w:iCs w:val="1"/>
          <w:color w:val="auto"/>
        </w:rPr>
        <w:t>Management’s Discussion and Analysis of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Condition and Results of Operations</w:t>
      </w:r>
      <w:r>
        <w:rPr>
          <w:rFonts w:ascii="Arial" w:cs="Arial" w:eastAsia="Arial" w:hAnsi="Arial"/>
          <w:sz w:val="15"/>
          <w:szCs w:val="15"/>
          <w:color w:val="auto"/>
        </w:rPr>
        <w:t>, contains certain “forward-looking statements,” which include information relating to future events, future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29" w:lineRule="exact"/>
        <w:rPr>
          <w:sz w:val="20"/>
          <w:szCs w:val="20"/>
          <w:color w:val="auto"/>
        </w:rPr>
      </w:pPr>
    </w:p>
    <w:p>
      <w:pPr>
        <w:ind w:left="1480" w:hanging="446"/>
        <w:spacing w:after="0" w:line="332" w:lineRule="auto"/>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71" w:lineRule="exact"/>
        <w:rPr>
          <w:rFonts w:ascii="Arial" w:cs="Arial" w:eastAsia="Arial" w:hAnsi="Arial"/>
          <w:sz w:val="16"/>
          <w:szCs w:val="16"/>
          <w:color w:val="auto"/>
        </w:rPr>
      </w:pPr>
    </w:p>
    <w:p>
      <w:pPr>
        <w:ind w:left="1480" w:right="540" w:hanging="446"/>
        <w:spacing w:after="0" w:line="26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the ongoing program review being conducted by the Department of Education of our compliance with Title IV program requirements, and possible fines or other administrative sanctions resulting therefrom;</w:t>
      </w:r>
    </w:p>
    <w:p>
      <w:pPr>
        <w:spacing w:after="0" w:line="118"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57" w:lineRule="exact"/>
        <w:rPr>
          <w:rFonts w:ascii="Arial" w:cs="Arial" w:eastAsia="Arial" w:hAnsi="Arial"/>
          <w:sz w:val="18"/>
          <w:szCs w:val="18"/>
          <w:color w:val="auto"/>
        </w:rPr>
      </w:pPr>
    </w:p>
    <w:p>
      <w:pPr>
        <w:ind w:left="1480" w:hanging="446"/>
        <w:spacing w:after="0" w:line="332" w:lineRule="auto"/>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71" w:lineRule="exact"/>
        <w:rPr>
          <w:rFonts w:ascii="Arial" w:cs="Arial" w:eastAsia="Arial" w:hAnsi="Arial"/>
          <w:sz w:val="16"/>
          <w:szCs w:val="16"/>
          <w:color w:val="auto"/>
        </w:rPr>
      </w:pPr>
    </w:p>
    <w:p>
      <w:pPr>
        <w:ind w:left="1480" w:right="180" w:hanging="446"/>
        <w:spacing w:after="0" w:line="26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w:t>
      </w:r>
    </w:p>
    <w:p>
      <w:pPr>
        <w:spacing w:after="0" w:line="118"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 and faculty;</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pace of growth of our enrollment;</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convert prospective students to enrolled students and to retain active students;</w:t>
      </w:r>
    </w:p>
    <w:p>
      <w:pPr>
        <w:spacing w:after="0" w:line="157" w:lineRule="exact"/>
        <w:rPr>
          <w:rFonts w:ascii="Arial" w:cs="Arial" w:eastAsia="Arial" w:hAnsi="Arial"/>
          <w:sz w:val="18"/>
          <w:szCs w:val="18"/>
          <w:color w:val="auto"/>
        </w:rPr>
      </w:pPr>
    </w:p>
    <w:p>
      <w:pPr>
        <w:ind w:left="1480" w:right="300" w:hanging="446"/>
        <w:spacing w:after="0" w:line="26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118"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competition, including competition for qualified executives and other personnel;</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our programs;</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160" w:hanging="446"/>
        <w:spacing w:after="0" w:line="332" w:lineRule="auto"/>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pacing w:after="0" w:line="71" w:lineRule="exact"/>
        <w:rPr>
          <w:rFonts w:ascii="Arial" w:cs="Arial" w:eastAsia="Arial" w:hAnsi="Arial"/>
          <w:sz w:val="16"/>
          <w:szCs w:val="16"/>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future growth effectively;</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job prospects in our core disciplines; and</w:t>
      </w:r>
    </w:p>
    <w:p>
      <w:pPr>
        <w:spacing w:after="0" w:line="157" w:lineRule="exact"/>
        <w:rPr>
          <w:rFonts w:ascii="Arial" w:cs="Arial" w:eastAsia="Arial" w:hAnsi="Arial"/>
          <w:sz w:val="18"/>
          <w:szCs w:val="18"/>
          <w:color w:val="auto"/>
        </w:rPr>
      </w:pPr>
    </w:p>
    <w:p>
      <w:pPr>
        <w:ind w:left="1480" w:right="180" w:hanging="446"/>
        <w:spacing w:after="0" w:line="268"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discussed under the headings “Risk Factors,” “Management’s Discussion and Analysis of Financial Condition and Results of Operations,” “Business,” and “Regulation.”</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We are a regionally accredited provider of postsecondary education services focused on offering graduate and undergraduate degree programs in our core disciplines of education, healthcare, business, and liberal arts. We offer programs online as well as ground programs at our approximately 115 acre traditional campus in Phoenix, Arizona and onsite at the facilities of employers. We are committed to providing an academically rigorous educational experience with a focus on career-oriented programs that meet the objectives of our students. We utilize an integrated, innovative approach to marketing, recruiting, and retaining students, which has enabled us to increase enrollment from approximately 3,000 students at the end of 2003 to approximately 43,900 students at December 31, 2011. At December 31, 2011, 88.6% of our students were enrolled in our online programs, and, of our online and professional studies students, 42.8% were pursuing master’s or doctoral degrees. At December 31, 2011, our ground enrollment was approximately 5,000, representing an increase of 33.4% over our ground enrollment at December 31, 2010.</w:t>
      </w:r>
    </w:p>
    <w:p>
      <w:pPr>
        <w:spacing w:after="0" w:line="9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primarily focus on recruiting and educating working adults, whom we define as students age 25 or older who are pursuing a degree while employed. As of December 31, 2011, approximately 91.5% of our online and professional studies students were age 25 or older. We believe that working adults are attracted to the convenience and flexibility of our online programs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w:t>
      </w:r>
    </w:p>
    <w:p>
      <w:pPr>
        <w:spacing w:after="0" w:line="8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2011, we increased our focus on recruiting students for our expanding traditional ground campus. We believe our strong campus presence in Arizona is a key branding tool that is attractive to many students. We are able to provide traditional ground students an opportunity to earn an education at a private, Christian-oriented university at rates equivalent rates to those of a state funded university. We plan to increase enrollment growth for our traditional campus over the next few years, and seek to have12,000 ground traditional students in attendance at the beginning of our 2015-2016 academic year.</w:t>
      </w:r>
    </w:p>
    <w:p>
      <w:pPr>
        <w:spacing w:after="0" w:line="8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experienced significant growth in enrollment, net revenue, and operating income over the last several years. Our enrollment at December 31, 2011 was approximately 43,900, representing an increase of approximately 5.9% over our enrollment at December 31, 2010. Our net revenue and operating income for the year ended December 31, 2011 were $426.7 million and $82.2 million, respectively, representing increases of 10.7% and 41.2%, respectively, over the year ended December 31, 2010. Our net revenue and operating income for the year ended December 31, 2010 were $385.6 million and $58.2 million, respectively, representing increases of 47.2% and 24.9%, respectively, over the year ended December 31, 2009. We seek to achieve continued growth in a manner that reinforces our reputation for providing academically rigorous, career-oriented educational programs that advance the careers of our students.</w:t>
      </w:r>
    </w:p>
    <w:p>
      <w:pPr>
        <w:spacing w:after="0" w:line="93"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We have been regionally accredited by the Higher Learning Commission of the North Central Association of Colleges and Schools and its predecessor since 1968, and we were reaccredited in 2007 for the maximum term of ten years. We are regulated by the Department of Education as a result of our participation in the federal student financial aid programs authorized by Title IV of the Higher Education Act (hereafter, Title IV), and, at the state level, we are licensed to operate and offer our programs by the Arizona State Board for Private Postsecondary Education and the Arizona Department of Education for Institutional Recommendation Programs. In addition, we have specialized accreditations for certain programs from the Association of Collegiate Business Schools and Programs, the Commission on Collegiate Nursing Education, and the Commission on Accreditation of Athletic Training Education. In addition, we are a candidate for accreditation by the National Council for Accreditation of Teacher Education (NCATE). We believe that our institution-wide state authorization and regional accreditation, together with these specialized accreditations, reflect the quality of our programs, enhance their marketability, and improve the employability of our graduates.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15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Grand Canyon College was founded in Prescott, Arizona in 1949 as a traditional, private, non-profit college and moved to its existing campus in Phoenix, Arizona in 1951. Established as a Baptist-affiliated institution with a strong emphasis on religious studies, the school initially focused on offering bachelor’s degree programs in education. Over the years, the school expanded its curricula to include programs in the sciences, nursing, business, music, and arts. The college obtained regional accreditation in 1968 from the Commission on Institutions of Higher Education, North Central Association of Colleges and Schools, the predecessor to the Higher Learning Commission, and began offering nursing programs and master’s degree programs in education and business in the 1980s. In 1989, it achieved university status and became Grand Canyon University. The university introduced its first distance learning programs in 1997, and launched its first online programs in 2003 in business and education. In early 2000, it discontinued its Baptist affiliation and became a non-denominational Christian university.</w:t>
      </w:r>
    </w:p>
    <w:p>
      <w:pPr>
        <w:spacing w:after="0" w:line="118"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late 2003, the school’s Board of Trustees initiated a process to evaluate alternatives as a result of the school’s poor financial condition and, in February 2004, several of our current stockholders acquired the assets of the school and converted its operations to a for-profit institution.</w:t>
      </w:r>
    </w:p>
    <w:p>
      <w:pPr>
        <w:spacing w:after="0" w:line="58"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Since February 2004, we have enhanced our senior management team, expanded our online platform and programs, initiated an infrastructure and technology improvement plan and launched a marketing and branding effort to further differentiate us in the markets in which we operate and support our continued growth. We have also made investments to enhance our student and technology support services and added additional infrastructure including a 140,000 square foot basketball and entertainment arena, two additional dormitories, a classroom building, a 55,000 square foot student recreation center that has state of the art training facilities for our 400 student-athletes, and a student activity center that contains a food court, a bowling alley and other student services to support our growing traditional on-campus student population. In 2011 we began construction on two additional dormitories and an Arts and Science classroom building, which will have 21 traditional classrooms, five chemistry labs, two computer labs, a simulation lab, and a skills laboratory. In the Spring of 2012, we will begin construction on our first parking garage. The new Arts and Sciences building as well as these other projects will be completed by August 2012. We believe these investments, combined with our management expertise, provide a platform that will support continued enrollment and revenue growth. We have also maintained our non-denominational Christian identity, with most of our undergraduate programs including Christian study requirements.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Academic Quality</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Some of the key elements that we focus on to promote a high level of academic quality include:</w:t>
      </w:r>
    </w:p>
    <w:p>
      <w:pPr>
        <w:spacing w:after="0" w:line="158" w:lineRule="exact"/>
        <w:rPr>
          <w:sz w:val="20"/>
          <w:szCs w:val="20"/>
          <w:color w:val="auto"/>
        </w:rPr>
      </w:pPr>
    </w:p>
    <w:p>
      <w:pPr>
        <w:ind w:left="1480" w:right="100" w:hanging="446"/>
        <w:spacing w:after="0" w:line="294" w:lineRule="auto"/>
        <w:tabs>
          <w:tab w:leader="none" w:pos="14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Academically rigorous, career oriented curricula. </w:t>
      </w:r>
      <w:r>
        <w:rPr>
          <w:rFonts w:ascii="Arial" w:cs="Arial" w:eastAsia="Arial" w:hAnsi="Arial"/>
          <w:sz w:val="16"/>
          <w:szCs w:val="16"/>
          <w:color w:val="auto"/>
        </w:rPr>
        <w:t>We create academically rigorous curricula that are designed to enable all students to gain</w:t>
      </w:r>
      <w:r>
        <w:rPr>
          <w:rFonts w:ascii="Arial" w:cs="Arial" w:eastAsia="Arial" w:hAnsi="Arial"/>
          <w:sz w:val="16"/>
          <w:szCs w:val="16"/>
          <w:i w:val="1"/>
          <w:iCs w:val="1"/>
          <w:color w:val="auto"/>
        </w:rPr>
        <w:t xml:space="preserve"> </w:t>
      </w:r>
      <w:r>
        <w:rPr>
          <w:rFonts w:ascii="Arial" w:cs="Arial" w:eastAsia="Arial" w:hAnsi="Arial"/>
          <w:sz w:val="16"/>
          <w:szCs w:val="16"/>
          <w:color w:val="auto"/>
        </w:rPr>
        <w:t>the foundational knowledge, professional competencies, and demonstrable skills required to be successful in their chosen fields. Our curriculum is designed and delivered by faculty that are committed to high quality, rigorous education. We design our curricula to address specific career-oriented objectives that we believe working adult students in the disciplines we serve are seeking. Through this combination, we believe that we produce graduates that can compete and become leaders in their chosen fields.</w:t>
      </w:r>
    </w:p>
    <w:p>
      <w:pPr>
        <w:spacing w:after="0" w:line="102" w:lineRule="exact"/>
        <w:rPr>
          <w:rFonts w:ascii="Arial" w:cs="Arial" w:eastAsia="Arial" w:hAnsi="Arial"/>
          <w:sz w:val="16"/>
          <w:szCs w:val="16"/>
          <w:color w:val="auto"/>
        </w:rPr>
      </w:pPr>
    </w:p>
    <w:p>
      <w:pPr>
        <w:ind w:left="1480" w:hanging="446"/>
        <w:spacing w:after="0" w:line="291" w:lineRule="auto"/>
        <w:tabs>
          <w:tab w:leader="none" w:pos="14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Qualified faculty. </w:t>
      </w:r>
      <w:r>
        <w:rPr>
          <w:rFonts w:ascii="Arial" w:cs="Arial" w:eastAsia="Arial" w:hAnsi="Arial"/>
          <w:sz w:val="16"/>
          <w:szCs w:val="16"/>
          <w:color w:val="auto"/>
        </w:rPr>
        <w:t>We demonstrate our commitment to high quality education by hiring qualified faculty with relevant practical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our current faculty members hold at least a master’s degree in their respective field and approximately 30% of our faculty members hold a doctoral degree. Faculty members are able to integrate relevant, practical experiences from their professional careers into the courses they teach. We invest in the professional development of our faculty members by providing training in traditional and online teaching techniques, hosting events and discussion forums that foster sharing of best practices, and continually assessing teaching effectiveness through assessment, peer reviews, and student evaluations.</w:t>
      </w:r>
    </w:p>
    <w:p>
      <w:pPr>
        <w:spacing w:after="0" w:line="106" w:lineRule="exact"/>
        <w:rPr>
          <w:rFonts w:ascii="Arial" w:cs="Arial" w:eastAsia="Arial" w:hAnsi="Arial"/>
          <w:sz w:val="16"/>
          <w:szCs w:val="16"/>
          <w:color w:val="auto"/>
        </w:rPr>
      </w:pPr>
    </w:p>
    <w:p>
      <w:pPr>
        <w:ind w:left="1480" w:right="260" w:hanging="446"/>
        <w:spacing w:after="0" w:line="256"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Standardized course design. </w:t>
      </w:r>
      <w:r>
        <w:rPr>
          <w:rFonts w:ascii="Arial" w:cs="Arial" w:eastAsia="Arial" w:hAnsi="Arial"/>
          <w:sz w:val="18"/>
          <w:szCs w:val="18"/>
          <w:color w:val="auto"/>
        </w:rPr>
        <w:t>We employ a standardized curriculum development process to ensure a consistent learning experience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frequent faculty-student interaction in our courses. We thereafter continuously review our programs in an effort to ensure that they remain consistent, up-to-date, and effective in producing the desired learning outcomes. We also regularly review student surveys to identify opportunities for course modifications and upgrades.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100" w:hanging="446"/>
        <w:spacing w:after="0" w:line="291" w:lineRule="auto"/>
        <w:tabs>
          <w:tab w:leader="none" w:pos="14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Effective student services. </w:t>
      </w:r>
      <w:r>
        <w:rPr>
          <w:rFonts w:ascii="Arial" w:cs="Arial" w:eastAsia="Arial" w:hAnsi="Arial"/>
          <w:sz w:val="16"/>
          <w:szCs w:val="16"/>
          <w:color w:val="auto"/>
        </w:rPr>
        <w:t>We establish teams comprised of enrollment, academic and finance personnel that act as the primary support</w:t>
      </w:r>
      <w:r>
        <w:rPr>
          <w:rFonts w:ascii="Arial" w:cs="Arial" w:eastAsia="Arial" w:hAnsi="Arial"/>
          <w:sz w:val="16"/>
          <w:szCs w:val="16"/>
          <w:i w:val="1"/>
          <w:iCs w:val="1"/>
          <w:color w:val="auto"/>
        </w:rPr>
        <w:t xml:space="preserve"> </w:t>
      </w:r>
      <w:r>
        <w:rPr>
          <w:rFonts w:ascii="Arial" w:cs="Arial" w:eastAsia="Arial" w:hAnsi="Arial"/>
          <w:sz w:val="16"/>
          <w:szCs w:val="16"/>
          <w:color w:val="auto"/>
        </w:rPr>
        <w:t>contact point for each of our students, beginning at the application stage and continuing through graduation. In recent years, we have also concentrated on improving the technology used to support student learning, including enhancing our online learning platform and further improving student services through the implementation of online interfaces. As a result, many of our support services, including academic, administrative, library, and career services, are accessible online, generally allowing users to access these services at a time and in a manner that is generally convenient to them.</w:t>
      </w:r>
    </w:p>
    <w:p>
      <w:pPr>
        <w:spacing w:after="0" w:line="106" w:lineRule="exact"/>
        <w:rPr>
          <w:rFonts w:ascii="Arial" w:cs="Arial" w:eastAsia="Arial" w:hAnsi="Arial"/>
          <w:sz w:val="16"/>
          <w:szCs w:val="16"/>
          <w:color w:val="auto"/>
        </w:rPr>
      </w:pPr>
    </w:p>
    <w:p>
      <w:pPr>
        <w:ind w:left="1480" w:hanging="446"/>
        <w:spacing w:after="0" w:line="290" w:lineRule="auto"/>
        <w:tabs>
          <w:tab w:leader="none" w:pos="14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Continual academic oversight. </w:t>
      </w:r>
      <w:r>
        <w:rPr>
          <w:rFonts w:ascii="Arial" w:cs="Arial" w:eastAsia="Arial" w:hAnsi="Arial"/>
          <w:sz w:val="16"/>
          <w:szCs w:val="16"/>
          <w:color w:val="auto"/>
        </w:rPr>
        <w:t>We have centralized the assessment functions for all of our programs through our Office of Assessment,</w:t>
      </w:r>
      <w:r>
        <w:rPr>
          <w:rFonts w:ascii="Arial" w:cs="Arial" w:eastAsia="Arial" w:hAnsi="Arial"/>
          <w:sz w:val="16"/>
          <w:szCs w:val="16"/>
          <w:i w:val="1"/>
          <w:iCs w:val="1"/>
          <w:color w:val="auto"/>
        </w:rPr>
        <w:t xml:space="preserve"> </w:t>
      </w:r>
      <w:r>
        <w:rPr>
          <w:rFonts w:ascii="Arial" w:cs="Arial" w:eastAsia="Arial" w:hAnsi="Arial"/>
          <w:sz w:val="16"/>
          <w:szCs w:val="16"/>
          <w:color w:val="auto"/>
        </w:rPr>
        <w:t>which continuously evaluates the desired learning outcomes for each of our programs. We continuously assess outcomes data to determine whether our students graduate with the knowledge, competencies, and skills that are necessary to succeed in the workplace. The Office of Assessment also initiates and manages periodic examinations of our curricula by internal and external reviewers to evaluate and verify program quality and workplace applicability. Based on these processes and student feedback, we determine whether to modify or discontinue programs that do not meet our standards or market needs, or to create new programs. The Office of Assessment also oversees assessment of mission-based competencies.</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offer the following features in an effort to enrich the academic experience of current and prospective students:</w:t>
      </w:r>
    </w:p>
    <w:p>
      <w:pPr>
        <w:spacing w:after="0" w:line="158" w:lineRule="exact"/>
        <w:rPr>
          <w:sz w:val="20"/>
          <w:szCs w:val="20"/>
          <w:color w:val="auto"/>
        </w:rPr>
      </w:pPr>
    </w:p>
    <w:p>
      <w:pPr>
        <w:ind w:left="1480" w:hanging="446"/>
        <w:spacing w:after="0" w:line="314" w:lineRule="auto"/>
        <w:tabs>
          <w:tab w:leader="none" w:pos="148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Flexibility in program delivery. </w:t>
      </w:r>
      <w:r>
        <w:rPr>
          <w:rFonts w:ascii="Arial" w:cs="Arial" w:eastAsia="Arial" w:hAnsi="Arial"/>
          <w:sz w:val="15"/>
          <w:szCs w:val="15"/>
          <w:color w:val="auto"/>
        </w:rPr>
        <w:t>We also seek to meet market demands by providing students with the flexibility to take courses exclusively</w:t>
      </w:r>
      <w:r>
        <w:rPr>
          <w:rFonts w:ascii="Arial" w:cs="Arial" w:eastAsia="Arial" w:hAnsi="Arial"/>
          <w:sz w:val="15"/>
          <w:szCs w:val="15"/>
          <w:i w:val="1"/>
          <w:iCs w:val="1"/>
          <w:color w:val="auto"/>
        </w:rPr>
        <w:t xml:space="preserve"> </w:t>
      </w:r>
      <w:r>
        <w:rPr>
          <w:rFonts w:ascii="Arial" w:cs="Arial" w:eastAsia="Arial" w:hAnsi="Arial"/>
          <w:sz w:val="15"/>
          <w:szCs w:val="15"/>
          <w:color w:val="auto"/>
        </w:rPr>
        <w:t>online or to combine online coursework with various campus and onsite options. For example, based on market demand, particularly in connection with our nursing programs, we have established satellite locations at multiple hospitals that allow nursing students to take clinical courses onsite while completing other course work online. We have established similar onsite arrangements with other major employers, including schools and school districts through which students can pursue student teaching opportunities. This flexibility raises our profile among employers, encourages students to take and complete courses and eliminates inconveniences that tend to lessen student persistence.</w:t>
      </w:r>
    </w:p>
    <w:p>
      <w:pPr>
        <w:spacing w:after="0" w:line="91" w:lineRule="exact"/>
        <w:rPr>
          <w:rFonts w:ascii="Arial" w:cs="Arial" w:eastAsia="Arial" w:hAnsi="Arial"/>
          <w:sz w:val="15"/>
          <w:szCs w:val="15"/>
          <w:color w:val="auto"/>
        </w:rPr>
      </w:pPr>
    </w:p>
    <w:p>
      <w:pPr>
        <w:ind w:left="1480" w:right="60" w:hanging="446"/>
        <w:spacing w:after="0" w:line="255"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Small class size. </w:t>
      </w:r>
      <w:r>
        <w:rPr>
          <w:rFonts w:ascii="Arial" w:cs="Arial" w:eastAsia="Arial" w:hAnsi="Arial"/>
          <w:sz w:val="18"/>
          <w:szCs w:val="18"/>
          <w:color w:val="auto"/>
        </w:rPr>
        <w:t>At December 31, 2011, 97% of our online classes had 25 or fewer students. These class sizes provide each student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opportunity to interact directly with course faculty and to receive individualized feedback and attention while also affording our faculty with the opportunity to engage proactively with a manageable number of students. We believe this interaction enhances the academic quality of our programs by promoting opportunities for students to participate actively and thus build the requisite knowledge, competencies, and skills.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Accreditation and Program Approvals</w:t>
      </w:r>
    </w:p>
    <w:p>
      <w:pPr>
        <w:spacing w:after="0" w:line="15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believe that the quality of our academic programs is evidenced by the college- and program-specific accreditations and approvals that we have pursued and obtained. Grand Canyon University has been continually accredited by the Higher Learning Commission and its predecessor since 1968, obtaining its most recent ten-year reaccreditation in 2007. We are licensed in Arizona by the Arizona State Board for Private Postsecondary Education. In addition, we have obtained the following specialized accreditations and approvals for our core program offerings: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60" w:type="dxa"/>
            <w:vAlign w:val="bottom"/>
            <w:gridSpan w:val="4"/>
          </w:tcPr>
          <w:p>
            <w:pPr>
              <w:ind w:left="280"/>
              <w:spacing w:after="0"/>
              <w:rPr>
                <w:sz w:val="20"/>
                <w:szCs w:val="20"/>
                <w:color w:val="auto"/>
              </w:rPr>
            </w:pPr>
            <w:r>
              <w:rPr>
                <w:rFonts w:ascii="Arial" w:cs="Arial" w:eastAsia="Arial" w:hAnsi="Arial"/>
                <w:sz w:val="14"/>
                <w:szCs w:val="14"/>
                <w:b w:val="1"/>
                <w:bCs w:val="1"/>
                <w:color w:val="auto"/>
              </w:rPr>
              <w:t>Specialized Accreditations and Program</w:t>
            </w:r>
          </w:p>
        </w:tc>
        <w:tc>
          <w:tcPr>
            <w:tcW w:w="1740" w:type="dxa"/>
            <w:vAlign w:val="bottom"/>
          </w:tcPr>
          <w:p>
            <w:pPr>
              <w:spacing w:after="0"/>
              <w:rPr>
                <w:sz w:val="14"/>
                <w:szCs w:val="14"/>
                <w:color w:val="auto"/>
              </w:rPr>
            </w:pPr>
          </w:p>
        </w:tc>
      </w:tr>
      <w:tr>
        <w:trPr>
          <w:trHeight w:val="168"/>
        </w:trPr>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College</w:t>
            </w:r>
          </w:p>
        </w:tc>
        <w:tc>
          <w:tcPr>
            <w:tcW w:w="2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Approvals</w:t>
            </w:r>
          </w:p>
        </w:tc>
        <w:tc>
          <w:tcPr>
            <w:tcW w:w="1200" w:type="dxa"/>
            <w:vAlign w:val="bottom"/>
          </w:tcPr>
          <w:p>
            <w:pPr>
              <w:spacing w:after="0"/>
              <w:rPr>
                <w:sz w:val="14"/>
                <w:szCs w:val="14"/>
                <w:color w:val="auto"/>
              </w:rPr>
            </w:pPr>
          </w:p>
        </w:tc>
        <w:tc>
          <w:tcPr>
            <w:tcW w:w="1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Current Period</w:t>
            </w:r>
          </w:p>
        </w:tc>
      </w:tr>
      <w:tr>
        <w:trPr>
          <w:trHeight w:val="370"/>
        </w:trPr>
        <w:tc>
          <w:tcPr>
            <w:tcW w:w="4560" w:type="dxa"/>
            <w:vAlign w:val="bottom"/>
            <w:gridSpan w:val="2"/>
          </w:tcPr>
          <w:p>
            <w:pPr>
              <w:spacing w:after="0"/>
              <w:rPr>
                <w:sz w:val="20"/>
                <w:szCs w:val="20"/>
                <w:color w:val="auto"/>
              </w:rPr>
            </w:pPr>
            <w:r>
              <w:rPr>
                <w:rFonts w:ascii="Arial" w:cs="Arial" w:eastAsia="Arial" w:hAnsi="Arial"/>
                <w:sz w:val="18"/>
                <w:szCs w:val="18"/>
                <w:i w:val="1"/>
                <w:iCs w:val="1"/>
                <w:color w:val="auto"/>
              </w:rPr>
              <w:t>College of Education</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260" w:type="dxa"/>
            <w:vAlign w:val="bottom"/>
            <w:gridSpan w:val="4"/>
          </w:tcPr>
          <w:p>
            <w:pPr>
              <w:ind w:left="120"/>
              <w:spacing w:after="0"/>
              <w:rPr>
                <w:sz w:val="20"/>
                <w:szCs w:val="20"/>
                <w:color w:val="auto"/>
              </w:rPr>
            </w:pPr>
            <w:r>
              <w:rPr>
                <w:rFonts w:ascii="Arial" w:cs="Arial" w:eastAsia="Arial" w:hAnsi="Arial"/>
                <w:sz w:val="18"/>
                <w:szCs w:val="18"/>
                <w:color w:val="auto"/>
              </w:rPr>
              <w:t>The Arizona State Board of Education</w:t>
            </w:r>
          </w:p>
        </w:tc>
        <w:tc>
          <w:tcPr>
            <w:tcW w:w="1740" w:type="dxa"/>
            <w:vAlign w:val="bottom"/>
          </w:tcPr>
          <w:p>
            <w:pPr>
              <w:jc w:val="right"/>
              <w:spacing w:after="0"/>
              <w:rPr>
                <w:sz w:val="20"/>
                <w:szCs w:val="20"/>
                <w:color w:val="auto"/>
              </w:rPr>
            </w:pPr>
            <w:r>
              <w:rPr>
                <w:rFonts w:ascii="Arial" w:cs="Arial" w:eastAsia="Arial" w:hAnsi="Arial"/>
                <w:sz w:val="18"/>
                <w:szCs w:val="18"/>
                <w:color w:val="auto"/>
                <w:w w:val="97"/>
              </w:rPr>
              <w:t>2010 – 2013 (teacher)</w:t>
            </w:r>
          </w:p>
        </w:tc>
      </w:tr>
      <w:tr>
        <w:trPr>
          <w:trHeight w:val="216"/>
        </w:trPr>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approves our College of Education to</w:t>
            </w:r>
          </w:p>
        </w:tc>
        <w:tc>
          <w:tcPr>
            <w:tcW w:w="1740" w:type="dxa"/>
            <w:vAlign w:val="bottom"/>
          </w:tcPr>
          <w:p>
            <w:pPr>
              <w:jc w:val="right"/>
              <w:spacing w:after="0"/>
              <w:rPr>
                <w:sz w:val="20"/>
                <w:szCs w:val="20"/>
                <w:color w:val="auto"/>
              </w:rPr>
            </w:pPr>
            <w:r>
              <w:rPr>
                <w:rFonts w:ascii="Arial" w:cs="Arial" w:eastAsia="Arial" w:hAnsi="Arial"/>
                <w:sz w:val="18"/>
                <w:szCs w:val="18"/>
                <w:color w:val="auto"/>
                <w:w w:val="93"/>
              </w:rPr>
              <w:t>2010 – 2012 (principal)</w:t>
            </w:r>
          </w:p>
        </w:tc>
      </w:tr>
      <w:tr>
        <w:trPr>
          <w:trHeight w:val="216"/>
        </w:trPr>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offer Institutional Recommendations for</w:t>
            </w:r>
          </w:p>
        </w:tc>
        <w:tc>
          <w:tcPr>
            <w:tcW w:w="17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the certification of elementary,</w:t>
            </w:r>
          </w:p>
        </w:tc>
        <w:tc>
          <w:tcPr>
            <w:tcW w:w="17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secondary, and special education</w:t>
            </w:r>
          </w:p>
        </w:tc>
        <w:tc>
          <w:tcPr>
            <w:tcW w:w="17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teachers (B.S./M.Ed.) and school</w:t>
            </w:r>
          </w:p>
        </w:tc>
        <w:tc>
          <w:tcPr>
            <w:tcW w:w="174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principals (M.Ed.).</w:t>
            </w:r>
          </w:p>
        </w:tc>
        <w:tc>
          <w:tcPr>
            <w:tcW w:w="1740" w:type="dxa"/>
            <w:vAlign w:val="bottom"/>
          </w:tcPr>
          <w:p>
            <w:pPr>
              <w:spacing w:after="0"/>
              <w:rPr>
                <w:sz w:val="19"/>
                <w:szCs w:val="19"/>
                <w:color w:val="auto"/>
              </w:rPr>
            </w:pPr>
          </w:p>
        </w:tc>
      </w:tr>
      <w:tr>
        <w:trPr>
          <w:trHeight w:val="385"/>
        </w:trPr>
        <w:tc>
          <w:tcPr>
            <w:tcW w:w="4560" w:type="dxa"/>
            <w:vAlign w:val="bottom"/>
            <w:gridSpan w:val="2"/>
          </w:tcPr>
          <w:p>
            <w:pPr>
              <w:spacing w:after="0"/>
              <w:rPr>
                <w:sz w:val="20"/>
                <w:szCs w:val="20"/>
                <w:color w:val="auto"/>
              </w:rPr>
            </w:pPr>
            <w:r>
              <w:rPr>
                <w:rFonts w:ascii="Arial" w:cs="Arial" w:eastAsia="Arial" w:hAnsi="Arial"/>
                <w:sz w:val="18"/>
                <w:szCs w:val="18"/>
                <w:i w:val="1"/>
                <w:iCs w:val="1"/>
                <w:color w:val="auto"/>
              </w:rPr>
              <w:t>College of Education</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260" w:type="dxa"/>
            <w:vAlign w:val="bottom"/>
            <w:gridSpan w:val="4"/>
          </w:tcPr>
          <w:p>
            <w:pPr>
              <w:ind w:left="120"/>
              <w:spacing w:after="0"/>
              <w:rPr>
                <w:sz w:val="20"/>
                <w:szCs w:val="20"/>
                <w:color w:val="auto"/>
              </w:rPr>
            </w:pPr>
            <w:r>
              <w:rPr>
                <w:rFonts w:ascii="Arial" w:cs="Arial" w:eastAsia="Arial" w:hAnsi="Arial"/>
                <w:sz w:val="18"/>
                <w:szCs w:val="18"/>
                <w:color w:val="auto"/>
              </w:rPr>
              <w:t>Our College of Education is a candidate</w:t>
            </w:r>
          </w:p>
        </w:tc>
        <w:tc>
          <w:tcPr>
            <w:tcW w:w="1740" w:type="dxa"/>
            <w:vAlign w:val="bottom"/>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for accreditation by the National</w:t>
            </w:r>
          </w:p>
        </w:tc>
        <w:tc>
          <w:tcPr>
            <w:tcW w:w="17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Council for Accreditation of Teacher</w:t>
            </w:r>
          </w:p>
        </w:tc>
        <w:tc>
          <w:tcPr>
            <w:tcW w:w="1740" w:type="dxa"/>
            <w:vAlign w:val="bottom"/>
          </w:tcPr>
          <w:p>
            <w:pPr>
              <w:spacing w:after="0"/>
              <w:rPr>
                <w:sz w:val="18"/>
                <w:szCs w:val="18"/>
                <w:color w:val="auto"/>
              </w:rPr>
            </w:pPr>
          </w:p>
        </w:tc>
      </w:tr>
      <w:tr>
        <w:trPr>
          <w:trHeight w:val="184"/>
        </w:trPr>
        <w:tc>
          <w:tcPr>
            <w:tcW w:w="4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60" w:type="dxa"/>
            <w:vAlign w:val="bottom"/>
            <w:gridSpan w:val="4"/>
          </w:tcPr>
          <w:p>
            <w:pPr>
              <w:ind w:left="240"/>
              <w:spacing w:after="0" w:line="184" w:lineRule="exact"/>
              <w:rPr>
                <w:sz w:val="20"/>
                <w:szCs w:val="20"/>
                <w:color w:val="auto"/>
              </w:rPr>
            </w:pPr>
            <w:r>
              <w:rPr>
                <w:rFonts w:ascii="Arial" w:cs="Arial" w:eastAsia="Arial" w:hAnsi="Arial"/>
                <w:sz w:val="18"/>
                <w:szCs w:val="18"/>
                <w:color w:val="auto"/>
              </w:rPr>
              <w:t>Education (NCATE), www.ncate.org.</w:t>
            </w:r>
          </w:p>
        </w:tc>
        <w:tc>
          <w:tcPr>
            <w:tcW w:w="1740" w:type="dxa"/>
            <w:vAlign w:val="bottom"/>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28"/>
        </w:trPr>
        <w:tc>
          <w:tcPr>
            <w:tcW w:w="4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Candidacy status means that the</w:t>
            </w:r>
          </w:p>
        </w:tc>
        <w:tc>
          <w:tcPr>
            <w:tcW w:w="174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College of Education has met</w:t>
            </w:r>
          </w:p>
        </w:tc>
        <w:tc>
          <w:tcPr>
            <w:tcW w:w="17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preconditions for accreditation but is</w:t>
            </w:r>
          </w:p>
        </w:tc>
        <w:tc>
          <w:tcPr>
            <w:tcW w:w="17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not accredited. This candidacy covers</w:t>
            </w:r>
          </w:p>
        </w:tc>
        <w:tc>
          <w:tcPr>
            <w:tcW w:w="17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the initial teacher preparation programs</w:t>
            </w:r>
          </w:p>
        </w:tc>
        <w:tc>
          <w:tcPr>
            <w:tcW w:w="17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and advanced educator preparation</w:t>
            </w:r>
          </w:p>
        </w:tc>
        <w:tc>
          <w:tcPr>
            <w:tcW w:w="17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programs that we offer at our ground</w:t>
            </w:r>
          </w:p>
        </w:tc>
        <w:tc>
          <w:tcPr>
            <w:tcW w:w="174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campus and online.</w:t>
            </w:r>
          </w:p>
        </w:tc>
        <w:tc>
          <w:tcPr>
            <w:tcW w:w="1740" w:type="dxa"/>
            <w:vAlign w:val="bottom"/>
          </w:tcPr>
          <w:p>
            <w:pPr>
              <w:spacing w:after="0"/>
              <w:rPr>
                <w:sz w:val="19"/>
                <w:szCs w:val="19"/>
                <w:color w:val="auto"/>
              </w:rPr>
            </w:pPr>
          </w:p>
        </w:tc>
      </w:tr>
      <w:tr>
        <w:trPr>
          <w:trHeight w:val="385"/>
        </w:trPr>
        <w:tc>
          <w:tcPr>
            <w:tcW w:w="4560" w:type="dxa"/>
            <w:vAlign w:val="bottom"/>
            <w:gridSpan w:val="2"/>
          </w:tcPr>
          <w:p>
            <w:pPr>
              <w:spacing w:after="0"/>
              <w:rPr>
                <w:sz w:val="20"/>
                <w:szCs w:val="20"/>
                <w:color w:val="auto"/>
              </w:rPr>
            </w:pPr>
            <w:r>
              <w:rPr>
                <w:rFonts w:ascii="Arial" w:cs="Arial" w:eastAsia="Arial" w:hAnsi="Arial"/>
                <w:sz w:val="18"/>
                <w:szCs w:val="18"/>
                <w:i w:val="1"/>
                <w:iCs w:val="1"/>
                <w:color w:val="auto"/>
              </w:rPr>
              <w:t>Ken Blanchard College of Business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260" w:type="dxa"/>
            <w:vAlign w:val="bottom"/>
            <w:gridSpan w:val="4"/>
          </w:tcPr>
          <w:p>
            <w:pPr>
              <w:ind w:left="120"/>
              <w:spacing w:after="0"/>
              <w:rPr>
                <w:sz w:val="20"/>
                <w:szCs w:val="20"/>
                <w:color w:val="auto"/>
              </w:rPr>
            </w:pPr>
            <w:r>
              <w:rPr>
                <w:rFonts w:ascii="Arial" w:cs="Arial" w:eastAsia="Arial" w:hAnsi="Arial"/>
                <w:sz w:val="18"/>
                <w:szCs w:val="18"/>
                <w:color w:val="auto"/>
              </w:rPr>
              <w:t>The Association of Collegiate Business</w:t>
            </w:r>
          </w:p>
        </w:tc>
        <w:tc>
          <w:tcPr>
            <w:tcW w:w="1740" w:type="dxa"/>
            <w:vAlign w:val="bottom"/>
          </w:tcPr>
          <w:p>
            <w:pPr>
              <w:jc w:val="right"/>
              <w:spacing w:after="0"/>
              <w:rPr>
                <w:sz w:val="20"/>
                <w:szCs w:val="20"/>
                <w:color w:val="auto"/>
              </w:rPr>
            </w:pPr>
            <w:r>
              <w:rPr>
                <w:rFonts w:ascii="Arial" w:cs="Arial" w:eastAsia="Arial" w:hAnsi="Arial"/>
                <w:sz w:val="18"/>
                <w:szCs w:val="18"/>
                <w:color w:val="auto"/>
              </w:rPr>
              <w:t>2007 – 2017</w:t>
            </w:r>
          </w:p>
        </w:tc>
      </w:tr>
      <w:tr>
        <w:trPr>
          <w:trHeight w:val="216"/>
        </w:trPr>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Schools and Programs accredits our</w:t>
            </w:r>
          </w:p>
        </w:tc>
        <w:tc>
          <w:tcPr>
            <w:tcW w:w="17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Executive Master of Business</w:t>
            </w:r>
          </w:p>
        </w:tc>
        <w:tc>
          <w:tcPr>
            <w:tcW w:w="17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Administration degree program, Master</w:t>
            </w:r>
          </w:p>
        </w:tc>
        <w:tc>
          <w:tcPr>
            <w:tcW w:w="17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of Business Administration degree</w:t>
            </w:r>
          </w:p>
        </w:tc>
        <w:tc>
          <w:tcPr>
            <w:tcW w:w="17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program, and our Bachelor of Science</w:t>
            </w:r>
          </w:p>
        </w:tc>
        <w:tc>
          <w:tcPr>
            <w:tcW w:w="17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degree programs in Accounting,</w:t>
            </w:r>
          </w:p>
        </w:tc>
        <w:tc>
          <w:tcPr>
            <w:tcW w:w="17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Business Administration, Marketing,</w:t>
            </w:r>
          </w:p>
        </w:tc>
        <w:tc>
          <w:tcPr>
            <w:tcW w:w="17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Finance and Economics, and</w:t>
            </w:r>
          </w:p>
        </w:tc>
        <w:tc>
          <w:tcPr>
            <w:tcW w:w="174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Entrepreneurial Studies.</w:t>
            </w:r>
          </w:p>
        </w:tc>
        <w:tc>
          <w:tcPr>
            <w:tcW w:w="1740" w:type="dxa"/>
            <w:vAlign w:val="bottom"/>
          </w:tcPr>
          <w:p>
            <w:pPr>
              <w:spacing w:after="0"/>
              <w:rPr>
                <w:sz w:val="19"/>
                <w:szCs w:val="19"/>
                <w:color w:val="auto"/>
              </w:rPr>
            </w:pPr>
          </w:p>
        </w:tc>
      </w:tr>
      <w:tr>
        <w:trPr>
          <w:trHeight w:val="385"/>
        </w:trPr>
        <w:tc>
          <w:tcPr>
            <w:tcW w:w="4560" w:type="dxa"/>
            <w:vAlign w:val="bottom"/>
            <w:gridSpan w:val="2"/>
          </w:tcPr>
          <w:p>
            <w:pPr>
              <w:spacing w:after="0"/>
              <w:rPr>
                <w:sz w:val="20"/>
                <w:szCs w:val="20"/>
                <w:color w:val="auto"/>
              </w:rPr>
            </w:pPr>
            <w:r>
              <w:rPr>
                <w:rFonts w:ascii="Arial" w:cs="Arial" w:eastAsia="Arial" w:hAnsi="Arial"/>
                <w:sz w:val="18"/>
                <w:szCs w:val="18"/>
                <w:i w:val="1"/>
                <w:iCs w:val="1"/>
                <w:color w:val="auto"/>
              </w:rPr>
              <w:t>College of Nursing and Health Sciences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260" w:type="dxa"/>
            <w:vAlign w:val="bottom"/>
            <w:gridSpan w:val="4"/>
          </w:tcPr>
          <w:p>
            <w:pPr>
              <w:ind w:left="120"/>
              <w:spacing w:after="0"/>
              <w:rPr>
                <w:sz w:val="20"/>
                <w:szCs w:val="20"/>
                <w:color w:val="auto"/>
              </w:rPr>
            </w:pPr>
            <w:r>
              <w:rPr>
                <w:rFonts w:ascii="Arial" w:cs="Arial" w:eastAsia="Arial" w:hAnsi="Arial"/>
                <w:sz w:val="18"/>
                <w:szCs w:val="18"/>
                <w:color w:val="auto"/>
              </w:rPr>
              <w:t>The Commission on Collegiate Nursing</w:t>
            </w:r>
          </w:p>
        </w:tc>
        <w:tc>
          <w:tcPr>
            <w:tcW w:w="1740" w:type="dxa"/>
            <w:vAlign w:val="bottom"/>
          </w:tcPr>
          <w:p>
            <w:pPr>
              <w:jc w:val="right"/>
              <w:spacing w:after="0"/>
              <w:rPr>
                <w:sz w:val="20"/>
                <w:szCs w:val="20"/>
                <w:color w:val="auto"/>
              </w:rPr>
            </w:pPr>
            <w:r>
              <w:rPr>
                <w:rFonts w:ascii="Arial" w:cs="Arial" w:eastAsia="Arial" w:hAnsi="Arial"/>
                <w:sz w:val="18"/>
                <w:szCs w:val="18"/>
                <w:color w:val="auto"/>
              </w:rPr>
              <w:t>2006 – 2016 (B.S.)</w:t>
            </w:r>
          </w:p>
        </w:tc>
      </w:tr>
      <w:tr>
        <w:trPr>
          <w:trHeight w:val="216"/>
        </w:trPr>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Education accredits our Bachelor of</w:t>
            </w:r>
          </w:p>
        </w:tc>
        <w:tc>
          <w:tcPr>
            <w:tcW w:w="1740" w:type="dxa"/>
            <w:vAlign w:val="bottom"/>
          </w:tcPr>
          <w:p>
            <w:pPr>
              <w:jc w:val="right"/>
              <w:spacing w:after="0"/>
              <w:rPr>
                <w:sz w:val="20"/>
                <w:szCs w:val="20"/>
                <w:color w:val="auto"/>
              </w:rPr>
            </w:pPr>
            <w:r>
              <w:rPr>
                <w:rFonts w:ascii="Arial" w:cs="Arial" w:eastAsia="Arial" w:hAnsi="Arial"/>
                <w:sz w:val="18"/>
                <w:szCs w:val="18"/>
                <w:color w:val="auto"/>
              </w:rPr>
              <w:t>2011 – 2021 (M.S.)</w:t>
            </w:r>
          </w:p>
        </w:tc>
      </w:tr>
      <w:tr>
        <w:trPr>
          <w:trHeight w:val="216"/>
        </w:trPr>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Science in Nursing and Master of</w:t>
            </w:r>
          </w:p>
        </w:tc>
        <w:tc>
          <w:tcPr>
            <w:tcW w:w="174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Science in Nursing degree programs.</w:t>
            </w:r>
          </w:p>
        </w:tc>
        <w:tc>
          <w:tcPr>
            <w:tcW w:w="1740" w:type="dxa"/>
            <w:vAlign w:val="bottom"/>
          </w:tcPr>
          <w:p>
            <w:pPr>
              <w:spacing w:after="0"/>
              <w:rPr>
                <w:sz w:val="19"/>
                <w:szCs w:val="19"/>
                <w:color w:val="auto"/>
              </w:rPr>
            </w:pPr>
          </w:p>
        </w:tc>
      </w:tr>
      <w:tr>
        <w:trPr>
          <w:trHeight w:val="385"/>
        </w:trPr>
        <w:tc>
          <w:tcPr>
            <w:tcW w:w="4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260" w:type="dxa"/>
            <w:vAlign w:val="bottom"/>
            <w:gridSpan w:val="4"/>
          </w:tcPr>
          <w:p>
            <w:pPr>
              <w:ind w:left="120"/>
              <w:spacing w:after="0"/>
              <w:rPr>
                <w:sz w:val="20"/>
                <w:szCs w:val="20"/>
                <w:color w:val="auto"/>
              </w:rPr>
            </w:pPr>
            <w:r>
              <w:rPr>
                <w:rFonts w:ascii="Arial" w:cs="Arial" w:eastAsia="Arial" w:hAnsi="Arial"/>
                <w:sz w:val="18"/>
                <w:szCs w:val="18"/>
                <w:color w:val="auto"/>
              </w:rPr>
              <w:t>The Arizona State Board of Nursing</w:t>
            </w:r>
          </w:p>
        </w:tc>
        <w:tc>
          <w:tcPr>
            <w:tcW w:w="1740" w:type="dxa"/>
            <w:vAlign w:val="bottom"/>
          </w:tcPr>
          <w:p>
            <w:pPr>
              <w:jc w:val="right"/>
              <w:spacing w:after="0"/>
              <w:rPr>
                <w:sz w:val="20"/>
                <w:szCs w:val="20"/>
                <w:color w:val="auto"/>
              </w:rPr>
            </w:pPr>
            <w:r>
              <w:rPr>
                <w:rFonts w:ascii="Arial" w:cs="Arial" w:eastAsia="Arial" w:hAnsi="Arial"/>
                <w:sz w:val="18"/>
                <w:szCs w:val="18"/>
                <w:color w:val="auto"/>
              </w:rPr>
              <w:t>2006 – 2016 (B.S.)</w:t>
            </w:r>
          </w:p>
        </w:tc>
      </w:tr>
      <w:tr>
        <w:trPr>
          <w:trHeight w:val="216"/>
        </w:trPr>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approves our Bachelor of Science in</w:t>
            </w:r>
          </w:p>
        </w:tc>
        <w:tc>
          <w:tcPr>
            <w:tcW w:w="1740" w:type="dxa"/>
            <w:vAlign w:val="bottom"/>
          </w:tcPr>
          <w:p>
            <w:pPr>
              <w:jc w:val="right"/>
              <w:spacing w:after="0"/>
              <w:rPr>
                <w:sz w:val="20"/>
                <w:szCs w:val="20"/>
                <w:color w:val="auto"/>
              </w:rPr>
            </w:pPr>
            <w:r>
              <w:rPr>
                <w:rFonts w:ascii="Arial" w:cs="Arial" w:eastAsia="Arial" w:hAnsi="Arial"/>
                <w:sz w:val="18"/>
                <w:szCs w:val="18"/>
                <w:color w:val="auto"/>
              </w:rPr>
              <w:t>2011 – 2021 (M.S.)</w:t>
            </w:r>
          </w:p>
        </w:tc>
      </w:tr>
      <w:tr>
        <w:trPr>
          <w:trHeight w:val="216"/>
        </w:trPr>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Nursing and Master of Science in</w:t>
            </w:r>
          </w:p>
        </w:tc>
        <w:tc>
          <w:tcPr>
            <w:tcW w:w="174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Nursing degree programs.</w:t>
            </w:r>
          </w:p>
        </w:tc>
        <w:tc>
          <w:tcPr>
            <w:tcW w:w="1740" w:type="dxa"/>
            <w:vAlign w:val="bottom"/>
          </w:tcPr>
          <w:p>
            <w:pPr>
              <w:spacing w:after="0"/>
              <w:rPr>
                <w:sz w:val="19"/>
                <w:szCs w:val="19"/>
                <w:color w:val="auto"/>
              </w:rPr>
            </w:pPr>
          </w:p>
        </w:tc>
      </w:tr>
      <w:tr>
        <w:trPr>
          <w:trHeight w:val="385"/>
        </w:trPr>
        <w:tc>
          <w:tcPr>
            <w:tcW w:w="4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260" w:type="dxa"/>
            <w:vAlign w:val="bottom"/>
            <w:gridSpan w:val="4"/>
          </w:tcPr>
          <w:p>
            <w:pPr>
              <w:ind w:left="120"/>
              <w:spacing w:after="0"/>
              <w:rPr>
                <w:sz w:val="20"/>
                <w:szCs w:val="20"/>
                <w:color w:val="auto"/>
              </w:rPr>
            </w:pPr>
            <w:r>
              <w:rPr>
                <w:rFonts w:ascii="Arial" w:cs="Arial" w:eastAsia="Arial" w:hAnsi="Arial"/>
                <w:sz w:val="18"/>
                <w:szCs w:val="18"/>
                <w:color w:val="auto"/>
              </w:rPr>
              <w:t>The Commission on Accreditation of</w:t>
            </w:r>
          </w:p>
        </w:tc>
        <w:tc>
          <w:tcPr>
            <w:tcW w:w="1740" w:type="dxa"/>
            <w:vAlign w:val="bottom"/>
          </w:tcPr>
          <w:p>
            <w:pPr>
              <w:jc w:val="right"/>
              <w:spacing w:after="0"/>
              <w:rPr>
                <w:sz w:val="20"/>
                <w:szCs w:val="20"/>
                <w:color w:val="auto"/>
              </w:rPr>
            </w:pPr>
            <w:r>
              <w:rPr>
                <w:rFonts w:ascii="Arial" w:cs="Arial" w:eastAsia="Arial" w:hAnsi="Arial"/>
                <w:sz w:val="18"/>
                <w:szCs w:val="18"/>
                <w:color w:val="auto"/>
              </w:rPr>
              <w:t>2008 – 2013</w:t>
            </w:r>
          </w:p>
        </w:tc>
      </w:tr>
      <w:tr>
        <w:trPr>
          <w:trHeight w:val="216"/>
        </w:trPr>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Athletic Training Education accredits</w:t>
            </w:r>
          </w:p>
        </w:tc>
        <w:tc>
          <w:tcPr>
            <w:tcW w:w="174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60" w:type="dxa"/>
            <w:vAlign w:val="bottom"/>
            <w:gridSpan w:val="4"/>
          </w:tcPr>
          <w:p>
            <w:pPr>
              <w:ind w:left="240"/>
              <w:spacing w:after="0"/>
              <w:rPr>
                <w:sz w:val="20"/>
                <w:szCs w:val="20"/>
                <w:color w:val="auto"/>
              </w:rPr>
            </w:pPr>
            <w:r>
              <w:rPr>
                <w:rFonts w:ascii="Arial" w:cs="Arial" w:eastAsia="Arial" w:hAnsi="Arial"/>
                <w:sz w:val="18"/>
                <w:szCs w:val="18"/>
                <w:color w:val="auto"/>
              </w:rPr>
              <w:t>our Athletic Training Program.</w:t>
            </w:r>
          </w:p>
        </w:tc>
        <w:tc>
          <w:tcPr>
            <w:tcW w:w="1740" w:type="dxa"/>
            <w:vAlign w:val="bottom"/>
          </w:tcPr>
          <w:p>
            <w:pPr>
              <w:spacing w:after="0"/>
              <w:rPr>
                <w:sz w:val="19"/>
                <w:szCs w:val="19"/>
                <w:color w:val="auto"/>
              </w:rPr>
            </w:pPr>
          </w:p>
        </w:tc>
      </w:tr>
    </w:tbl>
    <w:p>
      <w:pPr>
        <w:spacing w:after="0" w:line="129"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Our regional accreditation with the Higher Learning Commission, and our specialized accreditations and approvals for our core programs, reflect the quality of, and standards we set for, our programs, enhance their marketability, and improve the employability of our graduates.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Curricula</w:t>
      </w:r>
    </w:p>
    <w:p>
      <w:pPr>
        <w:spacing w:after="0" w:line="15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offer the degrees of Doctor of Education, Doctor of Business Administration, Doctor of Philosophy in General Psychology, Master of Arts, Master of Education, Master of Business Administration, Master of Public Administration, Executive MBA, Master of Public Health, Master of Science, Bachelor of Arts, and Bachelor of Science and a variety of programs leading to each of these degrees. Many of our degree programs also offer the opportunity to obtain one or more emphases. We require students to take a minimum of three designated courses to achieve a given emphasis. We also offer certificate programs, which consist of a series of courses focused on a particular area of study, for students who seek to enhance their skills and knowledge.</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offer our academic programs through our six distinct colleges:</w:t>
      </w:r>
    </w:p>
    <w:p>
      <w:pPr>
        <w:spacing w:after="0" w:line="158" w:lineRule="exact"/>
        <w:rPr>
          <w:sz w:val="20"/>
          <w:szCs w:val="20"/>
          <w:color w:val="auto"/>
        </w:rPr>
      </w:pPr>
    </w:p>
    <w:p>
      <w:pPr>
        <w:ind w:left="1480" w:right="880" w:hanging="446"/>
        <w:spacing w:after="0" w:line="332" w:lineRule="auto"/>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College of Doctoral Studies, which utilizes innovative technology, collaboration, and learning communities to develop expert practitioners and researchers who can become leaders in the disciplines and communities they serve;</w:t>
      </w:r>
    </w:p>
    <w:p>
      <w:pPr>
        <w:sectPr>
          <w:pgSz w:w="11900" w:h="16838" w:orient="portrait"/>
          <w:cols w:equalWidth="0" w:num="1">
            <w:col w:w="11420"/>
          </w:cols>
          <w:pgMar w:left="240" w:top="459" w:right="239" w:bottom="1440"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120" w:hanging="446"/>
        <w:spacing w:after="0" w:line="332" w:lineRule="auto"/>
        <w:tabs>
          <w:tab w:leader="none" w:pos="1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College of Education, which has greater than a 60-year history as one of Arizona’s leading teacher’s colleges and consistently graduates teachers who meet or exceed state averages on the Arizona Educator Proficiency Assessment exams;</w:t>
      </w:r>
    </w:p>
    <w:p>
      <w:pPr>
        <w:spacing w:after="0" w:line="71" w:lineRule="exact"/>
        <w:rPr>
          <w:rFonts w:ascii="Arial" w:cs="Arial" w:eastAsia="Arial" w:hAnsi="Arial"/>
          <w:sz w:val="16"/>
          <w:szCs w:val="16"/>
          <w:color w:val="auto"/>
        </w:rPr>
      </w:pPr>
    </w:p>
    <w:p>
      <w:pPr>
        <w:ind w:left="1480" w:right="60" w:hanging="446"/>
        <w:spacing w:after="0" w:line="259"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Ken Blanchard College of Business, which has a well-known brand among our target student population, an advisory board that includes nationally recognized business leaders, and a reputation for offering career-oriented degree programs, including an Executive MBA and programs in leadership, business, and entrepreneurship;</w:t>
      </w:r>
    </w:p>
    <w:p>
      <w:pPr>
        <w:spacing w:after="0" w:line="126" w:lineRule="exact"/>
        <w:rPr>
          <w:rFonts w:ascii="Arial" w:cs="Arial" w:eastAsia="Arial" w:hAnsi="Arial"/>
          <w:sz w:val="18"/>
          <w:szCs w:val="18"/>
          <w:color w:val="auto"/>
        </w:rPr>
      </w:pPr>
    </w:p>
    <w:p>
      <w:pPr>
        <w:jc w:val="both"/>
        <w:ind w:left="1480" w:right="100" w:hanging="446"/>
        <w:spacing w:after="0" w:line="306" w:lineRule="auto"/>
        <w:tabs>
          <w:tab w:leader="none" w:pos="1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College of Nursing, which, as a result of, among other things, the strong pass rates of our Bachelor of Science in Nursing (pre-licensure) students on the National Council Licensure Examination (“NCLEX”), has a strong reputation within the Arizona nursing community and is the largest nursing program in Arizona when considering total college enrollment (bachelor and masters students);</w:t>
      </w:r>
    </w:p>
    <w:p>
      <w:pPr>
        <w:spacing w:after="0" w:line="93" w:lineRule="exact"/>
        <w:rPr>
          <w:rFonts w:ascii="Arial" w:cs="Arial" w:eastAsia="Arial" w:hAnsi="Arial"/>
          <w:sz w:val="16"/>
          <w:szCs w:val="16"/>
          <w:color w:val="auto"/>
        </w:rPr>
      </w:pPr>
    </w:p>
    <w:p>
      <w:pPr>
        <w:ind w:left="1480" w:right="100" w:hanging="446"/>
        <w:spacing w:after="0" w:line="332" w:lineRule="auto"/>
        <w:tabs>
          <w:tab w:leader="none" w:pos="1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College of Arts and Sciences, which develops and provides many of the general education course requirements in our other colleges and also serves as one of the vehicles through which we offer programs in additional targeted disciplines; and</w:t>
      </w:r>
    </w:p>
    <w:p>
      <w:pPr>
        <w:spacing w:after="0" w:line="71" w:lineRule="exact"/>
        <w:rPr>
          <w:rFonts w:ascii="Arial" w:cs="Arial" w:eastAsia="Arial" w:hAnsi="Arial"/>
          <w:sz w:val="16"/>
          <w:szCs w:val="16"/>
          <w:color w:val="auto"/>
        </w:rPr>
      </w:pPr>
    </w:p>
    <w:p>
      <w:pPr>
        <w:ind w:left="1480" w:right="40" w:hanging="446"/>
        <w:spacing w:after="0" w:line="268"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College of Fine Arts and Production, which was reintroduced in 2010 and which continues the long and highly regarded tradition that the University has in the Fine Arts.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license the right to utilize the name of Ken Blanchard in connection with our business school and Executive MBA Programs.</w:t>
      </w:r>
    </w:p>
    <w:p>
      <w:pPr>
        <w:spacing w:after="0" w:line="144"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Under the overall leadership of our senior academic affairs personnel and the deans of the individual colleges, each of the colleges organizes its academic programs through various departments and schools. At December 31, 2011, we offered 120 academic degree program and emphasis combinations,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160" w:type="dxa"/>
            <w:vAlign w:val="bottom"/>
            <w:tcBorders>
              <w:bottom w:val="single" w:sz="8" w:color="auto"/>
            </w:tcBorders>
          </w:tcPr>
          <w:p>
            <w:pPr>
              <w:ind w:left="2680"/>
              <w:spacing w:after="0"/>
              <w:rPr>
                <w:sz w:val="20"/>
                <w:szCs w:val="20"/>
                <w:color w:val="auto"/>
              </w:rPr>
            </w:pPr>
            <w:r>
              <w:rPr>
                <w:rFonts w:ascii="Arial" w:cs="Arial" w:eastAsia="Arial" w:hAnsi="Arial"/>
                <w:sz w:val="14"/>
                <w:szCs w:val="14"/>
                <w:b w:val="1"/>
                <w:bCs w:val="1"/>
                <w:color w:val="auto"/>
              </w:rPr>
              <w:t>College of Doctoral Studies</w:t>
            </w: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b w:val="1"/>
                <w:bCs w:val="1"/>
                <w:color w:val="auto"/>
                <w:w w:val="89"/>
              </w:rPr>
              <w:t>Degree Program</w:t>
            </w:r>
          </w:p>
        </w:tc>
        <w:tc>
          <w:tcPr>
            <w:tcW w:w="1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160" w:type="dxa"/>
            <w:vAlign w:val="bottom"/>
            <w:tcBorders>
              <w:bottom w:val="single" w:sz="8" w:color="auto"/>
            </w:tcBorders>
          </w:tcPr>
          <w:p>
            <w:pPr>
              <w:ind w:left="4200"/>
              <w:spacing w:after="0" w:line="143" w:lineRule="exact"/>
              <w:rPr>
                <w:sz w:val="20"/>
                <w:szCs w:val="20"/>
                <w:color w:val="auto"/>
              </w:rPr>
            </w:pPr>
            <w:r>
              <w:rPr>
                <w:rFonts w:ascii="Arial" w:cs="Arial" w:eastAsia="Arial" w:hAnsi="Arial"/>
                <w:sz w:val="14"/>
                <w:szCs w:val="14"/>
                <w:b w:val="1"/>
                <w:bCs w:val="1"/>
                <w:color w:val="auto"/>
              </w:rPr>
              <w:t>Emphasis</w:t>
            </w:r>
          </w:p>
        </w:tc>
        <w:tc>
          <w:tcPr>
            <w:tcW w:w="0" w:type="dxa"/>
            <w:vAlign w:val="bottom"/>
          </w:tcPr>
          <w:p>
            <w:pPr>
              <w:spacing w:after="0"/>
              <w:rPr>
                <w:sz w:val="1"/>
                <w:szCs w:val="1"/>
                <w:color w:val="auto"/>
              </w:rPr>
            </w:pPr>
          </w:p>
        </w:tc>
      </w:tr>
      <w:tr>
        <w:trPr>
          <w:trHeight w:val="195"/>
        </w:trPr>
        <w:tc>
          <w:tcPr>
            <w:tcW w:w="2080" w:type="dxa"/>
            <w:vAlign w:val="bottom"/>
            <w:gridSpan w:val="3"/>
          </w:tcPr>
          <w:p>
            <w:pPr>
              <w:spacing w:after="0" w:line="195" w:lineRule="exact"/>
              <w:rPr>
                <w:sz w:val="20"/>
                <w:szCs w:val="20"/>
                <w:color w:val="auto"/>
              </w:rPr>
            </w:pPr>
            <w:r>
              <w:rPr>
                <w:rFonts w:ascii="Arial" w:cs="Arial" w:eastAsia="Arial" w:hAnsi="Arial"/>
                <w:sz w:val="18"/>
                <w:szCs w:val="18"/>
                <w:color w:val="auto"/>
              </w:rPr>
              <w:t>Doctor of Education</w:t>
            </w:r>
          </w:p>
        </w:tc>
        <w:tc>
          <w:tcPr>
            <w:tcW w:w="1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9160" w:type="dxa"/>
            <w:vAlign w:val="bottom"/>
          </w:tcPr>
          <w:p>
            <w:pPr>
              <w:ind w:left="140"/>
              <w:spacing w:after="0" w:line="195" w:lineRule="exact"/>
              <w:rPr>
                <w:sz w:val="20"/>
                <w:szCs w:val="20"/>
                <w:color w:val="auto"/>
              </w:rPr>
            </w:pPr>
            <w:r>
              <w:rPr>
                <w:rFonts w:ascii="Arial" w:cs="Arial" w:eastAsia="Arial" w:hAnsi="Arial"/>
                <w:sz w:val="18"/>
                <w:szCs w:val="18"/>
                <w:color w:val="auto"/>
              </w:rPr>
              <w:t>Organizational Leadership — Organizational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160" w:type="dxa"/>
            <w:vAlign w:val="bottom"/>
          </w:tcPr>
          <w:p>
            <w:pPr>
              <w:ind w:left="140"/>
              <w:spacing w:after="0"/>
              <w:rPr>
                <w:sz w:val="20"/>
                <w:szCs w:val="20"/>
                <w:color w:val="auto"/>
              </w:rPr>
            </w:pPr>
            <w:r>
              <w:rPr>
                <w:rFonts w:ascii="Arial" w:cs="Arial" w:eastAsia="Arial" w:hAnsi="Arial"/>
                <w:sz w:val="18"/>
                <w:szCs w:val="18"/>
                <w:color w:val="auto"/>
              </w:rPr>
              <w:t>Organizational Leadership — Higher Education Leadership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160" w:type="dxa"/>
            <w:vAlign w:val="bottom"/>
          </w:tcPr>
          <w:p>
            <w:pPr>
              <w:ind w:left="140"/>
              <w:spacing w:after="0"/>
              <w:rPr>
                <w:sz w:val="20"/>
                <w:szCs w:val="20"/>
                <w:color w:val="auto"/>
              </w:rPr>
            </w:pPr>
            <w:r>
              <w:rPr>
                <w:rFonts w:ascii="Arial" w:cs="Arial" w:eastAsia="Arial" w:hAnsi="Arial"/>
                <w:sz w:val="18"/>
                <w:szCs w:val="18"/>
                <w:color w:val="auto"/>
              </w:rPr>
              <w:t>Organizational Leadership — Education and Effective Schools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160" w:type="dxa"/>
            <w:vAlign w:val="bottom"/>
          </w:tcPr>
          <w:p>
            <w:pPr>
              <w:ind w:left="140"/>
              <w:spacing w:after="0"/>
              <w:rPr>
                <w:sz w:val="20"/>
                <w:szCs w:val="20"/>
                <w:color w:val="auto"/>
              </w:rPr>
            </w:pPr>
            <w:r>
              <w:rPr>
                <w:rFonts w:ascii="Arial" w:cs="Arial" w:eastAsia="Arial" w:hAnsi="Arial"/>
                <w:sz w:val="18"/>
                <w:szCs w:val="18"/>
                <w:color w:val="auto"/>
              </w:rPr>
              <w:t>Organizational Leadership — Behavioral Health</w:t>
            </w:r>
          </w:p>
        </w:tc>
        <w:tc>
          <w:tcPr>
            <w:tcW w:w="0" w:type="dxa"/>
            <w:vAlign w:val="bottom"/>
          </w:tcPr>
          <w:p>
            <w:pPr>
              <w:spacing w:after="0"/>
              <w:rPr>
                <w:sz w:val="1"/>
                <w:szCs w:val="1"/>
                <w:color w:val="auto"/>
              </w:rPr>
            </w:pPr>
          </w:p>
        </w:tc>
      </w:tr>
      <w:tr>
        <w:trPr>
          <w:trHeight w:val="222"/>
        </w:trPr>
        <w:tc>
          <w:tcPr>
            <w:tcW w:w="2080" w:type="dxa"/>
            <w:vAlign w:val="bottom"/>
            <w:gridSpan w:val="3"/>
            <w:vMerge w:val="restart"/>
          </w:tcPr>
          <w:p>
            <w:pPr>
              <w:spacing w:after="0"/>
              <w:rPr>
                <w:sz w:val="20"/>
                <w:szCs w:val="20"/>
                <w:color w:val="auto"/>
              </w:rPr>
            </w:pPr>
            <w:r>
              <w:rPr>
                <w:rFonts w:ascii="Arial" w:cs="Arial" w:eastAsia="Arial" w:hAnsi="Arial"/>
                <w:sz w:val="18"/>
                <w:szCs w:val="18"/>
                <w:color w:val="auto"/>
              </w:rPr>
              <w:t>Doctor of Business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160" w:type="dxa"/>
            <w:vAlign w:val="bottom"/>
          </w:tcPr>
          <w:p>
            <w:pPr>
              <w:ind w:left="140"/>
              <w:spacing w:after="0"/>
              <w:rPr>
                <w:sz w:val="20"/>
                <w:szCs w:val="20"/>
                <w:color w:val="auto"/>
              </w:rPr>
            </w:pPr>
            <w:r>
              <w:rPr>
                <w:rFonts w:ascii="Arial" w:cs="Arial" w:eastAsia="Arial" w:hAnsi="Arial"/>
                <w:sz w:val="18"/>
                <w:szCs w:val="18"/>
                <w:color w:val="auto"/>
              </w:rPr>
              <w:t>Organizational Leadership — Instructional Leadership</w:t>
            </w:r>
          </w:p>
        </w:tc>
        <w:tc>
          <w:tcPr>
            <w:tcW w:w="0" w:type="dxa"/>
            <w:vAlign w:val="bottom"/>
          </w:tcPr>
          <w:p>
            <w:pPr>
              <w:spacing w:after="0"/>
              <w:rPr>
                <w:sz w:val="1"/>
                <w:szCs w:val="1"/>
                <w:color w:val="auto"/>
              </w:rPr>
            </w:pPr>
          </w:p>
        </w:tc>
      </w:tr>
      <w:tr>
        <w:trPr>
          <w:trHeight w:val="210"/>
        </w:trPr>
        <w:tc>
          <w:tcPr>
            <w:tcW w:w="20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80" w:type="dxa"/>
            <w:vAlign w:val="bottom"/>
            <w:gridSpan w:val="3"/>
          </w:tcPr>
          <w:p>
            <w:pPr>
              <w:spacing w:after="0"/>
              <w:rPr>
                <w:sz w:val="20"/>
                <w:szCs w:val="20"/>
                <w:color w:val="auto"/>
              </w:rPr>
            </w:pPr>
            <w:r>
              <w:rPr>
                <w:rFonts w:ascii="Arial" w:cs="Arial" w:eastAsia="Arial" w:hAnsi="Arial"/>
                <w:sz w:val="18"/>
                <w:szCs w:val="18"/>
                <w:color w:val="auto"/>
              </w:rPr>
              <w:t>Administration</w:t>
            </w:r>
          </w:p>
        </w:tc>
        <w:tc>
          <w:tcPr>
            <w:tcW w:w="180" w:type="dxa"/>
            <w:vAlign w:val="bottom"/>
          </w:tcPr>
          <w:p>
            <w:pPr>
              <w:spacing w:after="0"/>
              <w:rPr>
                <w:sz w:val="19"/>
                <w:szCs w:val="19"/>
                <w:color w:val="auto"/>
              </w:rPr>
            </w:pPr>
          </w:p>
        </w:tc>
        <w:tc>
          <w:tcPr>
            <w:tcW w:w="9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tabs>
          <w:tab w:leader="none" w:pos="2060" w:val="left"/>
          <w:tab w:leader="none" w:pos="2380" w:val="left"/>
        </w:tabs>
        <w:rPr>
          <w:sz w:val="20"/>
          <w:szCs w:val="20"/>
          <w:color w:val="auto"/>
        </w:rPr>
      </w:pPr>
      <w:r>
        <w:rPr>
          <w:rFonts w:ascii="Arial" w:cs="Arial" w:eastAsia="Arial" w:hAnsi="Arial"/>
          <w:sz w:val="18"/>
          <w:szCs w:val="18"/>
          <w:color w:val="auto"/>
        </w:rPr>
        <w:t>Doctor of Philosophy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General Psychology — Industrial and Organizational Psychology</w:t>
      </w:r>
    </w:p>
    <w:p>
      <w:pPr>
        <w:spacing w:after="0" w:line="15" w:lineRule="exact"/>
        <w:rPr>
          <w:sz w:val="20"/>
          <w:szCs w:val="20"/>
          <w:color w:val="auto"/>
        </w:rPr>
      </w:pPr>
    </w:p>
    <w:p>
      <w:pPr>
        <w:ind w:left="5680" w:right="5540" w:hanging="3606"/>
        <w:spacing w:after="0" w:line="517" w:lineRule="auto"/>
        <w:tabs>
          <w:tab w:leader="none" w:pos="2409" w:val="left"/>
        </w:tabs>
        <w:numPr>
          <w:ilvl w:val="0"/>
          <w:numId w:val="10"/>
        </w:numPr>
        <w:rPr>
          <w:rFonts w:ascii="Arial" w:cs="Arial" w:eastAsia="Arial" w:hAnsi="Arial"/>
          <w:sz w:val="16"/>
          <w:szCs w:val="16"/>
          <w:color w:val="auto"/>
        </w:rPr>
      </w:pPr>
      <w:r>
        <w:rPr>
          <w:rFonts w:ascii="Arial" w:cs="Arial" w:eastAsia="Arial" w:hAnsi="Arial"/>
          <w:sz w:val="16"/>
          <w:szCs w:val="16"/>
          <w:color w:val="auto"/>
        </w:rPr>
        <w:t>General Psychology — Cognition and Instruction 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College of Education</w:t>
            </w:r>
          </w:p>
        </w:tc>
        <w:tc>
          <w:tcPr>
            <w:tcW w:w="120" w:type="dxa"/>
            <w:vAlign w:val="bottom"/>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Ken Blanchard College of Business</w:t>
            </w:r>
          </w:p>
        </w:tc>
        <w:tc>
          <w:tcPr>
            <w:tcW w:w="0" w:type="dxa"/>
            <w:vAlign w:val="bottom"/>
          </w:tcPr>
          <w:p>
            <w:pPr>
              <w:spacing w:after="0"/>
              <w:rPr>
                <w:sz w:val="1"/>
                <w:szCs w:val="1"/>
                <w:color w:val="auto"/>
              </w:rPr>
            </w:pPr>
          </w:p>
        </w:tc>
      </w:tr>
      <w:tr>
        <w:trPr>
          <w:trHeight w:val="149"/>
        </w:trPr>
        <w:tc>
          <w:tcPr>
            <w:tcW w:w="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Degree Program</w:t>
            </w:r>
          </w:p>
        </w:tc>
        <w:tc>
          <w:tcPr>
            <w:tcW w:w="160" w:type="dxa"/>
            <w:vAlign w:val="bottom"/>
            <w:tcBorders>
              <w:bottom w:val="single" w:sz="8" w:color="auto"/>
            </w:tcBorders>
          </w:tcPr>
          <w:p>
            <w:pPr>
              <w:spacing w:after="0"/>
              <w:rPr>
                <w:sz w:val="12"/>
                <w:szCs w:val="12"/>
                <w:color w:val="auto"/>
              </w:rPr>
            </w:pPr>
          </w:p>
        </w:tc>
        <w:tc>
          <w:tcPr>
            <w:tcW w:w="3840" w:type="dxa"/>
            <w:vAlign w:val="bottom"/>
            <w:tcBorders>
              <w:bottom w:val="single" w:sz="8" w:color="auto"/>
            </w:tcBorders>
          </w:tcPr>
          <w:p>
            <w:pPr>
              <w:ind w:left="1560"/>
              <w:spacing w:after="0" w:line="143" w:lineRule="exact"/>
              <w:rPr>
                <w:sz w:val="20"/>
                <w:szCs w:val="20"/>
                <w:color w:val="auto"/>
              </w:rPr>
            </w:pPr>
            <w:r>
              <w:rPr>
                <w:rFonts w:ascii="Arial" w:cs="Arial" w:eastAsia="Arial" w:hAnsi="Arial"/>
                <w:sz w:val="14"/>
                <w:szCs w:val="14"/>
                <w:b w:val="1"/>
                <w:bCs w:val="1"/>
                <w:color w:val="auto"/>
              </w:rPr>
              <w:t>Emphasis</w:t>
            </w:r>
          </w:p>
        </w:tc>
        <w:tc>
          <w:tcPr>
            <w:tcW w:w="120" w:type="dxa"/>
            <w:vAlign w:val="bottom"/>
          </w:tcPr>
          <w:p>
            <w:pPr>
              <w:spacing w:after="0"/>
              <w:rPr>
                <w:sz w:val="12"/>
                <w:szCs w:val="12"/>
                <w:color w:val="auto"/>
              </w:rPr>
            </w:pPr>
          </w:p>
        </w:tc>
        <w:tc>
          <w:tcPr>
            <w:tcW w:w="1820" w:type="dxa"/>
            <w:vAlign w:val="bottom"/>
            <w:tcBorders>
              <w:bottom w:val="single" w:sz="8" w:color="auto"/>
            </w:tcBorders>
          </w:tcPr>
          <w:p>
            <w:pPr>
              <w:ind w:left="480"/>
              <w:spacing w:after="0" w:line="143" w:lineRule="exact"/>
              <w:rPr>
                <w:sz w:val="20"/>
                <w:szCs w:val="20"/>
                <w:color w:val="auto"/>
              </w:rPr>
            </w:pPr>
            <w:r>
              <w:rPr>
                <w:rFonts w:ascii="Arial" w:cs="Arial" w:eastAsia="Arial" w:hAnsi="Arial"/>
                <w:sz w:val="14"/>
                <w:szCs w:val="14"/>
                <w:b w:val="1"/>
                <w:bCs w:val="1"/>
                <w:color w:val="auto"/>
              </w:rPr>
              <w:t>Degree Program</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480" w:type="dxa"/>
            <w:vAlign w:val="bottom"/>
            <w:tcBorders>
              <w:bottom w:val="single" w:sz="8" w:color="auto"/>
            </w:tcBorders>
          </w:tcPr>
          <w:p>
            <w:pPr>
              <w:ind w:left="1380"/>
              <w:spacing w:after="0" w:line="143" w:lineRule="exact"/>
              <w:rPr>
                <w:sz w:val="20"/>
                <w:szCs w:val="20"/>
                <w:color w:val="auto"/>
              </w:rPr>
            </w:pPr>
            <w:r>
              <w:rPr>
                <w:rFonts w:ascii="Arial" w:cs="Arial" w:eastAsia="Arial" w:hAnsi="Arial"/>
                <w:sz w:val="14"/>
                <w:szCs w:val="14"/>
                <w:b w:val="1"/>
                <w:bCs w:val="1"/>
                <w:color w:val="auto"/>
              </w:rPr>
              <w:t>Emphasis</w:t>
            </w:r>
          </w:p>
        </w:tc>
        <w:tc>
          <w:tcPr>
            <w:tcW w:w="0" w:type="dxa"/>
            <w:vAlign w:val="bottom"/>
          </w:tcPr>
          <w:p>
            <w:pPr>
              <w:spacing w:after="0"/>
              <w:rPr>
                <w:sz w:val="1"/>
                <w:szCs w:val="1"/>
                <w:color w:val="auto"/>
              </w:rPr>
            </w:pPr>
          </w:p>
        </w:tc>
      </w:tr>
      <w:tr>
        <w:trPr>
          <w:trHeight w:val="370"/>
        </w:trPr>
        <w:tc>
          <w:tcPr>
            <w:tcW w:w="1620" w:type="dxa"/>
            <w:vAlign w:val="bottom"/>
            <w:gridSpan w:val="3"/>
          </w:tcPr>
          <w:p>
            <w:pPr>
              <w:spacing w:after="0"/>
              <w:rPr>
                <w:sz w:val="20"/>
                <w:szCs w:val="20"/>
                <w:color w:val="auto"/>
              </w:rPr>
            </w:pPr>
            <w:r>
              <w:rPr>
                <w:rFonts w:ascii="Arial" w:cs="Arial" w:eastAsia="Arial" w:hAnsi="Arial"/>
                <w:sz w:val="18"/>
                <w:szCs w:val="18"/>
                <w:color w:val="auto"/>
              </w:rPr>
              <w:t>Master of Arts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20"/>
              <w:spacing w:after="0"/>
              <w:rPr>
                <w:sz w:val="20"/>
                <w:szCs w:val="20"/>
                <w:color w:val="auto"/>
              </w:rPr>
            </w:pPr>
            <w:r>
              <w:rPr>
                <w:rFonts w:ascii="Arial" w:cs="Arial" w:eastAsia="Arial" w:hAnsi="Arial"/>
                <w:sz w:val="18"/>
                <w:szCs w:val="18"/>
                <w:color w:val="auto"/>
              </w:rPr>
              <w:t>Teaching —Professional Learning</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w w:val="89"/>
              </w:rPr>
              <w:t>Ken Blanchard Executive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Communities</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MBA</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20"/>
              <w:spacing w:after="0"/>
              <w:rPr>
                <w:sz w:val="20"/>
                <w:szCs w:val="20"/>
                <w:color w:val="auto"/>
              </w:rPr>
            </w:pPr>
            <w:r>
              <w:rPr>
                <w:rFonts w:ascii="Arial" w:cs="Arial" w:eastAsia="Arial" w:hAnsi="Arial"/>
                <w:sz w:val="18"/>
                <w:szCs w:val="18"/>
                <w:color w:val="auto"/>
              </w:rPr>
              <w:t>Teaching —Teaching Leadership</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w w:val="99"/>
              </w:rPr>
              <w:t>Master of Education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20"/>
              <w:spacing w:after="0"/>
              <w:rPr>
                <w:sz w:val="20"/>
                <w:szCs w:val="20"/>
                <w:color w:val="auto"/>
              </w:rPr>
            </w:pPr>
            <w:r>
              <w:rPr>
                <w:rFonts w:ascii="Arial" w:cs="Arial" w:eastAsia="Arial" w:hAnsi="Arial"/>
                <w:sz w:val="18"/>
                <w:szCs w:val="18"/>
                <w:color w:val="auto"/>
              </w:rPr>
              <w:t>Education Administration — Institutional</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Master of Business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120"/>
              <w:spacing w:after="0"/>
              <w:rPr>
                <w:sz w:val="20"/>
                <w:szCs w:val="20"/>
                <w:color w:val="auto"/>
              </w:rPr>
            </w:pPr>
            <w:r>
              <w:rPr>
                <w:rFonts w:ascii="Arial" w:cs="Arial" w:eastAsia="Arial" w:hAnsi="Arial"/>
                <w:sz w:val="18"/>
                <w:szCs w:val="18"/>
                <w:color w:val="auto"/>
              </w:rPr>
              <w:t>General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Recommendation (“IR”)</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Administration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100"/>
              <w:spacing w:after="0"/>
              <w:rPr>
                <w:sz w:val="20"/>
                <w:szCs w:val="20"/>
                <w:color w:val="auto"/>
              </w:rPr>
            </w:pPr>
            <w:r>
              <w:rPr>
                <w:rFonts w:ascii="Arial" w:cs="Arial" w:eastAsia="Arial" w:hAnsi="Arial"/>
                <w:sz w:val="18"/>
                <w:szCs w:val="18"/>
                <w:color w:val="auto"/>
              </w:rPr>
              <w:t>Accounting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   Educational Leadership — Non-IR</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   Elementary Education — IR</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120"/>
              <w:spacing w:after="0"/>
              <w:rPr>
                <w:sz w:val="20"/>
                <w:szCs w:val="20"/>
                <w:color w:val="auto"/>
              </w:rPr>
            </w:pPr>
            <w:r>
              <w:rPr>
                <w:rFonts w:ascii="Arial" w:cs="Arial" w:eastAsia="Arial" w:hAnsi="Arial"/>
                <w:sz w:val="18"/>
                <w:szCs w:val="18"/>
                <w:color w:val="auto"/>
              </w:rPr>
              <w:t>Finance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   Elementary Education — Non-IR</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120"/>
              <w:spacing w:after="0"/>
              <w:rPr>
                <w:sz w:val="20"/>
                <w:szCs w:val="20"/>
                <w:color w:val="auto"/>
              </w:rPr>
            </w:pPr>
            <w:r>
              <w:rPr>
                <w:rFonts w:ascii="Arial" w:cs="Arial" w:eastAsia="Arial" w:hAnsi="Arial"/>
                <w:sz w:val="18"/>
                <w:szCs w:val="18"/>
                <w:color w:val="auto"/>
              </w:rPr>
              <w:t>Health Systems Management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w w:val="94"/>
              </w:rPr>
              <w:t>•   Curriculum and Instruction: Reading— Elementary</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120"/>
              <w:spacing w:after="0"/>
              <w:rPr>
                <w:sz w:val="20"/>
                <w:szCs w:val="20"/>
                <w:color w:val="auto"/>
              </w:rPr>
            </w:pPr>
            <w:r>
              <w:rPr>
                <w:rFonts w:ascii="Arial" w:cs="Arial" w:eastAsia="Arial" w:hAnsi="Arial"/>
                <w:sz w:val="18"/>
                <w:szCs w:val="18"/>
                <w:color w:val="auto"/>
              </w:rPr>
              <w:t>Marketing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120"/>
              <w:spacing w:after="0"/>
              <w:rPr>
                <w:sz w:val="20"/>
                <w:szCs w:val="20"/>
                <w:color w:val="auto"/>
              </w:rPr>
            </w:pPr>
            <w:r>
              <w:rPr>
                <w:rFonts w:ascii="Arial" w:cs="Arial" w:eastAsia="Arial" w:hAnsi="Arial"/>
                <w:sz w:val="18"/>
                <w:szCs w:val="18"/>
                <w:color w:val="auto"/>
              </w:rPr>
              <w:t>Leadership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   Strategic Human Resources Management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w w:val="94"/>
              </w:rPr>
              <w:t>•   Curriculum and Instruction: Reading — Secondary</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Master of Public</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120"/>
              <w:spacing w:after="0"/>
              <w:rPr>
                <w:sz w:val="20"/>
                <w:szCs w:val="20"/>
                <w:color w:val="auto"/>
              </w:rPr>
            </w:pPr>
            <w:r>
              <w:rPr>
                <w:rFonts w:ascii="Arial" w:cs="Arial" w:eastAsia="Arial" w:hAnsi="Arial"/>
                <w:sz w:val="18"/>
                <w:szCs w:val="18"/>
                <w:color w:val="auto"/>
              </w:rPr>
              <w:t>Government and Policy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Administration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120"/>
              <w:spacing w:after="0"/>
              <w:rPr>
                <w:sz w:val="20"/>
                <w:szCs w:val="20"/>
                <w:color w:val="auto"/>
              </w:rPr>
            </w:pPr>
            <w:r>
              <w:rPr>
                <w:rFonts w:ascii="Arial" w:cs="Arial" w:eastAsia="Arial" w:hAnsi="Arial"/>
                <w:sz w:val="18"/>
                <w:szCs w:val="18"/>
                <w:color w:val="auto"/>
              </w:rPr>
              <w:t>Health Care Management</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20"/>
              <w:spacing w:after="0"/>
              <w:rPr>
                <w:sz w:val="20"/>
                <w:szCs w:val="20"/>
                <w:color w:val="auto"/>
              </w:rPr>
            </w:pPr>
            <w:r>
              <w:rPr>
                <w:rFonts w:ascii="Arial" w:cs="Arial" w:eastAsia="Arial" w:hAnsi="Arial"/>
                <w:sz w:val="18"/>
                <w:szCs w:val="18"/>
                <w:color w:val="auto"/>
              </w:rPr>
              <w:t>Curriculum and Instruction:</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Technology</w:t>
            </w:r>
          </w:p>
        </w:tc>
        <w:tc>
          <w:tcPr>
            <w:tcW w:w="1940" w:type="dxa"/>
            <w:vAlign w:val="bottom"/>
            <w:gridSpan w:val="2"/>
            <w:vMerge w:val="restart"/>
          </w:tcPr>
          <w:p>
            <w:pPr>
              <w:ind w:left="120"/>
              <w:spacing w:after="0"/>
              <w:rPr>
                <w:sz w:val="20"/>
                <w:szCs w:val="20"/>
                <w:color w:val="auto"/>
              </w:rPr>
            </w:pPr>
            <w:r>
              <w:rPr>
                <w:rFonts w:ascii="Arial" w:cs="Arial" w:eastAsia="Arial" w:hAnsi="Arial"/>
                <w:sz w:val="18"/>
                <w:szCs w:val="18"/>
                <w:color w:val="auto"/>
              </w:rPr>
              <w:t>Master of Science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3480" w:type="dxa"/>
            <w:vAlign w:val="bottom"/>
            <w:vMerge w:val="restart"/>
          </w:tcPr>
          <w:p>
            <w:pPr>
              <w:ind w:left="120"/>
              <w:spacing w:after="0"/>
              <w:rPr>
                <w:sz w:val="20"/>
                <w:szCs w:val="20"/>
                <w:color w:val="auto"/>
              </w:rPr>
            </w:pPr>
            <w:r>
              <w:rPr>
                <w:rFonts w:ascii="Arial" w:cs="Arial" w:eastAsia="Arial" w:hAnsi="Arial"/>
                <w:sz w:val="18"/>
                <w:szCs w:val="18"/>
                <w:color w:val="auto"/>
              </w:rPr>
              <w:t>Leadership</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   Secondary Education — IR</w:t>
            </w:r>
          </w:p>
        </w:tc>
        <w:tc>
          <w:tcPr>
            <w:tcW w:w="19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3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   Leadership — Disaster Preparedness &amp;</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   Secondary Education — Non-IR</w:t>
            </w:r>
          </w:p>
        </w:tc>
        <w:tc>
          <w:tcPr>
            <w:tcW w:w="1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80" w:type="dxa"/>
            <w:vAlign w:val="bottom"/>
            <w:vMerge w:val="restart"/>
          </w:tcPr>
          <w:p>
            <w:pPr>
              <w:ind w:left="260"/>
              <w:spacing w:after="0"/>
              <w:rPr>
                <w:sz w:val="20"/>
                <w:szCs w:val="20"/>
                <w:color w:val="auto"/>
              </w:rPr>
            </w:pPr>
            <w:r>
              <w:rPr>
                <w:rFonts w:ascii="Arial" w:cs="Arial" w:eastAsia="Arial" w:hAnsi="Arial"/>
                <w:sz w:val="18"/>
                <w:szCs w:val="18"/>
                <w:color w:val="auto"/>
              </w:rPr>
              <w:t>Executive Fire Leadership</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0" w:type="dxa"/>
            <w:vAlign w:val="bottom"/>
            <w:gridSpan w:val="2"/>
            <w:vMerge w:val="restart"/>
          </w:tcPr>
          <w:p>
            <w:pPr>
              <w:spacing w:after="0"/>
              <w:rPr>
                <w:sz w:val="20"/>
                <w:szCs w:val="20"/>
                <w:color w:val="auto"/>
              </w:rPr>
            </w:pPr>
            <w:r>
              <w:rPr>
                <w:rFonts w:ascii="Arial" w:cs="Arial" w:eastAsia="Arial" w:hAnsi="Arial"/>
                <w:sz w:val="18"/>
                <w:szCs w:val="18"/>
                <w:color w:val="auto"/>
                <w:w w:val="96"/>
              </w:rPr>
              <w:t>•   Special Education for Certified Special Educators</w:t>
            </w:r>
          </w:p>
        </w:tc>
        <w:tc>
          <w:tcPr>
            <w:tcW w:w="1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3480" w:type="dxa"/>
            <w:vAlign w:val="bottom"/>
            <w:vMerge w:val="restart"/>
          </w:tcPr>
          <w:p>
            <w:pPr>
              <w:ind w:left="100"/>
              <w:spacing w:after="0"/>
              <w:rPr>
                <w:sz w:val="20"/>
                <w:szCs w:val="20"/>
                <w:color w:val="auto"/>
              </w:rPr>
            </w:pPr>
            <w:r>
              <w:rPr>
                <w:rFonts w:ascii="Arial" w:cs="Arial" w:eastAsia="Arial" w:hAnsi="Arial"/>
                <w:sz w:val="18"/>
                <w:szCs w:val="18"/>
                <w:color w:val="auto"/>
              </w:rPr>
              <w:t>Accounting</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0" w:type="dxa"/>
            <w:vAlign w:val="bottom"/>
            <w:gridSpan w:val="2"/>
            <w:vMerge w:val="restart"/>
          </w:tcPr>
          <w:p>
            <w:pPr>
              <w:spacing w:after="0"/>
              <w:rPr>
                <w:sz w:val="20"/>
                <w:szCs w:val="20"/>
                <w:color w:val="auto"/>
              </w:rPr>
            </w:pPr>
            <w:r>
              <w:rPr>
                <w:rFonts w:ascii="Arial" w:cs="Arial" w:eastAsia="Arial" w:hAnsi="Arial"/>
                <w:sz w:val="18"/>
                <w:szCs w:val="18"/>
                <w:color w:val="auto"/>
                <w:w w:val="93"/>
              </w:rPr>
              <w:t>•   Teaching English to Speakers of Other Languages</w:t>
            </w:r>
          </w:p>
        </w:tc>
        <w:tc>
          <w:tcPr>
            <w:tcW w:w="1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3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   Special Education — Leads to</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Credential</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   Special Education — Non-IR</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Bachelor of Science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120"/>
              <w:spacing w:after="0"/>
              <w:rPr>
                <w:sz w:val="20"/>
                <w:szCs w:val="20"/>
                <w:color w:val="auto"/>
              </w:rPr>
            </w:pPr>
            <w:r>
              <w:rPr>
                <w:rFonts w:ascii="Arial" w:cs="Arial" w:eastAsia="Arial" w:hAnsi="Arial"/>
                <w:sz w:val="18"/>
                <w:szCs w:val="18"/>
                <w:color w:val="auto"/>
              </w:rPr>
              <w:t>Accounting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   Early Childhood Education — IR</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120"/>
              <w:spacing w:after="0"/>
              <w:rPr>
                <w:sz w:val="20"/>
                <w:szCs w:val="20"/>
                <w:color w:val="auto"/>
              </w:rPr>
            </w:pPr>
            <w:r>
              <w:rPr>
                <w:rFonts w:ascii="Arial" w:cs="Arial" w:eastAsia="Arial" w:hAnsi="Arial"/>
                <w:sz w:val="18"/>
                <w:szCs w:val="18"/>
                <w:color w:val="auto"/>
              </w:rPr>
              <w:t>Business Administration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   Early Childhood Education — Non-IR</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120"/>
              <w:spacing w:after="0"/>
              <w:rPr>
                <w:sz w:val="20"/>
                <w:szCs w:val="20"/>
                <w:color w:val="auto"/>
              </w:rPr>
            </w:pPr>
            <w:r>
              <w:rPr>
                <w:rFonts w:ascii="Arial" w:cs="Arial" w:eastAsia="Arial" w:hAnsi="Arial"/>
                <w:sz w:val="18"/>
                <w:szCs w:val="18"/>
                <w:color w:val="auto"/>
              </w:rPr>
              <w:t>Applied Management</w:t>
            </w:r>
          </w:p>
        </w:tc>
        <w:tc>
          <w:tcPr>
            <w:tcW w:w="0" w:type="dxa"/>
            <w:vAlign w:val="bottom"/>
          </w:tcPr>
          <w:p>
            <w:pPr>
              <w:spacing w:after="0"/>
              <w:rPr>
                <w:sz w:val="1"/>
                <w:szCs w:val="1"/>
                <w:color w:val="auto"/>
              </w:rPr>
            </w:pP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w w:val="99"/>
              </w:rPr>
              <w:t>Bachelor of Science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20"/>
              <w:spacing w:after="0"/>
              <w:rPr>
                <w:sz w:val="20"/>
                <w:szCs w:val="20"/>
                <w:color w:val="auto"/>
              </w:rPr>
            </w:pPr>
            <w:r>
              <w:rPr>
                <w:rFonts w:ascii="Arial" w:cs="Arial" w:eastAsia="Arial" w:hAnsi="Arial"/>
                <w:sz w:val="18"/>
                <w:szCs w:val="18"/>
                <w:color w:val="auto"/>
              </w:rPr>
              <w:t>Elementary/Special Education</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120"/>
              <w:spacing w:after="0"/>
              <w:rPr>
                <w:sz w:val="20"/>
                <w:szCs w:val="20"/>
                <w:color w:val="auto"/>
              </w:rPr>
            </w:pPr>
            <w:r>
              <w:rPr>
                <w:rFonts w:ascii="Arial" w:cs="Arial" w:eastAsia="Arial" w:hAnsi="Arial"/>
                <w:sz w:val="18"/>
                <w:szCs w:val="18"/>
                <w:color w:val="auto"/>
              </w:rPr>
              <w:t>Finance and Economics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   Elementary Education — English</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120"/>
              <w:spacing w:after="0"/>
              <w:rPr>
                <w:sz w:val="20"/>
                <w:szCs w:val="20"/>
                <w:color w:val="auto"/>
              </w:rPr>
            </w:pPr>
            <w:r>
              <w:rPr>
                <w:rFonts w:ascii="Arial" w:cs="Arial" w:eastAsia="Arial" w:hAnsi="Arial"/>
                <w:sz w:val="18"/>
                <w:szCs w:val="18"/>
                <w:color w:val="auto"/>
              </w:rPr>
              <w:t>Entrepreneurial Studies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   Elementary Education — Math</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120"/>
              <w:spacing w:after="0"/>
              <w:rPr>
                <w:sz w:val="20"/>
                <w:szCs w:val="20"/>
                <w:color w:val="auto"/>
              </w:rPr>
            </w:pPr>
            <w:r>
              <w:rPr>
                <w:rFonts w:ascii="Arial" w:cs="Arial" w:eastAsia="Arial" w:hAnsi="Arial"/>
                <w:sz w:val="18"/>
                <w:szCs w:val="18"/>
                <w:color w:val="auto"/>
              </w:rPr>
              <w:t>Marketing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   Elementary Education — Science</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120"/>
              <w:spacing w:after="0"/>
              <w:rPr>
                <w:sz w:val="20"/>
                <w:szCs w:val="20"/>
                <w:color w:val="auto"/>
              </w:rPr>
            </w:pPr>
            <w:r>
              <w:rPr>
                <w:rFonts w:ascii="Arial" w:cs="Arial" w:eastAsia="Arial" w:hAnsi="Arial"/>
                <w:sz w:val="18"/>
                <w:szCs w:val="18"/>
                <w:color w:val="auto"/>
              </w:rPr>
              <w:t>Public Safety Administration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   Secondary Education — Biology*</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120"/>
              <w:spacing w:after="0"/>
              <w:rPr>
                <w:sz w:val="20"/>
                <w:szCs w:val="20"/>
                <w:color w:val="auto"/>
              </w:rPr>
            </w:pPr>
            <w:r>
              <w:rPr>
                <w:rFonts w:ascii="Arial" w:cs="Arial" w:eastAsia="Arial" w:hAnsi="Arial"/>
                <w:sz w:val="18"/>
                <w:szCs w:val="18"/>
                <w:color w:val="auto"/>
              </w:rPr>
              <w:t>Sports Management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   Secondary Education — Business Education</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120"/>
              <w:spacing w:after="0"/>
              <w:rPr>
                <w:sz w:val="20"/>
                <w:szCs w:val="20"/>
                <w:color w:val="auto"/>
              </w:rPr>
            </w:pPr>
            <w:r>
              <w:rPr>
                <w:rFonts w:ascii="Arial" w:cs="Arial" w:eastAsia="Arial" w:hAnsi="Arial"/>
                <w:sz w:val="18"/>
                <w:szCs w:val="18"/>
                <w:color w:val="auto"/>
                <w:w w:val="96"/>
              </w:rPr>
              <w:t>Public Safety and Emergency Management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   Secondary Education — Chemistry*</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120"/>
              <w:spacing w:after="0"/>
              <w:rPr>
                <w:sz w:val="20"/>
                <w:szCs w:val="20"/>
                <w:color w:val="auto"/>
              </w:rPr>
            </w:pPr>
            <w:r>
              <w:rPr>
                <w:rFonts w:ascii="Arial" w:cs="Arial" w:eastAsia="Arial" w:hAnsi="Arial"/>
                <w:sz w:val="18"/>
                <w:szCs w:val="18"/>
                <w:color w:val="auto"/>
              </w:rPr>
              <w:t>Business Management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   Secondary Education — Mathematics</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   Secondary Education — Social Studies</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   Secondary Education — Physical Education*</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   Secondary Education — English</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20"/>
              <w:spacing w:after="0"/>
              <w:rPr>
                <w:sz w:val="20"/>
                <w:szCs w:val="20"/>
                <w:color w:val="auto"/>
              </w:rPr>
            </w:pPr>
            <w:r>
              <w:rPr>
                <w:rFonts w:ascii="Arial" w:cs="Arial" w:eastAsia="Arial" w:hAnsi="Arial"/>
                <w:sz w:val="18"/>
                <w:szCs w:val="18"/>
                <w:color w:val="auto"/>
              </w:rPr>
              <w:t>Early Childhood Education</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College of Fine Arts and Production</w:t>
      </w:r>
    </w:p>
    <w:p>
      <w:pPr>
        <w:spacing w:after="0" w:line="13" w:lineRule="exact"/>
        <w:rPr>
          <w:sz w:val="20"/>
          <w:szCs w:val="20"/>
          <w:color w:val="auto"/>
        </w:rPr>
      </w:pPr>
    </w:p>
    <w:tbl>
      <w:tblPr>
        <w:tblLayout w:type="fixed"/>
        <w:tblInd w:w="5740" w:type="dxa"/>
        <w:tblCellMar>
          <w:top w:w="0" w:type="dxa"/>
          <w:left w:w="0" w:type="dxa"/>
          <w:bottom w:w="0" w:type="dxa"/>
          <w:right w:w="0" w:type="dxa"/>
        </w:tblCellMar>
      </w:tblPr>
      <w:tr>
        <w:trPr>
          <w:trHeight w:val="156"/>
        </w:trPr>
        <w:tc>
          <w:tcPr>
            <w:tcW w:w="1920" w:type="dxa"/>
            <w:vAlign w:val="bottom"/>
            <w:tcBorders>
              <w:top w:val="single" w:sz="8" w:color="auto"/>
              <w:bottom w:val="single" w:sz="8" w:color="auto"/>
            </w:tcBorders>
          </w:tcPr>
          <w:p>
            <w:pPr>
              <w:ind w:left="480"/>
              <w:spacing w:after="0" w:line="156" w:lineRule="exact"/>
              <w:rPr>
                <w:sz w:val="20"/>
                <w:szCs w:val="20"/>
                <w:color w:val="auto"/>
              </w:rPr>
            </w:pPr>
            <w:r>
              <w:rPr>
                <w:rFonts w:ascii="Arial" w:cs="Arial" w:eastAsia="Arial" w:hAnsi="Arial"/>
                <w:sz w:val="14"/>
                <w:szCs w:val="14"/>
                <w:b w:val="1"/>
                <w:bCs w:val="1"/>
                <w:color w:val="auto"/>
              </w:rPr>
              <w:t>Degree Program</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3480" w:type="dxa"/>
            <w:vAlign w:val="bottom"/>
            <w:tcBorders>
              <w:top w:val="single" w:sz="8" w:color="auto"/>
              <w:bottom w:val="single" w:sz="8" w:color="auto"/>
            </w:tcBorders>
          </w:tcPr>
          <w:p>
            <w:pPr>
              <w:ind w:left="1380"/>
              <w:spacing w:after="0" w:line="156" w:lineRule="exact"/>
              <w:rPr>
                <w:sz w:val="20"/>
                <w:szCs w:val="20"/>
                <w:color w:val="auto"/>
              </w:rPr>
            </w:pPr>
            <w:r>
              <w:rPr>
                <w:rFonts w:ascii="Arial" w:cs="Arial" w:eastAsia="Arial" w:hAnsi="Arial"/>
                <w:sz w:val="14"/>
                <w:szCs w:val="14"/>
                <w:b w:val="1"/>
                <w:bCs w:val="1"/>
                <w:color w:val="auto"/>
              </w:rPr>
              <w:t>Emphasis</w:t>
            </w:r>
          </w:p>
        </w:tc>
      </w:tr>
      <w:tr>
        <w:trPr>
          <w:trHeight w:val="363"/>
        </w:trPr>
        <w:tc>
          <w:tcPr>
            <w:tcW w:w="2040" w:type="dxa"/>
            <w:vAlign w:val="bottom"/>
            <w:gridSpan w:val="2"/>
          </w:tcPr>
          <w:p>
            <w:pPr>
              <w:spacing w:after="0"/>
              <w:rPr>
                <w:sz w:val="20"/>
                <w:szCs w:val="20"/>
                <w:color w:val="auto"/>
              </w:rPr>
            </w:pPr>
            <w:r>
              <w:rPr>
                <w:rFonts w:ascii="Arial" w:cs="Arial" w:eastAsia="Arial" w:hAnsi="Arial"/>
                <w:sz w:val="18"/>
                <w:szCs w:val="18"/>
                <w:color w:val="auto"/>
              </w:rPr>
              <w:t>Bachelor of Arts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120"/>
              <w:spacing w:after="0"/>
              <w:rPr>
                <w:sz w:val="20"/>
                <w:szCs w:val="20"/>
                <w:color w:val="auto"/>
              </w:rPr>
            </w:pPr>
            <w:r>
              <w:rPr>
                <w:rFonts w:ascii="Arial" w:cs="Arial" w:eastAsia="Arial" w:hAnsi="Arial"/>
                <w:sz w:val="18"/>
                <w:szCs w:val="18"/>
                <w:color w:val="auto"/>
              </w:rPr>
              <w:t>Dance Education*</w:t>
            </w: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   Digital Film — Production*</w:t>
            </w:r>
          </w:p>
        </w:tc>
      </w:tr>
      <w:tr>
        <w:trPr>
          <w:trHeight w:val="222"/>
        </w:trPr>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   Digital Film — Screenwriting*</w:t>
            </w:r>
          </w:p>
        </w:tc>
      </w:tr>
      <w:tr>
        <w:trPr>
          <w:trHeight w:val="223"/>
        </w:trPr>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120"/>
              <w:spacing w:after="0"/>
              <w:rPr>
                <w:sz w:val="20"/>
                <w:szCs w:val="20"/>
                <w:color w:val="auto"/>
              </w:rPr>
            </w:pPr>
            <w:r>
              <w:rPr>
                <w:rFonts w:ascii="Arial" w:cs="Arial" w:eastAsia="Arial" w:hAnsi="Arial"/>
                <w:sz w:val="18"/>
                <w:szCs w:val="18"/>
                <w:color w:val="auto"/>
              </w:rPr>
              <w:t>Music Education*</w:t>
            </w:r>
          </w:p>
        </w:tc>
      </w:tr>
      <w:tr>
        <w:trPr>
          <w:trHeight w:val="222"/>
        </w:trPr>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120"/>
              <w:spacing w:after="0"/>
              <w:rPr>
                <w:sz w:val="20"/>
                <w:szCs w:val="20"/>
                <w:color w:val="auto"/>
              </w:rPr>
            </w:pPr>
            <w:r>
              <w:rPr>
                <w:rFonts w:ascii="Arial" w:cs="Arial" w:eastAsia="Arial" w:hAnsi="Arial"/>
                <w:sz w:val="18"/>
                <w:szCs w:val="18"/>
                <w:color w:val="auto"/>
              </w:rPr>
              <w:t>Music — Piano*</w:t>
            </w:r>
          </w:p>
        </w:tc>
      </w:tr>
      <w:tr>
        <w:trPr>
          <w:trHeight w:val="223"/>
        </w:trPr>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120"/>
              <w:spacing w:after="0"/>
              <w:rPr>
                <w:sz w:val="20"/>
                <w:szCs w:val="20"/>
                <w:color w:val="auto"/>
              </w:rPr>
            </w:pPr>
            <w:r>
              <w:rPr>
                <w:rFonts w:ascii="Arial" w:cs="Arial" w:eastAsia="Arial" w:hAnsi="Arial"/>
                <w:sz w:val="18"/>
                <w:szCs w:val="18"/>
                <w:color w:val="auto"/>
              </w:rPr>
              <w:t>Music — Voice*</w:t>
            </w:r>
          </w:p>
        </w:tc>
      </w:tr>
      <w:tr>
        <w:trPr>
          <w:trHeight w:val="222"/>
        </w:trPr>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120"/>
              <w:spacing w:after="0"/>
              <w:rPr>
                <w:sz w:val="20"/>
                <w:szCs w:val="20"/>
                <w:color w:val="auto"/>
              </w:rPr>
            </w:pPr>
            <w:r>
              <w:rPr>
                <w:rFonts w:ascii="Arial" w:cs="Arial" w:eastAsia="Arial" w:hAnsi="Arial"/>
                <w:sz w:val="18"/>
                <w:szCs w:val="18"/>
                <w:color w:val="auto"/>
              </w:rPr>
              <w:t>Music Education Instrumental</w:t>
            </w:r>
          </w:p>
        </w:tc>
      </w:tr>
      <w:tr>
        <w:trPr>
          <w:trHeight w:val="223"/>
        </w:trPr>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120"/>
              <w:spacing w:after="0"/>
              <w:rPr>
                <w:sz w:val="20"/>
                <w:szCs w:val="20"/>
                <w:color w:val="auto"/>
              </w:rPr>
            </w:pPr>
            <w:r>
              <w:rPr>
                <w:rFonts w:ascii="Arial" w:cs="Arial" w:eastAsia="Arial" w:hAnsi="Arial"/>
                <w:sz w:val="18"/>
                <w:szCs w:val="18"/>
                <w:color w:val="auto"/>
              </w:rPr>
              <w:t>Theatre and Drama*</w:t>
            </w: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120"/>
              <w:spacing w:after="0"/>
              <w:rPr>
                <w:sz w:val="20"/>
                <w:szCs w:val="20"/>
                <w:color w:val="auto"/>
              </w:rPr>
            </w:pPr>
            <w:r>
              <w:rPr>
                <w:rFonts w:ascii="Arial" w:cs="Arial" w:eastAsia="Arial" w:hAnsi="Arial"/>
                <w:sz w:val="18"/>
                <w:szCs w:val="18"/>
                <w:color w:val="auto"/>
              </w:rPr>
              <w:t>Theatre Education</w:t>
            </w:r>
          </w:p>
        </w:tc>
      </w:tr>
      <w:tr>
        <w:trPr>
          <w:trHeight w:val="222"/>
        </w:trPr>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   Digital Design — Animation</w:t>
            </w:r>
          </w:p>
        </w:tc>
      </w:tr>
    </w:tbl>
    <w:p>
      <w:pPr>
        <w:ind w:left="7780"/>
        <w:spacing w:after="0"/>
        <w:tabs>
          <w:tab w:leader="none" w:pos="8040" w:val="left"/>
        </w:tabs>
        <w:rPr>
          <w:sz w:val="20"/>
          <w:szCs w:val="20"/>
          <w:color w:val="auto"/>
        </w:rPr>
      </w:pPr>
      <w:r>
        <w:rPr>
          <w:rFonts w:ascii="Arial" w:cs="Arial" w:eastAsia="Arial" w:hAnsi="Arial"/>
          <w:sz w:val="18"/>
          <w:szCs w:val="18"/>
          <w:color w:val="auto"/>
        </w:rPr>
        <w:t>•</w:t>
        <w:tab/>
        <w:t>Digital Design — Web Design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520" w:type="dxa"/>
            <w:vAlign w:val="bottom"/>
            <w:gridSpan w:val="2"/>
          </w:tcPr>
          <w:p>
            <w:pPr>
              <w:ind w:left="300"/>
              <w:spacing w:after="0"/>
              <w:rPr>
                <w:sz w:val="20"/>
                <w:szCs w:val="20"/>
                <w:color w:val="auto"/>
              </w:rPr>
            </w:pPr>
            <w:r>
              <w:rPr>
                <w:rFonts w:ascii="Arial" w:cs="Arial" w:eastAsia="Arial" w:hAnsi="Arial"/>
                <w:sz w:val="14"/>
                <w:szCs w:val="14"/>
                <w:b w:val="1"/>
                <w:bCs w:val="1"/>
                <w:color w:val="auto"/>
              </w:rPr>
              <w:t>College of Nursing</w:t>
            </w:r>
          </w:p>
        </w:tc>
        <w:tc>
          <w:tcPr>
            <w:tcW w:w="1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140" w:type="dxa"/>
            <w:vAlign w:val="bottom"/>
            <w:gridSpan w:val="2"/>
          </w:tcPr>
          <w:p>
            <w:pPr>
              <w:ind w:left="180"/>
              <w:spacing w:after="0"/>
              <w:rPr>
                <w:sz w:val="20"/>
                <w:szCs w:val="20"/>
                <w:color w:val="auto"/>
              </w:rPr>
            </w:pPr>
            <w:r>
              <w:rPr>
                <w:rFonts w:ascii="Arial" w:cs="Arial" w:eastAsia="Arial" w:hAnsi="Arial"/>
                <w:sz w:val="14"/>
                <w:szCs w:val="14"/>
                <w:b w:val="1"/>
                <w:bCs w:val="1"/>
                <w:color w:val="auto"/>
              </w:rPr>
              <w:t>College of Arts and Sciences</w:t>
            </w: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4"/>
                <w:szCs w:val="14"/>
                <w:b w:val="1"/>
                <w:bCs w:val="1"/>
                <w:color w:val="auto"/>
                <w:w w:val="89"/>
              </w:rPr>
              <w:t>Degree Program</w:t>
            </w:r>
          </w:p>
        </w:tc>
        <w:tc>
          <w:tcPr>
            <w:tcW w:w="620" w:type="dxa"/>
            <w:vAlign w:val="bottom"/>
            <w:tcBorders>
              <w:top w:val="single" w:sz="8" w:color="auto"/>
            </w:tcBorders>
          </w:tcPr>
          <w:p>
            <w:pPr>
              <w:spacing w:after="0"/>
              <w:rPr>
                <w:sz w:val="14"/>
                <w:szCs w:val="14"/>
                <w:color w:val="auto"/>
              </w:rPr>
            </w:pPr>
          </w:p>
        </w:tc>
        <w:tc>
          <w:tcPr>
            <w:tcW w:w="3320" w:type="dxa"/>
            <w:vAlign w:val="bottom"/>
            <w:tcBorders>
              <w:top w:val="single" w:sz="8" w:color="auto"/>
              <w:bottom w:val="single" w:sz="8" w:color="auto"/>
            </w:tcBorders>
          </w:tcPr>
          <w:p>
            <w:pPr>
              <w:ind w:left="1380"/>
              <w:spacing w:after="0" w:line="143" w:lineRule="exact"/>
              <w:rPr>
                <w:sz w:val="20"/>
                <w:szCs w:val="20"/>
                <w:color w:val="auto"/>
              </w:rPr>
            </w:pPr>
            <w:r>
              <w:rPr>
                <w:rFonts w:ascii="Arial" w:cs="Arial" w:eastAsia="Arial" w:hAnsi="Arial"/>
                <w:sz w:val="14"/>
                <w:szCs w:val="14"/>
                <w:b w:val="1"/>
                <w:bCs w:val="1"/>
                <w:color w:val="auto"/>
              </w:rPr>
              <w:t>Emphasis</w:t>
            </w:r>
          </w:p>
        </w:tc>
        <w:tc>
          <w:tcPr>
            <w:tcW w:w="200" w:type="dxa"/>
            <w:vAlign w:val="bottom"/>
          </w:tcPr>
          <w:p>
            <w:pPr>
              <w:spacing w:after="0"/>
              <w:rPr>
                <w:sz w:val="14"/>
                <w:szCs w:val="14"/>
                <w:color w:val="auto"/>
              </w:rPr>
            </w:pPr>
          </w:p>
        </w:tc>
        <w:tc>
          <w:tcPr>
            <w:tcW w:w="1700" w:type="dxa"/>
            <w:vAlign w:val="bottom"/>
            <w:tcBorders>
              <w:top w:val="single" w:sz="8" w:color="auto"/>
              <w:bottom w:val="single" w:sz="8" w:color="auto"/>
            </w:tcBorders>
          </w:tcPr>
          <w:p>
            <w:pPr>
              <w:ind w:left="360"/>
              <w:spacing w:after="0" w:line="143" w:lineRule="exact"/>
              <w:rPr>
                <w:sz w:val="20"/>
                <w:szCs w:val="20"/>
                <w:color w:val="auto"/>
              </w:rPr>
            </w:pPr>
            <w:r>
              <w:rPr>
                <w:rFonts w:ascii="Arial" w:cs="Arial" w:eastAsia="Arial" w:hAnsi="Arial"/>
                <w:sz w:val="14"/>
                <w:szCs w:val="14"/>
                <w:b w:val="1"/>
                <w:bCs w:val="1"/>
                <w:color w:val="auto"/>
              </w:rPr>
              <w:t>Degree Program</w:t>
            </w: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120" w:type="dxa"/>
            <w:vAlign w:val="bottom"/>
            <w:tcBorders>
              <w:top w:val="single" w:sz="8" w:color="auto"/>
              <w:bottom w:val="single" w:sz="8" w:color="auto"/>
            </w:tcBorders>
          </w:tcPr>
          <w:p>
            <w:pPr>
              <w:ind w:left="1700"/>
              <w:spacing w:after="0" w:line="143" w:lineRule="exact"/>
              <w:rPr>
                <w:sz w:val="20"/>
                <w:szCs w:val="20"/>
                <w:color w:val="auto"/>
              </w:rPr>
            </w:pPr>
            <w:r>
              <w:rPr>
                <w:rFonts w:ascii="Arial" w:cs="Arial" w:eastAsia="Arial" w:hAnsi="Arial"/>
                <w:sz w:val="14"/>
                <w:szCs w:val="14"/>
                <w:b w:val="1"/>
                <w:bCs w:val="1"/>
                <w:color w:val="auto"/>
              </w:rPr>
              <w:t>Emphasis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640" w:type="dxa"/>
            <w:vAlign w:val="bottom"/>
            <w:gridSpan w:val="3"/>
          </w:tcPr>
          <w:p>
            <w:pPr>
              <w:spacing w:after="0" w:line="195" w:lineRule="exact"/>
              <w:rPr>
                <w:sz w:val="20"/>
                <w:szCs w:val="20"/>
                <w:color w:val="auto"/>
              </w:rPr>
            </w:pPr>
            <w:r>
              <w:rPr>
                <w:rFonts w:ascii="Arial" w:cs="Arial" w:eastAsia="Arial" w:hAnsi="Arial"/>
                <w:sz w:val="18"/>
                <w:szCs w:val="18"/>
                <w:color w:val="auto"/>
              </w:rPr>
              <w:t>Master of Science</w:t>
            </w:r>
          </w:p>
        </w:tc>
        <w:tc>
          <w:tcPr>
            <w:tcW w:w="3320" w:type="dxa"/>
            <w:vAlign w:val="bottom"/>
          </w:tcPr>
          <w:p>
            <w:pPr>
              <w:spacing w:after="0" w:line="195" w:lineRule="exact"/>
              <w:rPr>
                <w:sz w:val="20"/>
                <w:szCs w:val="20"/>
                <w:color w:val="auto"/>
              </w:rPr>
            </w:pPr>
            <w:r>
              <w:rPr>
                <w:rFonts w:ascii="Arial" w:cs="Arial" w:eastAsia="Arial" w:hAnsi="Arial"/>
                <w:sz w:val="18"/>
                <w:szCs w:val="18"/>
                <w:color w:val="auto"/>
              </w:rPr>
              <w:t>•   Nursing — Family Nurse Practitioner*</w:t>
            </w:r>
          </w:p>
        </w:tc>
        <w:tc>
          <w:tcPr>
            <w:tcW w:w="200" w:type="dxa"/>
            <w:vAlign w:val="bottom"/>
          </w:tcPr>
          <w:p>
            <w:pPr>
              <w:spacing w:after="0"/>
              <w:rPr>
                <w:sz w:val="16"/>
                <w:szCs w:val="16"/>
                <w:color w:val="auto"/>
              </w:rPr>
            </w:pPr>
          </w:p>
        </w:tc>
        <w:tc>
          <w:tcPr>
            <w:tcW w:w="1700" w:type="dxa"/>
            <w:vAlign w:val="bottom"/>
          </w:tcPr>
          <w:p>
            <w:pPr>
              <w:spacing w:after="0" w:line="195" w:lineRule="exact"/>
              <w:rPr>
                <w:sz w:val="20"/>
                <w:szCs w:val="20"/>
                <w:color w:val="auto"/>
              </w:rPr>
            </w:pPr>
            <w:r>
              <w:rPr>
                <w:rFonts w:ascii="Arial" w:cs="Arial" w:eastAsia="Arial" w:hAnsi="Arial"/>
                <w:sz w:val="18"/>
                <w:szCs w:val="18"/>
                <w:color w:val="auto"/>
              </w:rPr>
              <w:t>Master of Science</w:t>
            </w:r>
          </w:p>
        </w:tc>
        <w:tc>
          <w:tcPr>
            <w:tcW w:w="280" w:type="dxa"/>
            <w:vAlign w:val="bottom"/>
          </w:tcPr>
          <w:p>
            <w:pPr>
              <w:spacing w:after="0"/>
              <w:rPr>
                <w:sz w:val="16"/>
                <w:szCs w:val="16"/>
                <w:color w:val="auto"/>
              </w:rPr>
            </w:pPr>
          </w:p>
        </w:tc>
        <w:tc>
          <w:tcPr>
            <w:tcW w:w="1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4120" w:type="dxa"/>
            <w:vAlign w:val="bottom"/>
          </w:tcPr>
          <w:p>
            <w:pPr>
              <w:ind w:left="120"/>
              <w:spacing w:after="0" w:line="195" w:lineRule="exact"/>
              <w:rPr>
                <w:sz w:val="20"/>
                <w:szCs w:val="20"/>
                <w:color w:val="auto"/>
              </w:rPr>
            </w:pPr>
            <w:r>
              <w:rPr>
                <w:rFonts w:ascii="Arial" w:cs="Arial" w:eastAsia="Arial" w:hAnsi="Arial"/>
                <w:sz w:val="18"/>
                <w:szCs w:val="18"/>
                <w:color w:val="auto"/>
              </w:rPr>
              <w:t>Criminal Justice — Law Enforcement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w w:val="99"/>
              </w:rPr>
              <w:t>•   Nursing — Acute Care Nurse Practitioner</w:t>
            </w:r>
          </w:p>
        </w:tc>
        <w:tc>
          <w:tcPr>
            <w:tcW w:w="170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Criminal Justice — Legal Studies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   Nursing — Leadership in Healthcare</w:t>
            </w:r>
          </w:p>
        </w:tc>
        <w:tc>
          <w:tcPr>
            <w:tcW w:w="170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Psychology — General Psychology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20" w:type="dxa"/>
            <w:vAlign w:val="bottom"/>
            <w:gridSpan w:val="2"/>
          </w:tcPr>
          <w:p>
            <w:pPr>
              <w:ind w:left="440"/>
              <w:spacing w:after="0"/>
              <w:rPr>
                <w:sz w:val="20"/>
                <w:szCs w:val="20"/>
                <w:color w:val="auto"/>
              </w:rPr>
            </w:pPr>
            <w:r>
              <w:rPr>
                <w:rFonts w:ascii="Arial" w:cs="Arial" w:eastAsia="Arial" w:hAnsi="Arial"/>
                <w:sz w:val="18"/>
                <w:szCs w:val="18"/>
                <w:color w:val="auto"/>
              </w:rPr>
              <w:t>Systems</w:t>
            </w:r>
          </w:p>
        </w:tc>
        <w:tc>
          <w:tcPr>
            <w:tcW w:w="170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w w:val="89"/>
              </w:rPr>
              <w:t>Psychology — Industrial and Organizational Psychology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   Nursing — Clinical Nurse Specialist</w:t>
            </w:r>
          </w:p>
        </w:tc>
        <w:tc>
          <w:tcPr>
            <w:tcW w:w="170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Professional Counseling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20" w:type="dxa"/>
            <w:vAlign w:val="bottom"/>
            <w:gridSpan w:val="2"/>
          </w:tcPr>
          <w:p>
            <w:pPr>
              <w:ind w:left="440"/>
              <w:spacing w:after="0"/>
              <w:rPr>
                <w:sz w:val="20"/>
                <w:szCs w:val="20"/>
                <w:color w:val="auto"/>
              </w:rPr>
            </w:pPr>
            <w:r>
              <w:rPr>
                <w:rFonts w:ascii="Arial" w:cs="Arial" w:eastAsia="Arial" w:hAnsi="Arial"/>
                <w:sz w:val="18"/>
                <w:szCs w:val="18"/>
                <w:color w:val="auto"/>
              </w:rPr>
              <w:t>(Education Focus)*</w:t>
            </w:r>
          </w:p>
        </w:tc>
        <w:tc>
          <w:tcPr>
            <w:tcW w:w="170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Addiction Counseling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   Nursing — Clinical Nurse Specialist*</w:t>
            </w:r>
          </w:p>
        </w:tc>
        <w:tc>
          <w:tcPr>
            <w:tcW w:w="170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Marriage and Family Therapy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   Nursing — Nursing Education</w:t>
            </w:r>
          </w:p>
        </w:tc>
        <w:tc>
          <w:tcPr>
            <w:tcW w:w="170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Health Care Administration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   Nursing — Healthcare Informatics</w:t>
            </w:r>
          </w:p>
        </w:tc>
        <w:tc>
          <w:tcPr>
            <w:tcW w:w="1700" w:type="dxa"/>
            <w:vAlign w:val="bottom"/>
          </w:tcPr>
          <w:p>
            <w:pPr>
              <w:spacing w:after="0"/>
              <w:rPr>
                <w:sz w:val="19"/>
                <w:szCs w:val="19"/>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Health Care Informatics</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   Nursing — Public Health</w:t>
            </w:r>
          </w:p>
        </w:tc>
        <w:tc>
          <w:tcPr>
            <w:tcW w:w="1700" w:type="dxa"/>
            <w:vAlign w:val="bottom"/>
          </w:tcPr>
          <w:p>
            <w:pPr>
              <w:spacing w:after="0"/>
              <w:rPr>
                <w:sz w:val="20"/>
                <w:szCs w:val="20"/>
                <w:color w:val="auto"/>
              </w:rPr>
            </w:pPr>
            <w:r>
              <w:rPr>
                <w:rFonts w:ascii="Arial" w:cs="Arial" w:eastAsia="Arial" w:hAnsi="Arial"/>
                <w:sz w:val="18"/>
                <w:szCs w:val="18"/>
                <w:color w:val="auto"/>
              </w:rPr>
              <w:t>Master of Arts</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Christian Studies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580" w:type="dxa"/>
            <w:vAlign w:val="bottom"/>
            <w:gridSpan w:val="4"/>
          </w:tcPr>
          <w:p>
            <w:pPr>
              <w:ind w:left="280"/>
              <w:spacing w:after="0"/>
              <w:rPr>
                <w:sz w:val="20"/>
                <w:szCs w:val="20"/>
                <w:color w:val="auto"/>
              </w:rPr>
            </w:pPr>
            <w:r>
              <w:rPr>
                <w:rFonts w:ascii="Arial" w:cs="Arial" w:eastAsia="Arial" w:hAnsi="Arial"/>
                <w:sz w:val="18"/>
                <w:szCs w:val="18"/>
                <w:color w:val="auto"/>
              </w:rPr>
              <w:t>•   Christian Studies — Pastoral Ministry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580" w:type="dxa"/>
            <w:vAlign w:val="bottom"/>
            <w:gridSpan w:val="4"/>
          </w:tcPr>
          <w:p>
            <w:pPr>
              <w:ind w:left="280"/>
              <w:spacing w:after="0"/>
              <w:rPr>
                <w:sz w:val="20"/>
                <w:szCs w:val="20"/>
                <w:color w:val="auto"/>
              </w:rPr>
            </w:pPr>
            <w:r>
              <w:rPr>
                <w:rFonts w:ascii="Arial" w:cs="Arial" w:eastAsia="Arial" w:hAnsi="Arial"/>
                <w:sz w:val="18"/>
                <w:szCs w:val="18"/>
                <w:color w:val="auto"/>
              </w:rPr>
              <w:t>•   Christian Studies — Urban Ministry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580" w:type="dxa"/>
            <w:vAlign w:val="bottom"/>
            <w:gridSpan w:val="4"/>
          </w:tcPr>
          <w:p>
            <w:pPr>
              <w:ind w:left="280"/>
              <w:spacing w:after="0"/>
              <w:rPr>
                <w:sz w:val="20"/>
                <w:szCs w:val="20"/>
                <w:color w:val="auto"/>
              </w:rPr>
            </w:pPr>
            <w:r>
              <w:rPr>
                <w:rFonts w:ascii="Arial" w:cs="Arial" w:eastAsia="Arial" w:hAnsi="Arial"/>
                <w:sz w:val="18"/>
                <w:szCs w:val="18"/>
                <w:color w:val="auto"/>
              </w:rPr>
              <w:t>•   Christian Studies — Youth Ministry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vMerge w:val="restart"/>
          </w:tcPr>
          <w:p>
            <w:pPr>
              <w:spacing w:after="0"/>
              <w:rPr>
                <w:sz w:val="20"/>
                <w:szCs w:val="20"/>
                <w:color w:val="auto"/>
              </w:rPr>
            </w:pPr>
            <w:r>
              <w:rPr>
                <w:rFonts w:ascii="Arial" w:cs="Arial" w:eastAsia="Arial" w:hAnsi="Arial"/>
                <w:sz w:val="18"/>
                <w:szCs w:val="18"/>
                <w:color w:val="auto"/>
                <w:w w:val="90"/>
              </w:rPr>
              <w:t>Master of Public Health</w:t>
            </w:r>
          </w:p>
        </w:tc>
        <w:tc>
          <w:tcPr>
            <w:tcW w:w="4580" w:type="dxa"/>
            <w:vAlign w:val="bottom"/>
            <w:gridSpan w:val="4"/>
          </w:tcPr>
          <w:p>
            <w:pPr>
              <w:ind w:left="280"/>
              <w:spacing w:after="0"/>
              <w:rPr>
                <w:sz w:val="20"/>
                <w:szCs w:val="20"/>
                <w:color w:val="auto"/>
              </w:rPr>
            </w:pPr>
            <w:r>
              <w:rPr>
                <w:rFonts w:ascii="Arial" w:cs="Arial" w:eastAsia="Arial" w:hAnsi="Arial"/>
                <w:sz w:val="18"/>
                <w:szCs w:val="18"/>
                <w:color w:val="auto"/>
              </w:rPr>
              <w:t>•   Christian Studies — Christian Leadership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640" w:type="dxa"/>
            <w:vAlign w:val="bottom"/>
            <w:gridSpan w:val="3"/>
          </w:tcPr>
          <w:p>
            <w:pPr>
              <w:spacing w:after="0"/>
              <w:rPr>
                <w:sz w:val="20"/>
                <w:szCs w:val="20"/>
                <w:color w:val="auto"/>
              </w:rPr>
            </w:pPr>
            <w:r>
              <w:rPr>
                <w:rFonts w:ascii="Arial" w:cs="Arial" w:eastAsia="Arial" w:hAnsi="Arial"/>
                <w:sz w:val="18"/>
                <w:szCs w:val="18"/>
                <w:color w:val="auto"/>
              </w:rPr>
              <w:t>Bachelor of Science</w:t>
            </w:r>
          </w:p>
        </w:tc>
        <w:tc>
          <w:tcPr>
            <w:tcW w:w="3520" w:type="dxa"/>
            <w:vAlign w:val="bottom"/>
            <w:gridSpan w:val="2"/>
          </w:tcPr>
          <w:p>
            <w:pPr>
              <w:spacing w:after="0"/>
              <w:rPr>
                <w:sz w:val="20"/>
                <w:szCs w:val="20"/>
                <w:color w:val="auto"/>
              </w:rPr>
            </w:pPr>
            <w:r>
              <w:rPr>
                <w:rFonts w:ascii="Arial" w:cs="Arial" w:eastAsia="Arial" w:hAnsi="Arial"/>
                <w:sz w:val="18"/>
                <w:szCs w:val="18"/>
                <w:color w:val="auto"/>
              </w:rPr>
              <w:t>•   Nursing*</w:t>
            </w:r>
          </w:p>
        </w:tc>
        <w:tc>
          <w:tcPr>
            <w:tcW w:w="1700" w:type="dxa"/>
            <w:vAlign w:val="bottom"/>
          </w:tcPr>
          <w:p>
            <w:pPr>
              <w:spacing w:after="0"/>
              <w:rPr>
                <w:sz w:val="20"/>
                <w:szCs w:val="20"/>
                <w:color w:val="auto"/>
              </w:rPr>
            </w:pPr>
            <w:r>
              <w:rPr>
                <w:rFonts w:ascii="Arial" w:cs="Arial" w:eastAsia="Arial" w:hAnsi="Arial"/>
                <w:sz w:val="18"/>
                <w:szCs w:val="18"/>
                <w:color w:val="auto"/>
              </w:rPr>
              <w:t>Bachelor of Science</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Justice Studies</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Psychology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Sociology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Biology — Pre-Medicine*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Biology — Pre-Pharmacy*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580" w:type="dxa"/>
            <w:vAlign w:val="bottom"/>
            <w:gridSpan w:val="4"/>
          </w:tcPr>
          <w:p>
            <w:pPr>
              <w:ind w:left="280"/>
              <w:spacing w:after="0"/>
              <w:rPr>
                <w:sz w:val="20"/>
                <w:szCs w:val="20"/>
                <w:color w:val="auto"/>
              </w:rPr>
            </w:pPr>
            <w:r>
              <w:rPr>
                <w:rFonts w:ascii="Arial" w:cs="Arial" w:eastAsia="Arial" w:hAnsi="Arial"/>
                <w:sz w:val="18"/>
                <w:szCs w:val="18"/>
                <w:color w:val="auto"/>
              </w:rPr>
              <w:t>•   Biology — Pre-Physician Assistant*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580" w:type="dxa"/>
            <w:vAlign w:val="bottom"/>
            <w:gridSpan w:val="4"/>
          </w:tcPr>
          <w:p>
            <w:pPr>
              <w:ind w:left="280"/>
              <w:spacing w:after="0"/>
              <w:rPr>
                <w:sz w:val="20"/>
                <w:szCs w:val="20"/>
                <w:color w:val="auto"/>
              </w:rPr>
            </w:pPr>
            <w:r>
              <w:rPr>
                <w:rFonts w:ascii="Arial" w:cs="Arial" w:eastAsia="Arial" w:hAnsi="Arial"/>
                <w:sz w:val="18"/>
                <w:szCs w:val="18"/>
                <w:color w:val="auto"/>
              </w:rPr>
              <w:t>•   Health Science: Professional Development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40" w:type="dxa"/>
            <w:vAlign w:val="bottom"/>
            <w:gridSpan w:val="2"/>
          </w:tcPr>
          <w:p>
            <w:pPr>
              <w:ind w:left="280"/>
              <w:spacing w:after="0"/>
              <w:rPr>
                <w:sz w:val="20"/>
                <w:szCs w:val="20"/>
                <w:color w:val="auto"/>
              </w:rPr>
            </w:pPr>
            <w:r>
              <w:rPr>
                <w:rFonts w:ascii="Arial" w:cs="Arial" w:eastAsia="Arial" w:hAnsi="Arial"/>
                <w:sz w:val="18"/>
                <w:szCs w:val="18"/>
                <w:color w:val="auto"/>
              </w:rPr>
              <w:t>Advanced Patient Care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Respiratory Care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Medical Imaging Sciences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Athletic Training*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Addiction Counseling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580" w:type="dxa"/>
            <w:vAlign w:val="bottom"/>
            <w:gridSpan w:val="4"/>
          </w:tcPr>
          <w:p>
            <w:pPr>
              <w:ind w:left="280"/>
              <w:spacing w:after="0"/>
              <w:rPr>
                <w:sz w:val="20"/>
                <w:szCs w:val="20"/>
                <w:color w:val="auto"/>
              </w:rPr>
            </w:pPr>
            <w:r>
              <w:rPr>
                <w:rFonts w:ascii="Arial" w:cs="Arial" w:eastAsia="Arial" w:hAnsi="Arial"/>
                <w:sz w:val="18"/>
                <w:szCs w:val="18"/>
                <w:color w:val="auto"/>
              </w:rPr>
              <w:t>•   Exercise Science — Athletic Coaching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580" w:type="dxa"/>
            <w:vAlign w:val="bottom"/>
            <w:gridSpan w:val="4"/>
          </w:tcPr>
          <w:p>
            <w:pPr>
              <w:ind w:left="280"/>
              <w:spacing w:after="0"/>
              <w:rPr>
                <w:sz w:val="20"/>
                <w:szCs w:val="20"/>
                <w:color w:val="auto"/>
              </w:rPr>
            </w:pPr>
            <w:r>
              <w:rPr>
                <w:rFonts w:ascii="Arial" w:cs="Arial" w:eastAsia="Arial" w:hAnsi="Arial"/>
                <w:sz w:val="18"/>
                <w:szCs w:val="18"/>
                <w:color w:val="auto"/>
              </w:rPr>
              <w:t>•   Exercise Science — Health Education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580" w:type="dxa"/>
            <w:vAlign w:val="bottom"/>
            <w:gridSpan w:val="4"/>
          </w:tcPr>
          <w:p>
            <w:pPr>
              <w:ind w:left="280"/>
              <w:spacing w:after="0"/>
              <w:rPr>
                <w:sz w:val="20"/>
                <w:szCs w:val="20"/>
                <w:color w:val="auto"/>
              </w:rPr>
            </w:pPr>
            <w:r>
              <w:rPr>
                <w:rFonts w:ascii="Arial" w:cs="Arial" w:eastAsia="Arial" w:hAnsi="Arial"/>
                <w:sz w:val="18"/>
                <w:szCs w:val="18"/>
                <w:color w:val="auto"/>
              </w:rPr>
              <w:t>•   Exercise Science — Physical Education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580" w:type="dxa"/>
            <w:vAlign w:val="bottom"/>
            <w:gridSpan w:val="4"/>
          </w:tcPr>
          <w:p>
            <w:pPr>
              <w:ind w:left="280"/>
              <w:spacing w:after="0"/>
              <w:rPr>
                <w:sz w:val="20"/>
                <w:szCs w:val="20"/>
                <w:color w:val="auto"/>
              </w:rPr>
            </w:pPr>
            <w:r>
              <w:rPr>
                <w:rFonts w:ascii="Arial" w:cs="Arial" w:eastAsia="Arial" w:hAnsi="Arial"/>
                <w:sz w:val="18"/>
                <w:szCs w:val="18"/>
                <w:color w:val="auto"/>
              </w:rPr>
              <w:t>•   Exercise Science — Pre-Physical Therapy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Health Care Administration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Counseling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Forensic Science</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Bachelor of Arts</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Communications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English Literature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Interdisciplinary Studies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Christian Studies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History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Indicates program is offered on ground only</w:t>
      </w:r>
    </w:p>
    <w:p>
      <w:pPr>
        <w:spacing w:after="0" w:line="14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established relationships with health care systems, school districts, emergency services providers, and other employers through which we offer programs onsite to provide flexibility and convenience to students and their employers. For example, for our nursing programs, we offer clinical courses onsite at hospitals and other healthcare centers with which we have relationships, and also arrange to allow these students to complete their clinical work onsite. We refer to students attending a program with us through such relationships as professional studies students.</w:t>
      </w:r>
    </w:p>
    <w:p>
      <w:pPr>
        <w:spacing w:after="0" w:line="8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currently offer our ground-based programs to traditional students through three 16-week semesters in a calendar year and to online students in five, seven or eight week courses throughout the calendar year. Traditional students generally enroll in three or four courses per semester while online students typically concentrate on one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course at a time. We require our online students to be active in their online student classroom at least three or four times each week, depending on the content and degree level of the class, in order to maintain an active dialogue with their professors and classmates. Our online programs provide a digital record of student interactions for the course instructor to assess students’ levels of engagement and demonstration of required competencies.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Program Development</w:t>
      </w:r>
    </w:p>
    <w:p>
      <w:pPr>
        <w:spacing w:after="0" w:line="15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typically identify a potential new degree program or emphasis area through market demand or from proposals developed by faculty, staff, students, alumni, or partners, and then perform an analysis of the development cost and the long-term demand for the program. If, following this analysis, we decide to proceed with the program, our Curriculum Design and Development Team designates a subject matter expert who works with other faculty and our instructional designers to design a program that is consistent with our academically rigorous, career-oriented program standards. The program is then reviewed by the dean of the applicable college, the Program Standards and Evaluation Committee, Academic Affairs Committee, and finally, our President and Chief Academic Officer. Upon accreditation and regulatory approval, the subject matter expert develops a course syllabus and our Marketing Department creates a marketing plan to publicize the new program. Our average program development process is six months from proposal to course introduction. The development process is typically longer if we are expanding into a new field or offering a new level of degree.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Assessment</w:t>
      </w:r>
    </w:p>
    <w:p>
      <w:pPr>
        <w:spacing w:after="0" w:line="15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Office of Assessment serves as our central resource for assessing and continually improving our curricula, student satisfaction and learning outcomes. Among other things, the assessment team reviews student course satisfaction surveys; analyzes archived student assignments to assess whether a given program is developing students’ foundational knowledge, professional competencies, and skills to achieve the expected learning outcomes; and provides feedback as to program effectiveness. Based on this data and the conclusions of the assessment team, we modify programs as necessary to meet our student satisfaction and educational development standards.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Faculty</w:t>
      </w:r>
    </w:p>
    <w:p>
      <w:pPr>
        <w:spacing w:after="0" w:line="15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faculty includes full-time faculty who teach under a nine-month or twelve-month teaching contract, as well as adjunct faculty whom we employ to teach on a course-by-course basis for a specified fee. As of December 31, 2011, we employed 189 full-time faculty members and we maintain a pool of over 2,400 adjunct faculty members, all of whom had completed our required training. Substantially all of our current faculty members hold at least a master’s degree in their respective field and approximately 30% of our faculty members hold a doctoral degree. On occasion, we engage a limited number of faculty members who may not hold a graduate degree, but who evidence significant professional experience and achievement in their respective subject areas.</w:t>
      </w:r>
    </w:p>
    <w:p>
      <w:pPr>
        <w:spacing w:after="0" w:line="8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that the quality of our faculty is critical to our success, particularly because faculty members have more interaction with our students than any other university employee. Accordingly, we regularly review the performance of our faculty, including, but not limited to, engaging our full-time faculty and other specialists to conduct peer reviews of our adjunct faculty, monitoring the amount of contact and the quality of feedback that faculty have with students in our online programs, reviewing student feedback, and evaluating the learning outcomes achieved by students. If we determine that a faculty member is not performing at the level that we require, we work with the faculty member to improve performance, including, among other things, assigning him or her a mentor or through other means. If the faculty member’s performance does not improve, we terminate the faculty member’s contract and employment.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Student Support Services</w:t>
      </w:r>
    </w:p>
    <w:p>
      <w:pPr>
        <w:spacing w:after="0" w:line="15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Encouraging students that enter Grand Canyon University to complete their degree programs is critical to the success of our business. We focus on developing and providing resources that support the student educational experience, simplify the student enrollment process, acclimate students to our programs and our online environment, and track student performance toward degree completion. Many of our support services, including academic, administrative, and library services, are accessible online and are available to our online and ground students, allowing users to access these services at a time and in a manner that is generally convenient to them. The student support services we provide include: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Academic services. </w:t>
      </w:r>
      <w:r>
        <w:rPr>
          <w:rFonts w:ascii="Arial" w:cs="Arial" w:eastAsia="Arial" w:hAnsi="Arial"/>
          <w:sz w:val="18"/>
          <w:szCs w:val="18"/>
          <w:color w:val="auto"/>
        </w:rPr>
        <w:t>We provide students with a variety of services designed to support their academic studies. Our Center for Learning and Advancement</w:t>
      </w:r>
      <w:r>
        <w:rPr>
          <w:rFonts w:ascii="Arial" w:cs="Arial" w:eastAsia="Arial" w:hAnsi="Arial"/>
          <w:sz w:val="18"/>
          <w:szCs w:val="18"/>
          <w:i w:val="1"/>
          <w:iCs w:val="1"/>
          <w:color w:val="auto"/>
        </w:rPr>
        <w:t xml:space="preserve"> </w:t>
      </w:r>
      <w:r>
        <w:rPr>
          <w:rFonts w:ascii="Arial" w:cs="Arial" w:eastAsia="Arial" w:hAnsi="Arial"/>
          <w:sz w:val="18"/>
          <w:szCs w:val="18"/>
          <w:color w:val="auto"/>
        </w:rPr>
        <w:t>offers research services, writing services, and other tutoring services.</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Administrative services. </w:t>
      </w:r>
      <w:r>
        <w:rPr>
          <w:rFonts w:ascii="Arial" w:cs="Arial" w:eastAsia="Arial" w:hAnsi="Arial"/>
          <w:sz w:val="18"/>
          <w:szCs w:val="18"/>
          <w:color w:val="auto"/>
        </w:rPr>
        <w:t>We provide students with the ability to access a variety of administrative services both telephonically and via the Internet. For</w:t>
      </w:r>
      <w:r>
        <w:rPr>
          <w:rFonts w:ascii="Arial" w:cs="Arial" w:eastAsia="Arial" w:hAnsi="Arial"/>
          <w:sz w:val="18"/>
          <w:szCs w:val="18"/>
          <w:i w:val="1"/>
          <w:iCs w:val="1"/>
          <w:color w:val="auto"/>
        </w:rPr>
        <w:t xml:space="preserve"> </w:t>
      </w:r>
      <w:r>
        <w:rPr>
          <w:rFonts w:ascii="Arial" w:cs="Arial" w:eastAsia="Arial" w:hAnsi="Arial"/>
          <w:sz w:val="18"/>
          <w:szCs w:val="18"/>
          <w:color w:val="auto"/>
        </w:rPr>
        <w:t>example, students can register for classes, apply for financial aid, pay their tuition, and order their transcripts online. We believe this online accessibility provides the convenience and self-service capabilities that our students value. Our academic and finance counselors provide personalized online and telephonic support to our students.</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Library services. </w:t>
      </w:r>
      <w:r>
        <w:rPr>
          <w:rFonts w:ascii="Arial" w:cs="Arial" w:eastAsia="Arial" w:hAnsi="Arial"/>
          <w:sz w:val="18"/>
          <w:szCs w:val="18"/>
          <w:color w:val="auto"/>
        </w:rPr>
        <w:t>We provide a mix of online and ground resources, services, and instruction to support the educational and research endeavors of all</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faculty, and staff, including ground and online libraries and a qualified library staff that is available to help faculty and students with research, teaching, and library resource instruction. Collectively, our library services meet, or exceed, accrediting and approving bodies expectations for us to offer undergraduate, master’s, and doctoral programs.</w:t>
      </w:r>
    </w:p>
    <w:p>
      <w:pPr>
        <w:spacing w:after="0" w:line="116"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i w:val="1"/>
          <w:iCs w:val="1"/>
          <w:color w:val="auto"/>
        </w:rPr>
        <w:t xml:space="preserve">Career services. </w:t>
      </w:r>
      <w:r>
        <w:rPr>
          <w:rFonts w:ascii="Arial" w:cs="Arial" w:eastAsia="Arial" w:hAnsi="Arial"/>
          <w:sz w:val="15"/>
          <w:szCs w:val="15"/>
          <w:color w:val="auto"/>
        </w:rPr>
        <w:t>For those students seeking to change careers or explore new career opportunities, we offer career services support, including resume</w:t>
      </w:r>
      <w:r>
        <w:rPr>
          <w:rFonts w:ascii="Arial" w:cs="Arial" w:eastAsia="Arial" w:hAnsi="Arial"/>
          <w:sz w:val="15"/>
          <w:szCs w:val="15"/>
          <w:i w:val="1"/>
          <w:iCs w:val="1"/>
          <w:color w:val="auto"/>
        </w:rPr>
        <w:t xml:space="preserve"> </w:t>
      </w:r>
      <w:r>
        <w:rPr>
          <w:rFonts w:ascii="Arial" w:cs="Arial" w:eastAsia="Arial" w:hAnsi="Arial"/>
          <w:sz w:val="15"/>
          <w:szCs w:val="15"/>
          <w:color w:val="auto"/>
        </w:rPr>
        <w:t>review and evaluation, career planning workshops, and access to career services specialists for advice and support. Other resources that we offer include a Job Readiness Program, which advises students on matters such as people skills, resumes and cover letters, mock interviews, and business etiquette; a job board, which advertises employment postings and career exploration opportunities; career counseling appointments and consultations; and career fairs.</w:t>
      </w:r>
    </w:p>
    <w:p>
      <w:pPr>
        <w:spacing w:after="0" w:line="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i w:val="1"/>
          <w:iCs w:val="1"/>
          <w:color w:val="auto"/>
        </w:rPr>
        <w:t xml:space="preserve">Technology support services. </w:t>
      </w:r>
      <w:r>
        <w:rPr>
          <w:rFonts w:ascii="Arial" w:cs="Arial" w:eastAsia="Arial" w:hAnsi="Arial"/>
          <w:sz w:val="16"/>
          <w:szCs w:val="16"/>
          <w:color w:val="auto"/>
        </w:rPr>
        <w:t>We provide online technical support 16 hours per day during the week and 14 hours per day on weekends to help our students</w:t>
      </w:r>
      <w:r>
        <w:rPr>
          <w:rFonts w:ascii="Arial" w:cs="Arial" w:eastAsia="Arial" w:hAnsi="Arial"/>
          <w:sz w:val="16"/>
          <w:szCs w:val="16"/>
          <w:i w:val="1"/>
          <w:iCs w:val="1"/>
          <w:color w:val="auto"/>
        </w:rPr>
        <w:t xml:space="preserve"> </w:t>
      </w:r>
      <w:r>
        <w:rPr>
          <w:rFonts w:ascii="Arial" w:cs="Arial" w:eastAsia="Arial" w:hAnsi="Arial"/>
          <w:sz w:val="16"/>
          <w:szCs w:val="16"/>
          <w:color w:val="auto"/>
        </w:rPr>
        <w:t>remedy technology-related issues. We also provide online tutorials and “Frequently Asked Questions” for students who are new to online coursework.</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Recruitment, and Retention</w:t>
      </w:r>
    </w:p>
    <w:p>
      <w:pPr>
        <w:spacing w:after="0" w:line="15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i w:val="1"/>
          <w:iCs w:val="1"/>
          <w:color w:val="auto"/>
        </w:rPr>
        <w:t xml:space="preserve">Marketing. </w:t>
      </w:r>
      <w:r>
        <w:rPr>
          <w:rFonts w:ascii="Arial" w:cs="Arial" w:eastAsia="Arial" w:hAnsi="Arial"/>
          <w:sz w:val="16"/>
          <w:szCs w:val="16"/>
          <w:color w:val="auto"/>
        </w:rPr>
        <w:t>We engage in a range of marketing activities designed to position us as a provider of academically rigorous, career-oriented educational</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build strong brand recognition in our core disciplines, differentiate us from other educational providers, raise awareness among prospective students, generate enrollment inquiries, and stimulate student and alumni referrals. We target our online programs to working adults focused on program quality, convenience, and career advancement goals. We target our ground programs to traditional college students, working adults seeking a high quality education in a traditional college setting, and working adults seeking to take classes with a cohort onsite at their employer’s facility. In marketing our programs to prospective students, we emphasize the value of the educational experience and the academic rigor and career orientation of the programs, rather than the cost or speed to graduation. We believe this approach reinforces the qualities that we want associated with our brand and also attracts students who tend to be more persistent in starting and finishing their programs.</w:t>
      </w:r>
    </w:p>
    <w:p>
      <w:pPr>
        <w:spacing w:after="0" w:line="91"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i w:val="1"/>
          <w:iCs w:val="1"/>
          <w:color w:val="auto"/>
        </w:rPr>
        <w:t xml:space="preserve">Recruitment. </w:t>
      </w:r>
      <w:r>
        <w:rPr>
          <w:rFonts w:ascii="Arial" w:cs="Arial" w:eastAsia="Arial" w:hAnsi="Arial"/>
          <w:sz w:val="15"/>
          <w:szCs w:val="15"/>
          <w:color w:val="auto"/>
        </w:rPr>
        <w:t>Once a prospective student has indicated an interest in enrolling in one of our programs, our lead management system identifies and directs an</w:t>
      </w:r>
      <w:r>
        <w:rPr>
          <w:rFonts w:ascii="Arial" w:cs="Arial" w:eastAsia="Arial" w:hAnsi="Arial"/>
          <w:sz w:val="15"/>
          <w:szCs w:val="15"/>
          <w:i w:val="1"/>
          <w:iCs w:val="1"/>
          <w:color w:val="auto"/>
        </w:rPr>
        <w:t xml:space="preserve"> </w:t>
      </w:r>
      <w:r>
        <w:rPr>
          <w:rFonts w:ascii="Arial" w:cs="Arial" w:eastAsia="Arial" w:hAnsi="Arial"/>
          <w:sz w:val="15"/>
          <w:szCs w:val="15"/>
          <w:color w:val="auto"/>
        </w:rPr>
        <w:t>enrollment counselor to initiate immediate communication. The enrollment counselor serves as the primary, direct contact for the prospective student and the counselor’s goal is to help that individual gain sufficient knowledge and understanding of our programs so that he or she can assess whether there is a good match between our offerings and the prospective student’s goals. Upon the prospective student’s submission of an application, the enrollment counselor, together with our student services personnel, works with the applicant to gain acceptance, arrange financial aid, if needed, register for courses, and prepare for matriculation.</w:t>
      </w:r>
    </w:p>
    <w:p>
      <w:pPr>
        <w:spacing w:after="0" w:line="7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Retention. </w:t>
      </w:r>
      <w:r>
        <w:rPr>
          <w:rFonts w:ascii="Arial" w:cs="Arial" w:eastAsia="Arial" w:hAnsi="Arial"/>
          <w:sz w:val="16"/>
          <w:szCs w:val="16"/>
          <w:color w:val="auto"/>
        </w:rPr>
        <w:t>A key component in retaining our students is providing an outstanding learning experience. We feel that our team-based, proactive approach to</w:t>
      </w:r>
      <w:r>
        <w:rPr>
          <w:rFonts w:ascii="Arial" w:cs="Arial" w:eastAsia="Arial" w:hAnsi="Arial"/>
          <w:sz w:val="16"/>
          <w:szCs w:val="16"/>
          <w:i w:val="1"/>
          <w:iCs w:val="1"/>
          <w:color w:val="auto"/>
        </w:rPr>
        <w:t xml:space="preserve"> </w:t>
      </w:r>
      <w:r>
        <w:rPr>
          <w:rFonts w:ascii="Arial" w:cs="Arial" w:eastAsia="Arial" w:hAnsi="Arial"/>
          <w:sz w:val="16"/>
          <w:szCs w:val="16"/>
          <w:color w:val="auto"/>
        </w:rPr>
        <w:t>recruitment and enhanced student services results in increased retention due to our systematic approach to contacting students at key milestones during their enrollment, providing encouragement and highlighting their achievements. Our financial advisors proactively assist each student with the student’s selection of an appropriate payment option, and monitors the student’s progress and account balance to ensure a smooth financial aid experience and to help ensure our students are well prepared for their financial obligations incurred. Our academic advisors assist their students with their academic schedules and regularly monitor “triggering events,” such as the failure to participate in the classroom or failure to matriculate in a timely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manner, which signal that a student may be at-risk for dropping out. Upon identifying an at-risk student, academic advisors proactively interact with the student to resolve any issues and encourage the student to continue with his or her program. We have found that personally involving our employees in the student educational process, and proactively seeking to resolve issues before they become larger problems, can significantly increase retention rates among students. These frequent interactions between financial and academic advisors and students are a key component to our retention strategy.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Admissions</w:t>
      </w:r>
    </w:p>
    <w:p>
      <w:pPr>
        <w:spacing w:after="0" w:line="15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Admission to Grand Canyon University is available to qualified students who are at least 16 years of age. Undergraduate applicants may qualify in various ways, including by having a high school diploma, certain minimum grade point average levels, a composite score of 920 or greater on the Scholastic Aptitude Test, a composite score of 19 or greater on the ACT test, or a passing cumulative score of 2,587 or greater on the General Education Development (GED) tests. Some of our programs require a higher grade point average and/or other criteria to qualify for admission. Applicants to our graduate programs must generally have an undergraduate degree from an accredited college, university, or program with a grade point average of 2.8 or greater, or a graduate degree from such a college, university, or program. In addition, some students who do not meet the qualifications for admission may be admitted at our discretion. A student being considered for such admission may be asked to submit additional information such as personal references and an essay addressing academic history. Students may also need to schedule an interview to help clarify academic goals and help us make an informed decision.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Enrollment</w:t>
      </w:r>
    </w:p>
    <w:p>
      <w:pPr>
        <w:spacing w:after="0" w:line="15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At December 31, 2011, we had 43,917 students enrolled in our courses, of which 38,918, or 88.6%, were enrolled in our online programs, and 4,999, or 11.4%, were enrolled in our ground programs. Of our students in online programs, which were geographically distributed throughout all 50 states of the United States, and Canada, and professional studies programs, 91.5% were age 25 or older. Of our traditional on-campus students, 78.9% were under age 25 and, although we draw students from throughout the United States, a substantial majority were from Arizona.</w:t>
      </w:r>
    </w:p>
    <w:p>
      <w:pPr>
        <w:spacing w:after="0" w:line="8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is a summary of our student enrollment at December 31, 2011 and December 31, 2010 (which included fewer than 400 students pursuing non-degree certificates) by degree type and by instructional delivery method: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23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December 31, 2011</w:t>
            </w:r>
            <w:r>
              <w:rPr>
                <w:rFonts w:ascii="Arial" w:cs="Arial" w:eastAsia="Arial" w:hAnsi="Arial"/>
                <w:sz w:val="22"/>
                <w:szCs w:val="22"/>
                <w:b w:val="1"/>
                <w:bCs w:val="1"/>
                <w:color w:val="auto"/>
                <w:vertAlign w:val="superscript"/>
              </w:rPr>
              <w:t>(1)</w:t>
            </w:r>
          </w:p>
        </w:tc>
        <w:tc>
          <w:tcPr>
            <w:tcW w:w="22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December 31, 2010</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24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 of Total</w:t>
            </w:r>
          </w:p>
        </w:tc>
        <w:tc>
          <w:tcPr>
            <w:tcW w:w="3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22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Graduate degree </w:t>
            </w:r>
            <w:r>
              <w:rPr>
                <w:rFonts w:ascii="Arial" w:cs="Arial" w:eastAsia="Arial" w:hAnsi="Arial"/>
                <w:sz w:val="11"/>
                <w:szCs w:val="11"/>
                <w:color w:val="auto"/>
              </w:rPr>
              <w:t>(2)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17,175</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Undergraduate degree</w:t>
            </w:r>
          </w:p>
        </w:tc>
        <w:tc>
          <w:tcPr>
            <w:tcW w:w="880" w:type="dxa"/>
            <w:vAlign w:val="bottom"/>
          </w:tcPr>
          <w:p>
            <w:pPr>
              <w:jc w:val="right"/>
              <w:spacing w:after="0"/>
              <w:rPr>
                <w:sz w:val="20"/>
                <w:szCs w:val="20"/>
                <w:color w:val="auto"/>
              </w:rPr>
            </w:pPr>
            <w:r>
              <w:rPr>
                <w:rFonts w:ascii="Arial" w:cs="Arial" w:eastAsia="Arial" w:hAnsi="Arial"/>
                <w:sz w:val="18"/>
                <w:szCs w:val="18"/>
                <w:color w:val="auto"/>
              </w:rPr>
              <w:t>26,742</w:t>
            </w: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60.9%</w:t>
            </w:r>
          </w:p>
        </w:tc>
        <w:tc>
          <w:tcPr>
            <w:tcW w:w="900" w:type="dxa"/>
            <w:vAlign w:val="bottom"/>
          </w:tcPr>
          <w:p>
            <w:pPr>
              <w:jc w:val="right"/>
              <w:spacing w:after="0"/>
              <w:rPr>
                <w:sz w:val="20"/>
                <w:szCs w:val="20"/>
                <w:color w:val="auto"/>
              </w:rPr>
            </w:pPr>
            <w:r>
              <w:rPr>
                <w:rFonts w:ascii="Arial" w:cs="Arial" w:eastAsia="Arial" w:hAnsi="Arial"/>
                <w:sz w:val="18"/>
                <w:szCs w:val="18"/>
                <w:color w:val="auto"/>
              </w:rPr>
              <w:t>23,750</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43,917</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41,482</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3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December 31, 2011</w:t>
            </w:r>
            <w:r>
              <w:rPr>
                <w:rFonts w:ascii="Arial" w:cs="Arial" w:eastAsia="Arial" w:hAnsi="Arial"/>
                <w:sz w:val="22"/>
                <w:szCs w:val="22"/>
                <w:b w:val="1"/>
                <w:bCs w:val="1"/>
                <w:color w:val="auto"/>
                <w:vertAlign w:val="superscript"/>
              </w:rPr>
              <w:t>(1)</w:t>
            </w:r>
          </w:p>
        </w:tc>
        <w:tc>
          <w:tcPr>
            <w:tcW w:w="22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December 31, 2010</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24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 of Total</w:t>
            </w:r>
          </w:p>
        </w:tc>
        <w:tc>
          <w:tcPr>
            <w:tcW w:w="3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22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Online</w:t>
            </w:r>
            <w:r>
              <w:rPr>
                <w:rFonts w:ascii="Arial" w:cs="Arial" w:eastAsia="Arial" w:hAnsi="Arial"/>
                <w:sz w:val="11"/>
                <w:szCs w:val="11"/>
                <w:color w:val="auto"/>
              </w:rPr>
              <w:t>(3)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38,918</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 xml:space="preserve">Ground </w:t>
            </w:r>
            <w:r>
              <w:rPr>
                <w:rFonts w:ascii="Arial" w:cs="Arial" w:eastAsia="Arial" w:hAnsi="Arial"/>
                <w:sz w:val="11"/>
                <w:szCs w:val="11"/>
                <w:color w:val="auto"/>
              </w:rPr>
              <w:t>(4)</w:t>
            </w:r>
          </w:p>
        </w:tc>
        <w:tc>
          <w:tcPr>
            <w:tcW w:w="880" w:type="dxa"/>
            <w:vAlign w:val="bottom"/>
          </w:tcPr>
          <w:p>
            <w:pPr>
              <w:jc w:val="right"/>
              <w:spacing w:after="0"/>
              <w:rPr>
                <w:sz w:val="20"/>
                <w:szCs w:val="20"/>
                <w:color w:val="auto"/>
              </w:rPr>
            </w:pPr>
            <w:r>
              <w:rPr>
                <w:rFonts w:ascii="Arial" w:cs="Arial" w:eastAsia="Arial" w:hAnsi="Arial"/>
                <w:sz w:val="18"/>
                <w:szCs w:val="18"/>
                <w:color w:val="auto"/>
              </w:rPr>
              <w:t>4,999</w:t>
            </w: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900" w:type="dxa"/>
            <w:vAlign w:val="bottom"/>
          </w:tcPr>
          <w:p>
            <w:pPr>
              <w:jc w:val="right"/>
              <w:spacing w:after="0"/>
              <w:rPr>
                <w:sz w:val="20"/>
                <w:szCs w:val="20"/>
                <w:color w:val="auto"/>
              </w:rPr>
            </w:pPr>
            <w:r>
              <w:rPr>
                <w:rFonts w:ascii="Arial" w:cs="Arial" w:eastAsia="Arial" w:hAnsi="Arial"/>
                <w:sz w:val="18"/>
                <w:szCs w:val="18"/>
                <w:color w:val="auto"/>
              </w:rPr>
              <w:t>3,748</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43,917</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41,482</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20"/>
          <w:szCs w:val="20"/>
          <w:color w:val="auto"/>
          <w:vertAlign w:val="superscript"/>
        </w:rPr>
      </w:pPr>
      <w:r>
        <w:rPr>
          <w:rFonts w:ascii="Arial" w:cs="Arial" w:eastAsia="Arial" w:hAnsi="Arial"/>
          <w:sz w:val="16"/>
          <w:szCs w:val="16"/>
          <w:color w:val="auto"/>
        </w:rPr>
        <w:t>Enrollment at December 31, 2011 and 2010 represents individual students who attended a course during the last two months of the calendar quarter.</w:t>
      </w:r>
    </w:p>
    <w:p>
      <w:pPr>
        <w:spacing w:after="0" w:line="111" w:lineRule="exact"/>
        <w:rPr>
          <w:rFonts w:ascii="Arial" w:cs="Arial" w:eastAsia="Arial" w:hAnsi="Arial"/>
          <w:sz w:val="20"/>
          <w:szCs w:val="20"/>
          <w:color w:val="auto"/>
          <w:vertAlign w:val="superscript"/>
        </w:rPr>
      </w:pPr>
    </w:p>
    <w:p>
      <w:pPr>
        <w:ind w:left="460" w:hanging="452"/>
        <w:spacing w:after="0"/>
        <w:tabs>
          <w:tab w:leader="none" w:pos="46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Includes 1,924 and 1,186 students pursuing doctoral degrees at December 31, 2011 and 2010, respectively.</w:t>
      </w:r>
    </w:p>
    <w:p>
      <w:pPr>
        <w:spacing w:after="0" w:line="142" w:lineRule="exact"/>
        <w:rPr>
          <w:rFonts w:ascii="Arial" w:cs="Arial" w:eastAsia="Arial" w:hAnsi="Arial"/>
          <w:sz w:val="22"/>
          <w:szCs w:val="22"/>
          <w:color w:val="auto"/>
          <w:vertAlign w:val="superscript"/>
        </w:rPr>
      </w:pPr>
    </w:p>
    <w:p>
      <w:pPr>
        <w:ind w:left="460" w:right="360" w:hanging="452"/>
        <w:spacing w:after="0" w:line="228" w:lineRule="auto"/>
        <w:tabs>
          <w:tab w:leader="none" w:pos="46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As of December 31, 2011 and 2010, 42.8% and 45.7%, respectively, of our online and professional studies students were pursuing graduate or doctoral degrees.</w:t>
      </w:r>
    </w:p>
    <w:p>
      <w:pPr>
        <w:spacing w:after="0" w:line="113"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Includes our traditional on-campus students, as well as our professional studies students.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Tuition and Fees</w:t>
      </w:r>
    </w:p>
    <w:p>
      <w:pPr>
        <w:spacing w:after="0" w:line="15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tuition rates vary by type and length of program and by degree level. For all graduate and undergraduate programs, tuition is determined by the number of courses taken by each student. For our 2011-12 academic year (the academic year that began in May 2011), our prices per credit hour are $450 for undergraduate online and professional studies courses, $480 for graduate online courses (other than graduate business and graduate nursing), $530 for graduate business courses, $580 for graduate online nursing courses, $595 for doctoral courses, and $688 for undergraduate courses for traditional on-campus students. For our active duty and active reserve online and professional studies students, our prices per credit hour are $250 for undergraduate and $385 for graduate. The overall price of each course varies based upon the number of credit hours per course (with most courses representing four credit hours), the degree level of the program, and the discipline of the course. In addition, we charge a fixed $8,250 “block tuition” for undergraduate ground students taking between 12 and 18 credit hours per semester, with an additional $688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The doctoral programs require approximately 60 credit hours.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offer tuition scholarships to select students, including online students, athletes, employees, and participants in programs we offer through relationships with employers. For the years ended December 31, 2011, 2010, and 2009, our revenue was reduced by approximately $73.6 million, $55.8 million, and $34.2 million, respectively, as a result of scholarships that we offered to our students. The increase in scholarships is due to increased revenues and a significant increase in the use of academic scholarships to attract high performing students.</w:t>
      </w:r>
    </w:p>
    <w:p>
      <w:pPr>
        <w:spacing w:after="0" w:line="1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have established a refund policy for tuition and fees based upon individual course start dates. Under our policy, for courses offered through a non-traditional modality, generally if a student drops or withdraws from a course before the first week, 100% of the charges for tuition and fees are refunded. If a student drops or withdraws from a course during the first week of the course, 75% of the charges for tuition are refunded. If a student drops or withdraws from a course during or after the second week of a course, tuition charges and fees are not refunded. All fees, including materials fees, are non-refundable for non-traditional students after the start of a course. We will refund tuition and fees according to the above policy unless a student attending courses online is a resident of a state that requires us to comply with different, state specific guidelines. For traditional students attending 16-week courses, generally if a student withdraws before the first week 100% of the charges for tuition and fees are refunded. If a student withdraws during the first week of the course, 90% of the charges for tuition are refunded and instructional fees and ground campus-related fees are refunded. If a student drops or withdraws from a course during the second week of a course, 75% of the tuition charges are refunded and all fees are non-refundable. If a student drops during the third week of a course, 50% of the tuition charges are refunded and during or after the fourth week, there are no refunds for tuition charges or fees. Fees charged by us include graduation fees as well as fees for access to certain educational resources such as online materials. This tuition and fees refund policy is different from, and applies in addition to, the return of Title IV funds policy we are required to follow as a condition of our participation in the Title IV programs.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Student Financing</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students finance their education through a combination of methods, as follows:</w:t>
      </w:r>
    </w:p>
    <w:p>
      <w:pPr>
        <w:spacing w:after="0" w:line="14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Title IV programs. </w:t>
      </w:r>
      <w:r>
        <w:rPr>
          <w:rFonts w:ascii="Arial" w:cs="Arial" w:eastAsia="Arial" w:hAnsi="Arial"/>
          <w:sz w:val="18"/>
          <w:szCs w:val="18"/>
          <w:color w:val="auto"/>
        </w:rPr>
        <w:t>The federal government provides for grants and loans to students under the Title IV programs, and students can use those funds at any</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 that has been certified as eligible by the Department of Education. Student financial aid under the Title IV programs is primarily awarded on the basis of a student’s financial need, which is generally defined as the difference between the cost of attending the institution and the amount the student and the student’s family can reasonably contribute to that cost. All students receiving Title IV program funds must maintain satisfactory academic progress toward completion of their program of study. In addition, each school must ensure that Title IV program funds are properly accounted for and disbursed in the correct amounts to eligible students.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fiscal 2011 and 2010, we derived approximately 80.2% and 84.9%, respectively, of our net revenues (calculated on a cash basis in accordance with Department of Education standards that were in effect prior to the August 2008 reauthorization of the Higher Education Act) from tuition financed under the Title IV programs. During fiscal year 2010, the Health Care and Education Reconciliation Act was enacted and signed into law. This legislation, among other things, eliminated the Federal Family Education Loan Program, or FFEL, and required all Title IV federal student loans to be administered through the Federal Direct Loan Program, or FDL Program,</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commencing July 1, 2010. We completed the transition of loan origination and related servicing from the FFEL to the FDL Program during the third quarter of fiscal year 2010. The primary Title IV programs that our students receive funding from are the FDL Program, and the Federal Pell Grant, or Pell, Program.</w:t>
      </w:r>
    </w:p>
    <w:p>
      <w:pPr>
        <w:spacing w:after="0" w:line="58"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Student loans are currently the most significant source of U.S. federal student aid and are administered through the FDL Program. Previously, these loans were also available under the FFEL. Annual and aggregate loan limits apply based on the student’s grade level. There are two types of federal student loans: subsidized loans, which are based on the U.S. federal statutory calculation of student need, and unsubsidized loans, which are not need-based. Neither type of student loan is based on creditworthiness. Students are not responsible for interest on subsidized loans while the student is enrolled in school. Students are responsible for the interest on unsubsidized loans while enrolled in school, but have the option to defer payment while enrolled. Repayment on federal student loans begins six months after the date the student ceases to be enrolled. The loans are repayable over the course of 10 years and, in some cases, longer. Both graduate and undergraduate students are eligible for loans. During 2011, federal student loans (both subsidized and unsubsidized) represented approximately 86.0% of the gross Title IV funds received by the University.</w:t>
      </w:r>
    </w:p>
    <w:p>
      <w:pPr>
        <w:spacing w:after="0" w:line="91" w:lineRule="exact"/>
        <w:rPr>
          <w:sz w:val="20"/>
          <w:szCs w:val="20"/>
          <w:color w:val="auto"/>
        </w:rPr>
      </w:pPr>
    </w:p>
    <w:p>
      <w:pPr>
        <w:ind w:right="320" w:firstLine="456"/>
        <w:spacing w:after="0" w:line="335" w:lineRule="auto"/>
        <w:rPr>
          <w:sz w:val="20"/>
          <w:szCs w:val="20"/>
          <w:color w:val="auto"/>
        </w:rPr>
      </w:pPr>
      <w:r>
        <w:rPr>
          <w:rFonts w:ascii="Arial" w:cs="Arial" w:eastAsia="Arial" w:hAnsi="Arial"/>
          <w:sz w:val="15"/>
          <w:szCs w:val="15"/>
          <w:color w:val="auto"/>
        </w:rPr>
        <w:t>Pell Grants are awarded based on need and only to undergraduate students who have not earned a bachelor’s or professional degree. Unlike loans, Pell Grants are not repayable. During fiscal year 2011, Pell Grants represented approximately 12.8% of the gross Title IV funds received by the University. The eligibility requirements for, and the maximum amount available under, Pell Grants increased in 2009 and 2010, but did not increase in 2011 over 2010 levels.</w:t>
      </w:r>
    </w:p>
    <w:p>
      <w:pPr>
        <w:spacing w:after="0" w:line="61"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Our students also receive funding under other Title IV programs, including the Federal Perkins Loan Program, the Federal Supplemental Educational Opportunity Grant Program, the Federal Work-Study Program, the National Science and Mathematics Access to Retain Talent Grant Program, the Academic Competitiveness Grant Program, and the Teacher Education Assistance for College and Higher Education Grant Program.</w:t>
      </w:r>
    </w:p>
    <w:p>
      <w:pPr>
        <w:spacing w:after="0" w:line="8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i w:val="1"/>
          <w:iCs w:val="1"/>
          <w:color w:val="auto"/>
        </w:rPr>
        <w:t xml:space="preserve">Other financial aid programs. </w:t>
      </w:r>
      <w:r>
        <w:rPr>
          <w:rFonts w:ascii="Arial" w:cs="Arial" w:eastAsia="Arial" w:hAnsi="Arial"/>
          <w:sz w:val="16"/>
          <w:szCs w:val="16"/>
          <w:color w:val="auto"/>
        </w:rPr>
        <w:t>In addition to the Title IV programs listed above, eligible students may participate in several other financial aid programs or</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support from other governmental sources. These include veterans educational benefits administered by the U.S. Department of Veterans Affairs and state financial aid programs. During fiscal 2011 and 2010, we derived an immaterial amount of our net revenue from tuition financed by such programs.</w:t>
      </w:r>
    </w:p>
    <w:p>
      <w:pPr>
        <w:spacing w:after="0" w:line="80"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i w:val="1"/>
          <w:iCs w:val="1"/>
          <w:color w:val="auto"/>
        </w:rPr>
        <w:t xml:space="preserve">Private loans. </w:t>
      </w:r>
      <w:r>
        <w:rPr>
          <w:rFonts w:ascii="Arial" w:cs="Arial" w:eastAsia="Arial" w:hAnsi="Arial"/>
          <w:sz w:val="15"/>
          <w:szCs w:val="15"/>
          <w:color w:val="auto"/>
        </w:rPr>
        <w:t>Some of our students also use private loan programs to help finance their education. Students can apply to a number of different lenders for</w:t>
      </w:r>
      <w:r>
        <w:rPr>
          <w:rFonts w:ascii="Arial" w:cs="Arial" w:eastAsia="Arial" w:hAnsi="Arial"/>
          <w:sz w:val="15"/>
          <w:szCs w:val="15"/>
          <w:i w:val="1"/>
          <w:iCs w:val="1"/>
          <w:color w:val="auto"/>
        </w:rPr>
        <w:t xml:space="preserve"> </w:t>
      </w:r>
      <w:r>
        <w:rPr>
          <w:rFonts w:ascii="Arial" w:cs="Arial" w:eastAsia="Arial" w:hAnsi="Arial"/>
          <w:sz w:val="15"/>
          <w:szCs w:val="15"/>
          <w:color w:val="auto"/>
        </w:rPr>
        <w:t>private loans at current market interest rates. Private loans are intended to fund a portion of students’ cost of education not covered by the Title IV programs and other financial aid. During fiscal 2011 and 2010, payments derived from private loans constituted less than 1% of our net revenues for each year respectively.</w:t>
      </w:r>
    </w:p>
    <w:p>
      <w:pPr>
        <w:spacing w:after="0" w:line="61" w:lineRule="exact"/>
        <w:rPr>
          <w:sz w:val="20"/>
          <w:szCs w:val="20"/>
          <w:color w:val="auto"/>
        </w:rPr>
      </w:pPr>
    </w:p>
    <w:p>
      <w:pPr>
        <w:ind w:right="880" w:firstLine="456"/>
        <w:spacing w:after="0" w:line="407" w:lineRule="auto"/>
        <w:rPr>
          <w:sz w:val="20"/>
          <w:szCs w:val="20"/>
          <w:color w:val="auto"/>
        </w:rPr>
      </w:pPr>
      <w:r>
        <w:rPr>
          <w:rFonts w:ascii="Arial" w:cs="Arial" w:eastAsia="Arial" w:hAnsi="Arial"/>
          <w:sz w:val="18"/>
          <w:szCs w:val="18"/>
          <w:i w:val="1"/>
          <w:iCs w:val="1"/>
          <w:color w:val="auto"/>
        </w:rPr>
        <w:t xml:space="preserve">Other sources. </w:t>
      </w:r>
      <w:r>
        <w:rPr>
          <w:rFonts w:ascii="Arial" w:cs="Arial" w:eastAsia="Arial" w:hAnsi="Arial"/>
          <w:sz w:val="18"/>
          <w:szCs w:val="18"/>
          <w:color w:val="auto"/>
        </w:rPr>
        <w:t>We derived the remainder of our net revenue from tuition that is self-funded or attributable to employer tuition reimbursements.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Technology Systems and Management</w:t>
      </w:r>
    </w:p>
    <w:p>
      <w:pPr>
        <w:ind w:firstLine="456"/>
        <w:spacing w:after="0" w:line="268" w:lineRule="auto"/>
        <w:rPr>
          <w:sz w:val="20"/>
          <w:szCs w:val="20"/>
          <w:color w:val="auto"/>
        </w:rPr>
      </w:pPr>
      <w:r>
        <w:rPr>
          <w:rFonts w:ascii="Arial" w:cs="Arial" w:eastAsia="Arial" w:hAnsi="Arial"/>
          <w:sz w:val="18"/>
          <w:szCs w:val="18"/>
          <w:color w:val="auto"/>
        </w:rPr>
        <w:t>We believe that we have established a secure, reliable, scalable technology systems that provide a high quality online educational environment and gives us the capability to substantially grow our online and traditional programs and enrollment.</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Online course delivery and management. </w:t>
      </w:r>
      <w:r>
        <w:rPr>
          <w:rFonts w:ascii="Arial" w:cs="Arial" w:eastAsia="Arial" w:hAnsi="Arial"/>
          <w:sz w:val="16"/>
          <w:szCs w:val="16"/>
          <w:color w:val="auto"/>
        </w:rPr>
        <w:t>Historically, we have used the ANGEL Learning Management Suite as our online learning management system.</w:t>
      </w:r>
      <w:r>
        <w:rPr>
          <w:rFonts w:ascii="Arial" w:cs="Arial" w:eastAsia="Arial" w:hAnsi="Arial"/>
          <w:sz w:val="16"/>
          <w:szCs w:val="16"/>
          <w:i w:val="1"/>
          <w:iCs w:val="1"/>
          <w:color w:val="auto"/>
        </w:rPr>
        <w:t xml:space="preserve"> </w:t>
      </w:r>
      <w:r>
        <w:rPr>
          <w:rFonts w:ascii="Arial" w:cs="Arial" w:eastAsia="Arial" w:hAnsi="Arial"/>
          <w:sz w:val="16"/>
          <w:szCs w:val="16"/>
          <w:color w:val="auto"/>
        </w:rPr>
        <w:t>ANGEL is a web-based system and collaboration portal that stores, manages, and delivers course content; provides interactive communication between students and faculty; enables assignment uploading; and supplies online evaluation tools,. The system also provides centralized administration features that support the implementation of policies for content format and in-classroom learning tools. During 2010, we entered into an agreement with an affiliated entity to develop a new learning management system for use by the University. Through this agreement we prepaid perpetual license fees, acquired source code rights for the software developed, and prepaid maintenance and service fees for the first seven years of use, for an aggregate amount of $4.9 million. We began converting our students to this new learning management platform in October of 2011 and anticipate full implementation in 2012. We continually seek to develop and implement features that enhance the online classroom experience, such as delivering course content through streaming video, simulations, and other interactive enhancements.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i w:val="1"/>
          <w:iCs w:val="1"/>
          <w:color w:val="auto"/>
        </w:rPr>
        <w:t xml:space="preserve">Internal administration. </w:t>
      </w:r>
      <w:r>
        <w:rPr>
          <w:rFonts w:ascii="Arial" w:cs="Arial" w:eastAsia="Arial" w:hAnsi="Arial"/>
          <w:sz w:val="16"/>
          <w:szCs w:val="16"/>
          <w:color w:val="auto"/>
        </w:rPr>
        <w:t>We utilize a commercial customer relations management package to distribute, manage, track, and report on all interactions with</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prospective student leads as well as all active and inactive students. This package is scalable to capacity levels well in excess of current requirements. We also utilize a commercial software package to track Title IV funds, student records, grades, accounts receivable, and accounts payable.</w:t>
      </w:r>
    </w:p>
    <w:p>
      <w:pPr>
        <w:spacing w:after="0" w:line="80"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i w:val="1"/>
          <w:iCs w:val="1"/>
          <w:color w:val="auto"/>
        </w:rPr>
        <w:t xml:space="preserve">Infrastructure. </w:t>
      </w:r>
      <w:r>
        <w:rPr>
          <w:rFonts w:ascii="Arial" w:cs="Arial" w:eastAsia="Arial" w:hAnsi="Arial"/>
          <w:sz w:val="18"/>
          <w:szCs w:val="18"/>
          <w:color w:val="auto"/>
        </w:rPr>
        <w:t>We operate two data centers, one at our campus and one at another Phoenix-area location. All of our servers are networked and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redundant data backup. We manage our technology environment internally. Our wide area network uses fully redundant SONET ring technology to ensure maximum uptime, bandwidth capacity and network performance while allowing the flexibility needed to bring on additional data centers and remote sites as needed. Student access is load balanced for maximum performance. Real-time monitoring provides current system status across server, network, and storage components.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Ground Campus</w:t>
      </w:r>
    </w:p>
    <w:p>
      <w:pPr>
        <w:spacing w:after="0" w:line="15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own our ground campus, which is located on approximately 115 acres in the center of the Phoenix, Arizona metropolitan area, near downtown Phoenix. Our on-campus facilities currently consist of 45 buildings, which include 64 classrooms, two lecture halls, a 300-seat theater, four student computer labs with 125 computers that are available to students 18 hours per day, a 155,000-volume library, a media arts complex that provides communications students with audio and video equipment, a 55,000 square foot recreation center for both student-athletes and on-campus students, a 140,000 square foot/ 5,000 seat basketball and entertainment arena, and an activity center that contains a food court, a bowling alley and other student services. We house our ground students in an on-campus student apartment complex and three dormitories that can collectively hold up to 1,770 students. In 2011, we began construction on an Arts and Sciences classroom building, which will have 21 traditional classrooms, five chemistry labs, two computer labs, a simulation lab, and a skills laboratory, and two additional dormitories that will add 1,000 total beds. In the Spring of 2012, we will begin construction on our first parking garage with 1,630 new parking spaces.</w:t>
      </w:r>
    </w:p>
    <w:p>
      <w:pPr>
        <w:spacing w:after="0" w:line="9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21 intercollegiate athletic teams that compete in Division II of the National Collegiate Athletic Association (“NCAA”) and one club program. Our athletic facilities include the University Arena (a 5,000 seat venue for all men’s and women’s basketball games plus selected other GCU athletic competitions, concerts, speakers and other events), and a competition/practice gymnasium, which accommodates basketball, volleyball, and wrestling competitive events. In addition, the University’s 55,000 square foot student recreation center that has state of the art training facilities for our 400 student-athletes plus practice space and locker rooms for men’s and women’s basketball and wrestling. Our baseball, softball, track and field, soccer and lacrosse programs utilize on-campus practice and competition sites. Golf, tennis, cross-country and swimming programs utilize off-campus sites for practice and competition. Our baseball program has produced 14 Major League Baseball players while the men’s basketball program has produced a pair of NBA players. Baseball, basketball, tennis and soccer have combined to produce nine National Association of Intercollegiate Athletics (“NAIA”) or NCAA National Championship teams.</w:t>
      </w:r>
    </w:p>
    <w:p>
      <w:pPr>
        <w:spacing w:after="0" w:line="9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our ground-based programs and traditional campus not only offer our ground students, faculty, and staff an opportunity to participate in a traditional college experience, but also provide our online students, faculty, and staff with a sense of connection to a traditional university. Additionally, our full-time ground faculty play an important role in integrating online faculty into our academic programs and ensuring the overall consistency and quality of the ground and online student experience. We believe our mix of a rapidly growing online program, anchored by a traditional ground-based program with a greater than 60-year history and heritage, differentiates us from most other for-profit postsecondary education providers.</w:t>
      </w:r>
    </w:p>
    <w:p>
      <w:pPr>
        <w:spacing w:after="0" w:line="8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intend to continue to expand the size and enhance the profile and reputation of our ground campus by, among other things, adding faculty and expanding upon and modernizing our campus infrastructure and technological capabilities over the next several years. These activities may require significant capital expenditures and may cause us to incur significant expenses.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5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addition to our faculty, as of December 31, 2011, we employed approximately 2,550 staff and administrative personnel in university services, academic advising and academic support, enrollment services, university administration, financial aid, information technology, human resources, corporate accounting, finance, and other administrative functions. None of our employees is a party to any collective bargaining or similar agreement with us. We consider our relationships with our employees to be good.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50"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There are more than 4,000 U.S. colleges and universities serving traditional and adult students. Competition is highly fragmented and varies by geography, program offerings, modality, ownership, quality level, and selectivity of admissions. No one institution has a significant share of the total postsecondary market.</w:t>
      </w:r>
    </w:p>
    <w:p>
      <w:pPr>
        <w:spacing w:after="0" w:line="3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ground program competes with Arizona State University, Northern Arizona University, and the University of Arizona, the in-state public universities, as well as two-year colleges within the state community college system. To a limited extent, our ground program also competes with geographically proximate universities with similar religious heritages, including Azusa Pacific University, Baylor University, and Seattle Pacific University. Our online programs compete with local, traditional universities geographically located near each of our prospective students, and with other for-profit postsecondary schools that offer online degrees, particularly those schools that offer online graduate programs within our core disciplines, including Capella University, University of Phoenix, and Walden University. In addition, many public and private schools, colleges, and universities, including most major colleges and universities, offer online programs.</w:t>
      </w:r>
    </w:p>
    <w:p>
      <w:pPr>
        <w:spacing w:after="0" w:line="9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Non-profit institutions receive substantial government subsidies, and have access to government and foundation grants, tax-deductible contributions and other financial resources generally not available to for-profit schools. Accordingly, non-profit institutions may have instructional and support resources that are superior to those in the for-profit sector. In addition, some of our competitors, including both traditional colleges and universities and other for-profit schools, have substantially greater name recognition and financial resources than we have, which may enable them to compete more effectively for potential students. We also expect to face increased competition as a result of new entrants to the online education market, including established colleges and universities that had not previously offered online education programs.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competitive factors in the postsecondary education market include:</w:t>
      </w:r>
    </w:p>
    <w:p>
      <w:pPr>
        <w:spacing w:after="0" w:line="158" w:lineRule="exact"/>
        <w:rPr>
          <w:sz w:val="20"/>
          <w:szCs w:val="20"/>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career-oriented and accredited program offerings;</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types of degrees offered and marketability of those degrees;</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reputation, regulatory approvals, and compliance history of the school;</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convenient, flexible and dependable access to programs and classes;</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qualified and experienced faculty;</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of student support services;</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of the program;</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marketing and selling effectiveness; and</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 necessary to earn a degree.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Rights</w:t>
      </w:r>
    </w:p>
    <w:p>
      <w:pPr>
        <w:spacing w:after="0" w:line="15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own or are licensed to use various intellectual property rights, including copyrights, trademarks, service marks, trade secrets and domain names. We license the right to utilize the name of Ken Blanchard in connection with our business school and Executive MBA programs and have spent significant resources in related branding efforts.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license agreement with Ken Blanchard has a current term that expires on December 31, 2016. While such intellectual property rights are important to us, we do not believe that the loss of any individual property right or group of related rights would have a material adverse effect on our overall business.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5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Our Internet address is </w:t>
      </w:r>
      <w:r>
        <w:rPr>
          <w:rFonts w:ascii="Arial" w:cs="Arial" w:eastAsia="Arial" w:hAnsi="Arial"/>
          <w:sz w:val="16"/>
          <w:szCs w:val="16"/>
          <w:u w:val="single" w:color="auto"/>
          <w:color w:val="auto"/>
        </w:rPr>
        <w:t>www.gcu.edu</w:t>
      </w:r>
      <w:r>
        <w:rPr>
          <w:rFonts w:ascii="Arial" w:cs="Arial" w:eastAsia="Arial" w:hAnsi="Arial"/>
          <w:sz w:val="16"/>
          <w:szCs w:val="16"/>
          <w:color w:val="auto"/>
        </w:rPr>
        <w:t>. We make available free of charge on our website our Annual Report on Form 10-K, Quarterly Reports on Form 10-Q, Current Reports on Form 8-K, Forms 3, 4, and 5 filed on behalf of directors and executive officers, and all amendments to those reports filed or furnished pursuant to Section 13(a) or 15(d) of the Exchange Act, as soon as reasonably practicable after such reports are electronically filed with, or furnished to, the Securities and Exchange Commission (hereafter, the SEC). In addition, our earnings conference calls are web cast live via our website. In addition to visiting our website, you may read and copy any document we file with the SEC at the SEC’s Public Reference Room at 100 F. Street NE, Washington, D.C. 20549 or at www.sec.gov. Please call the SEC at 1-800-SEC-0330 for information on the Public Reference Room.</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5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We are subject to extensive regulation by state education agencies, accrediting commissions, and the federal government through the Department of Education under the Higher Education Act. The regulations, standards, and policies of these agencies cover the vast majority of our operations, including our educational programs, facilities, instructional and administrative staff, administrative procedures, marketing, recruiting, financial operations, and financial condition.</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an institution of higher education that grants degrees and certificates, we are required to be authorized by appropriate state education authorities. These state education authorities also exercise regulatory oversight of our institution. In addition, in order to participate in the federal student financial aid programs, we must be accredited by an accrediting commission recognized by the Department of Education. Accreditation is a non-governmental process through which an institution submits to qualitative review by an organization of peer institutions, based on the standards of the accrediting commission and the stated aims and purposes of the institution. The Higher Education Act requires accrediting commissions recognized by the Department of Education to review and monitor many aspects of an institution’s operations and to take appropriate action if the institution fails to meet the accrediting commission’s standards.</w:t>
      </w:r>
    </w:p>
    <w:p>
      <w:pPr>
        <w:spacing w:after="0" w:line="9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operations are also subject to regulation by the Department of Education due to our participation in the federal student financial aid programs under Title IV of the Higher Education Act. Those Title IV programs include educational loans with below-market interest rates that are issued by the federal government under the Federal Direct Loan program (the “FDL Program”), as well as grant programs for students with demonstrated financial need. To participate in the Title IV programs, a school must receive and maintain authorization by the appropriate state education agency or agencies, be accredited by an accrediting commission recognized by the Department of Education, and be certified as an eligible institution by the Department of Education.</w:t>
      </w:r>
    </w:p>
    <w:p>
      <w:pPr>
        <w:spacing w:after="0" w:line="89" w:lineRule="exact"/>
        <w:rPr>
          <w:sz w:val="20"/>
          <w:szCs w:val="20"/>
          <w:color w:val="auto"/>
        </w:rPr>
      </w:pPr>
    </w:p>
    <w:p>
      <w:pPr>
        <w:ind w:right="300" w:firstLine="456"/>
        <w:spacing w:after="0" w:line="335" w:lineRule="auto"/>
        <w:rPr>
          <w:sz w:val="20"/>
          <w:szCs w:val="20"/>
          <w:color w:val="auto"/>
        </w:rPr>
      </w:pPr>
      <w:r>
        <w:rPr>
          <w:rFonts w:ascii="Arial" w:cs="Arial" w:eastAsia="Arial" w:hAnsi="Arial"/>
          <w:sz w:val="15"/>
          <w:szCs w:val="15"/>
          <w:color w:val="auto"/>
        </w:rPr>
        <w:t>Our business activities are planned and implemented to comply with the standards of these regulatory agencies. We employ a Vice President of Student Financial Aid Compliance who is knowledgeable about regulatory matters relevant to student financial aid programs and our Chief Financial Officer, Chief Compliance Officer, and General Counsel also provide oversight designed to ensure that we meet the requirements of our regulated operating environment.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Education Licensure and Regulation</w:t>
      </w:r>
    </w:p>
    <w:p>
      <w:pPr>
        <w:spacing w:after="0" w:line="15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authorized to offer our educational programs by the Arizona State Board for Private Postsecondary Education, the regulatory agency governing private postsecondary educational institutions in the State of Arizona, where we are located. We do not presently have campuses in any states other than Arizona. We are required by the Higher Education Act to maintain authorization from the Arizona State Board for Private Postsecondary Education in order to participate in the Title IV programs. This authorization is very important to us and our business.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Our failure to comply with the requirements of the Arizona State Board for Private Postsecondary Education could result in us losing our authorization to offer our educational programs, which would cause us to lose our eligibility to participate in the Title IV programs and could force us to cease operations. Alternatively, the Arizona State Board for Private Postsecondary Education could restrict our ability to offer certain degree and non-degree programs.</w:t>
      </w:r>
    </w:p>
    <w:p>
      <w:pPr>
        <w:spacing w:after="0" w:line="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Most other states impose regulatory requirements on out-of-state educational institutions operating within their boundaries, such as those having a physical facility or conducting certain academic activities within the state. State laws establish standards in areas such as instruction, qualifications of faculty, administrative procedures, marketing, recruiting, financial operations, and other operational matters, some of which are different than the standards prescribed by the Department of Education or the Arizona State Board for Private Postsecondary Education. Laws in some states limit schools’ ability to offer educational programs and award degrees to residents of those states. Some states also prescribe financial regulations that are different from those of the Department of Education, and many require the posting of surety bonds.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In addition, the Department of Education has adopted new regulations that require online providers to meet any such state requirements and, thus, the Department of Education would seem to have authority, in addition to that of the states, to enforce applicable state law requirements. See “New Regulations — State authorization.” Because state regulatory requirements for online education vary among the states, are not well developed in many states, are imprecise or unclear in some states, and can change frequently, it is unclear how the new Department of Education regulation will be enforced and what impact it will have on us. New laws, regulations, or interpretations related to doing business over the Internet could also increase our cost of doing business and affect our ability to recruit students in particular states, which could, in turn, negatively affect enrollments and revenues and have a material adverse effect on our business.</w:t>
      </w:r>
    </w:p>
    <w:p>
      <w:pPr>
        <w:spacing w:after="0" w:line="9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have determined that our activities in certain states constitute a presence requiring licensure or authorization under the requirements of the applicable state education agency in those states and we have obtained such licensure or authorization. In other states, we have obtained approvals as we have determined necessary in connection with our marketing and recruiting activities or where we have determined that our licensure or authorization can facilitate the teaching certification process in a particular state for graduates of our College of Education. We review the licensure or authorization requirements of other states when appropriate to determine whether our activities in those states constitute a presence or otherwise require licensure or authorization by the applicable state education agencies. Because state regulatory requirements, including agency interpretations, can change frequently, and because we enroll students in all 50 states and the District of Columbia, we expect that state regulatory authorities in states where we are not currently licensed or authorized will request that we seek licensure or authorization in their states in the future. Although we believe that we will be able to comply with additional state licensing or authorization requirements that may arise or be asserted in the future, including under the Department of Education’s state authorization regulations,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and fines and penalties imposed by, that state, as well as fines, penalties, and sanctions imposed by the Department of Education. While we do not believe that any of the states in which we are currently licensed or authorized, other than Arizona, are individually material to our operations, the loss of licensure or authorization in any state could prohibit us from recruiting prospective students or offering services to current students in that state, which could significantly reduce our enrollments.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Professional Licensure</w:t>
      </w:r>
    </w:p>
    <w:p>
      <w:pPr>
        <w:spacing w:after="0" w:line="15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Many states have specific requirements that an individual must satisfy in order to be licensed as a professional in specified fields, including fields such as education and healthcare.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93" w:lineRule="exact"/>
        <w:rPr>
          <w:sz w:val="20"/>
          <w:szCs w:val="20"/>
          <w:color w:val="auto"/>
        </w:rPr>
      </w:pPr>
    </w:p>
    <w:p>
      <w:pPr>
        <w:ind w:left="1480" w:hanging="446"/>
        <w:spacing w:after="0"/>
        <w:tabs>
          <w:tab w:leader="none" w:pos="1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whether the institution and the program were approved by the state in which the graduate seeks licensure, or by a professional association;</w:t>
      </w:r>
    </w:p>
    <w:p>
      <w:pPr>
        <w:spacing w:after="0" w:line="180" w:lineRule="exact"/>
        <w:rPr>
          <w:rFonts w:ascii="Arial" w:cs="Arial" w:eastAsia="Arial" w:hAnsi="Arial"/>
          <w:sz w:val="16"/>
          <w:szCs w:val="16"/>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program from which the student graduated meets all requirements for professional licensure in that state;</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institution and the program are accredited and, if so, by what accrediting commissions; and</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institution’s degrees are recognized by other states in which a student may seek to work.</w:t>
      </w:r>
    </w:p>
    <w:p>
      <w:pPr>
        <w:spacing w:after="0" w:line="144"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Many states also require that graduates pass a state test or examination as a prerequisite to becoming certified in certain fields, such as teaching and nursing. Many states will certify individuals if they have already been certified in another state.</w:t>
      </w:r>
    </w:p>
    <w:p>
      <w:pPr>
        <w:spacing w:after="0" w:line="10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College of Education is approved by the Arizona State Board of Education to offer Institutional Recommendations (credentials) for the certification of elementary, secondary, and special education teachers and school administrators. Our College of Nursing is approved by the Arizona State Board of Nursing for the Bachelor of Science in Nursing and Master of Science in Nursing degrees. Due to varying requirements for professional licensure and certification in states other than Arizona, we inform students of the risks associated with obtaining professional licensure or certification and that it is each student’s responsibility to determine what state, local or professional licensure and certification requirements are necessary in his or her individual state.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Accreditation</w:t>
      </w:r>
    </w:p>
    <w:p>
      <w:pPr>
        <w:spacing w:after="0" w:line="15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have been continuously accredited since 1968 by the Higher Learning Commission and its predecessor, each a regional accrediting commission recognized by the Department of Education. Our accreditation was reaffirmed in 2007, and the next scheduled comprehensive evaluation will be conducted in 2016-2017.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the Department of Education,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9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There are six regional accrediting commissions recognized by the Department of Education, each with a specified geographic scope of coverage, which together cover the entire United States. Most traditional, public and private non-profit, degree-granting colleges and universities are accredited by one of these six regional accrediting commissions. The Higher Learning Commission, which accredits Grand Canyon University, is the same regional accrediting commission that accredits such universities as the University of Arizona, Arizona State University, and other degree-granting public, private non-profit, and proprietary colleges and universities in the states of Arizona, Arkansas, Colorado, Illinois, Indiana, Iowa, Kansas, Michigan, Minnesota, Missouri, Nebraska, New Mexico, North Dakota, Ohio, Oklahoma, South Dakota, West Virginia, Wisconsin, and Wyoming.</w:t>
      </w:r>
    </w:p>
    <w:p>
      <w:pPr>
        <w:spacing w:after="0" w:line="93"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Accreditation by the Higher Learning Commission is important to us for several reasons, including the fact that it enables our students to receive Title IV financial aid. Other colleges and universities depend, in part, on an institution’s accreditation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 If we fail to satisfy the standards of the Higher Learning Commission, we could lose our accreditation by that agency, which would cause us to lose our eligibility to participate in the Title IV programs.</w:t>
      </w:r>
    </w:p>
    <w:p>
      <w:pPr>
        <w:spacing w:after="0" w:line="7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reauthorization of the Higher Education Act in 2008 and final regulations thereunder issued by the Department of Education that became effective July 1, 2010 require accreditors to monitor the growth of programs at institutions that are experiencing significant enrollment growth. The Higher Learning Commission requires all affiliated institutions to complete an annual data report. If the non-financial data, particularly enrollment information, and any other information submitted by the institution indicate problems, rapid change, or significant growth, the Higher Learning Commission staff may require that the institution address any concerns arising from the data report in the next self-study and visit process. The Higher Learning Commission staff may also recommend that its Institutional Actions Council require additional monitoring. In addition, regulations issued by the Department of Education require the Higher Learning Commission to notify the Department of Education if an institution it accredits that offers distance learning programs experiences an increase in its headcount enrollment of 50% or more in any fiscal year, and the Department of Education may consider that information in connection with its own regulatory oversight activities.</w:t>
      </w:r>
    </w:p>
    <w:p>
      <w:pPr>
        <w:spacing w:after="0" w:line="9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to institutional accreditation by the Higher Learning Commission, there are numerous specialized accrediting commissions that accredit specific programs or schools within their jurisdiction, many of which are in healthcare and professional fields. Accreditation of specific programs by one of these specialized accrediting commissions signifies that those programs have met the additional standards of those agencies. In addition to being accredited by the Higher Learning Commission, we also have the following specialized accreditations:</w:t>
      </w:r>
    </w:p>
    <w:p>
      <w:pPr>
        <w:spacing w:after="0" w:line="130" w:lineRule="exact"/>
        <w:rPr>
          <w:sz w:val="20"/>
          <w:szCs w:val="20"/>
          <w:color w:val="auto"/>
        </w:rPr>
      </w:pPr>
    </w:p>
    <w:p>
      <w:pPr>
        <w:jc w:val="both"/>
        <w:ind w:left="1480" w:right="180" w:hanging="446"/>
        <w:spacing w:after="0" w:line="259"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Association of Collegiate Business Schools and Programs accredits our Executive Master of Business Administration degree program, Master of Business Administration degree program and our Bachelor of Science degree programs in Accounting, Business Administration, Marketing, and Entrepreneurship;</w:t>
      </w:r>
    </w:p>
    <w:p>
      <w:pPr>
        <w:spacing w:after="0" w:line="126" w:lineRule="exact"/>
        <w:rPr>
          <w:rFonts w:ascii="Arial" w:cs="Arial" w:eastAsia="Arial" w:hAnsi="Arial"/>
          <w:sz w:val="18"/>
          <w:szCs w:val="18"/>
          <w:color w:val="auto"/>
        </w:rPr>
      </w:pPr>
    </w:p>
    <w:p>
      <w:pPr>
        <w:ind w:left="1480" w:right="280" w:hanging="446"/>
        <w:spacing w:after="0" w:line="268"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Commission on Collegiate Nursing Education accredits our Bachelor of Science in Nursing and Master of Science in Nursing degree programs; and</w:t>
      </w:r>
    </w:p>
    <w:p>
      <w:pPr>
        <w:spacing w:after="0" w:line="118"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Commission on Accreditation of Athletic Training Education accredits our Athletic Training Program.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we fail to satisfy the standards of any of these specialized accrediting commissions, we could lose the specialized accreditation for the affected programs, which could result in materially reduced student enrollments in those programs and prevent our students from seeking and obtaining appropriate licensure in their fields.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Federal Student Financial Aid Programs</w:t>
      </w:r>
    </w:p>
    <w:p>
      <w:pPr>
        <w:spacing w:after="0" w:line="15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be eligible to participate in the Title IV programs, an institution must comply with specific requirements contained in the Higher Education Act and the regulations issued thereunder by the Department of Education. An institution must, among other things, be licensed or authorized to offer its educational programs by the state in which it is physically located (in our case, Arizona) and maintain institutional accreditation by an accrediting commission recognized by the Department of Education (in our case, the Higher Learning Commission). Since July 2008, we had been provisionally certified to participate in the Title IV programs on a month-to-month basis. On April 8, 2011, following the completion of the Department of Education’s review of information we had provided in connection with a deemed change in control that resulted from the termination in January 2011 of certain voting agreements among our stockholders, the Department of Education notified us that it had approved our application for a change in control ownership and issued to us a new, provisional program participation agreement to participate in the Title IV programs. While this certification is provisional, the Department of Education’s action did remove us from month-to-month status, provides for our continued participation in Title IV programs through December 31, 2013, and did not impose any conditions (such as any letter of credit requirement) or other restrictions on us during the provisional period other than the standard restrictions applicable to a provisional certification. In accordance with the terms of the provisional certification, we may apply for recertification on a full basis by submitting a complete application by no later than September 30, 2013.</w:t>
      </w:r>
    </w:p>
    <w:p>
      <w:pPr>
        <w:spacing w:after="0" w:line="9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substantial amount of federal funds disbursed to schools through the Title IV programs, the large number of students and institutions participating in these programs, and allegations of fraud and abuse by certain for-profit educational institutions have caused Congress to require the Department of Education to exercise considerable regulatory oversight over for-profit educational institutions. As a result, our institution is subject to extensive oversight and review. Because the Department of Education periodically revises its regulations and changes its interpretations of existing laws and regulations, we cannot predict with certainty how the Title IV program requirements will be applied in all circumstances.</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factors relating to the Title IV programs that could adversely affect us include the following:</w:t>
      </w:r>
    </w:p>
    <w:p>
      <w:pPr>
        <w:spacing w:after="0" w:line="14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Congressional action. </w:t>
      </w:r>
      <w:r>
        <w:rPr>
          <w:rFonts w:ascii="Arial" w:cs="Arial" w:eastAsia="Arial" w:hAnsi="Arial"/>
          <w:sz w:val="16"/>
          <w:szCs w:val="16"/>
          <w:color w:val="auto"/>
        </w:rPr>
        <w:t>Congress must reauthorize the Higher Education Act on a periodic basis, usually every five to six years, and the most recent</w:t>
      </w:r>
      <w:r>
        <w:rPr>
          <w:rFonts w:ascii="Arial" w:cs="Arial" w:eastAsia="Arial" w:hAnsi="Arial"/>
          <w:sz w:val="16"/>
          <w:szCs w:val="16"/>
          <w:i w:val="1"/>
          <w:iCs w:val="1"/>
          <w:color w:val="auto"/>
        </w:rPr>
        <w:t xml:space="preserve"> </w:t>
      </w:r>
      <w:r>
        <w:rPr>
          <w:rFonts w:ascii="Arial" w:cs="Arial" w:eastAsia="Arial" w:hAnsi="Arial"/>
          <w:sz w:val="16"/>
          <w:szCs w:val="16"/>
          <w:color w:val="auto"/>
        </w:rPr>
        <w:t>reauthorization occurred in August 2008. The reauthorized Higher Education Act reauthorized all of the Title IV programs in which we participate, but made numerous revisions to the requirements governing the Title IV programs, including provisions relating to student loan default rates and the formula for determining the maximum amount of revenue that institutions are permitted to derive from the Title IV programs. In addition, members of Congress periodically introduce legislation that would impact Title IV programs and our industry generally. Because a significant percentage of our revenue is derived from the Title IV programs, any action by Congress that significantly reduces Title IV program funding or our ability or the ability of our students to participate in the Title IV programs could increase our costs of compliance, reduce the ability of some students to finance their education at our institution, require us to seek to arrange for other sources of financial aid for our students and materially decrease our student enrollment.</w:t>
      </w:r>
    </w:p>
    <w:p>
      <w:pPr>
        <w:spacing w:after="0" w:line="9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recent years, there has been increased focus by Congress on the role that proprietary educational institutions play in higher education. In June 2010, the Education and Labor Committee of the U.S. House of Representatives held a hearing to examine the manner in which accrediting agencies review higher education institutions’ policies on credit hours and program length. This followed a report from the Office of the Inspector General of the Department of Education in December 2009 criticizing the accreditation of a proprietary school by a regional accrediting body and requesting that the Department of Education review the appropriateness of its recognition of the accrediting body. Also in June 2010, the U.S. Senate Committee on Health, Education, Labor and Pensions (“HELP Committee”) held the first in a series of hearings to examine the proprietary education sector. At a subsequent hearing in August 2010, the Government Accountability Office (“GAO”) presented a report of its review of various aspects of the proprietary sector, including recruitment practices and the degree to which proprietary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institutions’ revenue is composed of Title IV funding. Following the August hearing, Sen. Tom Harkin, the Chairman of the HELP Committee, requested a broad range of detailed information from 30 proprietary institutions, including us. In September 2010, the HELP Committee held a third hearing and Sen. Harkin’s staff released a memorandum entitled “The Return on the Federal Investment in For-Profit Education: Debt Without a Diploma.” Sen. Harkin has held subsequent hearings and roundtable discussions, most recently on July 21, 2011, and we believe that future hearings may be held. On September 22, 2011, Sen. Tom Carper, the Chairman of the Senate Homeland Security and Government Affairs Subcommittee on Federal Financial Management, Government Information, Federal Services and International Security, held a hearing on “Improving Educational Outcomes for Our Military and Veterans,” focusing on the quality of education for the military and veterans population and the treatment of such funding for purposes of the 90/10 Rule calculation that, if enacted, would adversely impact our 90/10 Rule percentage. Sen. Carper suggested a follow-up roundtable discussion. Other Congressional hearings or roundtable discussions are expected to be held regarding various aspects of the education industry that may affect our business. In addition, on December 12, 2011, Rep. Elijah Cummings, the ranking member of the House Committee on Oversight and Government Reform requested certain information from the publicly traded proprietary schools, including us, related to the compensation of our executives (substantially all of which was already publicly available). Finally, on January 22, 2012, Sen. Richard Durbin of Illinois introduced a bill that would change the 90/10 Rule (discussed below) to an 85/15 rule and require that colleges count GI Bill benefits, military tuition assistance, and several other sources of federal funds as student financial aid (the “Durbin bill”). We have been, and intend to continue to be, responsive to requests from Congressional committees for information about our business. We cannot predict what legislation, if any, may result from these Congressional committee hearings and inquiries or what impact any such legislation might have on the proprietary education sector or our business in particular.</w:t>
      </w:r>
    </w:p>
    <w:p>
      <w:pPr>
        <w:spacing w:after="0" w:line="8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Congress must determine the funding levels for the Title IV programs on an annual basis through the budget and appropriations process, and may adjust those levels at other times. In this regard, in April 2011, Congress permanently eliminated year-round Pell Grant awards beginning with the 2011-2012 award year as part of the fiscal year 2011 Continuing Resolution spending bill. We believe this change, which did not reduce the maximum annual grant level, will have only a nominal impact on our business. However, because the Pell Grant program is one of the largest non-defense discretionary spending programs in the federal budget, it is a target for reduction as Congress addresses the budget deficits.</w:t>
      </w:r>
    </w:p>
    <w:p>
      <w:pPr>
        <w:spacing w:after="0" w:line="8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August 2011, President Obama signed into law the Budget Control Act of 2011, which provides for an increase in the federal government borrowing limit and spending reductions in two phases. The first phase imposes various spending cuts, including the elimination of the partial in-school interest subsidy for graduate student loans beginning July 1, 2012. The cost of borrowing will increase for graduate students who defer payment of interest while enrolled, which could adversely impact enrollment. More recently, effective July 1, 2012, Congress eliminated Pell Grants for students without a high school diploma or G.E.D., but who have demonstrated an ability to benefit from postsecondary education.</w:t>
      </w:r>
    </w:p>
    <w:p>
      <w:pPr>
        <w:spacing w:after="0" w:line="89"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confluence of the increasing scrutiny by Congress of the proprietary education sector and the Congressional focus on the U.S. budget deficit increases the likelihood of legislation that will adversely impact our business. For example, Congress could extend the elimination of the in-school interest subsidy to undergraduate students or to undergraduate students in proprietary institutions, reduce the maximum amount of or change the eligibility standards for student loans and/or Pell Grants or make other material changes in Title IV programs driven by policy considerations, economic considerations or both. As proposed in the Durbin bill referred to above, Congress could also revise the “90/10 Rule”, discussed more fully below, in a number of ways, including changing how certain funds are counted under this rule, revising the percentage of income that proprietary schools must derive from non-federal sources, or both. Any action by Congress that significantly reduces Title IV program funding, whether through across-the-board funding reductions, sequestration or otherwise, or materially impacts the eligibility of our institutions or students to participate in Title IV programs would have a material adverse effect on our enrollment, financial condition, results of operations and cash flows. Congressional action could also require us to modify our practices in ways that could increase our administrative costs and reduce our operating income, which could have a material adverse effect on our financial condition, results of operations and cash flows.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Regulatory changes. </w:t>
      </w:r>
      <w:r>
        <w:rPr>
          <w:rFonts w:ascii="Arial" w:cs="Arial" w:eastAsia="Arial" w:hAnsi="Arial"/>
          <w:sz w:val="16"/>
          <w:szCs w:val="16"/>
          <w:color w:val="auto"/>
        </w:rPr>
        <w:t>In May 2009, the Department of Education announced its intent to initiate a round of negotiated rulemaking to address Title IV</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integrity issues. Negotiated rulemaking is a process whereby the Department of Education consults with members of the postsecondary education community to identify issues of concern and attempts to agree on proposed regulatory revisions to address those issues before the Department of Education formally proposes any regulations. If the Department of Education and negotiators cannot reach consensus on their entire package of draft regulations, the Department of Education is authorized to propose regulations without being bound by any agreements made in the negotiation process. That process was concluded for a significant number of regulatory topics in January 2010 and addressed a number of significant issues, including: compensation paid by institutions to persons or entities engaged in student recruiting or admission activities; the determination of satisfactory academic progress under different academic calendars; state authorization as a component of institutional eligibility; the definition of a credit hour for purposes of determining program eligibility status, particularly in the context of awarding Pell Grants; verification of information included on student aid applications; the definition of a high school diploma as a condition of a student’s receipt of Title IV aid and requirements that an institution be able to demonstrate that its graduates obtain gainful employment, as measured against certain metrics such as student loan debt and salaries of graduates. Of the proposed revisions to the regulations that were considered in that negotiated rulemaking, the negotiators did not reach consensus on the proposals to modify the standards relating to the payment of incentive compensation to employees involved in student recruitment and enrollment and to adopt a definition of “gainful employment” for purposes of the requirement placed on proprietary schools that participate in Title IV programs that a program of study prepare students for gainful employment in a recognized occupation. Accordingly, under the negotiated rulemaking protocol, the Department of Education became authorized to propose regulations with respect to these topics without regard to the concerns of institutions as expressed during the negotiated rulemaking process.</w:t>
      </w:r>
    </w:p>
    <w:p>
      <w:pPr>
        <w:spacing w:after="0" w:line="9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June 18, 2010, the Department of Education issued a Notice of Proposed Rulemaking (“NPRM”) in respect of the incentive compensation rule and other program integrity issues, other than the metrics for determining compliance with the gainful employment requirement. The final rules on these topics were published on October 29, 2010 and became effective on July 1, 2011. The changes to the incentive compensation rule and other program integrity issues are discussed below under “New Regulations — Revised incentive compensation rule,” “New Regulations —Substantial misrepresentation,” and “New Regulations —State authorization.”</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July 26, 2010, the Department of Education issued an NPRM in respect of the proposed gainful employment requirement. While the Department of Education previously stated that its goal was to publish final rules related to the gainful employment requirement by November 1, 2010 and to have the final rules be effective July 1, 2011 with certain provisions to be effective July 1, 2012, due to the unprecedented volume of comments received regarding the proposed rules, on September 24, 2010, the Department of Education announced that it would delay issuing final rules until early 2011 in order to give interested parties more time to clarify their comments and respond to questions from Department of Education officials. The final gainful employment rules, which were published on June 13, 2011 and became effective July 1, 2011, are discussed below under “New Regulations —Gainful employment rule.”</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still assessing the impact of the final regulations on our financial aid policies and practices and on our other operations, plans, and strategies. At this time, we cannot predict with any certainty whether compliance with such new requirements will result in a material adverse effect on our enrollments and operations.</w:t>
      </w:r>
    </w:p>
    <w:p>
      <w:pPr>
        <w:spacing w:after="0" w:line="113"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In May 2011, the Department of Education announced its intention to establish additional negotiated rulemaking committees to prepare proposed regulations under the Higher Education Act, as reauthorized. Three public hearings were conducted in May 2011 at which interested parties suggested issues that should be considered for action by the negotiating committees. The Department of Education also conducted roundtable discussions to inform policy in the areas of teacher preparation and college completion. In October 2011, the Department of Education requested nominations for individual negotiators for two negotiation teams to address teacher preparation and student loan issues. These negotiations began in January 2012 and are scheduled to conclude in April 2012.</w:t>
      </w:r>
    </w:p>
    <w:p>
      <w:pPr>
        <w:spacing w:after="0" w:line="7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On September 27, 2011, the Department of Education published a Notice of Proposed Rulemaking (“NPRM”) to amend the regulations for institutional eligibility under the Higher Education Act, as reauthorized, and to streamline the application and approval process for new programs, as required by the October 2010 rules on gainful employment. The public comment period ended on November 14, 2011 and the Department of Education is reviewing and considering responses to the NPRM before publishing final regulations that would be effective July 2013.</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Eligibility and certification procedures. </w:t>
      </w:r>
      <w:r>
        <w:rPr>
          <w:rFonts w:ascii="Arial" w:cs="Arial" w:eastAsia="Arial" w:hAnsi="Arial"/>
          <w:sz w:val="16"/>
          <w:szCs w:val="16"/>
          <w:color w:val="auto"/>
        </w:rPr>
        <w:t>Each institution must apply periodically to the Department of Education for continued certification to participate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Title IV programs. Such recertification generally is required every six years, but may be required earlier, including when an institution undergoes a change in control. An institution may also come under the Department of Education’s review when it expands its activities in certain ways, such as opening an additional location, adding a new educational program or modifying the academic credentials it offers. The Department of Education may place an institution on provisional certification status if it finds that the institution does not fully satisfy all of the eligibility and certification standards and in certain other circumstances, such as when an institution is certified for the first time or undergoes a change in control. During the period of provisional certification, the institution must comply with any additional conditions included in the school’s program participation agreement with the Department of Education. In addition, the Department of Education may more closely review an institution that is provisionally certified if it applies for recertification or approval to open a new location, add an educational program, acquire another school, or make any other significant change. If the Department of Education determines that a provisionally certified institution is unable to meet its responsibilities under its program participation agreement, it may seek to revoke the institution’s certification to participate in the Title IV programs without advance notice or opportunity for the institution to challenge the action. Students attending provisionally certified institutions remain eligible to receive Title IV program funds.</w:t>
      </w:r>
    </w:p>
    <w:p>
      <w:pPr>
        <w:spacing w:after="0" w:line="97" w:lineRule="exact"/>
        <w:rPr>
          <w:sz w:val="20"/>
          <w:szCs w:val="20"/>
          <w:color w:val="auto"/>
        </w:rPr>
      </w:pPr>
    </w:p>
    <w:p>
      <w:pPr>
        <w:ind w:right="40" w:firstLine="456"/>
        <w:spacing w:after="0" w:line="307" w:lineRule="auto"/>
        <w:rPr>
          <w:sz w:val="20"/>
          <w:szCs w:val="20"/>
          <w:color w:val="auto"/>
        </w:rPr>
      </w:pPr>
      <w:r>
        <w:rPr>
          <w:rFonts w:ascii="Arial" w:cs="Arial" w:eastAsia="Arial" w:hAnsi="Arial"/>
          <w:sz w:val="15"/>
          <w:szCs w:val="15"/>
          <w:color w:val="auto"/>
        </w:rPr>
        <w:t>Since July 2008, we had been provisionally certified to participate in the Title IV programs on a month-to-month basis. On April 8, 2011, following the completion of the Department of Education’s review of information we had provided in connection with a deemed change in control that resulted from the termination in January 2011 of certain voting agreements among our stockholders, the Department of Education notified us that it had approved our application for a change in control and issued to us a new, provisional program participation agreement to participate in the Title IV programs. While this certification is provisional, the Department of Education’s action did remove us from month-to-month status, provides for our continued participation in Title IV programs through December 31, 2013, and did not impose any conditions (such as any letter of credit requirement) or other restrictions on us during the provisional period other than the standard restrictions applicable to a provisional certification. In accordance with the terms of the provisional certification, we may apply for recertification on a full basis by submitting a complete application by no later than September 30, 2013. If the Department of Education does not renew or withdraws our certification to participate in the Title IV programs at any time, our students would no longer be able to receive Title IV program funds. Alternatively, the Department of Education could renew our certification, but restrict or delay our students’ receipt of Title IV funds, limit the number of students to whom we could disburse such funds, or place other restrictions on us. Any of these outcomes would have a material adverse effect on our enrollments and us.</w:t>
      </w:r>
    </w:p>
    <w:p>
      <w:pPr>
        <w:spacing w:after="0" w:line="85"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i w:val="1"/>
          <w:iCs w:val="1"/>
          <w:color w:val="auto"/>
        </w:rPr>
        <w:t xml:space="preserve">Administrative capability. </w:t>
      </w:r>
      <w:r>
        <w:rPr>
          <w:rFonts w:ascii="Arial" w:cs="Arial" w:eastAsia="Arial" w:hAnsi="Arial"/>
          <w:sz w:val="16"/>
          <w:szCs w:val="16"/>
          <w:color w:val="auto"/>
        </w:rPr>
        <w:t>Department of Education regulations specify extensive criteria by which an institution must establish that it has the requisite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capability” to participate in the Title IV programs. To meet the administrative capability standards, an institution must, among other things:</w:t>
      </w:r>
    </w:p>
    <w:p>
      <w:pPr>
        <w:spacing w:after="0" w:line="72" w:lineRule="exact"/>
        <w:rPr>
          <w:sz w:val="20"/>
          <w:szCs w:val="20"/>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comply with all applicable Title IV program requirements;</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have an adequate number of qualified personnel to administer the Title IV programs;</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have acceptable standards for measuring the satisfactory academic progress of its students;</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have student loan cohort default rates above specified levels;</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have various procedures in place for awarding, disbursing and safeguarding Title IV funds and for maintaining required records;</w:t>
      </w:r>
    </w:p>
    <w:p>
      <w:pPr>
        <w:spacing w:after="0" w:line="180" w:lineRule="exact"/>
        <w:rPr>
          <w:rFonts w:ascii="Arial" w:cs="Arial" w:eastAsia="Arial" w:hAnsi="Arial"/>
          <w:sz w:val="16"/>
          <w:szCs w:val="16"/>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administer the Title IV programs with adequate checks and balances in its system of internal controls;</w:t>
      </w:r>
    </w:p>
    <w:p>
      <w:pPr>
        <w:spacing w:after="0" w:line="157" w:lineRule="exact"/>
        <w:rPr>
          <w:rFonts w:ascii="Arial" w:cs="Arial" w:eastAsia="Arial" w:hAnsi="Arial"/>
          <w:sz w:val="18"/>
          <w:szCs w:val="18"/>
          <w:color w:val="auto"/>
        </w:rPr>
      </w:pPr>
    </w:p>
    <w:p>
      <w:pPr>
        <w:ind w:left="1480" w:right="40" w:hanging="446"/>
        <w:spacing w:after="0" w:line="268"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be, and not have any principal or affiliate who is, debarred or suspended from federal contracting or engaging in activity that is cause for debarment or suspension;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financial aid counseling to its students;</w:t>
      </w:r>
    </w:p>
    <w:p>
      <w:pPr>
        <w:spacing w:after="0" w:line="157" w:lineRule="exact"/>
        <w:rPr>
          <w:rFonts w:ascii="Arial" w:cs="Arial" w:eastAsia="Arial" w:hAnsi="Arial"/>
          <w:sz w:val="18"/>
          <w:szCs w:val="18"/>
          <w:color w:val="auto"/>
        </w:rPr>
      </w:pPr>
    </w:p>
    <w:p>
      <w:pPr>
        <w:ind w:left="1480" w:right="160" w:hanging="446"/>
        <w:spacing w:after="0" w:line="332" w:lineRule="auto"/>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refer to the Department of Education’s Office of Inspector General any credible information indicating that any student, parent, employee, third-party servicer or other agent of the institution has engaged in any fraud or other illegal conduct involving the Title IV programs;</w:t>
      </w:r>
    </w:p>
    <w:p>
      <w:pPr>
        <w:spacing w:after="0" w:line="71" w:lineRule="exact"/>
        <w:rPr>
          <w:rFonts w:ascii="Arial" w:cs="Arial" w:eastAsia="Arial" w:hAnsi="Arial"/>
          <w:sz w:val="16"/>
          <w:szCs w:val="16"/>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submit all required reports and consolidated financial statements in a timely manner; and</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otherwise appear to lack administrative capability.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 institution fails to satisfy any of these criteria, the Department of Education may:</w:t>
      </w:r>
    </w:p>
    <w:p>
      <w:pPr>
        <w:spacing w:after="0" w:line="158" w:lineRule="exact"/>
        <w:rPr>
          <w:sz w:val="20"/>
          <w:szCs w:val="20"/>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the institution to repay Title IV funds its students previously received;</w:t>
      </w:r>
    </w:p>
    <w:p>
      <w:pPr>
        <w:spacing w:after="0" w:line="157" w:lineRule="exact"/>
        <w:rPr>
          <w:rFonts w:ascii="Arial" w:cs="Arial" w:eastAsia="Arial" w:hAnsi="Arial"/>
          <w:sz w:val="18"/>
          <w:szCs w:val="18"/>
          <w:color w:val="auto"/>
        </w:rPr>
      </w:pPr>
    </w:p>
    <w:p>
      <w:pPr>
        <w:ind w:left="1480" w:right="260" w:hanging="446"/>
        <w:spacing w:after="0" w:line="268"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 the institution from the advance method of payment of Title IV funds to heightened cash monitoring status or the reimbursement system of payment;</w:t>
      </w:r>
    </w:p>
    <w:p>
      <w:pPr>
        <w:spacing w:after="0" w:line="118"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place the institution on provisional certification status; or</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commence a proceeding to impose a fine or to limit, suspend or terminate the institution’s participation in the Title IV programs.</w:t>
      </w:r>
    </w:p>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we are found not to have satisfied the Department of Education’s administrative capability requirements, our students could lose, or be limited in their access to, Title IV program funding.</w:t>
      </w:r>
    </w:p>
    <w:p>
      <w:pPr>
        <w:spacing w:after="0" w:line="10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Department of Education regulations that became effective July 1, 2010 revised the administrative capability regulations to, among other things (i) require reporting to the Department of Education of any reasonable reimbursements paid or provided by a lender to institutional employees with loan or other financial aid responsibilities and (ii) implement the new three year cohort default rate rules. See “Regulation of Student Financial Aid Programs — Student loan defaults.” We have had to make certain administrative and reporting changes to adapt our systems and practices to meet the requirements of these new regulations. In addition, as part of our transition from a “term-based” financial aid system (where all students, including online students, begin programs and are eligible to receive financial aid at periodic start dates pursuant to a calendar-based term system) to a “borrower-based” financial aid system (where online and professional studies students may begin a program and be eligible to receive financial aid at any time throughout the year) in the spring of 2010, we converted our back office system from Datatel, Inc. to a series of programs developed by Campus Management Corp., including CampusVue and CampusPortal. This conversion is intended to allow us to manage all of our students with greater ease and flexibility by providing for rolling and flexible start dates.</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Financial responsibility. </w:t>
      </w:r>
      <w:r>
        <w:rPr>
          <w:rFonts w:ascii="Arial" w:cs="Arial" w:eastAsia="Arial" w:hAnsi="Arial"/>
          <w:sz w:val="16"/>
          <w:szCs w:val="16"/>
          <w:color w:val="auto"/>
        </w:rPr>
        <w:t>The Higher Education Act and Department of Education regulations establish extensive standards of financial responsibility that</w:t>
      </w:r>
      <w:r>
        <w:rPr>
          <w:rFonts w:ascii="Arial" w:cs="Arial" w:eastAsia="Arial" w:hAnsi="Arial"/>
          <w:sz w:val="16"/>
          <w:szCs w:val="16"/>
          <w:i w:val="1"/>
          <w:iCs w:val="1"/>
          <w:color w:val="auto"/>
        </w:rPr>
        <w:t xml:space="preserve"> </w:t>
      </w:r>
      <w:r>
        <w:rPr>
          <w:rFonts w:ascii="Arial" w:cs="Arial" w:eastAsia="Arial" w:hAnsi="Arial"/>
          <w:sz w:val="16"/>
          <w:szCs w:val="16"/>
          <w:color w:val="auto"/>
        </w:rPr>
        <w:t>institutions such as Grand Canyon University must satisfy in order to participate in the Title IV programs. The Department of Education evaluates institutions for compliance with these standards on an annual basis based on the institution’s annual audited consolidated financial statements, as well as when the institution applies to the Department of Education to have its eligibility to participate in the Title IV programs recertified. The most significant financial responsibility standard is the institution’s composite score, which is derived from a formula established by the Department of Education based on three financial ratios:</w:t>
      </w:r>
    </w:p>
    <w:p>
      <w:pPr>
        <w:spacing w:after="0" w:line="102" w:lineRule="exact"/>
        <w:rPr>
          <w:sz w:val="20"/>
          <w:szCs w:val="20"/>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equity ratio, which measures the institution’s capital resources, financial viability and ability to borrow;</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primary reserve ratio, which measures the institution’s ability to support current operations from expendable resources; and</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income ratio, which measures the institution’s ability to operate at a profit or within its means.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Department of Education assigns a strength factor to the results of each of these ratios on a scale from negative 1.0 to positive 3.0, with negative 1.0 reflecting financial weakness and positive 3.0 reflecting financial strength. The Department of Education then assigns a weighting percentage to each ratio and adds the weighted scores for the three ratios together to produce a composite score for the institution. The composite score for the institution’s most recent fiscal year must be at least 1.5 for the institution to be deemed financially responsible without the need for further Department of Education oversight. Our composite scores for our fiscal years ended December 31, 2010, 2009 and 2008 were 2.5, 2.9 and 2.9, respectively, and, therefore, we are considered financially responsible for purposes of these regulations. We have not yet submitted our consolidated financial statements to the Department of Education for our 2011 fiscal year, but have calculated that our composite score for the 2011 fiscal year will be at least 2.2. The decrease in our composite score between 2009 and 2011 is primarily due to our investment in the ground campus infrastructure during 2010 and 2011. We have modeled our composite score for future years using, among other estimates, our estimated ground campus capital expenditures and believe that our composite score will remain above 2.0 in the future.</w:t>
      </w:r>
    </w:p>
    <w:p>
      <w:pPr>
        <w:spacing w:after="0" w:line="9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consolidated financial statements. If the Department of Education were to determine that we did not meet the financial responsibility standards due to a failure to meet the composite score or other factors, we would expect to be able to establish financial responsibility on an alternative basis permitted by the Department of Education, which could include, in the Department of Education’s discretion, posting a letter of credit, accepting provisional certification, complying with additional Department of Education monitoring requirements, agreeing to receive Title IV program funds under an arrangement other than the Department of Education’s standard advance funding arrangement, such as the reimbursement system of payment or heightened cash monitoring, and complying with or accepting other limitations on our ability to increase the number of programs we offer or the number of students we enroll.</w:t>
      </w:r>
    </w:p>
    <w:p>
      <w:pPr>
        <w:spacing w:after="0" w:line="9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requirement to post a letter of credit or other sanctions imposed by the Department of Education could increase our cost of regulatory compliance and adversely affect our cash flows. If we are unable to meet the minimum composite score or comply with the other standards of financial responsibility, and could not post a required letter of credit or comply with the alternative bases for establishing financial responsibility, our students could lose their access to Title IV program funding.</w:t>
      </w:r>
    </w:p>
    <w:p>
      <w:pPr>
        <w:spacing w:after="0" w:line="1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 xml:space="preserve">Return of Title IV funds for students who withdraw. </w:t>
      </w:r>
      <w:r>
        <w:rPr>
          <w:rFonts w:ascii="Arial" w:cs="Arial" w:eastAsia="Arial" w:hAnsi="Arial"/>
          <w:sz w:val="16"/>
          <w:szCs w:val="16"/>
          <w:color w:val="auto"/>
        </w:rPr>
        <w:t>When a student who has received Title IV program funds withdraws from school, the institution must</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the amount of Title IV program funds the student has “earned” and then must return the unearned Title IV program funds (a “return to Title IV”) to the appropriate lender or the Department of Education in a timely manner, which is generally no later than 45 days after the date the institution determined that the student withdrew. If such payments are not timely made, the institution will be required to submit a letter of credit to the Department of Education equal to 25% of the Title IV funds that the institution should have returned for withdrawn students in its most recently completed fiscal year. Under Department of Education regulations, the letter of credit requirement is triggered by late returns of Title IV program funds for 5% or more of the withdrawn students (and involving more than two student refunds) in the audit sample in the institution’s annual Title IV compliance audit for either of the institution’s two most recent fiscal years or in a Department of Education program review. We did not exceed this 5% threshold in our annual Title IV compliance audits for 2010 (the most recent year for which we have completed a Title IV compliance audit), 2009 or 2008.</w:t>
      </w:r>
    </w:p>
    <w:p>
      <w:pPr>
        <w:spacing w:after="0" w:line="9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Prior to spring 2010, we operated in a term-based environment in which, in accordance with Department of Education regulations, we calculated our returns to Title IV based on the number of completed days in a term as a percentage of the total days in the term, with the exception that, with respect to courses offered in a modular setting (i.e. those offered to nontraditional students as two eight-week courses, or modules, in a term), if a student completed the first course but withdrew prior to the second course, then the full financial aid award was earned by and paid to the student and no return to Title IV calculation was done.</w:t>
      </w:r>
    </w:p>
    <w:p>
      <w:pPr>
        <w:spacing w:after="0" w:line="71" w:lineRule="exact"/>
        <w:rPr>
          <w:sz w:val="20"/>
          <w:szCs w:val="20"/>
          <w:color w:val="auto"/>
        </w:rPr>
      </w:pPr>
    </w:p>
    <w:p>
      <w:pPr>
        <w:jc w:val="both"/>
        <w:ind w:right="280" w:firstLine="456"/>
        <w:spacing w:after="0" w:line="335" w:lineRule="auto"/>
        <w:rPr>
          <w:sz w:val="20"/>
          <w:szCs w:val="20"/>
          <w:color w:val="auto"/>
        </w:rPr>
      </w:pPr>
      <w:r>
        <w:rPr>
          <w:rFonts w:ascii="Arial" w:cs="Arial" w:eastAsia="Arial" w:hAnsi="Arial"/>
          <w:sz w:val="15"/>
          <w:szCs w:val="15"/>
          <w:color w:val="auto"/>
        </w:rPr>
        <w:t>In April 2010, we converted from a term-based environment to a non-term, borrower-based environment for our non-traditional students. In a non-term, borrower-based environment, we operate on a 24-credit academic year/12-credit payment period for our undergraduate students, who must take three courses during each payment period, and a 12-credit academic year/6-credit payment period for our graduate students, who must take two courses during each</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payment period, and, as a result, we now calculate returns to Title IV based on the percentage of the payment period attended in comparison to the full payment period (there is no module concept in a non-term, borrower-based environment). In this environment, a student (whether undergraduate or graduate) must complete greater than 60% of the payment period in order to earn the full financial aid award. Thus, if a student completes the first course but withdraws prior to the second one and therefore does not complete greater than 60% of the payment period, then the full financial aid award is not earned by the student. In such case, we must perform a return to Title IV calculation and most, if not all of the funds for future courses, would be returned to the lender or the Department of Education. If the student withdraws after the 60% threshold, then the student is deemed to have earned 100% of the Title IV program funds he or she received. Since, under the non-term, borrower-based system, a student generally must complete two of the courses in a payment period to earn the full financial aid award, as opposed to just a single course under the term-based module approach, we have experienced an increase in the Title IV funds that needed to be returned to lenders or the Department of Education, especially in the first six months that we operated in the non-term, borrower-based system.</w:t>
      </w:r>
    </w:p>
    <w:p>
      <w:pPr>
        <w:spacing w:after="0" w:line="9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The “90/10 Rule.” </w:t>
      </w:r>
      <w:r>
        <w:rPr>
          <w:rFonts w:ascii="Arial" w:cs="Arial" w:eastAsia="Arial" w:hAnsi="Arial"/>
          <w:sz w:val="16"/>
          <w:szCs w:val="16"/>
          <w:color w:val="auto"/>
        </w:rPr>
        <w:t>A requirement of the Higher Education Act, commonly referred to as the “90/10 Rule,” that is applicable only to for-profit,</w:t>
      </w:r>
      <w:r>
        <w:rPr>
          <w:rFonts w:ascii="Arial" w:cs="Arial" w:eastAsia="Arial" w:hAnsi="Arial"/>
          <w:sz w:val="16"/>
          <w:szCs w:val="16"/>
          <w:i w:val="1"/>
          <w:iCs w:val="1"/>
          <w:color w:val="auto"/>
        </w:rPr>
        <w:t xml:space="preserve"> </w:t>
      </w:r>
      <w:r>
        <w:rPr>
          <w:rFonts w:ascii="Arial" w:cs="Arial" w:eastAsia="Arial" w:hAnsi="Arial"/>
          <w:sz w:val="16"/>
          <w:szCs w:val="16"/>
          <w:color w:val="auto"/>
        </w:rPr>
        <w:t>postsecondary educational institutions like us, provides that an institution loses its eligibility to participate in the Title IV programs if the institution derives more than 90% of its revenue for each of two consecutive fiscal years from Title IV program funds. For purposes of the 90/10 Rule, revenue is calculated under a complex regulatory formula that requires cash basis accounting and other adjustments to the calculation of an institution’s revenue under generally accepted accounting principles that appears in its consolidated financial statements. This rule provides that an institution that violates this revenue limit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period of ineligibility, the institution will be required to return those Title IV funds to the applicable lender or the Department of Education. If an institution’s rate exceeds 90% for any single fiscal year, it will be placed on provisional certification for at least two fiscal years.</w:t>
      </w:r>
    </w:p>
    <w:p>
      <w:pPr>
        <w:spacing w:after="0" w:line="9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August 2008 reauthorization of the Higher Education Act included significant revisions to the 90/10 Rule that became effective upon the date of the law’s enactment, including provisions that allow institutions, when calculating their compliance with this revenue test, to exclude from their Title IV program revenue for a three-year period ended June 30, 2011 the additional federal student loan amounts that became available through the Unsubsidized Stafford Loan Program starting in July 2008, and to include more non-Title IV revenue, such as revenue from institutional loans under certain circumstances. Given the level of complexity of this calculation, we did not seek to quantify precisely the benefit that we may have derived in the 90/10 percentage during the periods in which those temporary exclusions were applicable. As such, our reported rates below exclude the benefits from these exclusions. Using the Department of Education’s cash-basis, regulatory formula under the “90/10 Rule” that was in effect prior to the August 2008 reauthorization of the Higher Education Act, for our 2011, 2010, and 2009 fiscal years, we derived approximately 80.2%, 84.9%, and 82.5%, respectively, of our 90/10 Rule revenue from Title IV program funds. These rates have been reviewed by our financial accounting firm as reflected in the notes to our audited consolidated financial statements for each fiscal year. As a result of the increased number of students attending our ground campus, who typically finance a greater percentage of their educational costs with non-Title IV sources of funds, we expect the percentage of our revenue that we receive from Title IV programs to remain stable or decrease in the future, although this may be impacted by recent changes in federal law that increased Title IV grant and loan limits, as well as the ongoing economic environment, which has adversely affected the employment circumstances of our students and their parents and increased their reliance on Title IV programs. If we were to exceed the 90% threshold such that we lost our eligibility to participate in the Title IV programs, or if Congress passed legislation changing how certain funds are counted under this rule, revising the percentage of income that proprietary schools must derive from non-federal sources, or both (similar to the proposals in the Durbin bill referenced above), it would have a material adverse effect on our business, prospects, financial condition, and results of operations</w:t>
      </w:r>
    </w:p>
    <w:p>
      <w:pPr>
        <w:spacing w:after="0" w:line="9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 xml:space="preserve">Student loan defaults. </w:t>
      </w:r>
      <w:r>
        <w:rPr>
          <w:rFonts w:ascii="Arial" w:cs="Arial" w:eastAsia="Arial" w:hAnsi="Arial"/>
          <w:sz w:val="16"/>
          <w:szCs w:val="16"/>
          <w:color w:val="auto"/>
        </w:rPr>
        <w:t>Under the Higher Education Act, an educational institution may lose its eligibility to participate in some or all of the Title IV</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if defaults by its students on the repayment of their federal student loans exceed certain levels. For each federal fiscal year, the Department of Education calculates a rate of student defaults for each institution (known as a “cohort default rate”). An institution’s cohort default rate for a federal fiscal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year historically has been calculated by determining the rate at which borrowers who became subject to their repayment obligation in one federal fiscal year default in that same year or by the end of the following federal fiscal year (the “two-year method”). The reauthorization of the Higher Education Act in 2008 extended the measurement period for cohort default rates so that the rate is calculated by determining the rate at which borrowers who became subject to their repayment obligation in one federal fiscal year default in that same year or by the end of the second following federal fiscal year (the “three-year method”), which is expected to increase cohort default rates for most if not all institutions. In December 2009 and February 2010, the Department of Education issued “trial” cohort default rates that were calculated for federal fiscal years 2005, 2006, 2007 and 2008 as if the extended period to count student defaults already applied to those prior years. The Department of Education stated that it released this data for informational purposes only, to assist institutions in anticipating how the extended period to count student defaults might affect their future cohort default rates when that extended period is actually implemented. Based on the Department of Education’s release of this information, our default rates for these prior years increased, as set forth below. While the trial cohort default rates are informative for the prior periods to which they related, they do not enable us to predict or estimate with any degree of certainty the extent of the expected increase in our cohort default rates for future federal fiscal years when the new extended period to measure student defaults is put into effect, or whether any such increase will affect our participation in the Title IV programs.</w:t>
      </w:r>
    </w:p>
    <w:p>
      <w:pPr>
        <w:spacing w:after="0" w:line="9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Department of Education issued a final regulation indicating that it will begin to implement this extended measurement period for the cohort default rates that will be calculated for loans that enter repayment in federal fiscal year 2009, which is the year that ended on September 30, 2009. The Department of Education included a transition period of three years during which it will calculate two cohort default rates for each institution for each of federal fiscal years 2009, 2010 and 2011, with one such rate measured under the two-year method and the other such rate measured under the three-year method. The cohort default rates for federal fiscal years 2009, 2010 and 2011, as calculated under the new three-year method, are not expected to be published until calendar years 2012, 2013 and 2014.</w:t>
      </w:r>
    </w:p>
    <w:p>
      <w:pPr>
        <w:spacing w:after="0" w:line="11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Department of Education will apply different legal thresholds to measure an institution’s compliance under each set of rates. If the Department of Education notifies an institution that its cohort default rates exceed 25%, as calculated under the two-year method, for each of its three most recent federal fiscal years, or exceed 30%, as calculated under the three-year method, for each of its three most recent federal fiscal years, the institution’s participation in the FDL Program and the Pell grant program will end 30 days after that notification, unless the institution appeals that determination in a timely manner on specified grounds and according to specified procedures. In addition, an institution’s participation in the FDL Program will end 30 days after notification by the Department of Education that its most recent cohort default rate, as calculated under either the two-year method or the three-year method,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or for the next two fiscal years. If an institution’s cohort default rate for any single federal fiscal year equals or exceeds 25% under the two-year method, or 30% under the three-year method, the Department of Education may place the institution on provisional certification status.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cohort default rates, under the two-year method, on federal student loans for the 2009, 2008, and 2007 federal fiscal years, the three most recent years for which such rates have been calculated, were 9.2%, 3.4%, and 1.4%, respectively. Our trial cohort default rates, under the three-year method, for the 2008, 2007, and 2006 federal fiscal years, as issued by the Department of Education, were 7.3%, 2.9%, and 2.7%, respectively.</w:t>
      </w:r>
    </w:p>
    <w:p>
      <w:pPr>
        <w:spacing w:after="0" w:line="8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Incentive compensation rule. </w:t>
      </w:r>
      <w:r>
        <w:rPr>
          <w:rFonts w:ascii="Arial" w:cs="Arial" w:eastAsia="Arial" w:hAnsi="Arial"/>
          <w:sz w:val="16"/>
          <w:szCs w:val="16"/>
          <w:color w:val="auto"/>
        </w:rPr>
        <w:t>An institution that participates in the Title IV programs may not provide any commission, bonus, or other incentive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based directly or indirectly on success in securing enrollments or financial aid to any person or entity engaged in any student recruitment, admissions, or financial aid awarding activity. Prior to July 1, 2011, Department of Education regulations included 12 “safe harbors” that described payments and arrangements that did not violate the incentive compensation rule. For example, one of these safe harbors permitted adjustments to fixed salary for enrollment personnel provided that such adjustments were not made more than twice during any twelve month period, and that any adjustment was not based solely on the number of students recruited, admitted, enrolled, or awarded financial aid, but the regulations did not address other practices, such as the provision of non-cash awards to enrollment personnel. The restrictions of the incentive compensation rule also extend to any third-party companies that an educational institution contracts with for student recruitment,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admissions, or financial aid awarding services. Historically, we relied on several of these safe harbors to ensure that our compensation and recruitment practices complied with the applicable requirements, and the Department of Education’s regulations made clear that the safe harbors were not a complete list of permissible practices under this law. In the final rules issued by the Department of Education in respect of the incentive compensation rule and other program integrity issues described above, which became effective on July 1, 2011, the 12 safe harbors under the incentive compensation rule were eliminated. See “New Regulations — Revised incentive compensation rule.”</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recent years, several for-profit education companies have been faced with whistleblower lawsuits, known as “qui tam” cases, brought by current or former employees alleging that their institution had made impermissible incentive payments.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is a civil lawsuit brought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 On September 11, 2008, we were served with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us in August 2007, in the United States District Court for the District of Arizona by a then-current employee on behalf of the federal government. This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was settled in December 2010.</w:t>
      </w:r>
    </w:p>
    <w:p>
      <w:pPr>
        <w:spacing w:after="0" w:line="9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The Office of Inspector General of the Department of Education is responsible for, among other things, promoting the effectiveness and integrity of the Department of Education’s programs and operations, including compliance with applicable statutes and regulations. The Office of Inspector General performs investigations of alleged violations of law, including cases of alleged fraud and abuse, or other identified vulnerabilities, in programs administered or financed by the Department of Education, including matters related to the incentive compensation rule. On August 14, 2008, the Office of Inspector General, in connection with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described above, served an administrative subpoena on Grand Canyon University requiring us to provide certain records and information related to performance reviews and salary adjustments for all of our enrollment counselors and managers from January 1, 2004 to August 2008. We cooperated with the OIG to facilitate its investigation and completed our rolling responsive document production, which commenced in September 2008, in June 2009. As a result of the settlement of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litigation referred to above, we believe that this investigation effectively ended at that time.</w:t>
      </w:r>
    </w:p>
    <w:p>
      <w:pPr>
        <w:spacing w:after="0" w:line="9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Compliance reviews. </w:t>
      </w:r>
      <w:r>
        <w:rPr>
          <w:rFonts w:ascii="Arial" w:cs="Arial" w:eastAsia="Arial" w:hAnsi="Arial"/>
          <w:sz w:val="16"/>
          <w:szCs w:val="16"/>
          <w:color w:val="auto"/>
        </w:rPr>
        <w:t>We are subject to announced and unannounced compliance reviews and audits by various external agencies, including the Department</w:t>
      </w:r>
      <w:r>
        <w:rPr>
          <w:rFonts w:ascii="Arial" w:cs="Arial" w:eastAsia="Arial" w:hAnsi="Arial"/>
          <w:sz w:val="16"/>
          <w:szCs w:val="16"/>
          <w:i w:val="1"/>
          <w:iCs w:val="1"/>
          <w:color w:val="auto"/>
        </w:rPr>
        <w:t xml:space="preserve"> </w:t>
      </w:r>
      <w:r>
        <w:rPr>
          <w:rFonts w:ascii="Arial" w:cs="Arial" w:eastAsia="Arial" w:hAnsi="Arial"/>
          <w:sz w:val="16"/>
          <w:szCs w:val="16"/>
          <w:color w:val="auto"/>
        </w:rPr>
        <w:t>of Education, its Office of Inspector General, state licensing agencies, the applicable state approving agencies for financial assistance to veterans, and accrediting commissions. As part of the Department of Education’s ongoing monitoring of institutions’ administration of the Title IV programs, the Higher Education Act also requires institutions to annually submit to the Department of Education a Title IV compliance audit conducted by an independent certified public accountant in accordance with applicable federal and Department of Education audit standards. In addition, to enable the Department of Education to make a determination of an institution’s financial responsibility, each institution must annually submit audited financial statements prepared in accordance with Department of Education regulations.</w:t>
      </w:r>
    </w:p>
    <w:p>
      <w:pPr>
        <w:spacing w:after="0" w:line="91"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Grand Canyon University covering the 2008-2009 and 2009-2010 award years. As part of this program review, a Department of Education program review team conducted a site visit on our campus in July 2010 and reviewed, and in some cases requested further information regarding, our records, practices and policies relating to, among other things, financial aid, enrollment, enrollment counselor compensation, program eligibility and other Title IV compliance matters. Upon the conclusion of the site visit, we were informed by the program review team that it would (i) conduct further review of our documents and records offsite, (ii) upon completion of such review, schedule a formal exit interview to be followed by a preliminary program review report in which any preliminary findings of non-compliance would be presented, and (iii) conclude the review by issuance of a final program review determination letter.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Following the conclusion of the site visit in July 2010, but before we had yet received notification of the timing of our exit interview or the Department of Education’s preliminary program review report or final program review determination letter, we became aware that the program review team had two preliminary findings of concern, the incentive compensation issue and the gainful employment issue (each as described below). However, from August 2010 until August 2011, we received no further communications from the Department of Education regarding these two concerns or the program review generally.</w:t>
      </w:r>
    </w:p>
    <w:p>
      <w:pPr>
        <w:spacing w:after="0" w:line="8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While we never received a formal exit interview, which we had understood to be the typical step prior to the Department of Education’s issuance of a preliminary program review report, on August 24, 2011, we received from the Department of Education a written preliminary program review report that included five findings, two of which involve individual student-specific errors concerning the monitoring of satisfactory academic progress for two students and the certification of one student’s Federal Family Educational Loan as an unsubsidized Stafford loan rather than a subsidized Stafford loan. The other three findings address the incentive compensation issue, the gainful employment issue and one additional issue not previously raised with us, as follows:</w:t>
      </w:r>
    </w:p>
    <w:p>
      <w:pPr>
        <w:spacing w:after="0" w:line="102" w:lineRule="exact"/>
        <w:rPr>
          <w:sz w:val="20"/>
          <w:szCs w:val="20"/>
          <w:color w:val="auto"/>
        </w:rPr>
      </w:pPr>
    </w:p>
    <w:p>
      <w:pPr>
        <w:ind w:left="1480" w:right="20" w:hanging="446"/>
        <w:spacing w:after="0" w:line="287" w:lineRule="auto"/>
        <w:tabs>
          <w:tab w:leader="none" w:pos="148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Incentive compensation issue</w:t>
      </w:r>
      <w:r>
        <w:rPr>
          <w:rFonts w:ascii="Arial" w:cs="Arial" w:eastAsia="Arial" w:hAnsi="Arial"/>
          <w:sz w:val="16"/>
          <w:szCs w:val="16"/>
          <w:color w:val="auto"/>
        </w:rPr>
        <w:t>. During a portion of the period under review, we had in place a compensation plan for our enrollment</w:t>
      </w:r>
      <w:r>
        <w:rPr>
          <w:rFonts w:ascii="Arial" w:cs="Arial" w:eastAsia="Arial" w:hAnsi="Arial"/>
          <w:sz w:val="16"/>
          <w:szCs w:val="16"/>
          <w:i w:val="1"/>
          <w:iCs w:val="1"/>
          <w:color w:val="auto"/>
        </w:rPr>
        <w:t xml:space="preserve"> </w:t>
      </w:r>
      <w:r>
        <w:rPr>
          <w:rFonts w:ascii="Arial" w:cs="Arial" w:eastAsia="Arial" w:hAnsi="Arial"/>
          <w:sz w:val="16"/>
          <w:szCs w:val="16"/>
          <w:color w:val="auto"/>
        </w:rPr>
        <w:t>counselors that was designed to comply with the regulatory “safe harbors” in effect during such period that allowed companies to make adjustments to fixed compensation for enrollment personnel, provided that any such adjustment (i) was not made more than twice during any twelve month period, and (ii) was not based solely on the number of students recruited, admitted, enrolled, or awarded financial aid. The plan at issue provided for enrollment counselor performance to be reviewed on a number of non-enrollment-related factors that could account for a substantial portion of any potential base compensation adjustment. The preliminary program review report does not appear to set forth any definitive finding regarding the plan, but the Department of Education has requested additional information from us regarding our enrollment counselor compensation practices and policies in effect during the period under review. We continue to believe that the plan at issue, both as designed and as applied, did not base compensation solely on success in enrolling students in violation of applicable law and will continue to communicate with the Department of Education to resolve this matter.</w:t>
      </w:r>
    </w:p>
    <w:p>
      <w:pPr>
        <w:spacing w:after="0" w:line="109" w:lineRule="exact"/>
        <w:rPr>
          <w:rFonts w:ascii="Arial" w:cs="Arial" w:eastAsia="Arial" w:hAnsi="Arial"/>
          <w:sz w:val="16"/>
          <w:szCs w:val="16"/>
          <w:color w:val="auto"/>
        </w:rPr>
      </w:pPr>
    </w:p>
    <w:p>
      <w:pPr>
        <w:ind w:left="1480" w:right="140" w:hanging="446"/>
        <w:spacing w:after="0" w:line="288" w:lineRule="auto"/>
        <w:tabs>
          <w:tab w:leader="none" w:pos="148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Gainful employment issue</w:t>
      </w:r>
      <w:r>
        <w:rPr>
          <w:rFonts w:ascii="Arial" w:cs="Arial" w:eastAsia="Arial" w:hAnsi="Arial"/>
          <w:sz w:val="16"/>
          <w:szCs w:val="16"/>
          <w:color w:val="auto"/>
        </w:rPr>
        <w:t>. The preliminary program review report sets forth the Department of Education’s position that our Bachelor of</w:t>
      </w:r>
      <w:r>
        <w:rPr>
          <w:rFonts w:ascii="Arial" w:cs="Arial" w:eastAsia="Arial" w:hAnsi="Arial"/>
          <w:sz w:val="16"/>
          <w:szCs w:val="16"/>
          <w:i w:val="1"/>
          <w:iCs w:val="1"/>
          <w:color w:val="auto"/>
        </w:rPr>
        <w:t xml:space="preserve"> </w:t>
      </w:r>
      <w:r>
        <w:rPr>
          <w:rFonts w:ascii="Arial" w:cs="Arial" w:eastAsia="Arial" w:hAnsi="Arial"/>
          <w:sz w:val="16"/>
          <w:szCs w:val="16"/>
          <w:color w:val="auto"/>
        </w:rPr>
        <w:t>Arts in Interdisciplinary Studies program was not an eligible program under Title IV because it did not provide students with training to prepare them for gainful employment in a recognized occupation. This “gainful employment” standard has been a requirement for Title IV eligibility for programs offered at proprietary institutions of higher education such as Grand Canyon University although, pursuant to legislation passed in 2008 and effective as of July 1, 2010, this requirement no longer applies to designated liberal arts programs offered by us and certain other institutions that have held accreditation by a regional accrediting agency since a date on or before October 1, 2007 (we have held a regional accreditation since 1968). We believe that our Interdisciplinary Studies program, which we first offered in Fall 2007 in response to a request by one of our employer-partners, was an eligible program under the “gainful employment” standard in effect prior to July 1, 2010 and intend to continue to communicate with the Department of Education to resolve the matter.</w:t>
      </w:r>
    </w:p>
    <w:p>
      <w:pPr>
        <w:spacing w:after="0" w:line="106" w:lineRule="exact"/>
        <w:rPr>
          <w:rFonts w:ascii="Arial" w:cs="Arial" w:eastAsia="Arial" w:hAnsi="Arial"/>
          <w:sz w:val="16"/>
          <w:szCs w:val="16"/>
          <w:color w:val="auto"/>
        </w:rPr>
      </w:pPr>
    </w:p>
    <w:p>
      <w:pPr>
        <w:ind w:left="1480" w:hanging="446"/>
        <w:spacing w:after="0" w:line="288" w:lineRule="auto"/>
        <w:tabs>
          <w:tab w:leader="none" w:pos="148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Inadequate procedures related to non-passing grades. </w:t>
      </w:r>
      <w:r>
        <w:rPr>
          <w:rFonts w:ascii="Arial" w:cs="Arial" w:eastAsia="Arial" w:hAnsi="Arial"/>
          <w:sz w:val="16"/>
          <w:szCs w:val="16"/>
          <w:color w:val="auto"/>
        </w:rPr>
        <w:t>The preliminary program review report sets forth the Department of Education’s</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that, during the period under review and prior to the time we converted from a term-based financial aid system to a non-term, borrower-based financial aid system in mid-2010, we failed to have an accurate system to determine if students with non-passing grades for a term had no documented attendance for the term or should have been treated as unofficial withdrawals for the term, thereby potentially requiring us to return all or a portion of the Title IV monies previously received with respect to such students. Although we are confident in the legal sufficiency of our policies that were in place during the period under review, we are currently in discussions with the Department of Education regarding this finding. As part of the process of reviewing and responding to this finding, the Department of Education has requested that we conduct a further review of student files and provide additional information to the Department of Education following the completion of such review.</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cannot presently predict whether or if further information requests will be made, how the foregoing issues will be resolved, when the final program review determination letter will be issued, or when the program review will be closed. At this time, the Department of Education has not specified the amount of any potential penalties, and we have not accrued any amounts in connection with the program review. Our policies and procedures are planned and implemented to comply with the applicable standards and regulations under Title IV and we are committed to resolving any issues of non-compliance identified in the final program review determination letter and ensuring that we operate in compliance with all Department of Education requirements. If the Department of Education were to make significant findings of non-compliance in the final program review determination letter, then, after exhausting any administrative appeals available to us, we could be required to pay a fine, return Title IV monies previously received, or be subjected to other administrative sanctions. While we cannot currently predict the final outcome of the Department of Education review, any such final adverse finding could damage our reputation in the industry and have a material adverse effect on our business, results of operations, cash flows and financial position.</w:t>
      </w:r>
    </w:p>
    <w:p>
      <w:pPr>
        <w:spacing w:after="0" w:line="93"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i w:val="1"/>
          <w:iCs w:val="1"/>
          <w:color w:val="auto"/>
        </w:rPr>
        <w:t xml:space="preserve">Privacy of student records. </w:t>
      </w:r>
      <w:r>
        <w:rPr>
          <w:rFonts w:ascii="Arial" w:cs="Arial" w:eastAsia="Arial" w:hAnsi="Arial"/>
          <w:sz w:val="16"/>
          <w:szCs w:val="16"/>
          <w:color w:val="auto"/>
        </w:rPr>
        <w:t>The Family Educational Rights and Privacy Act of 1974, or FERPA, and the Department of Education’s FERPA regulations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educational institutions to protect the privacy of students’ educational records by limiting an institution’s disclosure of a student’s personally identifiable information without the student’s prior written consent. FERPA also requires institutions to allow students to review and request changes to their educational records maintained by the institution, to notify students at least annually of this inspection right, and to maintain records in each student’s file listing requests for access to and disclosures of personally identifiable information and the interest of such party in that information. If an institution fails to comply with FERPA, the Department of Education may require corrective actions by the institution or may terminate an institution’s receipt of further federal funds. In addition, educational institutions are obligated to safeguard student information pursuant to the Gramm-Leach-Bliley Act, or GLBA, a federal law designed to protect consumers’ personal financial information held by financial institutions and other entities that provide financial services to consumers. GLBA and the applicable GLBA regulations require an institution to, among other things, develop and maintain a comprehensive, written information security program designed to protect against the unauthorized disclosure of personally identifiable financial information of students, parents, or other individuals with whom such institution has a customer relationship. If an institution fails to comply with the applicable GLBA requirements, it may be required to take corrective actions, be subject to monitoring and oversight by the FTC, and be subject to fines or penalties imposed by the FTC. For-profit educational institutions are also subject to the general deceptive practices jurisdiction of the FTC with respect to their collection, use, and disclosure of student information. The institution must also comply with the FTC Red Flags Rule, a section of the federal Fair Credit Reporting Act, that requires the establishment of guidelines and policies regarding identity theft related to student credit accounts.</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Potential effect of regulatory violations. </w:t>
      </w:r>
      <w:r>
        <w:rPr>
          <w:rFonts w:ascii="Arial" w:cs="Arial" w:eastAsia="Arial" w:hAnsi="Arial"/>
          <w:sz w:val="16"/>
          <w:szCs w:val="16"/>
          <w:color w:val="auto"/>
        </w:rPr>
        <w:t>If we fail to comply with the regulatory standards governing the Title IV programs, the Department of Education</w:t>
      </w:r>
      <w:r>
        <w:rPr>
          <w:rFonts w:ascii="Arial" w:cs="Arial" w:eastAsia="Arial" w:hAnsi="Arial"/>
          <w:sz w:val="16"/>
          <w:szCs w:val="16"/>
          <w:i w:val="1"/>
          <w:iCs w:val="1"/>
          <w:color w:val="auto"/>
        </w:rPr>
        <w:t xml:space="preserve"> </w:t>
      </w:r>
      <w:r>
        <w:rPr>
          <w:rFonts w:ascii="Arial" w:cs="Arial" w:eastAsia="Arial" w:hAnsi="Arial"/>
          <w:sz w:val="16"/>
          <w:szCs w:val="16"/>
          <w:color w:val="auto"/>
        </w:rPr>
        <w:t>could impose one or more sanctions, including transferring us to the reimbursement or cash monitoring system of payment, requiring us to repay Title IV program funds, requiring us to post a letter of credit in favor of the Department of Education as a condition for continued Title IV certification, taking emergency action against us, initiating proceedings to impose a fine or to limit, suspend, or terminate our participation in the Title IV programs, or referring the matter for civil or criminal prosecution. If such sanctions or proceedings were imposed against us and resulted in a substantial curtailment or termination of our participation in the Title IV programs, our enrollments, revenues, and results of operations would be materially and adversely affected.</w:t>
      </w:r>
    </w:p>
    <w:p>
      <w:pPr>
        <w:spacing w:after="0" w:line="9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we lost our eligibility to participate in the Title IV programs, or if the amount of available Title IV program funds was reduced, we would seek to arrange or provide alternative sources of revenue or financial aid for students. We believe that one or more private organizations would be willing to provide financial assistance to our students, but there is no assurance that this would be the case. The interest rate and other terms of such financial aid would likely not be as favorable as those for Title IV program funds, and we might be required to guarantee all or part of such alternative assistance or might incur other additional costs in connection with securing such alternative assistance. It is unlikely that we would be able to arrange alternative funding on any terms to replace all the Title IV funding our students receive. Accordingly, our loss of eligibility to participate in the Title IV programs, or a reduction in the amount of available Title IV program funding for our students, would have a material adverse effect on our results of operations, even if we could arrange or provide alternative sources of revenue or student financial aid.</w:t>
      </w:r>
    </w:p>
    <w:p>
      <w:pPr>
        <w:spacing w:after="0" w:line="9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to the actions that may be brought against us as a result of our participation in the Title IV programs, we are also subject to complaints and lawsuits relating to regulatory compliance brought not only by our regulatory agencies, but also by other government agencies and third parties, such as present or former students or employees and other members of the public.</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Regulations</w:t>
      </w:r>
    </w:p>
    <w:p>
      <w:pPr>
        <w:spacing w:after="0" w:line="15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Revised incentive compensation rule</w:t>
      </w:r>
      <w:r>
        <w:rPr>
          <w:rFonts w:ascii="Arial" w:cs="Arial" w:eastAsia="Arial" w:hAnsi="Arial"/>
          <w:sz w:val="16"/>
          <w:szCs w:val="16"/>
          <w:color w:val="auto"/>
        </w:rPr>
        <w:t>. In the final rules issued by the Department of Education in respect of the incentive compensation rule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integrity issues described above, which became effective on July 1, 2011, the 12 safe harbors under the incentive compensation rule were eliminated as the Department of Education took the position that any commission, bonus or other incentive payment based in any part, directly or indirectly, on securing enrollments or awarding financial aid is inconsistent with the incentive payment prohibition in the Higher Education Act. The Department of Education contends that institutions do not need to rely on safe harbors to protect compensation that complies with the Higher Education Act, and that institutions can readily determine if a payment or compensation is permissible under the Higher Education Act by analyzing (1) whether it is a commission, bonus or other incentive payment, defined as an award of a sum of money or something of value (other than a fixed salary or wages), paid to or given to a person or entity for services rendered, and (2) whether the commission, bonus or other incentive payment is provided to any person based in any part, directly or indirectly, upon success in securing enrollments or the award of financial aid, which are defined as activities engaged in for the purpose of the admission or matriculation of students for any period of time or the award of financial aid. The Department of Education maintains that an institution can still make merit-based adjustments to employee compensation, provided that such adjustments are not based in any part, directly or indirectly, upon success in securing enrollments or the award of financial aid. Accordingly, among other things, the Department of Education states that (1) an institution may maintain a hierarchy of recruitment personnel with different levels of responsibility, with salary scales that reflect an added amount of responsibility, (2) an institution may promote or demote recruitment personnel based on merit, and (3) an institution may make a compensation decision based on seniority or length of employment, provided that in each case compensation decisions are consistent with the Higher Education Act’s prohibition on incentive compensation. The final rules further clarify that this prohibition may extend to individuals holding a managerial position at any level of the company, to the extent that a particular individual has responsibility for recruitment or admission of students, or makes decisions about awarding Title IV program funds. The Department of Education states that an institution may still make merit-based adjustments to employee compensation, but may not consider nor base compensation decisions directly or indirectly, in any part, on factors such as an employee’s success in securing student enrollments, the award of financial aid or institutional goals based on that success.</w:t>
      </w:r>
    </w:p>
    <w:p>
      <w:pPr>
        <w:spacing w:after="0" w:line="10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While the Department of Education did issue additional guidance on incentive compensation issues in advance of the July 1, 2011 effective date of the changes, we believe the changes imposed by the final rules, including the elimination of the safe harbors, increase the uncertainty about what constitutes incentive compensation and which employees are covered by the regulation. In light of such uncertainty, in advance of the effective date of the amended rules, we changed some of our compensation practices for enrollment counselors and other employees, as well as the terms of our arrangements with certain third parties whom we pay for Internet-based services related to lead generation and marketing and whose activities are also subject to the incentive compensation rules. The changes in these practices and arrangements could adversely affect our ability to compensate our enrollment counselors, other employees, and third parties in a manner that appropriately reflects their relative merit, which in turn could reduce their effectiveness and make it more difficult to attract and retain staff with the desired talent and motivation to succeed at the University. In addition, this lack of certainty could increase the risk of future federal False Claims Act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lawsuits in which private plaintiffs assert that our compensation practices violate the incentive compensation rules and, therefore, that our receipt of Title IV funds constitutes a submission to the government of a false claim for payment.</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State authorization. </w:t>
      </w:r>
      <w:r>
        <w:rPr>
          <w:rFonts w:ascii="Arial" w:cs="Arial" w:eastAsia="Arial" w:hAnsi="Arial"/>
          <w:sz w:val="16"/>
          <w:szCs w:val="16"/>
          <w:color w:val="auto"/>
        </w:rPr>
        <w:t>States have the authority to assert jurisdiction, to the extent they so choose, over educational institutions offering online degree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in a state but that otherwise have no physical location or other presence in that state. The final program integrity rules adopted October 29, 2010 and effective July 1, 2011 include a provision that requires online providers to meet any such state requirements and, thus, the Department of Education would seem to have authority, in addition to that of the states, to enforce applicable state law requirements. It is unclear how this rule will be enforced and what impact it will have on us. In addition to Arizona, we have determined that our activities in certain states constitute a presence requiring licensure or authorization under the requirements of the state education agency in those states, which we have obtained, while in other states we have determined that we are exempt under applicable state law from licensure or authorization requirements due to our regional accreditation or for other reasons. In still other states, we have obtained approvals to operate as we have determined necessary in connection with our marketing and recruiting activities. Although we have a process for evaluating the compliance of our online educational programs with state requirements regarding distance and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correspondence learning, and have experienced no significant restrictions on our educational activities to date as a result of such requirements, state regulatory requirements for online education vary among the states, are not well developed in many states, are imprecise or unclear in some states and are subject to change. Moreover, it is also unclear whether and to what extent state agencies may augment or change their regulations in this area as a result of these new Department of Education regulations and increased scrutiny. If we fail to comply with licensing or authorization requirements for a particular state, or fail to obtain licenses or authorizations when required, we could lose our licensure or authorization from that state or be subject to other sanctions, including restrictions on our activities in that state, and fines and penalties, including Department of Education sanctions. The loss of licensure or authorization in a state other than Arizona could prohibit us from recruiting prospective students or offering educational services to current students in that state, which could significantly reduce our enrollments.</w:t>
      </w:r>
    </w:p>
    <w:p>
      <w:pPr>
        <w:spacing w:after="0" w:line="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Approval of new programs. </w:t>
      </w:r>
      <w:r>
        <w:rPr>
          <w:rFonts w:ascii="Arial" w:cs="Arial" w:eastAsia="Arial" w:hAnsi="Arial"/>
          <w:sz w:val="16"/>
          <w:szCs w:val="16"/>
          <w:color w:val="auto"/>
        </w:rPr>
        <w:t>The final program integrity rules adopted October 29, 2010 and effective July 1, 2011 include provisions regarding the approval</w:t>
      </w:r>
      <w:r>
        <w:rPr>
          <w:rFonts w:ascii="Arial" w:cs="Arial" w:eastAsia="Arial" w:hAnsi="Arial"/>
          <w:sz w:val="16"/>
          <w:szCs w:val="16"/>
          <w:i w:val="1"/>
          <w:iCs w:val="1"/>
          <w:color w:val="auto"/>
        </w:rPr>
        <w:t xml:space="preserve"> </w:t>
      </w:r>
      <w:r>
        <w:rPr>
          <w:rFonts w:ascii="Arial" w:cs="Arial" w:eastAsia="Arial" w:hAnsi="Arial"/>
          <w:sz w:val="16"/>
          <w:szCs w:val="16"/>
          <w:color w:val="auto"/>
        </w:rPr>
        <w:t>of new programs. Although the final rules relaxed the program approval standard originally proposed, the rules still impose various new requirements on, and could adversely affect, our ability to add new academic programs. In addition, the Department of Education has published no definite standards by which schools can determine the likelihood that any program will be approved. As such, we believe this rule adds uncertainty regarding new program approval, which could adversely affect our ability to respond to emerging employment trends and add programs that are responsive to those trends, which in turn could decrease our attractiveness to certain students. In addition, a lack of certainty could increase the risk of future federal False Claims Act qui tam lawsuits in which private plaintiffs assert that students improperly received Title IV aid while attending a program that has not been approved.</w:t>
      </w:r>
    </w:p>
    <w:p>
      <w:pPr>
        <w:spacing w:after="0" w:line="9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color w:val="auto"/>
        </w:rPr>
        <w:t>Additional final rules</w:t>
      </w:r>
      <w:r>
        <w:rPr>
          <w:rFonts w:ascii="Arial" w:cs="Arial" w:eastAsia="Arial" w:hAnsi="Arial"/>
          <w:sz w:val="16"/>
          <w:szCs w:val="16"/>
          <w:color w:val="auto"/>
        </w:rPr>
        <w:t>. In addition to the program integrity issues specifically addressed above, the final rules issued by Department of Education on</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29, 2010 and effective July 1, 2011 include provisions regarding the definition of a credit hour; written agreements between institutions, particularly institutions under common ownership or control; the administration of ability-to-benefit examinations; requirements regarding an institution’s return of Title IV program funds; and certain other issues pertaining to a student’s eligibility to receive Title IV program funds. We cannot predict how these or any other resulting regulations will be interpreted, and therefore whether we will be able to continue to comply with these requirements in the future. Insufficient time, or lack of sufficient guidance, for compliance with the final rules, could have a material adverse effect on our business. Uncertainty surrounding the application of the final rules, interpretive regulations, and guidance from Department of Education may continue for some period of time and could reduce our enrollment, increase our cost of doing business, and have a material adverse effect on our business, financial condition, results of operations and cash flows.</w:t>
      </w:r>
    </w:p>
    <w:p>
      <w:pPr>
        <w:spacing w:after="0" w:line="91" w:lineRule="exact"/>
        <w:rPr>
          <w:sz w:val="20"/>
          <w:szCs w:val="20"/>
          <w:color w:val="auto"/>
        </w:rPr>
      </w:pPr>
    </w:p>
    <w:p>
      <w:pPr>
        <w:ind w:right="400" w:firstLine="913"/>
        <w:spacing w:after="0" w:line="294" w:lineRule="auto"/>
        <w:rPr>
          <w:sz w:val="20"/>
          <w:szCs w:val="20"/>
          <w:color w:val="auto"/>
        </w:rPr>
      </w:pPr>
      <w:r>
        <w:rPr>
          <w:rFonts w:ascii="Arial" w:cs="Arial" w:eastAsia="Arial" w:hAnsi="Arial"/>
          <w:sz w:val="16"/>
          <w:szCs w:val="16"/>
          <w:i w:val="1"/>
          <w:iCs w:val="1"/>
          <w:color w:val="auto"/>
        </w:rPr>
        <w:t xml:space="preserve">Gainful employment rules. </w:t>
      </w:r>
      <w:r>
        <w:rPr>
          <w:rFonts w:ascii="Arial" w:cs="Arial" w:eastAsia="Arial" w:hAnsi="Arial"/>
          <w:sz w:val="16"/>
          <w:szCs w:val="16"/>
          <w:color w:val="auto"/>
        </w:rPr>
        <w:t>Under the Higher Education Act, proprietary schools are eligible to participate in Title IV programs in respect of</w:t>
      </w:r>
      <w:r>
        <w:rPr>
          <w:rFonts w:ascii="Arial" w:cs="Arial" w:eastAsia="Arial" w:hAnsi="Arial"/>
          <w:sz w:val="16"/>
          <w:szCs w:val="16"/>
          <w:i w:val="1"/>
          <w:iCs w:val="1"/>
          <w:color w:val="auto"/>
        </w:rPr>
        <w:t xml:space="preserve"> </w:t>
      </w:r>
      <w:r>
        <w:rPr>
          <w:rFonts w:ascii="Arial" w:cs="Arial" w:eastAsia="Arial" w:hAnsi="Arial"/>
          <w:sz w:val="16"/>
          <w:szCs w:val="16"/>
          <w:color w:val="auto"/>
        </w:rPr>
        <w:t>educational programs that lead to “gainful employment in a recognized occupation,” with the limited exception of qualified programs leading to a bachelor’s degree in liberal arts. Historically, this concept has not been defined in detail. On July 26, 2010, the Department of Education issued a proposed gainful employment rule. On June 13, 2011, the Department of Education issued its final gainful employment rule, which contained material modifications to the proposed rule. In its final form, the rule provides, among other things, for the following:</w:t>
      </w:r>
    </w:p>
    <w:p>
      <w:pPr>
        <w:spacing w:after="0" w:line="102" w:lineRule="exact"/>
        <w:rPr>
          <w:sz w:val="20"/>
          <w:szCs w:val="20"/>
          <w:color w:val="auto"/>
        </w:rPr>
      </w:pPr>
    </w:p>
    <w:p>
      <w:pPr>
        <w:ind w:left="1920" w:right="20" w:hanging="318"/>
        <w:spacing w:after="0" w:line="335" w:lineRule="auto"/>
        <w:tabs>
          <w:tab w:leader="none" w:pos="1920" w:val="left"/>
        </w:tabs>
        <w:numPr>
          <w:ilvl w:val="0"/>
          <w:numId w:val="21"/>
        </w:numPr>
        <w:rPr>
          <w:rFonts w:ascii="Arial" w:cs="Arial" w:eastAsia="Arial" w:hAnsi="Arial"/>
          <w:sz w:val="15"/>
          <w:szCs w:val="15"/>
          <w:color w:val="auto"/>
        </w:rPr>
      </w:pPr>
      <w:r>
        <w:rPr>
          <w:rFonts w:ascii="Arial" w:cs="Arial" w:eastAsia="Arial" w:hAnsi="Arial"/>
          <w:sz w:val="15"/>
          <w:szCs w:val="15"/>
          <w:i w:val="1"/>
          <w:iCs w:val="1"/>
          <w:color w:val="auto"/>
        </w:rPr>
        <w:t xml:space="preserve">Disclosures. </w:t>
      </w:r>
      <w:r>
        <w:rPr>
          <w:rFonts w:ascii="Arial" w:cs="Arial" w:eastAsia="Arial" w:hAnsi="Arial"/>
          <w:sz w:val="15"/>
          <w:szCs w:val="15"/>
          <w:color w:val="auto"/>
        </w:rPr>
        <w:t>Effective July 1, 2011, proprietary institutions of higher education as well as public and not-for profit institutions offering</w:t>
      </w:r>
      <w:r>
        <w:rPr>
          <w:rFonts w:ascii="Arial" w:cs="Arial" w:eastAsia="Arial" w:hAnsi="Arial"/>
          <w:sz w:val="15"/>
          <w:szCs w:val="15"/>
          <w:i w:val="1"/>
          <w:iCs w:val="1"/>
          <w:color w:val="auto"/>
        </w:rPr>
        <w:t xml:space="preserve"> </w:t>
      </w:r>
      <w:r>
        <w:rPr>
          <w:rFonts w:ascii="Arial" w:cs="Arial" w:eastAsia="Arial" w:hAnsi="Arial"/>
          <w:sz w:val="15"/>
          <w:szCs w:val="15"/>
          <w:color w:val="auto"/>
        </w:rPr>
        <w:t>postsecondary non-degree programs must provide prospective students with disclosures on the types of employment associated with the program, total cost of the program, completion rate, job placement rate, if applicable, and median loan debt of program completers.</w:t>
      </w:r>
    </w:p>
    <w:p>
      <w:pPr>
        <w:spacing w:after="0" w:line="74" w:lineRule="exact"/>
        <w:rPr>
          <w:rFonts w:ascii="Arial" w:cs="Arial" w:eastAsia="Arial" w:hAnsi="Arial"/>
          <w:sz w:val="15"/>
          <w:szCs w:val="15"/>
          <w:color w:val="auto"/>
        </w:rPr>
      </w:pPr>
    </w:p>
    <w:p>
      <w:pPr>
        <w:ind w:left="1920" w:right="280" w:hanging="318"/>
        <w:spacing w:after="0" w:line="306" w:lineRule="auto"/>
        <w:tabs>
          <w:tab w:leader="none" w:pos="192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Reporting</w:t>
      </w:r>
      <w:r>
        <w:rPr>
          <w:rFonts w:ascii="Arial" w:cs="Arial" w:eastAsia="Arial" w:hAnsi="Arial"/>
          <w:sz w:val="16"/>
          <w:szCs w:val="16"/>
          <w:color w:val="auto"/>
        </w:rPr>
        <w:t>. Effective October 1, 2011, institutions must annually submit information to the Department of Education about students</w:t>
      </w:r>
      <w:r>
        <w:rPr>
          <w:rFonts w:ascii="Arial" w:cs="Arial" w:eastAsia="Arial" w:hAnsi="Arial"/>
          <w:sz w:val="16"/>
          <w:szCs w:val="16"/>
          <w:i w:val="1"/>
          <w:iCs w:val="1"/>
          <w:color w:val="auto"/>
        </w:rPr>
        <w:t xml:space="preserve"> </w:t>
      </w:r>
      <w:r>
        <w:rPr>
          <w:rFonts w:ascii="Arial" w:cs="Arial" w:eastAsia="Arial" w:hAnsi="Arial"/>
          <w:sz w:val="16"/>
          <w:szCs w:val="16"/>
          <w:color w:val="auto"/>
        </w:rPr>
        <w:t>who complete a program leading to gainful employment in a recognized occupation, including the amount of debt incurred under private loans or institutional finance plans, graduation information, and end of year enrollment information.</w:t>
      </w:r>
    </w:p>
    <w:p>
      <w:pPr>
        <w:spacing w:after="0" w:line="93" w:lineRule="exact"/>
        <w:rPr>
          <w:rFonts w:ascii="Arial" w:cs="Arial" w:eastAsia="Arial" w:hAnsi="Arial"/>
          <w:sz w:val="16"/>
          <w:szCs w:val="16"/>
          <w:color w:val="auto"/>
        </w:rPr>
      </w:pPr>
    </w:p>
    <w:p>
      <w:pPr>
        <w:jc w:val="both"/>
        <w:ind w:left="1920" w:right="40" w:hanging="318"/>
        <w:spacing w:after="0" w:line="306" w:lineRule="auto"/>
        <w:tabs>
          <w:tab w:leader="none" w:pos="192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New Program Approval</w:t>
      </w:r>
      <w:r>
        <w:rPr>
          <w:rFonts w:ascii="Arial" w:cs="Arial" w:eastAsia="Arial" w:hAnsi="Arial"/>
          <w:sz w:val="16"/>
          <w:szCs w:val="16"/>
          <w:color w:val="auto"/>
        </w:rPr>
        <w:t>. Effective July 1, 2011, the final regulations require institutions to notify the Department of Education at least</w:t>
      </w:r>
      <w:r>
        <w:rPr>
          <w:rFonts w:ascii="Arial" w:cs="Arial" w:eastAsia="Arial" w:hAnsi="Arial"/>
          <w:sz w:val="16"/>
          <w:szCs w:val="16"/>
          <w:i w:val="1"/>
          <w:iCs w:val="1"/>
          <w:color w:val="auto"/>
        </w:rPr>
        <w:t xml:space="preserve"> </w:t>
      </w:r>
      <w:r>
        <w:rPr>
          <w:rFonts w:ascii="Arial" w:cs="Arial" w:eastAsia="Arial" w:hAnsi="Arial"/>
          <w:sz w:val="16"/>
          <w:szCs w:val="16"/>
          <w:color w:val="auto"/>
        </w:rPr>
        <w:t>90 days before the start of new educational programs leading to gainful employment in recognized occupations. This notification must include information on the need for the program, a wage analysis, an institutional program review and approval process,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940" w:right="20"/>
        <w:spacing w:after="0" w:line="291" w:lineRule="auto"/>
        <w:rPr>
          <w:sz w:val="20"/>
          <w:szCs w:val="20"/>
          <w:color w:val="auto"/>
        </w:rPr>
      </w:pPr>
      <w:r>
        <w:rPr>
          <w:rFonts w:ascii="Arial" w:cs="Arial" w:eastAsia="Arial" w:hAnsi="Arial"/>
          <w:sz w:val="16"/>
          <w:szCs w:val="16"/>
          <w:color w:val="auto"/>
        </w:rPr>
        <w:t>and a demonstration of accreditation. An institution is not required to obtain formal Department of Education approval if the notification is submitted at least 90 days prior to the first day of class. However, if the Department of Education decides during the course of review that an approval is warranted, a notice will be sent to the institution at least 30 days prior to the first day of class with a request for additional information. The Department of Education also has announced that it will be issuing a Notice of Proposed Rulemaking (NPRM) on the process for seeking Title IV eligibility for new programs. The NPRM proposes to amend the existing rules on new program approvals that went into effect on July 1, 2011.</w:t>
      </w:r>
    </w:p>
    <w:p>
      <w:pPr>
        <w:spacing w:after="0" w:line="107" w:lineRule="exact"/>
        <w:rPr>
          <w:sz w:val="20"/>
          <w:szCs w:val="20"/>
          <w:color w:val="auto"/>
        </w:rPr>
      </w:pPr>
    </w:p>
    <w:p>
      <w:pPr>
        <w:jc w:val="both"/>
        <w:ind w:left="1920" w:right="40" w:hanging="318"/>
        <w:spacing w:after="0" w:line="306" w:lineRule="auto"/>
        <w:tabs>
          <w:tab w:leader="none" w:pos="192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Debt</w:t>
      </w:r>
      <w:r>
        <w:rPr>
          <w:rFonts w:ascii="Arial" w:cs="Arial" w:eastAsia="Arial" w:hAnsi="Arial"/>
          <w:sz w:val="16"/>
          <w:szCs w:val="16"/>
          <w:color w:val="auto"/>
        </w:rPr>
        <w:t>-</w:t>
      </w:r>
      <w:r>
        <w:rPr>
          <w:rFonts w:ascii="Arial" w:cs="Arial" w:eastAsia="Arial" w:hAnsi="Arial"/>
          <w:sz w:val="16"/>
          <w:szCs w:val="16"/>
          <w:i w:val="1"/>
          <w:iCs w:val="1"/>
          <w:color w:val="auto"/>
        </w:rPr>
        <w:t xml:space="preserve">to-Earnings Ratio and Loan Repayment Rate. </w:t>
      </w:r>
      <w:r>
        <w:rPr>
          <w:rFonts w:ascii="Arial" w:cs="Arial" w:eastAsia="Arial" w:hAnsi="Arial"/>
          <w:sz w:val="16"/>
          <w:szCs w:val="16"/>
          <w:color w:val="auto"/>
        </w:rPr>
        <w:t>The metrics used to define gainful employment in the final rule are based on debt-to-earnings and loan repayment rates, but with changes from the proposed rule issued July 2010. Under the final rule, a program leads to gainful employment in a recognized occupation if it meets one of the following metrics:</w:t>
      </w:r>
    </w:p>
    <w:p>
      <w:pPr>
        <w:spacing w:after="0" w:line="93" w:lineRule="exact"/>
        <w:rPr>
          <w:rFonts w:ascii="Arial" w:cs="Arial" w:eastAsia="Arial" w:hAnsi="Arial"/>
          <w:sz w:val="16"/>
          <w:szCs w:val="16"/>
          <w:color w:val="auto"/>
        </w:rPr>
      </w:pPr>
    </w:p>
    <w:p>
      <w:pPr>
        <w:ind w:left="2380" w:right="140" w:hanging="319"/>
        <w:spacing w:after="0" w:line="298" w:lineRule="auto"/>
        <w:tabs>
          <w:tab w:leader="none" w:pos="23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Loan Repayment Rate — at least 35 percent of former students are repaying their loans. The repayment rate generally is measured using the student’s third and fourth year of repayment, with a few exceptions. If there are 30 or fewer borrowers in a two-year period, the repayment rate period will be expanded to include borrowers in the third, fourth, fifth and sixth years. If there are still fewer than 30 borrowers after that point, the program is considered to have passed the metric.</w:t>
      </w:r>
    </w:p>
    <w:p>
      <w:pPr>
        <w:spacing w:after="0" w:line="99" w:lineRule="exact"/>
        <w:rPr>
          <w:rFonts w:ascii="Arial" w:cs="Arial" w:eastAsia="Arial" w:hAnsi="Arial"/>
          <w:sz w:val="16"/>
          <w:szCs w:val="16"/>
          <w:color w:val="auto"/>
        </w:rPr>
      </w:pPr>
    </w:p>
    <w:p>
      <w:pPr>
        <w:ind w:left="2380" w:right="20" w:hanging="319"/>
        <w:spacing w:after="0" w:line="289" w:lineRule="auto"/>
        <w:tabs>
          <w:tab w:leader="none" w:pos="23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Debt to Earnings Ratio — either (a) the estimated annual loan repayment of a typical graduate does not exceed 30 percent of his or her discretionary income (income above 150% of the poverty level), or (b) the estimated annual loan payment of a typical graduate does not exceed 12 percent of his or her total earnings. The ratios generally will be based upon students in their third and fourth years after graduation, with the same exceptions pertaining to small cohort programs described immediately above, for the repayment rate metric. Debt will be calculated based upon the program’s median debt, which will include private loans. Annual payments will be calculated based on a 10-year standard repayment plan for certificate and associates degree programs, 15 years for bachelor’s and master’s programs, and 20 years for graduate and professional programs. Debt incurred for living expenses is excluded from the calculation.</w:t>
      </w:r>
    </w:p>
    <w:p>
      <w:pPr>
        <w:spacing w:after="0" w:line="104" w:lineRule="exact"/>
        <w:rPr>
          <w:rFonts w:ascii="Arial" w:cs="Arial" w:eastAsia="Arial" w:hAnsi="Arial"/>
          <w:sz w:val="16"/>
          <w:szCs w:val="16"/>
          <w:color w:val="auto"/>
        </w:rPr>
      </w:pPr>
    </w:p>
    <w:p>
      <w:pPr>
        <w:ind w:left="2380" w:right="40" w:hanging="319"/>
        <w:spacing w:after="0" w:line="289" w:lineRule="auto"/>
        <w:tabs>
          <w:tab w:leader="none" w:pos="23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If a program fails </w:t>
      </w:r>
      <w:r>
        <w:rPr>
          <w:rFonts w:ascii="Arial" w:cs="Arial" w:eastAsia="Arial" w:hAnsi="Arial"/>
          <w:sz w:val="16"/>
          <w:szCs w:val="16"/>
          <w:i w:val="1"/>
          <w:iCs w:val="1"/>
          <w:color w:val="auto"/>
        </w:rPr>
        <w:t>both</w:t>
      </w:r>
      <w:r>
        <w:rPr>
          <w:rFonts w:ascii="Arial" w:cs="Arial" w:eastAsia="Arial" w:hAnsi="Arial"/>
          <w:sz w:val="16"/>
          <w:szCs w:val="16"/>
          <w:color w:val="auto"/>
        </w:rPr>
        <w:t xml:space="preserve"> the Loan Repayment and Debt to Earnings metrics, then (i) </w:t>
      </w:r>
      <w:r>
        <w:rPr>
          <w:rFonts w:ascii="Arial" w:cs="Arial" w:eastAsia="Arial" w:hAnsi="Arial"/>
          <w:sz w:val="16"/>
          <w:szCs w:val="16"/>
          <w:i w:val="1"/>
          <w:iCs w:val="1"/>
          <w:color w:val="auto"/>
        </w:rPr>
        <w:t>after one failure</w:t>
      </w:r>
      <w:r>
        <w:rPr>
          <w:rFonts w:ascii="Arial" w:cs="Arial" w:eastAsia="Arial" w:hAnsi="Arial"/>
          <w:sz w:val="16"/>
          <w:szCs w:val="16"/>
          <w:color w:val="auto"/>
        </w:rPr>
        <w:t xml:space="preserve">, the institution must provide a warning to students disclosing the amount by which the program missed minimal acceptable performance and the program’s plans for improvement and establish a three-day waiting period before a student can enroll, (ii) </w:t>
      </w:r>
      <w:r>
        <w:rPr>
          <w:rFonts w:ascii="Arial" w:cs="Arial" w:eastAsia="Arial" w:hAnsi="Arial"/>
          <w:sz w:val="16"/>
          <w:szCs w:val="16"/>
          <w:i w:val="1"/>
          <w:iCs w:val="1"/>
          <w:color w:val="auto"/>
        </w:rPr>
        <w:t>after two failures within three</w:t>
      </w:r>
      <w:r>
        <w:rPr>
          <w:rFonts w:ascii="Arial" w:cs="Arial" w:eastAsia="Arial" w:hAnsi="Arial"/>
          <w:sz w:val="16"/>
          <w:szCs w:val="16"/>
          <w:color w:val="auto"/>
        </w:rPr>
        <w:t xml:space="preserve"> </w:t>
      </w:r>
      <w:r>
        <w:rPr>
          <w:rFonts w:ascii="Arial" w:cs="Arial" w:eastAsia="Arial" w:hAnsi="Arial"/>
          <w:sz w:val="16"/>
          <w:szCs w:val="16"/>
          <w:i w:val="1"/>
          <w:iCs w:val="1"/>
          <w:color w:val="auto"/>
        </w:rPr>
        <w:t>years</w:t>
      </w:r>
      <w:r>
        <w:rPr>
          <w:rFonts w:ascii="Arial" w:cs="Arial" w:eastAsia="Arial" w:hAnsi="Arial"/>
          <w:sz w:val="16"/>
          <w:szCs w:val="16"/>
          <w:color w:val="auto"/>
        </w:rPr>
        <w:t>, the institution must provide a warning to prospective and enrolled students in the failing program stating the plan it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intends to take in response, the risks associated with enrolling or continuing in the program, that the student should “expect to have difficulty repaying” the loans, and if the school chooses to discontinue the program at this stage, the timeline for doing so, and (iii) </w:t>
      </w:r>
      <w:r>
        <w:rPr>
          <w:rFonts w:ascii="Arial" w:cs="Arial" w:eastAsia="Arial" w:hAnsi="Arial"/>
          <w:sz w:val="16"/>
          <w:szCs w:val="16"/>
          <w:i w:val="1"/>
          <w:iCs w:val="1"/>
          <w:color w:val="auto"/>
        </w:rPr>
        <w:t>after three failures within four years</w:t>
      </w:r>
      <w:r>
        <w:rPr>
          <w:rFonts w:ascii="Arial" w:cs="Arial" w:eastAsia="Arial" w:hAnsi="Arial"/>
          <w:sz w:val="16"/>
          <w:szCs w:val="16"/>
          <w:color w:val="auto"/>
        </w:rPr>
        <w:t>, the program loses eligibility for federal student aid. Institutions cannot then reestablish the program’s eligibility for at least three years.</w:t>
      </w:r>
    </w:p>
    <w:p>
      <w:pPr>
        <w:spacing w:after="0" w:line="9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Although the final rules regarding gainful employment metrics provide opportunities to address program deficiencies before the loss of Title IV eligibility, the continuing eligibility of our educational programs for Title IV funding could be at risk due to factors beyond our control, such as changes in the actual or deemed income level of our graduates, changes in student borrowing levels, increases in interest rates, changes in the federal poverty income level relevant for calculating discretionary income, changes in the percentage of our former students who are current in repayment of their student loans, and other factors. In addition, even though deficiencies in the metrics may be correctible on a timely basis, the disclosure requirements to students following a failure to meet the standards may adversely impact enrollment in that program and may adversely impact the reputation of the University. The exposure to these external factors may reduce our ability to confidently offer or continue certain types of programs for which there is market demand, thus impacting our ability to maintain or grow our business.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Substantial misrepresentation. </w:t>
      </w:r>
      <w:r>
        <w:rPr>
          <w:rFonts w:ascii="Arial" w:cs="Arial" w:eastAsia="Arial" w:hAnsi="Arial"/>
          <w:sz w:val="16"/>
          <w:szCs w:val="16"/>
          <w:color w:val="auto"/>
        </w:rPr>
        <w:t>The Higher Education Act prohibits an institution that participates in Title IV programs from engaging in “substantial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misrepresentation” of the nature of its educational program, its financial charges, or the employability of its graduates. The Department of Education’s program integrity regulations effective July 1, 2011 expand the definition of misrepresentation and expand the sanctions that the Department may impose for engaging in a substantial misrepresentation. Under the new rules, a misrepresentation is any statement made by the institution or a third party that provides educational programs, marketing, advertising, recruiting, or admissions services to the institution, that is false, erroneous or has the likelihood or tendency to deceive or confuse. A substantial misrepresentation is any misrepresentation on which the person to whom it was made could reasonably be expected to rely, or has reasonably relied, to that person’s detriment. Considering the breadth of the definition of “substantial misrepresentation,” it is possible that despite our efforts to prevent such misrepresentations, our employees or service providers may make statements that could be construed as substantial misrepresentations. As a result, we may face complaints from students and prospective students over statements made by us and our agents throughout the enrollment, admissions and financial aid process, as well as throughout attendance at the University, which would expose us to increased risk of enforcement action and applicable sanctions or other penalties and increased risk of private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under the Federal False Claims Act. Under the new rules, if the Department of Education determines that an institution has engaged in substantial misrepresentation, the Department of Education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If the Department of Education determines that statements made by us or on our behalf are in violation of the new regulations, we could be subject to sanctions and other liability, which could have a material adverse effect on our business.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Standards that May Restrict Institutional Expansion or Other Changes</w:t>
      </w:r>
    </w:p>
    <w:p>
      <w:pPr>
        <w:spacing w:after="0" w:line="15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Many actions that we may wish to take in connection with expanding our operations or other changes are subject to review or approval by the applicable regulatory agencies. In addition to those matters described in detail below, most state education agencies impose regulatory requirements on educational institutions operating within their boundaries. See “State Educational Licensure and Authorization” and “New Regulations — State authorization.”</w:t>
      </w:r>
    </w:p>
    <w:p>
      <w:pPr>
        <w:spacing w:after="0" w:line="8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Adding teaching locations, implementing new educational programs, and increasing enrollment. </w:t>
      </w:r>
      <w:r>
        <w:rPr>
          <w:rFonts w:ascii="Arial" w:cs="Arial" w:eastAsia="Arial" w:hAnsi="Arial"/>
          <w:sz w:val="18"/>
          <w:szCs w:val="18"/>
          <w:color w:val="auto"/>
        </w:rPr>
        <w:t>The requirements and standards of state education</w:t>
      </w:r>
      <w:r>
        <w:rPr>
          <w:rFonts w:ascii="Arial" w:cs="Arial" w:eastAsia="Arial" w:hAnsi="Arial"/>
          <w:sz w:val="18"/>
          <w:szCs w:val="18"/>
          <w:i w:val="1"/>
          <w:iCs w:val="1"/>
          <w:color w:val="auto"/>
        </w:rPr>
        <w:t xml:space="preserve"> </w:t>
      </w:r>
      <w:r>
        <w:rPr>
          <w:rFonts w:ascii="Arial" w:cs="Arial" w:eastAsia="Arial" w:hAnsi="Arial"/>
          <w:sz w:val="18"/>
          <w:szCs w:val="18"/>
          <w:color w:val="auto"/>
        </w:rPr>
        <w:t>agencies, accrediting commissions, and the Department of Education limit our ability in certain instances to establish additional teaching locations, implement new educational programs, or increase enrollment in certain programs. Many states require review and approval before institutions can add new locations or programs, and Arizona also limits the number of undergraduate nursing students we may enroll (which represents a small portion of our overall nursing program). The Arizona State Board for Private Postsecondary Education, the Higher Learning Commission, and other state education agencies and specialized accrediting commissions that authorize or accredit us and our programs generally require institutions to notify them in advance of adding new locations or implementing new programs, and upon notification may undertake a review of the quality of the facility or the program and the financial, academic, and other qualifications of the institution.</w:t>
      </w:r>
    </w:p>
    <w:p>
      <w:pPr>
        <w:spacing w:after="0" w:line="11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With respect to the Department of Education, if an institution participating in the Title IV programs plans to add a new location or educational program, the institution must generally apply to the Department of Education to have the additional location or educational program designated as within the scope of the institution’s Title IV eligibility. Historically, a degree-granting institution such as us was not required to obtain the Department of Education’s approval of additional programs that lead to an associate, bachelor’s, professional, or graduate degree at the same degree level as programs previously approved by the Department of Education, and, similarly, an institution was not required to obtain advance approval for new programs that prepare students for gainful employment in the same or a related recognized occupation as an educational program that has previously been designated by the Department of Education as an eligible program at that institution if it meets certain minimum-length requirements. However, as a condition for an institution to participate in the Title IV programs on a provisional basis, the Department of Education can require prior approval of such programs or otherwise restrict the number of programs an institution may add or the extent to which an institution can modify existing educational programs. If an institution that is required to obtain the Department of Education’s advance approval for the addition of a new program or new location fails to do so, the institution may be liable for repayment of the Title IV program funds received by the institution or students in connection with that program or enrolled at that location. In addition, as part of the final rules adopted by the Department of Education on October 29, 2010 and effective July 1, 2011, the Department of Education issued final regulations imposing new requirements with respect to the approval of new programs. See “New Regulations — Approval of new programs.”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i w:val="1"/>
          <w:iCs w:val="1"/>
          <w:color w:val="auto"/>
        </w:rPr>
        <w:t xml:space="preserve">Acquiring other schools. </w:t>
      </w:r>
      <w:r>
        <w:rPr>
          <w:rFonts w:ascii="Arial" w:cs="Arial" w:eastAsia="Arial" w:hAnsi="Arial"/>
          <w:sz w:val="16"/>
          <w:szCs w:val="16"/>
          <w:color w:val="auto"/>
        </w:rPr>
        <w:t>While we have not acquired any other schools in the past, we may seek to do so in the future. The Department of Education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virtually all state education agencies and accrediting commissions require a company to seek their approval if it wishes to acquire another school. In our case, we would need to obtain the approval of the Arizona State Board for Private Postsecondary Education or other state education agency that licenses the school being acquired, the Higher Learning Commission, any other accrediting commission that accredits the school being acquired, and the Department of Education. The level of review varies by individual state and accrediting commission, with some requiring approval of such an acquisition before it occurs while others only consider approval after the acquisition has occurred. The Higher Learning Commission would require us to obtain its advance approval of such an acquisition. The approval of the applicable state education agencies and accrediting commissions is a necessary prerequisite to the Department of Education certifying the acquired school to participate in the Title IV programs under our ownership. The restrictions imposed by any of the applicable regulatory agencies could delay or prevent our acquisition of other schools in some circumstances.</w:t>
      </w:r>
    </w:p>
    <w:p>
      <w:pPr>
        <w:spacing w:after="0" w:line="9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i w:val="1"/>
          <w:iCs w:val="1"/>
          <w:color w:val="auto"/>
        </w:rPr>
        <w:t xml:space="preserve">Provisional certification. </w:t>
      </w:r>
      <w:r>
        <w:rPr>
          <w:rFonts w:ascii="Arial" w:cs="Arial" w:eastAsia="Arial" w:hAnsi="Arial"/>
          <w:sz w:val="16"/>
          <w:szCs w:val="16"/>
          <w:color w:val="auto"/>
        </w:rPr>
        <w:t>Each institution must apply to the Department of Education for continued certification to participate in the Title IV programs at</w:t>
      </w:r>
      <w:r>
        <w:rPr>
          <w:rFonts w:ascii="Arial" w:cs="Arial" w:eastAsia="Arial" w:hAnsi="Arial"/>
          <w:sz w:val="16"/>
          <w:szCs w:val="16"/>
          <w:i w:val="1"/>
          <w:iCs w:val="1"/>
          <w:color w:val="auto"/>
        </w:rPr>
        <w:t xml:space="preserve"> </w:t>
      </w:r>
      <w:r>
        <w:rPr>
          <w:rFonts w:ascii="Arial" w:cs="Arial" w:eastAsia="Arial" w:hAnsi="Arial"/>
          <w:sz w:val="16"/>
          <w:szCs w:val="16"/>
          <w:color w:val="auto"/>
        </w:rPr>
        <w:t>least every six years, or when it undergoes a change in control, and an institution may come under the Department of Education’s review when it expands its activities in certain ways, such as opening an additional location, adding an educational program, or modifying the academic credentials that it offers.</w:t>
      </w:r>
    </w:p>
    <w:p>
      <w:pPr>
        <w:spacing w:after="0" w:line="8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Department of Education may place an institution on provisional certification status if it finds that the institution does not fully satisfy all of the eligibility and certification standards. In addition, if a company acquires a school from another entity, or if a school undertakes another transaction that constitutes a change in control under Department of Education regulations, the school will automatically be placed on provisional certification when the Department of Education approves the transaction. During the period of provisional certification, the institution must comply with any additional conditions or restrictions included in its program participation agreement with the Department of Education. If the Department of Education finds that a provisionally certified institution is unable to meet its responsibilities under its program participation agreement, it may seek to revoke the institution’s certification to participate in the Title IV programs without advance notice or advance opportunity for the institution to challenge that action. In addition, the Department of Education may more closely review an institution that is provisionally certified if it applies for recertification or approval to open a new location, add an educational program, acquire another school, or make any other significant change. Students attending provisionally certified institutions remain eligible to receive Title IV program funds.</w:t>
      </w:r>
    </w:p>
    <w:p>
      <w:pPr>
        <w:spacing w:after="0" w:line="93"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Since July 2008, we had been provisionally certified to participate in the Title IV programs on a month-to-month basis. On April 8, 2011, following the completion of the Department of Education’s review of information we had provided in connection with a deemed change in control that resulted from the termination in January 2011 of certain voting agreements among our stockholders, the Department of Education notified us that it had approved our application for a change in control and issued to us a new, provisional program participation agreement to participate in the Title IV programs. While this certification is provisional, the Department of Education’s action did remove us from month-to-month status, provides for our continued participation in Title IV programs through December 31, 2013, and did not impose any conditions (such as any letter of credit requirement) or other restrictions on us during the provisional period other than the standard restrictions applicable to a provisional certification. In accordance with the terms of the provisional certification, we may apply for recertification on a full basis by submitting a complete application by no later than September 30, 2013. There can be no assurance that the Department of Education will recertify us at that time or that it will not impose restrictions as a condition of approving our application with respect to any future recertification.</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Change in ownership resulting in a change in control. </w:t>
      </w:r>
      <w:r>
        <w:rPr>
          <w:rFonts w:ascii="Arial" w:cs="Arial" w:eastAsia="Arial" w:hAnsi="Arial"/>
          <w:sz w:val="18"/>
          <w:szCs w:val="18"/>
          <w:color w:val="auto"/>
        </w:rPr>
        <w:t>The Department of Education, as well as many accrediting commissions and states,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institutions of higher education to report or obtain approval of certain changes in control and changes in other aspects of institutional organization or control. With respect to publicly-traded corporations, like us, Department of Education regulations provide that a change in control occurs if, among other things, the corporation has a stockholder that owns, or has voting control over, at least 25% of the total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outstanding voting stock of the corporation and is the largest stockholder of the corporation (defined in the regulations as a “controlling shareholder”), and that controlling shareholder ceases to own, or have voting control over, at least 25% of such stock or ceases to be the largest stockholder. Under Department of Education regulations, an institution that undergoes a change in control as defined by the Department of Education loses its eligibility to participate in the Title IV programs and must apply to the Department of Education in order to reestablish such eligibility.</w:t>
      </w:r>
    </w:p>
    <w:p>
      <w:pPr>
        <w:spacing w:after="0" w:line="86"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The Higher Learning Commission provides that an institution must obtain its approval in advance of a change in ownership, corporate control or structure in order for the institution to retain its accredited status. In June 2009, the Higher Learning Commission adopted new policies and standards for the review of transactions that may constitute such a change in control. One standard provides that a transaction may be considered a change in control if an individual, entity or group increases or decreases its control of shares to greater than or less than 25% of the total outstanding shares of the stock of a parent corporation that owns or controls the accredited institution. In addition, in the event of a change in control, the Higher Learning Commission requires the institution to obtain its approval in advance of the change, and in certain circumstances that process may require several weeks or several months or more to complete. In addition, following a change in control, the Higher Learning Commission will conduct an onsite evaluation within six months in order to continue the institution’s accreditation.</w:t>
      </w:r>
    </w:p>
    <w:p>
      <w:pPr>
        <w:spacing w:after="0" w:line="11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Many states include the sale of a controlling interest of common stock in the definition of a change in control requiring approval, but their thresholds for determining a change in control vary widely. The standards of the Arizona State Board for Private Postsecondary Education provide that an institution that is owned by a publicly-traded company whose control is vested in the voting members of the board of directors, such as Grand Canyon Education, undergoes a change in control if 50% or more of the voting members of the board of directors change within a 12-month period or the chief executive officer of the corporation changes. A change in control under the definition of one of the other state agencies that regulate us might require us to obtain approval of a change in control in order to maintain our authorization to operate in that state, and in some cases such states could require us to obtain advance approval of the change in control. If we were to undergo a change in control under the standards of the Arizona State Board of Private Postsecondary Education at any time in the future, we would be required to file an application with the Arizona State Board for Private Postsecondary Education in order to obtain approval for such change in control. We cannot predict whether the Arizona State Board for Private Postsecondary Education would impose any limitations or conditions on us, or identify any compliance issues related to us in the context of the change in control process, that could result in our loss of authorization in Arizona. Any such loss would result in our loss of eligibility to participate in the Title IV programs which would cause a significant decline in our student enrollment.</w:t>
      </w:r>
    </w:p>
    <w:p>
      <w:pPr>
        <w:spacing w:after="0" w:line="1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5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i w:val="1"/>
          <w:iCs w:val="1"/>
          <w:color w:val="auto"/>
        </w:rPr>
        <w:t>You should carefully consider the risks and uncertainties described below and all other information contained in this Annual Report on Form 10-K. In order to help assess the major risks in our business, we have identified many, but not all, of these risks. Due to the scope of our operations, a wide range of factors could materially affect future developments and performance.</w:t>
      </w:r>
    </w:p>
    <w:p>
      <w:pPr>
        <w:spacing w:after="0" w:line="11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 xml:space="preserve">If any of the following risks, or risks that we did not anticipate, are realized, our business, financial condition, cash flow or results of operations could be materially and adversely affected, and as a result, the trading price of our common stock could be materially and adversely impacted. These risk factors should be read in conjunction with other information set forth in this Annual Report, including Item 7, </w:t>
      </w:r>
      <w:r>
        <w:rPr>
          <w:rFonts w:ascii="Arial" w:cs="Arial" w:eastAsia="Arial" w:hAnsi="Arial"/>
          <w:sz w:val="15"/>
          <w:szCs w:val="15"/>
          <w:i w:val="1"/>
          <w:iCs w:val="1"/>
          <w:color w:val="auto"/>
        </w:rPr>
        <w:t>Management’s Discussion and Analysis of Financial Condition and</w:t>
      </w:r>
      <w:r>
        <w:rPr>
          <w:rFonts w:ascii="Arial" w:cs="Arial" w:eastAsia="Arial" w:hAnsi="Arial"/>
          <w:sz w:val="15"/>
          <w:szCs w:val="15"/>
          <w:color w:val="auto"/>
        </w:rPr>
        <w:t xml:space="preserve"> </w:t>
      </w:r>
      <w:r>
        <w:rPr>
          <w:rFonts w:ascii="Arial" w:cs="Arial" w:eastAsia="Arial" w:hAnsi="Arial"/>
          <w:sz w:val="15"/>
          <w:szCs w:val="15"/>
          <w:i w:val="1"/>
          <w:iCs w:val="1"/>
          <w:color w:val="auto"/>
        </w:rPr>
        <w:t>Results of Operations</w:t>
      </w:r>
      <w:r>
        <w:rPr>
          <w:rFonts w:ascii="Arial" w:cs="Arial" w:eastAsia="Arial" w:hAnsi="Arial"/>
          <w:sz w:val="15"/>
          <w:szCs w:val="15"/>
          <w:color w:val="auto"/>
        </w:rPr>
        <w:t>, and Item 8,</w:t>
      </w:r>
      <w:r>
        <w:rPr>
          <w:rFonts w:ascii="Arial" w:cs="Arial" w:eastAsia="Arial" w:hAnsi="Arial"/>
          <w:sz w:val="15"/>
          <w:szCs w:val="15"/>
          <w:i w:val="1"/>
          <w:iCs w:val="1"/>
          <w:color w:val="auto"/>
        </w:rPr>
        <w:t xml:space="preserve"> Consolidated Financial Statements and Supplementary Data, </w:t>
      </w:r>
      <w:r>
        <w:rPr>
          <w:rFonts w:ascii="Arial" w:cs="Arial" w:eastAsia="Arial" w:hAnsi="Arial"/>
          <w:sz w:val="15"/>
          <w:szCs w:val="15"/>
          <w:color w:val="auto"/>
        </w:rPr>
        <w:t>including the related Notes to Consolidated Financial Statements</w:t>
      </w:r>
      <w:r>
        <w:rPr>
          <w:rFonts w:ascii="Arial" w:cs="Arial" w:eastAsia="Arial" w:hAnsi="Arial"/>
          <w:sz w:val="15"/>
          <w:szCs w:val="15"/>
          <w:i w:val="1"/>
          <w:iCs w:val="1"/>
          <w:color w:val="auto"/>
        </w:rPr>
        <w: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Regulation of Our Industry</w:t>
      </w:r>
    </w:p>
    <w:p>
      <w:pPr>
        <w:spacing w:after="0" w:line="15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failure to comply with the extensive regulatory requirements governing our school could result in financial penalties, restrictions on our operations or growth, or loss of external financial aid funding for our students.</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participate in the Title IV programs, a school must be authorized by the appropriate state education agency or agencies, be accredited by an accrediting commission recognized by the Department of Education, and be certified as an eligible institution by the Department of Education. In addition, our operations and programs are regulated by other state education agencies and additional accrediting commissions. As a result of these requirements, we are subject to extensive regulation by the Arizona State Board for Private Postsecondary Education and education agencies of other states, the Higher Learning Commission,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which is our primary accrediting commission, specialized accrediting commissions, and the Department of Education. These regulatory requirements cover the vast majority of our operations, including our educational programs, instructional and administrative staff, administrative procedures, marketing, recruiting, financial operations, and financial condition. These regulatory requirements also affect our ability to open additional schools and locations, add new educational programs, change existing educational programs, and change our corporate or ownership structure. The agencies that regulate our operations periodically revise their requirements and modify their interpretations of existing requirements. Regulatory requirements are not always precise and clear, and regulatory agencies may sometimes disagree with the way we have interpreted or applied these requirements. Any misinterpretation by us of regulatory requirements could materially adversely affect us.</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During fiscal 2011, 2010 and 2009, we derived approximately 80.2%, 84.9% and 82.5%, respectively, of our net revenues (calculated on a cash basis in accordance with Department of Education standards that were in effect prior to the August 2008 reauthorization of the Higher Education Act) from tuition financed under the Title IV programs. Accordingly, if we fail to comply with any of these regulatory requirements, we could suffer financial penalties, limitations on our operations, loss of accreditation, termination of or limitations on our ability to grant degrees and certificates, or limitations on or termination of our eligibility to participate in the Title IV programs, each of which could materially adversely affect us. In addition, if we are charged with regulatory violations, our reputation could be damaged, which could have a negative impact on our stock price and our enrollments. We cannot predict with certainty how all of these regulatory requirements will be applied, or whether we will be able to comply with all of the applicable requirements in the future.</w:t>
      </w:r>
    </w:p>
    <w:p>
      <w:pPr>
        <w:spacing w:after="0" w:line="91"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b w:val="1"/>
          <w:bCs w:val="1"/>
          <w:i w:val="1"/>
          <w:iCs w:val="1"/>
          <w:color w:val="auto"/>
        </w:rPr>
        <w:t>If the Department of Education does not recertify us to continue participating in the Title IV programs, our students would lose their access to Title IV program funds, or we could be recertified but required to accept significant limitations as a condition of our continued participation in the Title IV programs.</w:t>
      </w:r>
    </w:p>
    <w:p>
      <w:pPr>
        <w:spacing w:after="0" w:line="3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Department of Education certification to participate in the Title IV programs lasts a maximum of six years, and institutions are thus required to seek recertification from the Department of Education on a regular basis in order to continue their participation in the Title IV programs. An institution must also apply for recertification by the Department of Education if it undergoes a change in control, as defined by Department of Education regulations, and may be subject to similar review if it expands its operations or educational programs in certain ways.</w:t>
      </w:r>
    </w:p>
    <w:p>
      <w:pPr>
        <w:spacing w:after="0" w:line="116" w:lineRule="exact"/>
        <w:rPr>
          <w:sz w:val="20"/>
          <w:szCs w:val="20"/>
          <w:color w:val="auto"/>
        </w:rPr>
      </w:pPr>
    </w:p>
    <w:p>
      <w:pPr>
        <w:ind w:right="60" w:firstLine="456"/>
        <w:spacing w:after="0" w:line="305" w:lineRule="auto"/>
        <w:rPr>
          <w:sz w:val="20"/>
          <w:szCs w:val="20"/>
          <w:color w:val="auto"/>
        </w:rPr>
      </w:pPr>
      <w:r>
        <w:rPr>
          <w:rFonts w:ascii="Arial" w:cs="Arial" w:eastAsia="Arial" w:hAnsi="Arial"/>
          <w:sz w:val="15"/>
          <w:szCs w:val="15"/>
          <w:color w:val="auto"/>
        </w:rPr>
        <w:t xml:space="preserve">Since July 2008, we had been provisionally certified to participate in the Title IV programs on a month-to-month basis. On April 8, 2011, following the completion of the Department of Education’s review of information we had provided in connection with a deemed change in control that resulted from the termination in January 2011 of certain voting agreements among our stockholders, the Department of Education notified us that it had approved our application for a change in control and issued to us a new, provisional program participation agreement to participate in the Title IV programs. While this certification is provisional, the Department of Education’s action did remove us from month-to-month status, provides for our continued participation in Title IV programs through December 31, 2013, and did not impose any conditions (such as any letter of credit requirement) or other restrictions on us during the provisional period other than the standard restrictions applicable to a provisional certification. In accordance with the terms of the provisional certification, we may apply for recertification on a full basis by submitting a complete application by no later than September 30, 2013. See Item 1, </w:t>
      </w:r>
      <w:r>
        <w:rPr>
          <w:rFonts w:ascii="Arial" w:cs="Arial" w:eastAsia="Arial" w:hAnsi="Arial"/>
          <w:sz w:val="15"/>
          <w:szCs w:val="15"/>
          <w:i w:val="1"/>
          <w:iCs w:val="1"/>
          <w:color w:val="auto"/>
        </w:rPr>
        <w:t>Business — Regulation — Regulation of</w:t>
      </w:r>
      <w:r>
        <w:rPr>
          <w:rFonts w:ascii="Arial" w:cs="Arial" w:eastAsia="Arial" w:hAnsi="Arial"/>
          <w:sz w:val="15"/>
          <w:szCs w:val="15"/>
          <w:color w:val="auto"/>
        </w:rPr>
        <w:t xml:space="preserve"> </w:t>
      </w:r>
      <w:r>
        <w:rPr>
          <w:rFonts w:ascii="Arial" w:cs="Arial" w:eastAsia="Arial" w:hAnsi="Arial"/>
          <w:sz w:val="15"/>
          <w:szCs w:val="15"/>
          <w:i w:val="1"/>
          <w:iCs w:val="1"/>
          <w:color w:val="auto"/>
        </w:rPr>
        <w:t>Federal Student Financial Aid Programs — Eligibility and certification procedures</w:t>
      </w:r>
      <w:r>
        <w:rPr>
          <w:rFonts w:ascii="Arial" w:cs="Arial" w:eastAsia="Arial" w:hAnsi="Arial"/>
          <w:sz w:val="15"/>
          <w:szCs w:val="15"/>
          <w:color w:val="auto"/>
        </w:rPr>
        <w:t>. There can be no assurance that the Department of Education will recertify us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at that time or that it will not impose conditions or other restrictions on us as a condition of approving our application with respect to any future recertification. See Item 1A, </w:t>
      </w:r>
      <w:r>
        <w:rPr>
          <w:rFonts w:ascii="Arial" w:cs="Arial" w:eastAsia="Arial" w:hAnsi="Arial"/>
          <w:sz w:val="15"/>
          <w:szCs w:val="15"/>
          <w:i w:val="1"/>
          <w:iCs w:val="1"/>
          <w:color w:val="auto"/>
        </w:rPr>
        <w:t>Risk Factors — If any of the education regulatory agencies that regulate us do not approve or delay their approval of any transaction involving us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that constitutes a “change in control,” our ability to operate or participate in the Title IV programs may be impaired. </w:t>
      </w:r>
      <w:r>
        <w:rPr>
          <w:rFonts w:ascii="Arial" w:cs="Arial" w:eastAsia="Arial" w:hAnsi="Arial"/>
          <w:sz w:val="15"/>
          <w:szCs w:val="15"/>
          <w:color w:val="auto"/>
        </w:rPr>
        <w:t>If the Department of Education does not</w:t>
      </w:r>
      <w:r>
        <w:rPr>
          <w:rFonts w:ascii="Arial" w:cs="Arial" w:eastAsia="Arial" w:hAnsi="Arial"/>
          <w:sz w:val="15"/>
          <w:szCs w:val="15"/>
          <w:i w:val="1"/>
          <w:iCs w:val="1"/>
          <w:color w:val="auto"/>
        </w:rPr>
        <w:t xml:space="preserve"> </w:t>
      </w:r>
      <w:r>
        <w:rPr>
          <w:rFonts w:ascii="Arial" w:cs="Arial" w:eastAsia="Arial" w:hAnsi="Arial"/>
          <w:sz w:val="15"/>
          <w:szCs w:val="15"/>
          <w:color w:val="auto"/>
        </w:rPr>
        <w:t>renew or withdraws our certification to participate in the Title IV programs at any time, our students would no longer be able to receive Title IV program funds. Alternatively, the Department of Education could renew our certification, but restrict or delay our students’ receipt of Title IV funds, limit the number of students to whom we could disburse such funds, or place other restrictions on us. Any of these outcomes would have a material adverse effect on our enrollments and 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The Department of Education is conducting a program review of Grand Canyon University, which may result in the repayment of a substantial amount of Title IV funds and may lead to fines, penalties, or other sanctions, and damage to our reputation in the industry.</w:t>
      </w:r>
    </w:p>
    <w:p>
      <w:pPr>
        <w:spacing w:after="0" w:line="58"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Grand Canyon University covering the 2008-2009 and 2009-2010 award years. As part of this program review, a Department of Education program review team conducted a site visit on our campus in July 2010 and reviewed, and in some cases requested further information regarding, our records, practices and policies relating to, among other things, financial aid, enrollment, enrollment counselor compensation, program eligibility and other Title IV compliance matters. Upon the conclusion of the site visit, we were informed by the program review team that it would (i) conduct further review of our documents and records offsite, (ii) upon completion of such review, schedule a formal exit interview to be followed by a preliminary program review report in which any preliminary findings of non-compliance would be presented, and (iii) conclude the review by issuance of a final program review determination letter.</w:t>
      </w:r>
    </w:p>
    <w:p>
      <w:pPr>
        <w:spacing w:after="0" w:line="9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Following the conclusion of the site visit in July 2010, but before we had yet received notification of the timing of our exit interview or the Department of Education’s preliminary program review report or final program review determination letter, we became aware that the program review team had two preliminary findings of concern, the incentive compensation issue and the gainful employment issue (each as described below). However, from August 2010 until August 2011, we received no further communications from the Department of Education regarding these two concerns or the program review generally.</w:t>
      </w:r>
    </w:p>
    <w:p>
      <w:pPr>
        <w:spacing w:after="0" w:line="8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While we never received a formal exit interview, which we had understood to be the typical step prior to the Department of Education’s issuance of a preliminary program review report, on August 24, 2011, we received from the Department of Education a written preliminary program review report that included five findings, two of which involve individual student-specific errors concerning the monitoring of satisfactory academic progress for two students and the certification of one student’s Federal Family Educational Loan as an unsubsidized Stafford loan rather than a subsidized Stafford loan. The other three findings address the incentive compensation issue, the gainful employment issue and one additional issue not previously raised with us, as follows:</w:t>
      </w:r>
    </w:p>
    <w:p>
      <w:pPr>
        <w:spacing w:after="0" w:line="102" w:lineRule="exact"/>
        <w:rPr>
          <w:sz w:val="20"/>
          <w:szCs w:val="20"/>
          <w:color w:val="auto"/>
        </w:rPr>
      </w:pPr>
    </w:p>
    <w:p>
      <w:pPr>
        <w:ind w:left="1480" w:right="20" w:hanging="446"/>
        <w:spacing w:after="0" w:line="287" w:lineRule="auto"/>
        <w:tabs>
          <w:tab w:leader="none" w:pos="148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Incentive compensation issue</w:t>
      </w:r>
      <w:r>
        <w:rPr>
          <w:rFonts w:ascii="Arial" w:cs="Arial" w:eastAsia="Arial" w:hAnsi="Arial"/>
          <w:sz w:val="16"/>
          <w:szCs w:val="16"/>
          <w:color w:val="auto"/>
        </w:rPr>
        <w:t>. During a portion of the period under review, we had in place a compensation plan for our enrollment</w:t>
      </w:r>
      <w:r>
        <w:rPr>
          <w:rFonts w:ascii="Arial" w:cs="Arial" w:eastAsia="Arial" w:hAnsi="Arial"/>
          <w:sz w:val="16"/>
          <w:szCs w:val="16"/>
          <w:i w:val="1"/>
          <w:iCs w:val="1"/>
          <w:color w:val="auto"/>
        </w:rPr>
        <w:t xml:space="preserve"> </w:t>
      </w:r>
      <w:r>
        <w:rPr>
          <w:rFonts w:ascii="Arial" w:cs="Arial" w:eastAsia="Arial" w:hAnsi="Arial"/>
          <w:sz w:val="16"/>
          <w:szCs w:val="16"/>
          <w:color w:val="auto"/>
        </w:rPr>
        <w:t>counselors that was designed to comply with the regulatory “safe harbor” in effect during such period that allowed companies to make adjustments to fixed compensation for enrollment personnel, provided that any such adjustment (i) was not made more than twice during any twelve month period, and (ii) was not based solely on the number of students recruited, admitted, enrolled, or awarded financial aid. The plan at issue provided for enrollment counselor performance to be reviewed on a number of non-enrollment-related factors that could account for a substantial portion of any potential base compensation adjustment. The preliminary program review report does not appear to set forth any definitive finding regarding the plan, but the Department of Education has requested additional information from us regarding our enrollment counselor compensation practices and policies in effect during the period under review. We continue to believe that the plan at issue, both as designed and as applied, did not base compensation solely on success in enrolling students in violation of applicable law and will continue to communicate with the Department of Education to resolve this matter.</w:t>
      </w:r>
    </w:p>
    <w:p>
      <w:pPr>
        <w:spacing w:after="0" w:line="109" w:lineRule="exact"/>
        <w:rPr>
          <w:rFonts w:ascii="Arial" w:cs="Arial" w:eastAsia="Arial" w:hAnsi="Arial"/>
          <w:sz w:val="16"/>
          <w:szCs w:val="16"/>
          <w:color w:val="auto"/>
        </w:rPr>
      </w:pPr>
    </w:p>
    <w:p>
      <w:pPr>
        <w:ind w:left="1480" w:right="160" w:hanging="446"/>
        <w:spacing w:after="0" w:line="290" w:lineRule="auto"/>
        <w:tabs>
          <w:tab w:leader="none" w:pos="148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Gainful employment issue</w:t>
      </w:r>
      <w:r>
        <w:rPr>
          <w:rFonts w:ascii="Arial" w:cs="Arial" w:eastAsia="Arial" w:hAnsi="Arial"/>
          <w:sz w:val="16"/>
          <w:szCs w:val="16"/>
          <w:color w:val="auto"/>
        </w:rPr>
        <w:t>. The preliminary program review report sets forth the Department of Education’s position that our Bachelor of</w:t>
      </w:r>
      <w:r>
        <w:rPr>
          <w:rFonts w:ascii="Arial" w:cs="Arial" w:eastAsia="Arial" w:hAnsi="Arial"/>
          <w:sz w:val="16"/>
          <w:szCs w:val="16"/>
          <w:i w:val="1"/>
          <w:iCs w:val="1"/>
          <w:color w:val="auto"/>
        </w:rPr>
        <w:t xml:space="preserve"> </w:t>
      </w:r>
      <w:r>
        <w:rPr>
          <w:rFonts w:ascii="Arial" w:cs="Arial" w:eastAsia="Arial" w:hAnsi="Arial"/>
          <w:sz w:val="16"/>
          <w:szCs w:val="16"/>
          <w:color w:val="auto"/>
        </w:rPr>
        <w:t>Arts in Interdisciplinary Studies program was not an eligible program under Title IV because it did not provide students with training to prepare them for gainful employment in a recognized occupation. This “gainful employment” standard has been a requirement for Title IV eligibility for programs offered at proprietary institutions of higher education such as Grand Canyon University although, pursuant to legislation passed in 2008 and effective as of July 1, 2010, this requirement no longer applies to designated liberal arts programs offered by us and certain other institutions that have held accreditation by a regional accrediting agency since a date on or before October 1, 2007 (we have held a regional accreditation since 1968). We believe that our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320"/>
        <w:spacing w:after="0" w:line="259" w:lineRule="auto"/>
        <w:rPr>
          <w:sz w:val="20"/>
          <w:szCs w:val="20"/>
          <w:color w:val="auto"/>
        </w:rPr>
      </w:pPr>
      <w:r>
        <w:rPr>
          <w:rFonts w:ascii="Arial" w:cs="Arial" w:eastAsia="Arial" w:hAnsi="Arial"/>
          <w:sz w:val="18"/>
          <w:szCs w:val="18"/>
          <w:color w:val="auto"/>
        </w:rPr>
        <w:t>Interdisciplinary Studies program, which we first offered in Fall 2007 in response to a request by one of our employer-partners, was an eligible program under the “gainful employment” standard in effect prior to July 1, 2010 and intend to continue to communicate with the Department of Education to resolve the matter.</w:t>
      </w:r>
    </w:p>
    <w:p>
      <w:pPr>
        <w:spacing w:after="0" w:line="127" w:lineRule="exact"/>
        <w:rPr>
          <w:sz w:val="20"/>
          <w:szCs w:val="20"/>
          <w:color w:val="auto"/>
        </w:rPr>
      </w:pPr>
    </w:p>
    <w:p>
      <w:pPr>
        <w:ind w:left="1480" w:hanging="446"/>
        <w:spacing w:after="0" w:line="288" w:lineRule="auto"/>
        <w:tabs>
          <w:tab w:leader="none" w:pos="148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Inadequate procedures related to non-passing grades. </w:t>
      </w:r>
      <w:r>
        <w:rPr>
          <w:rFonts w:ascii="Arial" w:cs="Arial" w:eastAsia="Arial" w:hAnsi="Arial"/>
          <w:sz w:val="16"/>
          <w:szCs w:val="16"/>
          <w:color w:val="auto"/>
        </w:rPr>
        <w:t>The preliminary program review report sets forth the Department of Education’s</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that, during the period under review and prior to the time we converted from a term-based financial aid system to a non-term, borrower-based financial aid system in mid-2010, we failed to have an accurate system to determine if students with non-passing grades for a term had no documented attendance for the term or should have been treated as unofficial withdrawals for the term, thereby potentially requiring us to return all or a portion of the Title IV monies previously received with respect to such students. Although we are confident in the legal sufficiency of our policies that were in place during the period under review, we are currently in discussions with the Department of Education regarding this finding. As part of the process of reviewing and responding to this finding, the Department of Education has requested that we conduct a further review of student files and provide additional information to the Department of Education following the completion of such review.</w:t>
      </w:r>
    </w:p>
    <w:p>
      <w:pPr>
        <w:spacing w:after="0" w:line="9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cannot presently predict whether or if further information requests will be made, how the foregoing issues will be resolved, when the final program review determination letter will be issued, or when the program review will be closed. At this time, the Department of Education has not specified the amount of any potential penalties, and we have not accrued any amounts in connection with the program review. Our policies and procedures are planned and implemented to comply with the applicable standards and regulations under Title IV and we are committed to resolving any issues of non-compliance identified in the final program review determination letter and ensuring that we operate in compliance with all Department of Education requirements. If the Department of Education were to make significant findings of non-compliance in the final program review determination letter, then, after exhausting any administrative appeals available to us, we could be required to pay a fine, return Title IV monies previously received, or be subjected to other administrative sanctions. While we cannot currently predict the final outcome of the Department of Education review, any such final adverse finding could damage our reputation in the industry and have a material adverse effect on our business, results of operations, cash flows and financial position.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Rulemaking by the U.S. Department of Education could materially and adversely affect our business.</w:t>
      </w:r>
    </w:p>
    <w:p>
      <w:pPr>
        <w:spacing w:after="0" w:line="144"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November 2009, the U.S. Department of Education convened two negotiated rulemaking teams related to Title IV program integrity issues and foreign school issues. The resulting program integrity rules promulgated in October 2010 and June 2011 address numerous topics. The most significant for our business are the following:</w:t>
      </w:r>
    </w:p>
    <w:p>
      <w:pPr>
        <w:spacing w:after="0" w:line="127" w:lineRule="exact"/>
        <w:rPr>
          <w:sz w:val="20"/>
          <w:szCs w:val="20"/>
          <w:color w:val="auto"/>
        </w:rPr>
      </w:pPr>
    </w:p>
    <w:p>
      <w:pPr>
        <w:ind w:left="1480" w:right="780" w:hanging="446"/>
        <w:spacing w:after="0" w:line="268"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Modification of the standards relating to the payment of incentive compensation to employees involved in student recruitment and enrollment;</w:t>
      </w:r>
    </w:p>
    <w:p>
      <w:pPr>
        <w:spacing w:after="0" w:line="118"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Implementation of standards for state authorization of institutions of higher education; and</w:t>
      </w:r>
    </w:p>
    <w:p>
      <w:pPr>
        <w:spacing w:after="0" w:line="157" w:lineRule="exact"/>
        <w:rPr>
          <w:rFonts w:ascii="Arial" w:cs="Arial" w:eastAsia="Arial" w:hAnsi="Arial"/>
          <w:sz w:val="18"/>
          <w:szCs w:val="18"/>
          <w:color w:val="auto"/>
        </w:rPr>
      </w:pPr>
    </w:p>
    <w:p>
      <w:pPr>
        <w:ind w:left="1480" w:right="240" w:hanging="446"/>
        <w:spacing w:after="0" w:line="268"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Adoption of a definition of “gainful employment” for purposes of the requirement of Title IV student financial aid that a program of study offered by a proprietary institution prepare students for gainful employment in a recognized occupation.</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Department published final program integrity regulations on October 29, 2010, with most of the final rules effective July 1, 2011, including some reporting and disclosure rules related to gainful employment. On June 13, 2011, the Department published final regulations on metrics for gainful employment programs effective July 1, 2012. In addition to the rules, the Department routinely issues “Dear Colleague Letters” to provide sub-regulatory guidance on certain areas of final regulations. The guidance is provided to assist institutions with understanding the regulations in these areas, and does not make any changes to the regulations. The Department has issued numerous Dear Colleague Letters to provide further information on other provisions of the program integrity regulations and created a website dedicated to gainful employment information.</w:t>
      </w:r>
    </w:p>
    <w:p>
      <w:pPr>
        <w:spacing w:after="0" w:line="9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program integrity rules require a large number of reporting and operational changes, some of which are described below. We believe we are in substantial compliance with these new reporting and disclosure requirements. However, because of the scale and complexity of our educational programs, we may be unable to fully develop, test and implement all of the necessary modifications to our information management systems and administrative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processes to maintain such compliance at all times in the future and, as a result, we may be subject to administrative or other sanctions if we are unable to comply with these reporting and disclosure requirements on a timely basis. In addition, these changes, individually or in combination, may impact our student enrollment, persistence and retention in ways that we cannot now predict and could adversely affect our business, financial condition, results of operations and cash flows.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Compensation</w:t>
      </w:r>
    </w:p>
    <w:p>
      <w:pPr>
        <w:spacing w:after="0" w:line="14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 school participating in Title IV programs may not pay any commission, bonus or other incentive payments to any person involved in student recruitment or admissions or awarding of Title IV program funds, if such payments are based directly or indirectly in any part on success in enrolling students or obtaining student financial aid. The law and regulations governing this requirement do not establish clear criteria for compliance in all circumstances, but until June 30, 2011 the Department of Education offered twelve safe harbors that defined specific types of compensation that were deemed to constitute permissible under the incentive compensation regulations. In the past, we relied on several of these safe harbors to ensure that our compensation and recruitment practices complied with the applicable requirements.</w:t>
      </w:r>
    </w:p>
    <w:p>
      <w:pPr>
        <w:spacing w:after="0" w:line="11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the final regulations adopted by the Department of Education, these twelve safe harbors were eliminated and, in lieu of the safe harbors, some of the relevant concepts relating to the incentive compensation limitations were defined. These changes increase the uncertainty about what constitutes incentive compensation and which employees are covered by the regulation. This makes the development of effective and compliant performance metrics more difficult to establish. In response to the Department of Education’s concern about the impact of compensation structures that rely on the current safe harbors and in order to enhance the enrollment process for our students, we began considering an alternative compensation structure for our enrollment personnel. We developed this new structure, which we believe complies with the Department of Education’s new rule, and implemented it on a broad scale during the second quarter of fiscal year 2011.</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change in our approach to recruiting could adversely impact our enrollment rates and increase our operating costs, perhaps materially. We believe this change is in the best interests of our students and it is consistent with our on-going efforts to address the concerns of the Department of Education and others, including members of Congress, about enrollment practices in the proprietary sector.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Authorization</w:t>
      </w:r>
    </w:p>
    <w:p>
      <w:pPr>
        <w:spacing w:after="0" w:line="144"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the U.S., institutions that participate in Title IV programs must be authorized to operate by the appropriate postsecondary regulatory authority in each state, or be exempt from such regulatory authorization, usually based on recognized accreditation or lack of physical presence in that state. As of June 30, 2011, we are authorized to operate or have confirmed an exemption to operate in almost all states, Puerto Rico and the District of Columbia.</w:t>
      </w:r>
    </w:p>
    <w:p>
      <w:pPr>
        <w:spacing w:after="0" w:line="8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There are annual waivers available in the final regulations that could allow us to continue to operate without specific state approval in states for which we have not received specific authorization or are otherwise exempt from obtaining authorization, through July 1, 2013. In order to obtain such annual waivers, we must have a supporting letter from each such state and file a request for an annual waiver to be considered by the Department of Education. We have obtained such supporting letters in certain states and have filed a request for an annual waiver through July 1, 2012 with the Department of Education. While we have no assurance that the waivers will be granted, we have no reason to believe that they will not be forthcoming in due course. If we experience a delay in obtaining or cannot obtain these approvals or waivers, our business could be adversely impacted. As a result, the manner in which the Department of Education’s final regulation will apply to our business in these states, and the impact of such regulation on our business, is uncertain. If we are unable to operate in any state in a manner that would preserve Title IV eligibility for our students, our business could be materially and adversely impacted, depending on the revenue derived from students in that state.</w:t>
      </w:r>
    </w:p>
    <w:p>
      <w:pPr>
        <w:spacing w:after="0" w:line="9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Additionally, many states now must adopt additional statutes or regulations in order to comply with the new regulations adopted by the Department of Education. In addition, other states are revising existing statutes and regulations that affect higher education generally or proprietary higher education providers specifically. We have no assurance that these states will be willing or able to adopt such additional statutes or regulations or that we will be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able to obtain specific state regulatory approval under any revised statute of regulation, or that the University will be able to meet any new statute or regulation enacted. If we are unable to operate in any state due to changes in state law, or if state law limits our ability to operate in those states, our business could be materially and adversely impacted, depending on the revenue derived from students in that state.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Gainful Employment</w:t>
      </w:r>
    </w:p>
    <w:p>
      <w:pPr>
        <w:spacing w:after="0" w:line="14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the Higher Education Act, proprietary schools are eligible to participate in Title IV programs in respect of educational programs that lead to “gainful employment in a recognized occupation,” with the limited exception of qualified programs leading to a bachelor’s degree in liberal arts. Historically, this concept has not been defined in detail. On July 26, 2010, the Department of Education issued a proposed gainful employment rule. On June 13, 2011, the Department of Education issued its final gainful employment rule, which contained material modifications to the proposed rule. In its final form, the rule provides, among other things, for the following:</w:t>
      </w:r>
    </w:p>
    <w:p>
      <w:pPr>
        <w:spacing w:after="0" w:line="129" w:lineRule="exact"/>
        <w:rPr>
          <w:sz w:val="20"/>
          <w:szCs w:val="20"/>
          <w:color w:val="auto"/>
        </w:rPr>
      </w:pPr>
    </w:p>
    <w:p>
      <w:pPr>
        <w:ind w:left="1480" w:right="400" w:hanging="446"/>
        <w:spacing w:after="0" w:line="306" w:lineRule="auto"/>
        <w:tabs>
          <w:tab w:leader="none" w:pos="148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Disclosures</w:t>
      </w:r>
      <w:r>
        <w:rPr>
          <w:rFonts w:ascii="Arial" w:cs="Arial" w:eastAsia="Arial" w:hAnsi="Arial"/>
          <w:sz w:val="16"/>
          <w:szCs w:val="16"/>
          <w:color w:val="auto"/>
        </w:rPr>
        <w:t>. Effective July 1, 2011, proprietary institutions of higher education as well as public and not-for profit institutions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postsecondary non-degree programs must provide prospective students with disclosures on the types of employment associated with the program, total cost of the program, completion rate, job placement rate, if applicable, and median loan debt of program completers.</w:t>
      </w:r>
    </w:p>
    <w:p>
      <w:pPr>
        <w:spacing w:after="0" w:line="93" w:lineRule="exact"/>
        <w:rPr>
          <w:rFonts w:ascii="Arial" w:cs="Arial" w:eastAsia="Arial" w:hAnsi="Arial"/>
          <w:sz w:val="16"/>
          <w:szCs w:val="16"/>
          <w:color w:val="auto"/>
        </w:rPr>
      </w:pPr>
    </w:p>
    <w:p>
      <w:pPr>
        <w:ind w:left="1480" w:right="80" w:hanging="446"/>
        <w:spacing w:after="0" w:line="259"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Reporting</w:t>
      </w:r>
      <w:r>
        <w:rPr>
          <w:rFonts w:ascii="Arial" w:cs="Arial" w:eastAsia="Arial" w:hAnsi="Arial"/>
          <w:sz w:val="18"/>
          <w:szCs w:val="18"/>
          <w:color w:val="auto"/>
        </w:rPr>
        <w:t>. Effective October 1, 2011, institutions must annually submit information to the Department of Education about students who</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 a program leading to gainful employment in a recognized occupation, including the amount of debt incurred under private loans or institutional finance plans, graduation information, and end of year enrollment information.</w:t>
      </w:r>
    </w:p>
    <w:p>
      <w:pPr>
        <w:spacing w:after="0" w:line="126" w:lineRule="exact"/>
        <w:rPr>
          <w:rFonts w:ascii="Arial" w:cs="Arial" w:eastAsia="Arial" w:hAnsi="Arial"/>
          <w:sz w:val="18"/>
          <w:szCs w:val="18"/>
          <w:color w:val="auto"/>
        </w:rPr>
      </w:pPr>
    </w:p>
    <w:p>
      <w:pPr>
        <w:ind w:left="1480" w:right="160" w:hanging="446"/>
        <w:spacing w:after="0" w:line="283" w:lineRule="auto"/>
        <w:tabs>
          <w:tab w:leader="none" w:pos="148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New Program Approval</w:t>
      </w:r>
      <w:r>
        <w:rPr>
          <w:rFonts w:ascii="Arial" w:cs="Arial" w:eastAsia="Arial" w:hAnsi="Arial"/>
          <w:sz w:val="16"/>
          <w:szCs w:val="16"/>
          <w:color w:val="auto"/>
        </w:rPr>
        <w:t>. Effective July 1, 2011, the final regulations require institutions to notify the Department of Education at least 90</w:t>
      </w:r>
      <w:r>
        <w:rPr>
          <w:rFonts w:ascii="Arial" w:cs="Arial" w:eastAsia="Arial" w:hAnsi="Arial"/>
          <w:sz w:val="16"/>
          <w:szCs w:val="16"/>
          <w:i w:val="1"/>
          <w:iCs w:val="1"/>
          <w:color w:val="auto"/>
        </w:rPr>
        <w:t xml:space="preserve"> </w:t>
      </w:r>
      <w:r>
        <w:rPr>
          <w:rFonts w:ascii="Arial" w:cs="Arial" w:eastAsia="Arial" w:hAnsi="Arial"/>
          <w:sz w:val="16"/>
          <w:szCs w:val="16"/>
          <w:color w:val="auto"/>
        </w:rPr>
        <w:t>days before the start of new educational programs leading to gainful employment in recognized occupations. This notification must include information on the need for the program, a wage analysis, an institutional program review and approval process, and a demonstration of accreditation. An institution is not required to obtain formal Department of Education approval if the notification is submitted at least</w:t>
      </w:r>
    </w:p>
    <w:p>
      <w:pPr>
        <w:spacing w:after="0" w:line="2" w:lineRule="exact"/>
        <w:rPr>
          <w:rFonts w:ascii="Arial" w:cs="Arial" w:eastAsia="Arial" w:hAnsi="Arial"/>
          <w:sz w:val="16"/>
          <w:szCs w:val="16"/>
          <w:color w:val="auto"/>
        </w:rPr>
      </w:pPr>
    </w:p>
    <w:p>
      <w:pPr>
        <w:ind w:left="1480" w:right="140"/>
        <w:spacing w:after="0" w:line="253" w:lineRule="auto"/>
        <w:rPr>
          <w:rFonts w:ascii="Arial" w:cs="Arial" w:eastAsia="Arial" w:hAnsi="Arial"/>
          <w:sz w:val="16"/>
          <w:szCs w:val="16"/>
          <w:color w:val="auto"/>
        </w:rPr>
      </w:pPr>
      <w:r>
        <w:rPr>
          <w:rFonts w:ascii="Arial" w:cs="Arial" w:eastAsia="Arial" w:hAnsi="Arial"/>
          <w:sz w:val="18"/>
          <w:szCs w:val="18"/>
          <w:color w:val="auto"/>
        </w:rPr>
        <w:t>90 days prior to the first day of class. However, if the Department of Education decides during the course of review that an approval is warranted, a notice will be sent to the institution at least 30 days prior to the first day of class with a request for additional information. The Department of Education also has announced that it will be issuing a Notice of Proposed Rulemaking (NPRM) on the process for seeking Title IV eligibility for new programs. The NPRM proposes to amend the existing rules on new program approvals that went into effect on July 1, 2011.</w:t>
      </w:r>
    </w:p>
    <w:p>
      <w:pPr>
        <w:spacing w:after="0" w:line="131" w:lineRule="exact"/>
        <w:rPr>
          <w:rFonts w:ascii="Arial" w:cs="Arial" w:eastAsia="Arial" w:hAnsi="Arial"/>
          <w:sz w:val="16"/>
          <w:szCs w:val="16"/>
          <w:color w:val="auto"/>
        </w:rPr>
      </w:pPr>
    </w:p>
    <w:p>
      <w:pPr>
        <w:ind w:left="1480" w:hanging="446"/>
        <w:spacing w:after="0" w:line="259"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Debt</w:t>
      </w:r>
      <w:r>
        <w:rPr>
          <w:rFonts w:ascii="Arial" w:cs="Arial" w:eastAsia="Arial" w:hAnsi="Arial"/>
          <w:sz w:val="18"/>
          <w:szCs w:val="18"/>
          <w:color w:val="auto"/>
        </w:rPr>
        <w:t>-</w:t>
      </w:r>
      <w:r>
        <w:rPr>
          <w:rFonts w:ascii="Arial" w:cs="Arial" w:eastAsia="Arial" w:hAnsi="Arial"/>
          <w:sz w:val="18"/>
          <w:szCs w:val="18"/>
          <w:i w:val="1"/>
          <w:iCs w:val="1"/>
          <w:color w:val="auto"/>
        </w:rPr>
        <w:t xml:space="preserve">to-Earnings Ratio and Loan Repayment Rate. </w:t>
      </w:r>
      <w:r>
        <w:rPr>
          <w:rFonts w:ascii="Arial" w:cs="Arial" w:eastAsia="Arial" w:hAnsi="Arial"/>
          <w:sz w:val="18"/>
          <w:szCs w:val="18"/>
          <w:color w:val="auto"/>
        </w:rPr>
        <w:t>The metrics used to define gainful employment in the final rule are based on debt-to-earnings and loan repayment rates, but with changes from the proposed rule issued July 2010. Under the final rule, a program leads to gainful employment in a recognized occupation if it meets one of the following metrics:</w:t>
      </w:r>
    </w:p>
    <w:p>
      <w:pPr>
        <w:spacing w:after="0" w:line="126" w:lineRule="exact"/>
        <w:rPr>
          <w:rFonts w:ascii="Arial" w:cs="Arial" w:eastAsia="Arial" w:hAnsi="Arial"/>
          <w:sz w:val="18"/>
          <w:szCs w:val="18"/>
          <w:color w:val="auto"/>
        </w:rPr>
      </w:pPr>
    </w:p>
    <w:p>
      <w:pPr>
        <w:ind w:left="1920" w:right="120" w:hanging="440"/>
        <w:spacing w:after="0" w:line="298" w:lineRule="auto"/>
        <w:tabs>
          <w:tab w:leader="none" w:pos="19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Loan Repayment Rate — at least 35 percent of former students are repaying their loans. The repayment rate generally is measured using the student’s third and fourth year of repayment, with a few exceptions. If there are 30 or fewer borrowers in a two-year period, the repayment rate period will be expanded to include borrowers in the third, fourth, fifth and sixth years. If there are still fewer than 30 borrowers after that point, the program is considered to have passed the metric.</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920" w:right="20" w:hanging="440"/>
        <w:spacing w:after="0" w:line="312" w:lineRule="auto"/>
        <w:tabs>
          <w:tab w:leader="none" w:pos="19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Debt to Earnings Ratio — either (a) the estimated annual loan repayment of a typical graduate does not exceed 30 percent of his or her discretionary income (income above 150% of the poverty level), or (b) the estimated annual loan payment of a typical graduate does not exceed 12 percent of his or her total earnings. The ratios generally will be based upon students in their third and fourth years after graduation, with the same exceptions pertaining to small cohort programs described immediately above, for the repayment rate metric. Debt will be calculated based upon the program’s median debt, which will include private loans. Annual payments will be calculated based on a 10-year standard repayment plan for certificate and associates degree programs, 15 years for bachelor’s and master’s programs, and 20 years for graduate and professional programs. Debt incurred for living expenses is excluded from the calculation.</w:t>
      </w:r>
    </w:p>
    <w:p>
      <w:pPr>
        <w:spacing w:after="0" w:line="91" w:lineRule="exact"/>
        <w:rPr>
          <w:rFonts w:ascii="Arial" w:cs="Arial" w:eastAsia="Arial" w:hAnsi="Arial"/>
          <w:sz w:val="15"/>
          <w:szCs w:val="15"/>
          <w:color w:val="auto"/>
        </w:rPr>
      </w:pPr>
    </w:p>
    <w:p>
      <w:pPr>
        <w:ind w:left="1920" w:right="80" w:hanging="440"/>
        <w:spacing w:after="0" w:line="289" w:lineRule="auto"/>
        <w:tabs>
          <w:tab w:leader="none" w:pos="19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If a program fails </w:t>
      </w:r>
      <w:r>
        <w:rPr>
          <w:rFonts w:ascii="Arial" w:cs="Arial" w:eastAsia="Arial" w:hAnsi="Arial"/>
          <w:sz w:val="16"/>
          <w:szCs w:val="16"/>
          <w:i w:val="1"/>
          <w:iCs w:val="1"/>
          <w:color w:val="auto"/>
        </w:rPr>
        <w:t>both</w:t>
      </w:r>
      <w:r>
        <w:rPr>
          <w:rFonts w:ascii="Arial" w:cs="Arial" w:eastAsia="Arial" w:hAnsi="Arial"/>
          <w:sz w:val="16"/>
          <w:szCs w:val="16"/>
          <w:color w:val="auto"/>
        </w:rPr>
        <w:t xml:space="preserve"> the Loan Repayment and Debt to Earnings metrics, then (i) </w:t>
      </w:r>
      <w:r>
        <w:rPr>
          <w:rFonts w:ascii="Arial" w:cs="Arial" w:eastAsia="Arial" w:hAnsi="Arial"/>
          <w:sz w:val="16"/>
          <w:szCs w:val="16"/>
          <w:i w:val="1"/>
          <w:iCs w:val="1"/>
          <w:color w:val="auto"/>
        </w:rPr>
        <w:t>after one failure</w:t>
      </w:r>
      <w:r>
        <w:rPr>
          <w:rFonts w:ascii="Arial" w:cs="Arial" w:eastAsia="Arial" w:hAnsi="Arial"/>
          <w:sz w:val="16"/>
          <w:szCs w:val="16"/>
          <w:color w:val="auto"/>
        </w:rPr>
        <w:t xml:space="preserve">, the institution must provide a warning to students disclosing the amount by which the program missed minimal acceptable performance and the program’s plans for improvement and establish a three-day waiting period before a student can enroll, (ii) </w:t>
      </w:r>
      <w:r>
        <w:rPr>
          <w:rFonts w:ascii="Arial" w:cs="Arial" w:eastAsia="Arial" w:hAnsi="Arial"/>
          <w:sz w:val="16"/>
          <w:szCs w:val="16"/>
          <w:i w:val="1"/>
          <w:iCs w:val="1"/>
          <w:color w:val="auto"/>
        </w:rPr>
        <w:t>after two failures within three years</w:t>
      </w:r>
      <w:r>
        <w:rPr>
          <w:rFonts w:ascii="Arial" w:cs="Arial" w:eastAsia="Arial" w:hAnsi="Arial"/>
          <w:sz w:val="16"/>
          <w:szCs w:val="16"/>
          <w:color w:val="auto"/>
        </w:rPr>
        <w:t xml:space="preserve">, the institution must provide a warning to prospective and enrolled students in the failing program stating the plan it intends to take in response, the risks associated with enrolling or continuing in the program, that the student should “expect to have difficulty repaying” the loans, and if the school chooses to discontinue the program at this stage, the timeline for doing so, and (iii) </w:t>
      </w:r>
      <w:r>
        <w:rPr>
          <w:rFonts w:ascii="Arial" w:cs="Arial" w:eastAsia="Arial" w:hAnsi="Arial"/>
          <w:sz w:val="16"/>
          <w:szCs w:val="16"/>
          <w:i w:val="1"/>
          <w:iCs w:val="1"/>
          <w:color w:val="auto"/>
        </w:rPr>
        <w:t>after three failures</w:t>
      </w:r>
      <w:r>
        <w:rPr>
          <w:rFonts w:ascii="Arial" w:cs="Arial" w:eastAsia="Arial" w:hAnsi="Arial"/>
          <w:sz w:val="16"/>
          <w:szCs w:val="16"/>
          <w:color w:val="auto"/>
        </w:rPr>
        <w:t xml:space="preserve"> </w:t>
      </w:r>
      <w:r>
        <w:rPr>
          <w:rFonts w:ascii="Arial" w:cs="Arial" w:eastAsia="Arial" w:hAnsi="Arial"/>
          <w:sz w:val="16"/>
          <w:szCs w:val="16"/>
          <w:i w:val="1"/>
          <w:iCs w:val="1"/>
          <w:color w:val="auto"/>
        </w:rPr>
        <w:t>within four years</w:t>
      </w:r>
      <w:r>
        <w:rPr>
          <w:rFonts w:ascii="Arial" w:cs="Arial" w:eastAsia="Arial" w:hAnsi="Arial"/>
          <w:sz w:val="16"/>
          <w:szCs w:val="16"/>
          <w:color w:val="auto"/>
        </w:rPr>
        <w:t>, the program loses eligibility for federal student aid. Institutions cannot then reestablish the program’s eligibility for</w:t>
      </w:r>
      <w:r>
        <w:rPr>
          <w:rFonts w:ascii="Arial" w:cs="Arial" w:eastAsia="Arial" w:hAnsi="Arial"/>
          <w:sz w:val="16"/>
          <w:szCs w:val="16"/>
          <w:i w:val="1"/>
          <w:iCs w:val="1"/>
          <w:color w:val="auto"/>
        </w:rPr>
        <w:t xml:space="preserve"> </w:t>
      </w:r>
      <w:r>
        <w:rPr>
          <w:rFonts w:ascii="Arial" w:cs="Arial" w:eastAsia="Arial" w:hAnsi="Arial"/>
          <w:sz w:val="16"/>
          <w:szCs w:val="16"/>
          <w:color w:val="auto"/>
        </w:rPr>
        <w:t>at least three years.</w:t>
      </w:r>
    </w:p>
    <w:p>
      <w:pPr>
        <w:spacing w:after="0" w:line="9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Although the final rules regarding gainful employment metrics provide opportunities to address program deficiencies before the loss of Title IV eligibility, the continuing eligibility of our educational programs for Title IV funding could be at risk due to factors beyond our control, such as changes in the actual or deemed income level of our graduates, changes in student borrowing levels, increases in interest rates, changes in the federal poverty income level relevant for calculating discretionary income, changes in the percentage of our former students who are current in repayment of their student loans, and other factors. In addition, even though deficiencies in the metrics may be correctible on a timely basis, the disclosure requirements to students following a failure to meet the standards may adversely impact enrollment in that program and may adversely impact the reputation of the University. The exposure to these external factors may reduce our ability to confidently offer or continue certain types of programs for which there is market demand, thus impacting our ability to maintain or grow our business.</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addition, there are many open questions and interpretive issues related to the gainful employment metrics, including questions as to the ability of institutions to obtain and verify the information needed to calculate the applicable metrics. Due to the unavailability of data, we cannot predict with certainty which or how many of our programs of study will satisfy the gainful employment metrics. In addition, the continuing eligibility of our programs of study under Title IV Programs are at risk under the gainful employment metrics due to factors beyond our control, such as:</w:t>
      </w:r>
    </w:p>
    <w:p>
      <w:pPr>
        <w:spacing w:after="0" w:line="99" w:lineRule="exact"/>
        <w:rPr>
          <w:sz w:val="20"/>
          <w:szCs w:val="20"/>
          <w:color w:val="auto"/>
        </w:rPr>
      </w:pPr>
    </w:p>
    <w:p>
      <w:pPr>
        <w:ind w:left="2380" w:hanging="441"/>
        <w:spacing w:after="0"/>
        <w:tabs>
          <w:tab w:leader="none" w:pos="2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income level of persons employed in specific occupations or sectors;</w:t>
      </w:r>
    </w:p>
    <w:p>
      <w:pPr>
        <w:spacing w:after="0" w:line="157" w:lineRule="exact"/>
        <w:rPr>
          <w:rFonts w:ascii="Arial" w:cs="Arial" w:eastAsia="Arial" w:hAnsi="Arial"/>
          <w:sz w:val="18"/>
          <w:szCs w:val="18"/>
          <w:color w:val="auto"/>
        </w:rPr>
      </w:pPr>
    </w:p>
    <w:p>
      <w:pPr>
        <w:ind w:left="2380" w:hanging="441"/>
        <w:spacing w:after="0"/>
        <w:tabs>
          <w:tab w:leader="none" w:pos="2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student mix to persons requiring higher amounts of student loans to complete their programs;</w:t>
      </w:r>
    </w:p>
    <w:p>
      <w:pPr>
        <w:spacing w:after="0" w:line="157" w:lineRule="exact"/>
        <w:rPr>
          <w:rFonts w:ascii="Arial" w:cs="Arial" w:eastAsia="Arial" w:hAnsi="Arial"/>
          <w:sz w:val="18"/>
          <w:szCs w:val="18"/>
          <w:color w:val="auto"/>
        </w:rPr>
      </w:pPr>
    </w:p>
    <w:p>
      <w:pPr>
        <w:ind w:left="2380" w:hanging="441"/>
        <w:spacing w:after="0"/>
        <w:tabs>
          <w:tab w:leader="none" w:pos="2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student loan repayment rates, including the usage of deferments and forbearances;</w:t>
      </w:r>
    </w:p>
    <w:p>
      <w:pPr>
        <w:spacing w:after="0" w:line="157" w:lineRule="exact"/>
        <w:rPr>
          <w:rFonts w:ascii="Arial" w:cs="Arial" w:eastAsia="Arial" w:hAnsi="Arial"/>
          <w:sz w:val="18"/>
          <w:szCs w:val="18"/>
          <w:color w:val="auto"/>
        </w:rPr>
      </w:pPr>
    </w:p>
    <w:p>
      <w:pPr>
        <w:ind w:left="2380" w:hanging="441"/>
        <w:spacing w:after="0"/>
        <w:tabs>
          <w:tab w:leader="none" w:pos="2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student loan delinquency rates;</w:t>
      </w:r>
    </w:p>
    <w:p>
      <w:pPr>
        <w:spacing w:after="0" w:line="157" w:lineRule="exact"/>
        <w:rPr>
          <w:rFonts w:ascii="Arial" w:cs="Arial" w:eastAsia="Arial" w:hAnsi="Arial"/>
          <w:sz w:val="18"/>
          <w:szCs w:val="18"/>
          <w:color w:val="auto"/>
        </w:rPr>
      </w:pPr>
    </w:p>
    <w:p>
      <w:pPr>
        <w:ind w:left="2380" w:right="520" w:hanging="441"/>
        <w:spacing w:after="0" w:line="268" w:lineRule="auto"/>
        <w:tabs>
          <w:tab w:leader="none" w:pos="2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nation’s economy, which may affect graduate employment, graduate earnings and, therefore, the ability of graduates to repay their student loans;</w:t>
      </w:r>
    </w:p>
    <w:p>
      <w:pPr>
        <w:spacing w:after="0" w:line="118" w:lineRule="exact"/>
        <w:rPr>
          <w:rFonts w:ascii="Arial" w:cs="Arial" w:eastAsia="Arial" w:hAnsi="Arial"/>
          <w:sz w:val="18"/>
          <w:szCs w:val="18"/>
          <w:color w:val="auto"/>
        </w:rPr>
      </w:pPr>
    </w:p>
    <w:p>
      <w:pPr>
        <w:ind w:left="2380" w:hanging="441"/>
        <w:spacing w:after="0"/>
        <w:tabs>
          <w:tab w:leader="none" w:pos="2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personal employment decisions made by our students;</w:t>
      </w:r>
    </w:p>
    <w:p>
      <w:pPr>
        <w:spacing w:after="0" w:line="157" w:lineRule="exact"/>
        <w:rPr>
          <w:rFonts w:ascii="Arial" w:cs="Arial" w:eastAsia="Arial" w:hAnsi="Arial"/>
          <w:sz w:val="18"/>
          <w:szCs w:val="18"/>
          <w:color w:val="auto"/>
        </w:rPr>
      </w:pPr>
    </w:p>
    <w:p>
      <w:pPr>
        <w:ind w:left="2380" w:hanging="441"/>
        <w:spacing w:after="0"/>
        <w:tabs>
          <w:tab w:leader="none" w:pos="2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increases in interest rates;</w:t>
      </w:r>
    </w:p>
    <w:p>
      <w:pPr>
        <w:spacing w:after="0" w:line="157" w:lineRule="exact"/>
        <w:rPr>
          <w:rFonts w:ascii="Arial" w:cs="Arial" w:eastAsia="Arial" w:hAnsi="Arial"/>
          <w:sz w:val="18"/>
          <w:szCs w:val="18"/>
          <w:color w:val="auto"/>
        </w:rPr>
      </w:pPr>
    </w:p>
    <w:p>
      <w:pPr>
        <w:ind w:left="2380" w:right="80" w:hanging="441"/>
        <w:spacing w:after="0" w:line="268" w:lineRule="auto"/>
        <w:tabs>
          <w:tab w:leader="none" w:pos="2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Department of Education’s interpretation of any element of the gainful employment requirements that result in a more expansive or harsher enforcement than is currently presented; and</w:t>
      </w:r>
    </w:p>
    <w:p>
      <w:pPr>
        <w:spacing w:after="0" w:line="118" w:lineRule="exact"/>
        <w:rPr>
          <w:rFonts w:ascii="Arial" w:cs="Arial" w:eastAsia="Arial" w:hAnsi="Arial"/>
          <w:sz w:val="18"/>
          <w:szCs w:val="18"/>
          <w:color w:val="auto"/>
        </w:rPr>
      </w:pPr>
    </w:p>
    <w:p>
      <w:pPr>
        <w:ind w:left="2380" w:hanging="441"/>
        <w:spacing w:after="0"/>
        <w:tabs>
          <w:tab w:leader="none" w:pos="2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factors.</w:t>
      </w:r>
    </w:p>
    <w:p>
      <w:pPr>
        <w:spacing w:after="0" w:line="14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addition, providing debt warnings to current and prospective students could have an adverse impact on the level of interest and enrollment in those programs of study.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gainful employment standards will be calculated on a fiscal year basis beginning with federal fiscal year 2012. The first year for which eligibility could be lost for a program is 2015, which would occur if the program fails all three standards for each of 2012, 2013 and 2014. For that first year of potential ineligibility, however, the Department of Education will limit the number of programs subject to loss of eligibility to five percent of each institutional category (public, private nonprofit, and proprietary), taking into account the lowest repayment rates and the numbers of students impacted. We believe substantially all of our academic programs currently prepare students for gainful employment measured in the manner set forth in the final gainful employment regulations for purposes of continued eligibility to participate in federal student financial aid programs.</w:t>
      </w:r>
    </w:p>
    <w:p>
      <w:pPr>
        <w:spacing w:after="0" w:line="93" w:lineRule="exact"/>
        <w:rPr>
          <w:sz w:val="20"/>
          <w:szCs w:val="20"/>
          <w:color w:val="auto"/>
        </w:rPr>
      </w:pPr>
    </w:p>
    <w:p>
      <w:pPr>
        <w:jc w:val="both"/>
        <w:ind w:right="340" w:firstLine="456"/>
        <w:spacing w:after="0" w:line="298" w:lineRule="auto"/>
        <w:rPr>
          <w:sz w:val="20"/>
          <w:szCs w:val="20"/>
          <w:color w:val="auto"/>
        </w:rPr>
      </w:pPr>
      <w:r>
        <w:rPr>
          <w:rFonts w:ascii="Arial" w:cs="Arial" w:eastAsia="Arial" w:hAnsi="Arial"/>
          <w:sz w:val="16"/>
          <w:szCs w:val="16"/>
          <w:color w:val="auto"/>
        </w:rPr>
        <w:t>The requirements for reporting information relating to our programs to the Department of Education and to our students will substantially increase our administrative burdens, particularly during the implementation phase. These reporting and the other procedural changes in the new rules could impact student enrollment, persistence and retention in ways that we cannot now predict. For example, if our reported program information compares unfavorably with other reporting educational institutions, it could adversely impact demand for our programs.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Substantial Misrepresentation</w:t>
      </w:r>
    </w:p>
    <w:p>
      <w:pPr>
        <w:spacing w:after="0" w:line="144"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The Higher Education Act prohibits an institution that participates in Title IV programs from engaging in “substantial misrepresentation” of the nature of its educational program, its financial charges, or the employability of its graduates. The Department of Education’s program integrity regulations effective July 1, 2011 expand the definition of misrepresentation and expand the sanctions that the Department of Education may impose for engaging in a substantial misrepresentation. Under the new rules, a misrepresentation is any statement made by the institution or a third party that provides educational programs, marketing, advertising, recruiting, or admissions services to the institution, that is false, erroneous or has the likelihood or tendency to deceive or confuse. A substantial misrepresentation is any misrepresentation on which the person to whom it was made could reasonably be expected to rely, or has reasonably relied, to that person’s detriment. Considering the breadth of the definition of “substantial misrepresentation,” it is possible that despite our efforts to prevent such misrepresentations, our employees or service providers may make statements that could be construed as substantial misrepresentations. As a result, we may face complaints from students and prospective students over statements made by us and our agents throughout the enrollment, admissions and financial aid process, as well as throughout attendance at the University, which would expose us to increased risk of enforcement action and applicable sanctions or other penalties and increased risk of private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under the Federal False Claims Act. Under the new rules, if the Department of Education determines that an institution has engaged in substantial misrepresentation, the Department of Education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If the Department of Education determines that statements made by us or on our behalf are in violation of the new regulations, we could be subject to sanctions and other liability, which could have a material adverse effect on our business.</w:t>
      </w:r>
    </w:p>
    <w:p>
      <w:pPr>
        <w:spacing w:after="0" w:line="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Increased disclosure and recordkeeping requirements could result in lower enrollment or growth rates in a manner that materially and adversely affects our business.</w:t>
      </w:r>
    </w:p>
    <w:p>
      <w:pPr>
        <w:spacing w:after="0" w:line="105"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final rules issued by Department of Education on October 29, 2010 and effective July 1, 2011 require that, for each program leading to “gainful employment” in a recognized occupation, institutions must provide prospective students with information concerning the occupation that the program prepares students to enter; the program’s on-time graduation rate; the tuition and fees it charges a student for completing the program within normal time, along with the costs of books, supplies, room, and board, and the median loan debt incurred by students who completed the program. Institutions must also provide the Department of Education with information that will allow determination of student debt levels and incomes after program completion. These new reporting and disclosure requirements have caused increased administrative burden and costs and may have a negative effect on our growth and enrollments.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In recent periods, the U.S. Congress has commenced an examination of the for-profit education sector that could result in legislation or further U.S. Department of Education rulemaking restricting Title IV program participation by proprietary schools in a manner that materially and adversely affects our business.</w:t>
      </w:r>
    </w:p>
    <w:p>
      <w:pPr>
        <w:spacing w:after="0" w:line="11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recent years, there has been increased focus by Congress on the role that proprietary educational institutions play in higher education. In June 2010, the Education and Labor Committee of the U.S. House of Representatives held a hearing to examine the manner in which accrediting agencies review higher education institutions’ policies on credit hours and program length. This followed a report from the Office of the Inspector General of the Department of Education in December 2009 criticizing the accreditation of a proprietary school by a regional accrediting body and requesting that the Department of Education review the appropriateness of its recognition of the accrediting body. Also in June 2010, the U.S. Senate Committee on Health, Education, Labor and Pensions (“HELP Committee”) held the first in a series of hearings to examine the proprietary education sector. At a subsequent hearing in August 2010, the Government Accountability Office (“GAO”) presented a report of its review of various aspects of the proprietary sector, including recruitment practices and the degree to which proprietary institutions’ revenue is composed of Title IV funding. Following the August hearing, Sen. Tom Harkin, the Chairman of the HELP Committee, requested a broad range of detailed information from 30 proprietary institutions, including us. In September 2010, the HELP Committee held a third hearing and Sen. Harkin’s staff released a memorandum entitled “The Return on the Federal Investment in For-Profit Education: Debt Without a Diploma.” Sen. Harkin has held subsequent hearings and roundtable discussions, most recently on July 21, 2011, and we believe that future hearings may be held. On September 22, 2011, Sen. Tom Carper, the Chairman of the Senate Homeland Security and Government Affairs Subcommittee on Federal Financial Management, Government Information, Federal Services and International Security, held a hearing on “Improving Educational Outcomes for Our Military and Veterans,” focusing on the quality of education for the military and veterans population and the treatment of such funding for purposes of the 90/10 Rule calculation that, if enacted, would adversely impact our 90/10 Rule percentage. Sen. Carper suggested a follow-up roundtable discussion. Other Congressional hearings or roundtable discussions are expected to be held regarding various aspects of the education industry that may affect our business. In addition, on December 12, 2011, Rep. Elijah Cummings, the ranking member of the House Committee on Oversight and Government Reform requested certain information from the publicly traded proprietary schools, including us, related to the compensation of our executives (substantially all of which was already publicly available). Finally, on January 22, 2012, Sen. Richard Durbin of Illinois introduced a bill that would change the 90/10 Rule to an 85/15 rule and require that colleges count GI Bill benefits, military tuition assistance, and several other sources of federal funds as student financial aid (the “Durbin bill”). We have been, and intend to continue to be, responsive to requests from Congressional committees for information about our business. To the extent that any laws or regulations are adopted, or other administrative actions are taken, that limit our participation in Title IV programs or the amount of student financial aid for which the students at our institutions are eligible, our enrollments, revenues and results of operation could be materially and adversely affected.</w:t>
      </w:r>
    </w:p>
    <w:p>
      <w:pPr>
        <w:spacing w:after="0" w:line="98" w:lineRule="exact"/>
        <w:rPr>
          <w:sz w:val="20"/>
          <w:szCs w:val="20"/>
          <w:color w:val="auto"/>
        </w:rPr>
      </w:pPr>
    </w:p>
    <w:p>
      <w:pPr>
        <w:ind w:right="440"/>
        <w:spacing w:after="0" w:line="370" w:lineRule="auto"/>
        <w:rPr>
          <w:sz w:val="20"/>
          <w:szCs w:val="20"/>
          <w:color w:val="auto"/>
        </w:rPr>
      </w:pPr>
      <w:r>
        <w:rPr>
          <w:rFonts w:ascii="Arial" w:cs="Arial" w:eastAsia="Arial" w:hAnsi="Arial"/>
          <w:sz w:val="15"/>
          <w:szCs w:val="15"/>
          <w:b w:val="1"/>
          <w:bCs w:val="1"/>
          <w:i w:val="1"/>
          <w:iCs w:val="1"/>
          <w:color w:val="auto"/>
        </w:rPr>
        <w:t>A reduction in funding or new restrictions on eligibility for the Federal Pell Grant Program, or the elimination of subsidized Stafford loans, could make college less affordable for certain students at our institution, which could negatively impact our enrollments, revenue and results of operations.</w:t>
      </w:r>
    </w:p>
    <w:p>
      <w:pPr>
        <w:spacing w:after="0" w:line="3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U.S. Congress must periodically reauthorize the Higher Education Act and annually determine the funding level for each Title IV program. In 2008, the Higher Education Act was reauthorized through September 30, 2013 by the Higher Education Opportunity Act. Changes to the Higher Education Act, including changes in eligibility and funding for Title IV programs, are likely to occur in subsequent reauthorizations, but we cannot predict the scope or substance of any such changes.</w:t>
      </w:r>
    </w:p>
    <w:p>
      <w:pPr>
        <w:spacing w:after="0" w:line="1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April 2011, Congress permanently eliminated year-round Pell Grant awards beginning with the 2011-2012 award year as part of the fiscal year 2011 Continuing Resolution Spending Bill. We believe this change, which did not reduce the maximum annual grant level, will have only a nominal impact on our business. However, because the Pell Grant program is one of the largest non-defense discretionary spending programs in the federal budget, it is a target for reduction as Congress addresses the budget deficit. A reduction in the maximum annual Pell Grant amount or changes in eligibility could result in increased student borrowing, which would make it more difficult for us to comply with other important regulatory requirements, and could negatively impact enrollment. In August 2011, President Obama signed into law the Budget Control Act of 2011, which provides for an increase in the federal government borrowing limit and spending reductions in two phases. The first phase imposes various spending cuts, including the elimination of the partial in-school interest subsidy for graduate student loans beginning July 1, 2012. As a result, the cost of borrowing will increase for graduate students who defer payment of interest while enrolled, which could adversely impact enrollment. The second phase requires a bipartisan, joint Congressional committee to develop legislation to achieve future deficit reduction. The outcome of this process is highly uncertain. If the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committee does not achieve the required level of deficit reduction, an across-the-board cutting mechanism known as sequestration will take effect beginning with the federal fiscal year 2013. Although the Pell Grant program currently is exempt from the sequestration process, other federal programs and services that could impact our business would be included.</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confluence of the increasing scrutiny in Congress of the proprietary education sector and the federal budget deficit increases the likelihood of legislation that will adversely impact our business. For example, Congress could extend the elimination of the in-school interest subsidy to undergraduate students or to undergraduate students in proprietary institutions, reduce the maximum amount of or change the eligibility standards for student loans and/or Pell Grants or make other material changes in Title IV programs driven by policy considerations, economic considerations or both. Any action by Congress that significantly reduces Title IV program funding, whether through across-the-board funding reductions, sequestration or otherwise, or materially impacts the eligibility of our institutions or students to participate in Title IV programs would have a material adverse effect on our enrollment, financial condition, results of operations and cash flows. Congressional action could also require us to modify our practices in ways that could increase our administrative costs and reduce our operating income, which could have a material adverse effect on our financial condition, results of operations and cash flows.</w:t>
      </w:r>
    </w:p>
    <w:p>
      <w:pPr>
        <w:spacing w:after="0" w:line="9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Congress significantly reduced the amount of available Title IV program funding, we would attempt to arrange for alternative sources of financial aid for our students, which may include lending funds directly to our students, but private sources would not be able to provide as much funding to our students on as favorable terms as is currently provided by Title IV. In addition, private organizations could require us to guarantee all or part of this assistance and we might incur other additional costs. For these reasons, private, alternative sources of student financial aid would only partly offset, if at all, the impact on our business of reduced Title IV program funding.</w:t>
      </w:r>
    </w:p>
    <w:p>
      <w:pPr>
        <w:spacing w:after="0" w:line="116" w:lineRule="exact"/>
        <w:rPr>
          <w:sz w:val="20"/>
          <w:szCs w:val="20"/>
          <w:color w:val="auto"/>
        </w:rPr>
      </w:pPr>
    </w:p>
    <w:p>
      <w:pPr>
        <w:spacing w:after="0" w:line="370" w:lineRule="auto"/>
        <w:rPr>
          <w:sz w:val="20"/>
          <w:szCs w:val="20"/>
          <w:color w:val="auto"/>
        </w:rPr>
      </w:pPr>
      <w:r>
        <w:rPr>
          <w:rFonts w:ascii="Arial" w:cs="Arial" w:eastAsia="Arial" w:hAnsi="Arial"/>
          <w:sz w:val="15"/>
          <w:szCs w:val="15"/>
          <w:b w:val="1"/>
          <w:bCs w:val="1"/>
          <w:i w:val="1"/>
          <w:iCs w:val="1"/>
          <w:color w:val="auto"/>
        </w:rPr>
        <w:t>If we do not meet specific financial responsibility standards established by the Department of Education, we may be required to post a letter of credit or accept other limitations in order to continue participating in the Title IV programs, or we could lose our eligibility to participate in the Title IV programs.</w:t>
      </w:r>
    </w:p>
    <w:p>
      <w:pPr>
        <w:spacing w:after="0" w:line="3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To participate in the Title IV programs, an institution must either satisfy specific quantitative standards of financial responsibility prescribed by the Department of Education, or post a letter of credit in favor of the Department of Education and possibly accept operating restrictions as well. These financial responsibility tests are applied to each institution on an annual basis based on the institution’s audited consolidated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program funds to either the reimbursement or the heightened cash monitoring system, which could result in a significant delay in the institution’s receipt of those funds. If, in the future, we fail to satisfy the Department of Education’s financial responsibility standards, we could experience increased regulatory compliance costs or delays in our receipt of Title IV program funds because we could be required to post a letter of credit or be subjected to operating restrictions, or both. Our failure to secure a letter of credit in these circumstances could cause us to lose our ability to participate in the Title IV programs, which would materially adversely affect us.</w:t>
      </w:r>
    </w:p>
    <w:p>
      <w:pPr>
        <w:spacing w:after="0" w:line="9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b w:val="1"/>
          <w:bCs w:val="1"/>
          <w:i w:val="1"/>
          <w:iCs w:val="1"/>
          <w:color w:val="auto"/>
        </w:rPr>
        <w:t>If we do not comply with the Department of Education’s administrative capability standards, we could suffer financial penalties, be required to accept other limitations in order to continue participating in the Title IV programs, or lose our eligibility to participate in the Title IV programs.</w:t>
      </w:r>
    </w:p>
    <w:p>
      <w:pPr>
        <w:spacing w:after="0" w:line="5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To continue participating in the Title IV programs, an institution must demonstrate to the Department of Education that the institution is capable of adequately administering the Title IV programs under specific standards prescribed by the Department of Education. These administrative capability criteria require, among other things, that the institution has an adequate number of qualified personnel to administer the Title IV programs, has adequate procedures for disbursing and safeguarding Title IV funds and for maintaining records, submits all required reports and consolidated financial statements in a timely manner, and does not have significant problems that affect the institution’s ability to administer the Title IV programs. If we fail to satisfy any of these criteria, the Department of Education may assess financial penalties against us, restrict the manner in which we receive Title IV funds, require us to post a letter of credit, place us on provisional certification status, or limit or terminate our participation in the Title IV programs, any of which could materially adversely affect 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We would lose our ability to participate in the Title IV programs if we fail to maintain our institutional accreditation, and our student enrollments could decline if we fail to maintain any of our accreditations or approvals.</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 institution must be accredited by an accrediting commission recognized by the Department of Education in order to participate in the Title IV programs. We have institutional accreditation by the Higher Learning Commission, which is an accrediting commission recognized by the Department of Education. To remain accredited, we must continuously meet accreditation standards relating to, among other things, performance, governance, institutional integrity, educational quality, faculty, administrative capability, resources, and financial stability. We were reaccredited by the Higher Learning Commission in 2007, and the next scheduled comprehensive evaluation will be conducted in 2016-2017. If we fail to satisfy any of the Higher Learning Commission’s standards, we could lose our accreditation by the Higher Learning Commission, which would cause us to lose our eligibility to participate in the Title IV programs and could cause a significant decline in our total student enrollments and have a material adverse effect on us. In addition, many of our individual educational programs are also accredited by specialized accrediting commissions or approved by specialized state agencies. If we fail to satisfy the standards of any of those specialized accrediting commissions or state agencies, we could lose the specialized accreditation or approval for the affected programs, which could result in materially reduced student enrollments in those programs and have a material adverse effect on us.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December 2009, the Department of Education issued an “Alert Memorandum,” calling into question the Higher Learning Commission’s compliance with the applicable Department of Education regulations related to the Higher Learning Commission’s status as recognized by the Department of Education. Specifically, in matters unrelated to us, the Department of Education Office of Inspector General asserted that the Higher Learning Commission did not make appropriate assessments as to credit hours with respect to the distance education programs of one of Higher Learning Commission’s accredited institutions and, as such, the Office of Inspector General recommended that the Department of Education take action to terminate the Higher Learning Commission’s recognition by the Secretary of Education. At this point, we do not know if this matter will be resolved and we are unable to speculate as to the impact on us or other institutions accredited by the Higher Learning Commission if the Higher Learning Commission were to be de-recognized as an accrediting commission by the Department of Education.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maintain our state authorization in Arizona, we may not operate or participate in the Title IV programs.</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 school that grants degrees or certificates must be authorized by the relevant education agency of the state in which it is located. We are located in the state of Arizona and are authorized by the Arizona State Board for Private Postsecondary Education. State authorization is also required for our students to be eligible to receive funding under the Title IV programs.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we fail to satisfy any of these standards, we could lose our authorization by the Arizona State Board for Private Postsecondary Education to offer our educational programs, which would also cause us to lose our eligibility to participate in the Title IV programs and have a material adverse effect on us.</w:t>
      </w:r>
    </w:p>
    <w:p>
      <w:pPr>
        <w:spacing w:after="0" w:line="9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any of the education regulatory agencies that regulate us do not approve or delay their approval of any transaction involving us that constitutes a “change in control,” our ability to operate or participate in the Title IV programs may be impaired.</w:t>
      </w:r>
    </w:p>
    <w:p>
      <w:pPr>
        <w:spacing w:after="0" w:line="10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we experience a change in control under the standards of the Department of Education, the Higher Learning Commission, the Arizona State Board for Private Postsecondary Education, or any other applicable state education agency or accrediting commission, we must notify and/or seek the approval of each such agency. These agencies do not have uniform criteria for what constitutes a change in control. Transactions or events that typically constitute a change in control include significant acquisitions or dispositions of the voting stock of an institution or its parent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company and significant changes in the composition of the board of directors of an institution or its parent company. With respect to publicly-traded corporations, like us, they also may include cases where a corporation has a stockholder that owns, or has voting control over, at least 25% of the total outstanding voting stock of the corporation and is the largest stockholder of the corporation (defined in the regulations as a “controlling shareholder”), and that controlling shareholder ceases to own, or have voting control over, at least 25% of such stock or ceases to be the largest stockholder, or other transactions or events may be beyond our control. Our failure to obtain, or a delay in receiving, approval of any change in control from the Department of Education, the Higher Learning Commission, or the Arizona State Board for Private Postsecondary Education could impair our ability to operate or participate in the Title IV programs, which could have a material adverse effect on our business, prospects, financial condition, and results of operations. Our failure to obtain, or a delay in receiving, approval of any change in control from any other state in which we are currently licensed or authorized, or from any of our specialized accrediting commissions, could require us to suspend our activities in that state or suspend offering the applicable programs until we receive the required approval, or could otherwise impair our operations. The potential adverse effects of a change in control could influence future decisions by us and our stockholders regarding the sale, purchase, transfer, issuance, or redemption of our stock, which could discourage bids for your shares of our stock and could have an adverse effect on the market price of your shares.</w:t>
      </w:r>
    </w:p>
    <w:p>
      <w:pPr>
        <w:spacing w:after="0" w:line="8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Since July 2008, we had been provisionally certified to participate in the Title IV programs on a month-to-month basis. On April 8, 2011, following the completion of the Department of Education’s review of information we had provided in connection with a deemed change in control that resulted from the termination in January 2011 of certain voting agreements among our stockholders, the Department of Education notified us that it had approved our application for a change in control and issued to us a new, provisional program participation agreement to participate in the Title IV programs. While this certification is provisional, the Department of Education’s action did remove us from month-to-month status, provides for our continued participation in Title IV programs through December 31, 2013, and did not impose any conditions (such as any letter of credit requirement) or other restrictions on us during the provisional period other than the standard restrictions applicable to a provisional certification. In accordance with the terms of the provisional certification, we may apply for recertification on a full basis by submitting a complete application by no later than September 30, 2013. There can be no assurance that the Department of Education will recertify us at that time or that it will not impose conditions or other restrictions on us as a condition of approving our application with respect to any future recertification. If the Department of Education does not renew or withdraws our certification to participate in the Title IV programs at any time, our students would no longer be able to receive Title IV program funds. Alternatively, the Department of Education could renew our certification, but restrict or delay our students’ receipt of Title IV funds, limit the number of students to whom we could disburse such funds, or place other restrictions on us. Any of these outcomes would have a material adverse effect on our enrollments and us. See Item 1, </w:t>
      </w:r>
      <w:r>
        <w:rPr>
          <w:rFonts w:ascii="Arial" w:cs="Arial" w:eastAsia="Arial" w:hAnsi="Arial"/>
          <w:sz w:val="16"/>
          <w:szCs w:val="16"/>
          <w:i w:val="1"/>
          <w:iCs w:val="1"/>
          <w:color w:val="auto"/>
        </w:rPr>
        <w:t>Business — Regulation — Regulatory Standards that May Restrict</w:t>
      </w:r>
      <w:r>
        <w:rPr>
          <w:rFonts w:ascii="Arial" w:cs="Arial" w:eastAsia="Arial" w:hAnsi="Arial"/>
          <w:sz w:val="16"/>
          <w:szCs w:val="16"/>
          <w:color w:val="auto"/>
        </w:rPr>
        <w:t xml:space="preserve"> </w:t>
      </w:r>
      <w:r>
        <w:rPr>
          <w:rFonts w:ascii="Arial" w:cs="Arial" w:eastAsia="Arial" w:hAnsi="Arial"/>
          <w:sz w:val="16"/>
          <w:szCs w:val="16"/>
          <w:i w:val="1"/>
          <w:iCs w:val="1"/>
          <w:color w:val="auto"/>
        </w:rPr>
        <w:t>Institutional Expansion or Other Changes — Change in ownership resulting in a change in control</w:t>
      </w:r>
      <w:r>
        <w:rPr>
          <w:rFonts w:ascii="Arial" w:cs="Arial" w:eastAsia="Arial" w:hAnsi="Arial"/>
          <w:sz w:val="16"/>
          <w:szCs w:val="16"/>
          <w:color w:val="auto"/>
        </w:rPr>
        <w:t>.</w:t>
      </w:r>
    </w:p>
    <w:p>
      <w:pPr>
        <w:spacing w:after="0" w:line="10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b w:val="1"/>
          <w:bCs w:val="1"/>
          <w:i w:val="1"/>
          <w:iCs w:val="1"/>
          <w:color w:val="auto"/>
        </w:rPr>
        <w:t>Our failure to comply with the regulatory requirements of states other than Arizona could result in actions taken by those states or the Department of Education that could have a material adverse effect on our enrollments.</w:t>
      </w:r>
    </w:p>
    <w:p>
      <w:pPr>
        <w:spacing w:after="0" w:line="10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Almost every state imposes regulatory requirements on educational institutions that have physical facilities located within the state’s boundaries. These regulatory requirements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the Department of Education or the Arizona State Board for Private Postsecondary Education. Several states have sought to assert jurisdiction over educational institutions offering online degree programs that have no physical location in the state but that have some activity in the state, such as enrolling or offering educational services to students who reside in the state, employing faculty who reside in the state, or advertising to or recruiting prospective students in the state. In addition, the Department of Education has adopted new regulations that require online providers to meet any such state requirements and, thus, the Department of Education would seem to have authority, in addition to that of the states, to enforce applicable state law requirements. See Item 1. </w:t>
      </w:r>
      <w:r>
        <w:rPr>
          <w:rFonts w:ascii="Arial" w:cs="Arial" w:eastAsia="Arial" w:hAnsi="Arial"/>
          <w:sz w:val="16"/>
          <w:szCs w:val="16"/>
          <w:i w:val="1"/>
          <w:iCs w:val="1"/>
          <w:color w:val="auto"/>
        </w:rPr>
        <w:t>Business — Regulation — New Regulations — State authorization</w:t>
      </w:r>
      <w:r>
        <w:rPr>
          <w:rFonts w:ascii="Arial" w:cs="Arial" w:eastAsia="Arial" w:hAnsi="Arial"/>
          <w:sz w:val="16"/>
          <w:szCs w:val="16"/>
          <w:color w:val="auto"/>
        </w:rPr>
        <w:t>. Because state regulatory requirements for online education vary among the states, are not well developed in many states, are imprecise or unclear in some states, and can change frequently, it is unclear how the new Department of Education regulation will be enforced and what impact it will have on us. New laws, regulations, or interpretations related to doing business over the Internet could also increase our cost of doing business and affect our ability to recruit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students in particular states, which could, in turn, negatively affect enrollments and revenues and have a material adverse effect on our business. In the future, states could coordinate their efforts in order to more aggressively attempt to regulate or restrict schools’ offering of online education.</w:t>
      </w:r>
    </w:p>
    <w:p>
      <w:pPr>
        <w:spacing w:after="0" w:line="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to Arizona, we have determined that our activities in certain states constitute a presence requiring licensure or authorization under the requirements of the state education agency in those states, which we have obtained. In certain other states, we have obtained approvals to operate as we have determined necessary in connection with our marketing and recruiting activities or where we have determined that our licensure or authorization can facilitate the teaching certification process in a particular state for graduates of our College of Education. We review the licensure or authorization requirements of other states when appropriate to determine whether our activities in those states constitute a presence or otherwise require licensure or authorization by the applicable state education agencies. Because state regulatory requirements, including agency interpretations, can change frequently, and because we enroll students in all 50 states and the District of Columbia, we expect that state regulatory authorities in states where we are not currently licensed or authorized will request that we seek licensure or authorization in their states in the future. Although we believe that we will be able to comply with additional state licensing or authorization requirements that may arise or be asserted in the future, including under the new Department of Education regulation,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and fines and penalties imposed by, that state, as well as fines, penalties, and sanctions imposed by the Department of Education. The loss of licensure or authorization in a state other than Arizona could prohibit us from recruiting prospective students or offering educational services to current students in that state, which could significantly reduce our enrollments.</w:t>
      </w:r>
    </w:p>
    <w:p>
      <w:pPr>
        <w:spacing w:after="0" w:line="9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State laws and regulations are not always precise or clear, and regulatory agencies may sometimes disagree with the way we have interpreted or applied these requirements. Any misinterpretation by us of these regulatory requirements or adverse changes in regulations or interpretations thereof by regulators could materially adversely affect us.</w:t>
      </w:r>
    </w:p>
    <w:p>
      <w:pPr>
        <w:spacing w:after="0" w:line="1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The inability of our graduates to obtain a professional license or certification in their chosen field of study could reduce our enrollments and revenues, and potentially lead to student claims against us that could be costly to us.</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Many of our students, particularly those in our education and healthcare programs, seek a professional license or certification in their chosen fields following graduation. A student’s ability to obtain a professional license or certification depends on several factors, including whether the institution and the student’s program were accredited by a particular accrediting commission or approved by a professional association or by the state in which the student seeks employment. Additional factors are outside the control of the institution, such as the individual student’s own background and qualifications. If one or more states refuse to recognize a significant number of our students for professional licensing or certification based on factors relating to our institution or programs, the potential growth of those programs would be negatively impacted and we could be exposed to claims or litigation by students or graduates based on their inability to obtain their desired professional license or certification, each of which could materially adversely affect us.</w:t>
      </w:r>
    </w:p>
    <w:p>
      <w:pPr>
        <w:spacing w:after="0" w:line="9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Government agencies, regulatory agencies, and third parties may conduct compliance reviews, bring claims, or initiate litigation against us based on alleged violations of the extensive regulatory requirements applicable to us, which could cause us to pay monetary damages, be sanctioned or limited in our operations, and expend significant resources to defend against those claims.</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Because we operate in a highly regulated industry, we are subject to program reviews, audits, investigations, claims of non-compliance, and lawsuits by government agencies, regulatory agencies, students, employees, stockholders, and other third parties alleging non-compliance with applicable legal requirements, many of which are imprecise and subject to interpretation. Item 1, </w:t>
      </w:r>
      <w:r>
        <w:rPr>
          <w:rFonts w:ascii="Arial" w:cs="Arial" w:eastAsia="Arial" w:hAnsi="Arial"/>
          <w:sz w:val="16"/>
          <w:szCs w:val="16"/>
          <w:i w:val="1"/>
          <w:iCs w:val="1"/>
          <w:color w:val="auto"/>
        </w:rPr>
        <w:t>Business — Regulation — Regulation of Federal Student Financial Aid Programs.</w:t>
      </w:r>
      <w:r>
        <w:rPr>
          <w:rFonts w:ascii="Arial" w:cs="Arial" w:eastAsia="Arial" w:hAnsi="Arial"/>
          <w:sz w:val="16"/>
          <w:szCs w:val="16"/>
          <w:color w:val="auto"/>
        </w:rPr>
        <w:t xml:space="preserve"> As we grow larger, this scrutiny of our business may increase. See Item 1A, </w:t>
      </w:r>
      <w:r>
        <w:rPr>
          <w:rFonts w:ascii="Arial" w:cs="Arial" w:eastAsia="Arial" w:hAnsi="Arial"/>
          <w:sz w:val="16"/>
          <w:szCs w:val="16"/>
          <w:i w:val="1"/>
          <w:iCs w:val="1"/>
          <w:color w:val="auto"/>
        </w:rPr>
        <w:t>Risk Factors — The Department of Education is conducting a program review of Grand Canyon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University, which may result in fines, penalties, other sanctions, and damage to our reputation in the industry. </w:t>
      </w:r>
      <w:r>
        <w:rPr>
          <w:rFonts w:ascii="Arial" w:cs="Arial" w:eastAsia="Arial" w:hAnsi="Arial"/>
          <w:sz w:val="16"/>
          <w:szCs w:val="16"/>
          <w:color w:val="auto"/>
        </w:rPr>
        <w:t>If the result of any such proceeding is unfavorable</w:t>
      </w:r>
      <w:r>
        <w:rPr>
          <w:rFonts w:ascii="Arial" w:cs="Arial" w:eastAsia="Arial" w:hAnsi="Arial"/>
          <w:sz w:val="16"/>
          <w:szCs w:val="16"/>
          <w:i w:val="1"/>
          <w:iCs w:val="1"/>
          <w:color w:val="auto"/>
        </w:rPr>
        <w:t xml:space="preserve"> </w:t>
      </w:r>
      <w:r>
        <w:rPr>
          <w:rFonts w:ascii="Arial" w:cs="Arial" w:eastAsia="Arial" w:hAnsi="Arial"/>
          <w:sz w:val="16"/>
          <w:szCs w:val="16"/>
          <w:color w:val="auto"/>
        </w:rPr>
        <w:t>to us, we may lose or have limitations imposed on our state licensing, accreditation, or Title IV program participation; be required to pay monetary damages (including triple damages in certain whistleblower suits); or be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subject to fines, injunctions, or other penalties, any of which could have a material adverse effect on our business, prospects, financial condition, and results of operations. Claims and lawsuits brought against us, even if they are without merit, may also result in adverse publicity, damage our reputation, negatively affect the market price of our stock, adversely affect our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89"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A decline in the overall growth of enrollment in postsecondary institutions, or in the number of students seeking degrees online or in our core disciplines, could cause us to experience lower enrollment at our schools, which could negatively impact our future growth.</w:t>
      </w:r>
    </w:p>
    <w:p>
      <w:pPr>
        <w:spacing w:after="0" w:line="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Based on industry analyses, we believe that enrollment growth in degree-granting, postsecondary institutions is slowing and that the number of high school graduates that are eligible to enroll in degree-granting, postsecondary institutions is expected to decrease over the next few years. In order to maintain current growth rates, we will need to attract a larger percentage of students in existing markets and expand our markets by creating new academic programs. In addition, if job growth in the fields related to our core disciplines is weaker than expected, as a result of any regional or national economic downturn or otherwise, fewer students may seek the types of degrees that we offer. Our failure to attract new students, or the decisions by prospective students to seek degrees in other disciplines, would have an adverse impact on our future growth.</w:t>
      </w:r>
    </w:p>
    <w:p>
      <w:pPr>
        <w:spacing w:after="0" w:line="9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Proposed legislation, additional rulemaking or additional examinations from U.S. Congress may impact general public perception of the industry in a negative manner resulting in a material and adverse impact on our business.</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Criticisms of the overall student lending and postsecondary education sectors may impact general public perceptions of educational institutions, including us, in a negative manner. Adverse media coverage regarding other educational institutions or regarding us directly could damage our reputation. The environment surrounding access to and the costs of student loans remains in a state of flux. The uncertainty surrounding these issues, and any resolution of these issues that increases loan costs or reduces students’ access to Title IV loans or to student extended payment plans such as the ones we make available to our students, could reduce student demand for our programs, adversely impact our revenues and operating profit or result in increased regulatory scrutiny.</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reputation and our stock price may be negatively affected by adverse publicity or by the actions of other postsecondary educational institutions.</w:t>
      </w:r>
    </w:p>
    <w:p>
      <w:pPr>
        <w:spacing w:after="0" w:line="16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addition to the Congressional and regulatory activities focused on for-profit educational institutions beginning in 2010 and since, in recent years, regulatory proceedings and litigation have been commenced against various postsecondary educational institutions relating to, among other things, deceptive trade practices, false claims against the government, and non-compliance with Department of Education requirements, state education laws, and state consumer protection laws. These proceedings have been brought by the Department of Education, the U.S. Department of Justice, the SEC, and state governmental agencies, among others. These allegations have attracted adverse media coverage and have been the subject of legislative hearings and regulatory actions at both the federal and state levels, focusing not only on the individual schools but in some cases on the for-profit postsecondary education sector as a whole. Adverse media coverage regarding other for-profit education companies or other educational institutions could damage our reputation, result in lower enrollments, revenues, and operating profit, and have a negative impact on our stock price. Such coverage could also result in increased scrutiny and regulation by the Department of Education, Congress, accrediting commissions, state legislatures, state attorneys general, or other governmental authorities of all educational institutions, including us.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percentage of our revenue that is derived from the Title IV programs is too high, we may lose our eligibility to participate in those programs.</w:t>
      </w:r>
    </w:p>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requirement of the Higher Education Act, commonly referred to as the “90/10 Rule,” that is applicable only to for-profit, postsecondary educational institutions like us provides that an institution loses its eligibility to participate in the Title IV programs if the institution derives more than 90% of its revenue for each of two consecutive fiscal years from Title IV program funds. For purposes of the 90/10 Rule, revenue is calculated under a complex regulatory formula that requires cash basis accounting and other adjustments to the calculation of an institution’s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revenue under generally accepted accounting principles that appears in its consolidated financial statements. This rule provides that an institution that violates this revenue limit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period of ineligibility, the institution will be required to return those Title IV funds to the applicable lender or the Department of Education. If an institution’s rate exceeds 90% for any single fiscal year, it will be placed on provisional certification for at least two fiscal years. The August 2008 reauthorization of the Higher Education Act included significant revisions to the 90/10 Rule that became effective upon the date of the law’s enactment, including provisions that allow institutions, when calculating their compliance with this revenue test, to exclude from their Title IV program revenue for a three-year period ended June 30, 2011 the additional federal student loan amounts that became available through the Unsubsidized Stafford Loan Program starting in July 2008, and to include more non-Title IV revenue, such as revenue from institutional loans under certain circumstances. Given the level of complexity of this calculation, we did not seek to quantify precisely the benefit that we may have derived in the 90/10 percentage during the periods in which those those temporary exclusions were applicable. As such, our reported rates below exclude the benefits from these exclusions. Using the Department of Education’s cash-basis, regulatory formula under the “90/10 Rule” that was in effect prior to the August 2008 reauthorization of the Higher Education Act, for our 2011, 2010, and 2009 fiscal years, we derived approximately 80.2%, 84.9%, and 82.5%, respectively, of our 90/10 Rule revenue from Title IV program funds. These rates have been reviewed by our financial accounting firm as reflected in the notes to our audited consolidated financial statements for each fiscal year. As a result of the increased number of students attending our ground campus, who typically finance a greater percentage of their educational costs with non-Title IV sources of funds, we expect the percentage of our revenue that we receive from Title IV programs to remain stable or decrease in the future, although this may be impacted by recent changes in federal law that increased Title IV grant and loan limits, as well as the ongoing economic environment, which has adversely affected the employment circumstances of our students and their parents and increased their reliance on Title IV programs. If we were to exceed the 90% threshold such that we lost our eligibility to participate in the Title IV programs, or if Congress passed legislation changing how certain funds are counted under this rule, revising the percentage of income that proprietary schools must derive from non-federal sources, or both (similar to the proposals in the Durbin bill referenced above), it would have a material adverse effect on our business, prospects, financial condition, and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eligibility to participate in the Title IV programs if our student loan default rates are too high.</w:t>
      </w:r>
    </w:p>
    <w:p>
      <w:pPr>
        <w:spacing w:after="0" w:line="144"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An institution may lose its eligibility to participate in some or all of the Title IV programs if, for three consecutive years, 25% or more of its students who were required to begin repayment on their student loans in one year default on their payment by the end of the following year. In addition, an institution may lose its eligibility to participate in some or all of the Title IV programs if the default rate of its students exceeds 40% for any single year. The August 2008 reauthorization of the Higher Education Act extends by one year the period for which students’ defaults on their loans will be included in the calculation of an institution’s default rate, a change that is expected to increase our cohort default rates. The new law also increases the threshold for an institution to lose its eligibility to participate in the relevant Title IV programs from 25% to 30% over three consecutive years, while leaving the threshold at 40% for a single year. These changes to the law take effect for institutions’ cohort default rates for federal fiscal year 2009, which are expected to be calculated and issued by the Department of Education in 2012. While our cohort default rates have historically been significantly below these levels, we cannot assure you that this will continue to be the case. For example, we expect our cohort default rate for the 2010 federal fiscal year to increase (but remain below the Department of Education’s thresholds) due primarily to the impact of current economic conditions on our students and former students and our transition to a borrower-based, non-term financial aid system in 2010. Our cohort default rates, under the two-year method, on federal student loans for the 2009, 2008, and 2007 federal fiscal years, the three most recent years for which such rates have been calculated, were 9.2%, 3.4%, 1.4%, respectively. Our trial cohort default rates, under the three-year method, for the 2008, 2007, and 2006 federal fiscal years, as issued by the Department of Education in January 2012, were 7.3%, 2.9%, and 2.7%, , respectively. Increases in interest rates or declines in income or job losses for our students could contribute to higher default rates on student loans. Exceeding the student loan default rate thresholds and losing our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our default rates to increase, could place us in danger of losing our eligibility to participate in some or all of the Title IV programs and materially adversely affect 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We are subject to sanctions if we fail to correctly calculate and timely return Title IV program funds for students who withdraw before completing their educational program.</w:t>
      </w:r>
    </w:p>
    <w:p>
      <w:pPr>
        <w:spacing w:after="0" w:line="10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the Department of Education in a timely manner, generally within 45 days of the date the school determines that the student has withdrawn. If the unearned funds are not properly calculated and timely returned for a sufficient percentage of students, we may have to post a letter of credit in favor of the Department of Education equal to 25% of the Title IV program funds that should have been returned for such students in the prior fiscal year, we may be liable for repayment of Title IV program funds and related interest and we could be fined or otherwise sanctioned by the Department of Education, which could increase our cost of regulatory compliance and materially adversely affect us. Further, a failure to comply with these regulatory requirements could result in termination of our ability to participate in the Title IV programs, which would materially affect us. These “return to Title IV” regulations are the subject of a preliminary finding in our ongoing program review. See Item 1A, </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The Department of Education is conducting a program review of Grand Canyon University, which may result in the repayment of a</w:t>
      </w:r>
      <w:r>
        <w:rPr>
          <w:rFonts w:ascii="Arial" w:cs="Arial" w:eastAsia="Arial" w:hAnsi="Arial"/>
          <w:sz w:val="16"/>
          <w:szCs w:val="16"/>
          <w:color w:val="auto"/>
        </w:rPr>
        <w:t xml:space="preserve"> </w:t>
      </w:r>
      <w:r>
        <w:rPr>
          <w:rFonts w:ascii="Arial" w:cs="Arial" w:eastAsia="Arial" w:hAnsi="Arial"/>
          <w:sz w:val="16"/>
          <w:szCs w:val="16"/>
          <w:i w:val="1"/>
          <w:iCs w:val="1"/>
          <w:color w:val="auto"/>
        </w:rPr>
        <w:t>substantial amount of Title IV funds and may lead to fines, penalties, or other sanctions, and damage to our reputation in the industry</w:t>
      </w:r>
      <w:r>
        <w:rPr>
          <w:rFonts w:ascii="Arial" w:cs="Arial" w:eastAsia="Arial" w:hAnsi="Arial"/>
          <w:sz w:val="16"/>
          <w:szCs w:val="16"/>
          <w:color w:val="auto"/>
        </w:rPr>
        <w:t>.</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We cannot offer new programs, expand our operations into certain states, or acquire additional schools if such actions are not timely approved by the applicable regulatory agencies, and we may have to repay Title IV funds disbursed to students enrolled in any such programs, schools, or states if we do not obtain prior approval.</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expansion efforts include offering new educational programs. In addition, we may increase our operations in additional states and seek to acquire existing schools from other companies. If we are unable to obtain the necessary approvals for such new programs, operations, or acquisitions from the Department of Education, the Higher Learning Commission, the Arizona State Board for Private Postsecondary Education, or any other applicable state education agency or accrediting commission, or if we are unable to obtain such approvals in a timely manner, our ability to consummate the planned actions and provide Title IV funds to any affected students would be impaired, which could have a material adverse effect on our expansion plans. If we were to determine erroneously that any such action did not need approval or that we had all required approvals, we could be liable for repayment of the Title IV program funds provided to students in that program or at that location.</w:t>
      </w:r>
    </w:p>
    <w:p>
      <w:pPr>
        <w:spacing w:after="0" w:line="9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Government regulations relating to the Internet could increase our cost of doing business, affect our ability to grow or otherwise have a material adverse effect on our business.</w:t>
      </w:r>
    </w:p>
    <w:p>
      <w:pPr>
        <w:spacing w:after="0" w:line="10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increasing popularity and use of the Internet and other online services has led and may lead to the adoption of new laws and regulatory practices in the United States or foreign countries and to new interpretations of existing laws and regulations. These new laws and interpretations may relate to issues such as online privacy, copyrights, trademarks and service marks, sales taxes, fair business practices, and the requirement that online education institutions qualify to do business as foreign corporations or be licensed in one or more jurisdictions where they have no physical location or other presence. New laws and regulations or interpretations thereof related to doing business over the Internet could increase our costs and adversely affect our business, prospects, financial condition, and results of operations.</w:t>
      </w:r>
    </w:p>
    <w:p>
      <w:pPr>
        <w:spacing w:after="0" w:line="11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our students were unable to obtain private loans from third-party lenders, or the costs for such loans increase, our business could be adversely affected given our students’ reliance on such loans to satisfy their educational expenses.</w:t>
      </w:r>
    </w:p>
    <w:p>
      <w:pPr>
        <w:spacing w:after="0" w:line="105"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Some of our students finance their education through private loans that are not subsidized. During the fiscal year ended December 31, 2011, 2010 and 2009, private loans to students at our school represented less than 1% of our net revenues (calculated based on net revenues from our income statement). These loans were provided pursuant to private loan programs and were made available to eligible students to fund a portion of the students’ costs of education not covered by the Title IV programs and state financial aid sources. Private loans are made to our students by lending institutions and are non-recourse to us. The 2008 reauthorization of the Higher Education Act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and related proposed and final regulations place significant new restrictions on the relationships between institutions and the providers of private loans, and require that certain specific terms and disclosures accompany such loans. If our students’ or our students’ parents’ employment circumstances are adversely affected by regional or national economic downturns, our students may become more heavily dependent on student loans. At the same time, however, the increased regulatory burden has resulted, and could continue to result, in providers of private loans reducing the availability of or increasing the costs associated with providing private loans to postsecondary students. In particular, loans to students with low credit scores who would not otherwise be eligible for credit-based private loans have become increasingly difficult to obtain. Prospective students may find that these increased financing costs make borrowing prohibitively expensive and abandon or delay enrollment in postsecondary education programs. If any of these scenarios were to occur, our students’ ability to finance their education could be adversely affected and our student population could decrease, which could have a material adverse effect on our business, prospects, financial condition, and results of operations. In addition, interest rates have reached relatively low levels in recent years, creating a favorable borrowing environment for students. However, in the event interest rates increase or Congress decreases the amount available for federal student aid, our students may have to pay higher interest rates on their loans. Any future increase in interest rates will result in a corresponding increase in educational costs to our existing and prospective students, which could result in a significant reduction in our student population and revenues. Higher interest rates could also contribute to higher default rates with respect to our students’ repayment of their education loans. Higher default rates may in turn adversely impact our eligibility to participate in some or all of the Title IV programs, which could result in a significant reduction in our student population and our profitability.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in part, on the effectiveness of our marketing and advertising programs in recruiting new students.</w:t>
      </w:r>
    </w:p>
    <w:p>
      <w:pPr>
        <w:spacing w:after="0" w:line="14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Building awareness of Grand Canyon University and the programs we offer is critical to our ability to attract prospective students. It is also critical to our success that we convert prospective students to enrolled students in a cost-effective manner and that these enrolled students remain active in our programs. Some of the factors that could prevent us from successfully recruiting, enrolling, and retaining students in our programs include:</w:t>
      </w:r>
    </w:p>
    <w:p>
      <w:pPr>
        <w:spacing w:after="0" w:line="93" w:lineRule="exact"/>
        <w:rPr>
          <w:sz w:val="20"/>
          <w:szCs w:val="20"/>
          <w:color w:val="auto"/>
        </w:rPr>
      </w:pPr>
    </w:p>
    <w:p>
      <w:pPr>
        <w:ind w:left="1480" w:hanging="446"/>
        <w:spacing w:after="0"/>
        <w:tabs>
          <w:tab w:leader="none" w:pos="1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reduced availability of, or higher interest rates and other costs associated with, Title IV loan funds or other sources of financial aid;</w:t>
      </w:r>
    </w:p>
    <w:p>
      <w:pPr>
        <w:spacing w:after="0" w:line="180" w:lineRule="exact"/>
        <w:rPr>
          <w:rFonts w:ascii="Arial" w:cs="Arial" w:eastAsia="Arial" w:hAnsi="Arial"/>
          <w:sz w:val="16"/>
          <w:szCs w:val="16"/>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emergence of more successful competitors;</w:t>
      </w:r>
    </w:p>
    <w:p>
      <w:pPr>
        <w:spacing w:after="0" w:line="157" w:lineRule="exact"/>
        <w:rPr>
          <w:rFonts w:ascii="Arial" w:cs="Arial" w:eastAsia="Arial" w:hAnsi="Arial"/>
          <w:sz w:val="18"/>
          <w:szCs w:val="18"/>
          <w:color w:val="auto"/>
        </w:rPr>
      </w:pPr>
    </w:p>
    <w:p>
      <w:pPr>
        <w:ind w:left="1480" w:right="460" w:hanging="446"/>
        <w:spacing w:after="0" w:line="268"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factors related to our marketing, including the costs and effectiveness of Internet advertising and broad-based branding campaigns and recruiting efforts;</w:t>
      </w:r>
    </w:p>
    <w:p>
      <w:pPr>
        <w:spacing w:after="0" w:line="118"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performance problems with our online systems;</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maintain institutional and specialized accreditations;</w:t>
      </w:r>
    </w:p>
    <w:p>
      <w:pPr>
        <w:spacing w:after="0" w:line="157" w:lineRule="exact"/>
        <w:rPr>
          <w:rFonts w:ascii="Arial" w:cs="Arial" w:eastAsia="Arial" w:hAnsi="Arial"/>
          <w:sz w:val="18"/>
          <w:szCs w:val="18"/>
          <w:color w:val="auto"/>
        </w:rPr>
      </w:pPr>
    </w:p>
    <w:p>
      <w:pPr>
        <w:ind w:left="1480" w:right="220" w:hanging="446"/>
        <w:spacing w:after="0" w:line="268"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requirements of the education agencies that regulate us which restrict schools’ initiation of new programs and modification of existing programs;</w:t>
      </w:r>
    </w:p>
    <w:p>
      <w:pPr>
        <w:spacing w:after="0" w:line="118"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requirements of the education agencies that regulate us which restrict the ways schools can compensate their recruitment personnel;</w:t>
      </w:r>
    </w:p>
    <w:p>
      <w:pPr>
        <w:spacing w:after="0" w:line="180" w:lineRule="exact"/>
        <w:rPr>
          <w:rFonts w:ascii="Arial" w:cs="Arial" w:eastAsia="Arial" w:hAnsi="Arial"/>
          <w:sz w:val="16"/>
          <w:szCs w:val="16"/>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regulation of online education, including in states in which we do not have a physical presence;</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that may be imposed on graduates of online programs that seek certification or licensure in certain states;</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student dissatisfaction with our services and programs;</w:t>
      </w:r>
    </w:p>
    <w:p>
      <w:pPr>
        <w:spacing w:after="0" w:line="157" w:lineRule="exact"/>
        <w:rPr>
          <w:rFonts w:ascii="Arial" w:cs="Arial" w:eastAsia="Arial" w:hAnsi="Arial"/>
          <w:sz w:val="18"/>
          <w:szCs w:val="18"/>
          <w:color w:val="auto"/>
        </w:rPr>
      </w:pPr>
    </w:p>
    <w:p>
      <w:pPr>
        <w:ind w:left="1480" w:right="660" w:hanging="446"/>
        <w:spacing w:after="0" w:line="268"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results of the ongoing program review by the Department of Education, and possible remedial actions or other liability resulting therefrom;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540" w:hanging="446"/>
        <w:spacing w:after="0" w:line="268"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damage to our reputation or other adverse effects as a result of negative publicity in the media, in industry or governmental reports, or otherwise, affecting us or other companies in the for-profit postsecondary education sector;</w:t>
      </w:r>
    </w:p>
    <w:p>
      <w:pPr>
        <w:spacing w:after="0" w:line="118"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 reductions by competitors that we are unwilling or unable to match;</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decline in the acceptance of online education;</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adverse economic or other development that affects job prospects in our core disciplines; and</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decrease in the perceived or actual economic benefits that students derive from our programs.</w:t>
      </w:r>
    </w:p>
    <w:p>
      <w:pPr>
        <w:spacing w:after="0" w:line="14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we are unable to continue to develop awareness of Grand Canyon University and the programs we offer, and to recruit, enroll, and retain students, our enrollments would suffer and our ability to increase revenues and maintain profitability would be significantly impaired.</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be adversely affected by a general economic slowdown or recession in the U.S. or abroad or by an economic recovery in the U.S.</w:t>
      </w:r>
    </w:p>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U.S. and many other industrialized countries are experiencing challenging economic circumstances, including increases in unemployment, uncertainty about financial markets and, in many cases, economic recession. In addition, homeowners in the U.S. have experienced a significant reduction in their net worth due to continued declines in residential real estate values across the U.S. We believe the economic downturn in the U.S., in particular the high unemployment rate, has contributed to a portion of our increased enrollment growth as an increase number of working adults seek to continue to advance their education to improve job security or new employment prospects. This effect cannot be quantified. However, to the extent that the economic downturn and increased unemployment have increased demands for our programs, an improving economy and increased employment may negate this effect and reduce such demand as fewer students seek to advance their education. This decline could have a material adverse effect on our business, financial condition, results of operations and cash flows. Alternatively, a worsening of economic and employment conditions may reduce the ability for employers to sponsor educational opportunities for their employees, which could adversely impact our enrollment. In addition, continued deterioration in our economy and employment opportunities could adversely affect the ability of our former students to repay student loans, which could increase our bad debt expense and our student loan cohort default rate, which would require increased focus and attention to manage these defaults, which could have a material adverse effect on our business.</w:t>
      </w:r>
    </w:p>
    <w:p>
      <w:pPr>
        <w:spacing w:after="0" w:line="10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Our conversion to a borrower-based, non-term financial aid system has resulted in lower enrollments in a manner that materially and adversely affects our business.</w:t>
      </w:r>
    </w:p>
    <w:p>
      <w:pPr>
        <w:spacing w:after="0" w:line="10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A significant portion of our net revenue is derived from tuition financed by the Title IV programs. Federal regulations dictate the timing of disbursements under the Title IV programs. In April 2010, we began transitioning our online and professional studies students from a “term-based” financial aid system (where all students, including online students, begin programs and are eligible to receive financial aid at periodic start dates pursuant to a calendar-based term system) to a “borrower-based, non-term” or “BBAY” financial aid system (where each student may begin a program and be eligible to receive financial aid at any time throughout the year). We believe BBAY provides greater ease and flexibility for our students by providing for rolling and flexible start dates. It also assists in ensuring that students do not over borrow in the early years of a program, which could result in aggregate loan limits being exceeded prior to graduation. The move to BBAY has, in some circumstances, significantly reduced the amount of living expenses a student is eligible to receive. Therefore, we believe that the conversion to BBAY, although positive for the student in many respects, has caused some of our existing students to leave the University and some potential new students to look for educational opportunities elsewhere. The increased flexibility of BBAY has also resulted in our students more frequently taking breaks between classes which has the effect of reducing the revenues we earn in the short term. This consequence of the move to BBAY is particularly apparent during the period of time between Thanksgiving and New Year’s Day when a number of previously active students tend to delay the continuation of their studies until after the holidays.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students fail to pay their outstanding balances owed to us, our business may be harmed.</w:t>
      </w:r>
    </w:p>
    <w:p>
      <w:pPr>
        <w:spacing w:after="0" w:line="144"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From time to time, students, including former students, may carry balances on portions of their education expense not covered by financial aid programs. Students may also carry balances related to financial aid funds we have advanced to them that are in excess of the student’s cost and related fees. These balances are unsecured and not guaranteed. We have historically been successful in collecting our accounts receivable, including those due from former students as a result of the return to Title IV requirement, because the amount owed by a particular student that is in excess of the amount of financial aid that the student earned and that we are entitled to retain is often quite small. Due primarily to the ongoing economic conditions, we believe that the level of motivation that former students have to pay off their balances due to us, based on such factors as being able to receive transcripts or protecting their credit, has lessened over time. As our collection history in recent periods demonstrated that receivables due from former students are now becoming much more likely to go uncollected, we concluded that our allowance for doubtful accounts needed to be adjusted. Thus, we have changed our allowance calculation methodology such that receivables due from former students are treated as a separate pool and are reserved for and written off in a much more accelerated timeframe. The methodology for reserving for receivables due from current students remains similar to our prior methodology given that we have not seen a change in the payment patterns for this pool of students. If the United States continues to experience reduced economic activity and high unemployment, it could continue to have an adverse affect on the ability or willingness of our former students to repay amounts due to us. As a result, losses related to unpaid student balances in excess of our allowance for doubtful accounts, or the failure of students to repay their debt obligations, could have a material adverse effect on our business, financial condition and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industry, and competitors with greater resources could harm our business.</w:t>
      </w:r>
    </w:p>
    <w:p>
      <w:pPr>
        <w:spacing w:after="0" w:line="14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postsecondary education market is highly fragmented and competitive. We compete for students with traditional public and private two-year and four-year colleges and universities and other for-profit schools, including those that offer online learning programs. Many public and private schools, colleges, and universities, including most major colleges and universities, offer online programs. We expect to experience additional competition in the future as more colleges, universities, and for-profit schools offer an increasing number of online programs. Each of these competitors may develop platforms or other technologies, including technologies such as streaming video, that allow for greater levels of interactivity between faculty and students and that are superior to the platform and technology we use, and these differences may affect our ability to recruit and retain students. Public institutions receive substantial government subsidies, and public and private non-profit institutions have access to government and foundation grants, tax-deductible contributions, and other financial resources generally not available to for-profit schools. Accordingly, public and private non-profit institutions may have instructional and support resources superior to those in the for-profit sector, and public institutions may be able to offer substantially lower tuition prices. Some of our competitors in both the public and private sectors also have substantially greater financial and other resources than we do. We may not be able to compete successfully against current or future competitors, including with respect to our ability to acquire or compete with technologies being developed by our competitors, and may face competitive pressures that could adversely affect our business, prospects, financial condition, and results of operations. These competitive factors could cause our enrollments, revenues, and profitability to significantly decrease and could render our online delivery format less competitive or obsolete.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maintain existing, and develop additional, relationships with employers, our future growth may be impaired.</w:t>
      </w:r>
    </w:p>
    <w:p>
      <w:pPr>
        <w:spacing w:after="0" w:line="14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currently have relationships with large school districts and healthcare systems, primarily in Arizona, and also have relationships with national and international employers, to provide their employees with the opportunity to obtain degrees through us while continuing their employment. These relationships are an important part of our strategy as they provide us with a steady source of potential working adult students for particular programs and also serve to increase our reputation among high-profile employers. As a result of economic conditions, a number of employers we work with have reduced the extent to which they reimburse their employees for participating in our programs. If we are unable to develop new relationships, or if our existing relationships deteriorate or end as a result of current or future economic conditions affecting employers or otherwise, our efforts to seek these sources of potential working adult students will be impaired, and this could materially and adversely affect our business, prospects, financial condition, and results of operations.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effectively manage our growth could harm our business.</w:t>
      </w:r>
    </w:p>
    <w:p>
      <w:pPr>
        <w:spacing w:after="0" w:line="144"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Our business continues to experience rapid growth. Growth and expansion of our operations place a significant strain on our resources and increase demands on our executive management team, management information and reporting systems, financial management controls and personnel, and regulatory compliance systems and personnel. We may not be able to maintain or accelerate our current growth rate, effectively manage our expanding operations, or achieve planned growth on a timely or profitable basis. If we are unable to manage our growth effectively, we may experience operating inefficiencies and our earnings may be materially adversely affected.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upon our ability to recruit and retain key personnel.</w:t>
      </w:r>
    </w:p>
    <w:p>
      <w:pPr>
        <w:spacing w:after="0" w:line="144"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Our success to date has largely depended on, and will continue to depend on, the skills, efforts, and motivation of our executive officers, who generally have significant experience with our University and within the education industry. Our success also largely depends on our ability to attract and retain highly qualified faculty, school administrators, and additional corporate management personnel. We may have difficulties in locating and hiring qualified personnel and in retaining such personnel once hired. In addition, because we operate in a highly competitive industry, our hiring of qualified executives or other personnel may cause us or such persons to be subject to lawsuits alleging misappropriation of trade secrets, improper solicitation of employees, or other claims.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81"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b w:val="1"/>
          <w:bCs w:val="1"/>
          <w:i w:val="1"/>
          <w:iCs w:val="1"/>
          <w:color w:val="auto"/>
        </w:rPr>
        <w:t>The protection of our operations through exclusive proprietary rights and intellectual property is limited, and from time to time we encounter disputes relating to our use of intellectual property of third parties, any of which could harm our operations and prospects.</w:t>
      </w:r>
    </w:p>
    <w:p>
      <w:pPr>
        <w:spacing w:after="0" w:line="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the ordinary course of our business we develop intellectual property of many kinds that is or will be the subject of copyright, trademark, service mark, patent, trade secret, or other protections. This intellectual property includes but is not limited to courseware materials and business know-how and internal processes and procedures developed to respond to the requirements of operating our business and to comply with the rules and regulations of various education regulatory agencies. We rely on a combination of copyrights, trademarks, service marks, trade secrets, domain names, and agreements to protect our intellectual property. We rely on service mark and trademark protection in the United States to protect our rights to the mark “Grand Canyon University,” as well as distinctive logos and other marks associated with our services. We rely on agreements under which we obtain rights to use course content developed by faculty members and other third party content experts, as well as license agreements pursuant to which we license the right to brand certain of our program offerings. We cannot assure you that the measures that we take will be adequate or that we have secured, or will be able to secure, appropriate protections for all of our proprietary rights in the United States or select foreign jurisdictions, or that third parties will not infringe upon or violate our proprietary rights. Unauthorized third parties may attempt to duplicate or copy the proprietary aspects of our curricula, online resource material, and other content, and offer competing programs to ours.</w:t>
      </w:r>
    </w:p>
    <w:p>
      <w:pPr>
        <w:spacing w:after="0" w:line="10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particular, we license the right to utilize the name of Ken Blanchard in connection with our business school and Executive MBA programs and have spent significant resources in related branding efforts. Nevertheless, our license agreement with Blanchard Education, LLC has a fixed term and may not necessarily be extended in the future. In addition, third parties may attempt to develop competing programs or copy aspects of our curriculum, online resource material, quality management, and other proprietary content. The termination of this license agreement, or attempts to compete with or duplicate our programs, if successful, could adversely affect our business. Protecting these types of intellectual property rights can be difficult, particularly as it relates to the development by our competitors of competing courses and programs.</w:t>
      </w:r>
    </w:p>
    <w:p>
      <w:pPr>
        <w:spacing w:after="0" w:line="9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may from time to time encounter disputes over rights and obligations concerning intellectual property, and we may not prevail in these disputes. In certain instances, we may not have obtained sufficient rights in the content of a course. Third parties may raise a claim against us alleging an infringement or violation of the intellectual property of that third party. Some third-party intellectual property rights may be extremely broad, and it may not be possible for us to conduct our operations in such a way as to avoid those intellectual property rights. Any such</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intellectual property claim could subject us to costly litigation and impose a significant strain on our financial resources and management personnel regardless of whether such claim has merit, and we may be required to alter the content of our classes or pay monetary damages, which may be significant.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 may restrict our operations and our ability to complete certain transactions.</w:t>
      </w:r>
    </w:p>
    <w:p>
      <w:pPr>
        <w:spacing w:after="0" w:line="144"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Our loan agreement, which we entered into in connection with the purchase of our campus in April 2009 and amended in April 2011, imposes certain operating and financial restrictions on us. Without the consent of our lender, these restrictions generally limit our ability to, among other things:</w:t>
      </w:r>
    </w:p>
    <w:p>
      <w:pPr>
        <w:spacing w:after="0" w:line="72" w:lineRule="exact"/>
        <w:rPr>
          <w:sz w:val="20"/>
          <w:szCs w:val="20"/>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 additional indebtedness or liens;</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sell, assign, lease, transfer or otherwise dispose of any part of our assets other than in the ordinary course of business;</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investments or capital contributions to any individual or entity;</w:t>
      </w:r>
    </w:p>
    <w:p>
      <w:pPr>
        <w:spacing w:after="0" w:line="157" w:lineRule="exact"/>
        <w:rPr>
          <w:rFonts w:ascii="Arial" w:cs="Arial" w:eastAsia="Arial" w:hAnsi="Arial"/>
          <w:sz w:val="18"/>
          <w:szCs w:val="18"/>
          <w:color w:val="auto"/>
        </w:rPr>
      </w:pPr>
    </w:p>
    <w:p>
      <w:pPr>
        <w:ind w:left="1480" w:right="20" w:hanging="446"/>
        <w:spacing w:after="0" w:line="268"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 into any consolidation, merger, or other combination, or become a partner in a partnership, a member of a joint venture, or a member of a limited liability company;</w:t>
      </w:r>
    </w:p>
    <w:p>
      <w:pPr>
        <w:spacing w:after="0" w:line="118"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limits treasury share repurchases;</w:t>
      </w:r>
    </w:p>
    <w:p>
      <w:pPr>
        <w:spacing w:after="0" w:line="157"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acquire or purchase a business or all or substantially all of the assets of a business in an aggregate amount exceeding an amount equal to 25% of our tangible net worth; and</w:t>
      </w:r>
    </w:p>
    <w:p>
      <w:pPr>
        <w:spacing w:after="0" w:line="118"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engage in any business activities substantially different from our present business.</w:t>
      </w:r>
    </w:p>
    <w:p>
      <w:pPr>
        <w:spacing w:after="0" w:line="14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addition, the loan agreement requires us to maintain a maximum funded debt to adjusted EBITDA ratio, a minimum basic fixed charge coverage ratio and a minimum tangible net worth ratio, in each case as such terms are defined in the loan agreement. We cannot assure you that these covenants will not adversely affect our ability to finance our future operations or capital needs or to pursue available business opportunities. A breach of any of these covenants or our inability to maintain the required financial ratios could result in a default in respect of the related indebtedness. If a default occurs, the affected lenders could elect to declare the indebtedness, together with accrued interest and other fees, to be immediately due and payable.</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comply with environmental laws and regulations governing our activities could result in financial penalties and other costs.</w:t>
      </w:r>
    </w:p>
    <w:p>
      <w:pPr>
        <w:spacing w:after="0" w:line="16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use hazardous materials at our ground campus and generate small quantities of waste, such as used oil, antifreeze, paint, car batteries, and laboratory materials. As a result, we are subject to a variety of environmental laws and regulations governing, among other things, the use, storage, and disposal of solid and hazardous substances and waste, and the clean-up of contamination at our facilities or off-site locations to which we send or have sent waste for disposal. In the event we do not maintain compliance with any of these laws and regulations, or are responsible for a spill or release of hazardous materials, we could incur significant costs for clean-up, damages, and fines, or penalties which could adversely impact our business, prospects,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integrate acquired schools, our business could be harmed.</w:t>
      </w:r>
    </w:p>
    <w:p>
      <w:pPr>
        <w:spacing w:after="0" w:line="144"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From time to time, we may pursue acquisitions of other schools. Integrating acquired operations into our institution involves significant risks and uncertainties, including:</w:t>
      </w:r>
    </w:p>
    <w:p>
      <w:pPr>
        <w:spacing w:after="0" w:line="118" w:lineRule="exact"/>
        <w:rPr>
          <w:sz w:val="20"/>
          <w:szCs w:val="20"/>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to maintain uniform standards, controls, policies, and procedures;</w:t>
      </w:r>
    </w:p>
    <w:p>
      <w:pPr>
        <w:spacing w:after="0" w:line="157" w:lineRule="exact"/>
        <w:rPr>
          <w:rFonts w:ascii="Arial" w:cs="Arial" w:eastAsia="Arial" w:hAnsi="Arial"/>
          <w:sz w:val="18"/>
          <w:szCs w:val="18"/>
          <w:color w:val="auto"/>
        </w:rPr>
      </w:pPr>
    </w:p>
    <w:p>
      <w:pPr>
        <w:ind w:left="5620" w:right="2760" w:hanging="4586"/>
        <w:spacing w:after="0" w:line="440" w:lineRule="auto"/>
        <w:tabs>
          <w:tab w:leader="none" w:pos="1474"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distraction of management’s attention from normal business operations during the integration process; 59</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160" w:hanging="446"/>
        <w:spacing w:after="0" w:line="332" w:lineRule="auto"/>
        <w:tabs>
          <w:tab w:leader="none" w:pos="14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inability to obtain, or delay in obtaining, approval of the acquisition from the necessary regulatory agencies, or the imposition of operating restrictions or a letter of credit requirement on us or on the acquired school by any of those regulatory agencies;</w:t>
      </w:r>
    </w:p>
    <w:p>
      <w:pPr>
        <w:spacing w:after="0" w:line="71" w:lineRule="exact"/>
        <w:rPr>
          <w:rFonts w:ascii="Arial" w:cs="Arial" w:eastAsia="Arial" w:hAnsi="Arial"/>
          <w:sz w:val="16"/>
          <w:szCs w:val="16"/>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expenses associated with the integration efforts; and</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unidentified issues not discovered in our due diligence process, including legal contingencies.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complete one or more acquisitions and are unable to integrate acquired operations successfully, our business could suffer.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keep pace with changing market needs and technology could harm our ability to attract students.</w:t>
      </w:r>
    </w:p>
    <w:p>
      <w:pPr>
        <w:spacing w:after="0" w:line="144"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success depends to a large extent on the willingness of employers to employ, promote, or increase the pay of our graduates. Increasingly, employers demand that their new employees possess appropriate technical and analytical skills and also appropriate interpersonal skills, such as communication, and teamwork skills. These skills can evolve rapidly in a changing economic and technological environment. Accordingly, it is important that our educational programs evolve in response to those economic and technological changes. The expansion of existing academic programs and the development of new programs may not be accepted by current or prospective students or by the employers of our graduates. Even if we are able to develop acceptable new programs, we may not be able to begin offering those new programs in a timely fashion or as quickly as our competitors offer similar programs. If we are unable to adequately respond to changes in market requirements due to regulatory or financial constraints, unusually rapid technological changes, or other factors, the rates at which our graduates obtain jobs in their fields of study could suffer, our ability to attract and retain students could be impaired, and our business, prospects, financial condition, and results of operations could be adversely affected.</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invested significant resources to develop and implement features that enhance the online classroom experience, such as delivering course content through streaming video, simulations, and other interactive enhancements. Our information technology systems and tools could become impaired or obsolete due to our action or failure to act. For instance, we could install new information technology without accurately assessing its costs or benefits, or we could experience delayed or ineffective implementation of new information technology. We could fail to respond in a timely manner for future technological developments in our industry. Should our actions or failure to act impair or render our information technology less effective, this could have a material adverse effect on our business, financial condition, results of operations and cash flows.</w:t>
      </w:r>
    </w:p>
    <w:p>
      <w:pPr>
        <w:spacing w:after="0" w:line="9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may not be able to successfully implement our growth strategy if we are not able to improve the content of our existing academic programs or to develop new programs on a timely basis and in a cost-effective manner, or at all.</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continually seek to improve the content of our existing programs and develop new programs in order to meet changing market needs. The success of any of our programs and courses, both ground and online, depends in part on our ability to expand the content of our existing programs, develop new programs in a cost-effective manner, and meet the needs of existing and prospective students and employers in a timely manner, as well as on the acceptance of our actions by existing or prospective students and employers. We developed many of our online programs based on our existing ground programs. In the future, we may develop programs solely, or initially, for online use, which may pose new challenges, including the need to develop course content without having an existing program on which such content can be based. Even if we are able to develop acceptable new programs, we may not be able to introduce these new programs in a timely fashion or as quickly as our competitors are able to introduce competing programs. If we do not respond adequately to changes in market conditions, our ability to attract and retain students could be impaired and our business, prospects, financial condition, and results of operations could suffer.</w:t>
      </w:r>
    </w:p>
    <w:p>
      <w:pPr>
        <w:spacing w:after="0" w:line="9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development and approval of new programs and courses, both ground and online, are subject to requirements and limitations imposed by the Department of Education, state licensing agencies, and the relevant accrediting commissions, and in certain cases, such as with doctoral programs, involves a process that can take several years to complete. The imposition of restrictions on the initiation of new educational programs by any of our regulatory agencies, or delays in obtaining approvals of such programs, may delay our expansion plans. Establishing new academic programs or modifying existing academic programs may also require us to make investments in specialized personnel, increase marketing efforts, and reallocate resources. We may have limited experience with the subject matter of new programs.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If we are unable to expand our existing programs, offer new programs on a timely basis or in a cost-effective manner, or otherwise manage effectively the operations of newly established programs, our business, prospects, financial condition, and results of operations could be adversely affected.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Technology Infrastructure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success and future growth depend on the continued growth in users seeking educational services on the Internet.</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business relies in part on the Internet for its success. A number of factors could inhibit the continued acceptance of the Internet and adversely affect our profitability, including:</w:t>
      </w:r>
    </w:p>
    <w:p>
      <w:pPr>
        <w:spacing w:after="0" w:line="118" w:lineRule="exact"/>
        <w:rPr>
          <w:sz w:val="20"/>
          <w:szCs w:val="20"/>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inadequate Internet infrastructure;</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security and privacy concerns;</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unavailability of cost-effective Internet service and other technological factors; and</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government regulation of Internet use.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number of potential students seeking educational services on the Internet does not continue to increase, our business may not grow as planned.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liability for the unauthorized duplication or distribution of class materials posted online for class discussions.</w:t>
      </w:r>
    </w:p>
    <w:p>
      <w:pPr>
        <w:spacing w:after="0" w:line="14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some instances, our faculty members or our students may post various articles or other third-party content on class discussion boards. Third parties may raise claims against us for the unauthorized duplication of material posted online for class discussions. Any such claims could subject us to costly litigation and impose a significant strain on our financial resources and management personnel regardless of whether the claims have merit. Our general liability insurance may not cover potential claims of this type adequately or at all, and we may be required to alter the content of our courses or pay monetary damages, which may be significant.</w:t>
      </w:r>
    </w:p>
    <w:p>
      <w:pPr>
        <w:spacing w:after="0" w:line="1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10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Possession and use of personal information in our operations subjects us to risks and costs that could harm our business. We collect, use, and retain large amounts of personal information regarding our applicants, students, faculty, staff, and their families,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11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following an acquisition of a school or in connection with periodic hardware or software upgrades.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us to implement certain policies and procedures, such as the procedures we adopted to comply with the Red Flags Rule that was promulgated by the Federal Trade Commission, or FTC, under the federal Fair Credit Reporting Act and that requires the establishment of guidelines and policies regarding identity theft related to student credit accounts, and could require us to make certain notifications of data breaches and restrict our use of personal information. A violation of any laws or regulations relating to the collection or use of personal information 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9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Capacity constraints, system disruptions, or security breaches in our online computer networks and phone systems could have a material adverse effect on our ability to attract and retain students.</w:t>
      </w:r>
    </w:p>
    <w:p>
      <w:pPr>
        <w:spacing w:after="0" w:line="10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performance and reliability of the infrastructure of our computer networks and phone systems, including our online programs, is critical to our operations, reputation and to our ability to attract and retain students. Any computer system disruption or failure, or a sudden and significant increase in traffic on the servers that host our online operations, may result in our online courses and programs being unavailable for a period of time. In addition, any significant failure of our computer networks or servers, whether as a result of third-party actions or in connection with planned upgrades and conversions, could disrupt our on-campus operations. Individual, sustained, or repeated occurrences could significantly damage the reputation of our online operations and result in a loss of potential or existing students. Additionally, our online operations are vulnerable to interruption or malfunction due to events beyond our control, including natural disasters and network and telecommunications failures. Our computer networks may also be vulnerable to unauthorized access, computer hackers, computer viruses, malicious code, organized cyber attacks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online operations could have a material adverse effect on our ability to attract students to our online programs and to retain those students.</w:t>
      </w:r>
    </w:p>
    <w:p>
      <w:pPr>
        <w:spacing w:after="0" w:line="10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A failure of our information systems to properly store, process and report relevant data may reduce our management’s effectiveness, interfere with our regulatory compliance and increase our operating expenses.</w:t>
      </w:r>
    </w:p>
    <w:p>
      <w:pPr>
        <w:spacing w:after="0" w:line="10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dependent on the integrity of our data management systems. If these systems do not effectively collect, store and process relevant data for the operation of our business, whether due to equipment malfunctions or constraints, software deficiencies, or human error, our ability to effectively report, plan, forecast and execute our business plan and comply with applicable laws and regulations, including the Higher Education Act, as reauthorized, and the regulations thereunder, will be impaired, perhaps materially. Any such impairment could materially and adversely affect our financial condition, results of operations, and cash flows.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150"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b w:val="1"/>
          <w:bCs w:val="1"/>
          <w:i w:val="1"/>
          <w:iCs w:val="1"/>
          <w:color w:val="auto"/>
        </w:rPr>
        <w:t>Your percentage ownership in us may be diluted by future issuances of capital stock, which could reduce your influence over matters on which stockholders vote.</w:t>
      </w:r>
    </w:p>
    <w:p>
      <w:pPr>
        <w:spacing w:after="0" w:line="10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Board of Directors has the authority, without action or vote of our stockholders, to issue all or any part of our authorized but unissued shares of common stock, including shares issuable upon the exercise of options, shares that may be issued to satisfy our payment obligations under our incentive plans, or shares of our authorized but unissued preferred stock. Issuances of common stock or voting preferred stock would reduce your influence over matters on which our stockholders vote, and, in the case of issuances of preferred stock, likely would result in your interest in us being subject to the prior rights of holders of that preferred stock.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the Department of Education, our regional accrediting commission, and state education agencies for a change in control transaction could also delay, deter, or prevent a transaction that would result in a change in control. We may, in the future, consider adopting additional anti-takeover measures. The authority of our board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as a result returns on an investment in our common stock may be volatile.</w:t>
      </w:r>
    </w:p>
    <w:p>
      <w:pPr>
        <w:spacing w:after="0" w:line="14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completed our initial public offering in November 2008. Given the relatively limited public float since that time, trading in our common stock has also been limited and, at times, volatile. An active trading market for our common stock may not be sustained, and the trading price of our common stock may fluctuate substantially.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 of our common stock could fluctuate significantly for various reasons, which include:</w:t>
      </w:r>
    </w:p>
    <w:p>
      <w:pPr>
        <w:spacing w:after="0" w:line="158" w:lineRule="exact"/>
        <w:rPr>
          <w:sz w:val="20"/>
          <w:szCs w:val="20"/>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quarterly or annual earnings or earnings of other companies in our industry;</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57" w:lineRule="exact"/>
        <w:rPr>
          <w:rFonts w:ascii="Arial" w:cs="Arial" w:eastAsia="Arial" w:hAnsi="Arial"/>
          <w:sz w:val="18"/>
          <w:szCs w:val="18"/>
          <w:color w:val="auto"/>
        </w:rPr>
      </w:pPr>
    </w:p>
    <w:p>
      <w:pPr>
        <w:ind w:left="1480" w:right="20" w:hanging="446"/>
        <w:spacing w:after="0" w:line="268" w:lineRule="auto"/>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research analysts who track our common stock or the stocks of other companies in our industry;</w:t>
      </w:r>
    </w:p>
    <w:p>
      <w:pPr>
        <w:spacing w:after="0" w:line="118"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our number of enrolled students;</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new or proposed laws or regulations or new or proposed interpretations of laws or regulations applicable to our business;</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seasonal variations in our student population;</w:t>
      </w:r>
    </w:p>
    <w:p>
      <w:pPr>
        <w:spacing w:after="0" w:line="157" w:lineRule="exact"/>
        <w:rPr>
          <w:rFonts w:ascii="Arial" w:cs="Arial" w:eastAsia="Arial" w:hAnsi="Arial"/>
          <w:sz w:val="18"/>
          <w:szCs w:val="18"/>
          <w:color w:val="auto"/>
        </w:rPr>
      </w:pPr>
    </w:p>
    <w:p>
      <w:pPr>
        <w:ind w:left="1480" w:right="520" w:hanging="446"/>
        <w:spacing w:after="0" w:line="268" w:lineRule="auto"/>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damage to our reputation or other adverse effects as a result of negative publicity in the media, in industry or governmental reports, or otherwise, affecting us or other companies in the for-profit postsecondary education sector;</w:t>
      </w:r>
    </w:p>
    <w:p>
      <w:pPr>
        <w:spacing w:after="0" w:line="118"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and cost of Title IV funds, other student financial aid, and private loans;</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failure to maintain or keep in good standing our regulatory approvals and accreditations;</w:t>
      </w:r>
    </w:p>
    <w:p>
      <w:pPr>
        <w:spacing w:after="0" w:line="157"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620" w:hanging="446"/>
        <w:spacing w:after="0" w:line="268"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general conditions in the U.S. and global economies or financial markets, including those resulting from war, incidents of terrorism, or responses to such events;</w:t>
      </w:r>
    </w:p>
    <w:p>
      <w:pPr>
        <w:spacing w:after="0" w:line="118"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adverse economic or other development that affects job prospects in our core disciplines;</w:t>
      </w:r>
    </w:p>
    <w:p>
      <w:pPr>
        <w:spacing w:after="0" w:line="157" w:lineRule="exact"/>
        <w:rPr>
          <w:rFonts w:ascii="Arial" w:cs="Arial" w:eastAsia="Arial" w:hAnsi="Arial"/>
          <w:sz w:val="18"/>
          <w:szCs w:val="18"/>
          <w:color w:val="auto"/>
        </w:rPr>
      </w:pPr>
    </w:p>
    <w:p>
      <w:pPr>
        <w:ind w:left="1480" w:right="680" w:hanging="446"/>
        <w:spacing w:after="0" w:line="268"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litigation involving our University, or investigations or audits by regulators into the operations of our University or our competitors, including the ongoing program review being conducted by the Department of Education; and</w:t>
      </w:r>
    </w:p>
    <w:p>
      <w:pPr>
        <w:spacing w:after="0" w:line="118"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common stock by our directors, executive officers, and significant stockholders.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in recent years, the stock market has experienced extreme price and volume fluctuations. This volatility has had a significant impact on the market price of securities issued by many companies, including companies in our industry. The changes frequently appear to occur without regard to the operating performance of these companies. The price of our common stock could fluctuate based upon factors that have little or nothing to do with our University, and these fluctuations could materially reduce our stock price.</w:t>
      </w:r>
    </w:p>
    <w:p>
      <w:pPr>
        <w:spacing w:after="0" w:line="11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1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their evaluations of our stock, the price of our stock could decline.</w:t>
      </w:r>
    </w:p>
    <w:p>
      <w:pPr>
        <w:spacing w:after="0" w:line="10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trading market for our common stock depends in part on the research and reports that industry or financial analysts publish about us or our business. If one or more of the analysts covering us downgrade their estimates or evaluations of our stock, the price of our stock could decline. If one or more of these analysts cease coverage of our University, we could lose visibility in the market for our stock, which in turn could cause our stock price to decline.</w:t>
      </w:r>
    </w:p>
    <w:p>
      <w:pPr>
        <w:spacing w:after="0" w:line="8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0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do not expect to pay dividends on shares of our common stock in the foreseeable future and intend to use cash to grow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 Consequently, your only opportunity to achieve a positive return on your investment in us will be if the market price of our common stock appreciates.</w:t>
      </w:r>
    </w:p>
    <w:p>
      <w:pPr>
        <w:spacing w:after="0" w:line="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15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own our ground campus, which is located on approximately 115 acres in the center of the Phoenix, Arizona metropolitan area, near downtown Phoenix. Our campus facilities currently consist of 45 buildings, which include 64 classrooms, two lecture halls, a 300-seat theater, four student computer labs with 125 computers that are available to students 18 hours per day, a 155,000-volume library, a media arts complex that provides communications students with audio and video equipment, a 140,000 square foot/5,000 seat basketball and entertainment arena, a student activity center that contains a food court, a bowling alley, and other student services, and a 55,000 square foot recreation center for both student-athletes and on-campus students. We house our ground students in an on-campus student apartment complex and three dormitories that can collectively hold up to 1,770 students. In 2011, we began construction on two additional dormitories and an Arts and Science classroom building, which will have 21 traditional classrooms, five chemistry labs, two computer labs, a simulation laboratory, and a skills laboratory. In the Spring of 2012, we will begin construction of our first parking garage. We also lease four additional facilities for employees in Arizona, and six facilities in Arizona and one in New Mexico for classroom and labs for our nursing professional studies students. We may add additional space in our Arizona locations to accommodate our growth plans in 2012 and beyond.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5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From time to time, we are subject to ordinary and routine litigation incidental to our business. While the outcomes of these matters are uncertain, management does not expect that the ultimate costs to resolve these matters will have a material adverse effect on our financial position, results of operations or cash flows.</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right="2260"/>
        <w:spacing w:after="0" w:line="410"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w:t>
      </w:r>
    </w:p>
    <w:p>
      <w:pPr>
        <w:spacing w:after="0" w:line="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common stock trades on the Nasdaq Global Market under the symbol “LOPE.” The holders of our common stock are entitled to one vote per share on any matter to be voted upon by stockholders. All shares of common stock rank equally as to voting and all other matters. The shares of common stock have no preemptive or conversion rights, no redemption or sinking fund provisions, are not liable for further call or assessment and are not entitled to cumulative voting rights.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high and low sales prices for our common stock, as reported by the Nasdaq Global Market.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9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First Quarter</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27.23</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28.46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Third Quarter</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24.70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Second Quarter</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15.46</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Fourth Quarter</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17.35</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5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As of December 31, 2011, there were approximately 22 registered holders of record of common stock. A substantially greater number of holders of common stock are “street name” or beneficial holders, whose shares are held of record by banks, brokers and other financial institutions.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5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currently intend to retain all future earnings for the operation and expansion of our business and do not anticipate paying cash dividends on our common stock in the foreseeable future.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5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The information required by Item 201(d) of Regulation S-K is provided under Item 12, </w:t>
      </w:r>
      <w:r>
        <w:rPr>
          <w:rFonts w:ascii="Arial" w:cs="Arial" w:eastAsia="Arial" w:hAnsi="Arial"/>
          <w:sz w:val="18"/>
          <w:szCs w:val="18"/>
          <w:i w:val="1"/>
          <w:iCs w:val="1"/>
          <w:color w:val="auto"/>
        </w:rPr>
        <w:t>Security Ownership of Certain Beneficial Owners and Management</w:t>
      </w:r>
      <w:r>
        <w:rPr>
          <w:rFonts w:ascii="Arial" w:cs="Arial" w:eastAsia="Arial" w:hAnsi="Arial"/>
          <w:sz w:val="18"/>
          <w:szCs w:val="18"/>
          <w:color w:val="auto"/>
        </w:rPr>
        <w:t xml:space="preserve"> </w:t>
      </w:r>
      <w:r>
        <w:rPr>
          <w:rFonts w:ascii="Arial" w:cs="Arial" w:eastAsia="Arial" w:hAnsi="Arial"/>
          <w:sz w:val="18"/>
          <w:szCs w:val="18"/>
          <w:i w:val="1"/>
          <w:iCs w:val="1"/>
          <w:color w:val="auto"/>
        </w:rPr>
        <w:t>and Related Stockholder Matters</w:t>
      </w:r>
      <w:r>
        <w:rPr>
          <w:rFonts w:ascii="Arial" w:cs="Arial" w:eastAsia="Arial" w:hAnsi="Arial"/>
          <w:sz w:val="18"/>
          <w:szCs w:val="18"/>
          <w:color w:val="auto"/>
        </w:rPr>
        <w:t>, “Equity Compensation Plan Information,” which is incorporated herein by reference.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44"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On August 16, 2010, our Board of Directors authorized the University to repurchase $25.0 million of common stock, from time to time, depending on market conditions and other considerations. On July 28, 2011, our Board of Directors authorized the University to repurchase an additional $25.0 million ($50.0 million total) of common stock, from time to time, depending on market conditions and other considerations. Repurchases occur at the University’s discretion. The expiration date on the repurchase authorization is September 30, 2012. Repurchases may be made in the open market or in privately negotiated transactions, pursuant to the applicable Securities and Exchange Commission rules. The amount and timing of future share repurchases, if any, will be made as market and business conditions warrant. Since our approval of the share repurchase plan, we have purchased 1.7 million shares of common stock at an aggregate cost of $23.9 million, which includes 1.6 million shares of common stock at an aggregate cost of $23.1 million during the year ended December 31, 2011, which are recorded at cost in the accompanying December 31, 2011 consolidated balance sheet and statement of stockholders’ equity. At December 31, 2011, there remained $26.1 million available under our current share repurchase authorization. During the fourth quarter of 2011, we repurchased 50,000 shares of common stock at an aggregate cost of $0.7 million.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share repurchases of common stock during each period in the fourth quarter of fiscal 2011: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Total Number of</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9"/>
              </w:rPr>
              <w:t>Maximum Dollar</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Shares Purchased</w:t>
            </w: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Value of Shares</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120" w:type="dxa"/>
            <w:vAlign w:val="bottom"/>
          </w:tcPr>
          <w:p>
            <w:pPr>
              <w:spacing w:after="0"/>
              <w:rPr>
                <w:sz w:val="12"/>
                <w:szCs w:val="12"/>
                <w:color w:val="auto"/>
              </w:rPr>
            </w:pPr>
          </w:p>
        </w:tc>
        <w:tc>
          <w:tcPr>
            <w:tcW w:w="8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as Part of Publicly</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That May Yet Be</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3860" w:type="dxa"/>
            <w:vAlign w:val="bottom"/>
            <w:vMerge w:val="restart"/>
          </w:tcPr>
          <w:p>
            <w:pPr>
              <w:spacing w:after="0"/>
              <w:rPr>
                <w:sz w:val="12"/>
                <w:szCs w:val="12"/>
                <w:color w:val="auto"/>
              </w:rPr>
            </w:pPr>
          </w:p>
        </w:tc>
        <w:tc>
          <w:tcPr>
            <w:tcW w:w="248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of Shares</w:t>
            </w:r>
          </w:p>
        </w:tc>
        <w:tc>
          <w:tcPr>
            <w:tcW w:w="120" w:type="dxa"/>
            <w:vAlign w:val="bottom"/>
          </w:tcPr>
          <w:p>
            <w:pPr>
              <w:spacing w:after="0"/>
              <w:rPr>
                <w:sz w:val="12"/>
                <w:szCs w:val="12"/>
                <w:color w:val="auto"/>
              </w:rPr>
            </w:pPr>
          </w:p>
        </w:tc>
        <w:tc>
          <w:tcPr>
            <w:tcW w:w="8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8"/>
              </w:rPr>
              <w:t>Price Paid</w:t>
            </w:r>
          </w:p>
        </w:tc>
        <w:tc>
          <w:tcPr>
            <w:tcW w:w="2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Announced</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3860" w:type="dxa"/>
            <w:vAlign w:val="bottom"/>
            <w:vMerge w:val="continue"/>
          </w:tcPr>
          <w:p>
            <w:pPr>
              <w:spacing w:after="0"/>
              <w:rPr>
                <w:sz w:val="14"/>
                <w:szCs w:val="14"/>
                <w:color w:val="auto"/>
              </w:rPr>
            </w:pPr>
          </w:p>
        </w:tc>
        <w:tc>
          <w:tcPr>
            <w:tcW w:w="2480" w:type="dxa"/>
            <w:vAlign w:val="bottom"/>
          </w:tcPr>
          <w:p>
            <w:pPr>
              <w:spacing w:after="0"/>
              <w:rPr>
                <w:sz w:val="14"/>
                <w:szCs w:val="14"/>
                <w:color w:val="auto"/>
              </w:rPr>
            </w:pPr>
          </w:p>
        </w:tc>
        <w:tc>
          <w:tcPr>
            <w:tcW w:w="112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3"/>
              </w:rPr>
              <w:t>Purchased</w:t>
            </w:r>
          </w:p>
        </w:tc>
        <w:tc>
          <w:tcPr>
            <w:tcW w:w="120" w:type="dxa"/>
            <w:vAlign w:val="bottom"/>
          </w:tcPr>
          <w:p>
            <w:pPr>
              <w:spacing w:after="0"/>
              <w:rPr>
                <w:sz w:val="14"/>
                <w:szCs w:val="14"/>
                <w:color w:val="auto"/>
              </w:rPr>
            </w:pPr>
          </w:p>
        </w:tc>
        <w:tc>
          <w:tcPr>
            <w:tcW w:w="800" w:type="dxa"/>
            <w:vAlign w:val="bottom"/>
          </w:tcPr>
          <w:p>
            <w:pPr>
              <w:jc w:val="center"/>
              <w:ind w:right="41"/>
              <w:spacing w:after="0" w:line="148" w:lineRule="exact"/>
              <w:rPr>
                <w:sz w:val="20"/>
                <w:szCs w:val="20"/>
                <w:color w:val="auto"/>
              </w:rPr>
            </w:pPr>
            <w:r>
              <w:rPr>
                <w:rFonts w:ascii="Arial" w:cs="Arial" w:eastAsia="Arial" w:hAnsi="Arial"/>
                <w:sz w:val="14"/>
                <w:szCs w:val="14"/>
                <w:b w:val="1"/>
                <w:bCs w:val="1"/>
                <w:color w:val="auto"/>
                <w:w w:val="85"/>
              </w:rPr>
              <w:t>Per Share</w:t>
            </w:r>
          </w:p>
        </w:tc>
        <w:tc>
          <w:tcPr>
            <w:tcW w:w="240" w:type="dxa"/>
            <w:vAlign w:val="bottom"/>
          </w:tcPr>
          <w:p>
            <w:pPr>
              <w:spacing w:after="0"/>
              <w:rPr>
                <w:sz w:val="14"/>
                <w:szCs w:val="14"/>
                <w:color w:val="auto"/>
              </w:rPr>
            </w:pPr>
          </w:p>
        </w:tc>
        <w:tc>
          <w:tcPr>
            <w:tcW w:w="13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6"/>
              </w:rPr>
              <w:t>Program</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the Program</w:t>
            </w:r>
          </w:p>
        </w:tc>
        <w:tc>
          <w:tcPr>
            <w:tcW w:w="0" w:type="dxa"/>
            <w:vAlign w:val="bottom"/>
          </w:tcPr>
          <w:p>
            <w:pPr>
              <w:spacing w:after="0"/>
              <w:rPr>
                <w:sz w:val="1"/>
                <w:szCs w:val="1"/>
                <w:color w:val="auto"/>
              </w:rPr>
            </w:pPr>
          </w:p>
        </w:tc>
      </w:tr>
      <w:tr>
        <w:trPr>
          <w:trHeight w:val="203"/>
        </w:trPr>
        <w:tc>
          <w:tcPr>
            <w:tcW w:w="42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1, 2011 – October 31, 2011</w:t>
            </w:r>
          </w:p>
        </w:tc>
        <w:tc>
          <w:tcPr>
            <w:tcW w:w="24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1"/>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ind w:left="80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26,847,000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November 1, 2011 – November 30, 2011</w:t>
            </w:r>
          </w:p>
        </w:tc>
        <w:tc>
          <w:tcPr>
            <w:tcW w:w="3600" w:type="dxa"/>
            <w:vAlign w:val="bottom"/>
            <w:gridSpan w:val="3"/>
          </w:tcPr>
          <w:p>
            <w:pPr>
              <w:jc w:val="right"/>
              <w:ind w:right="240"/>
              <w:spacing w:after="0"/>
              <w:rPr>
                <w:sz w:val="20"/>
                <w:szCs w:val="20"/>
                <w:color w:val="auto"/>
              </w:rPr>
            </w:pPr>
            <w:r>
              <w:rPr>
                <w:rFonts w:ascii="Arial" w:cs="Arial" w:eastAsia="Arial" w:hAnsi="Arial"/>
                <w:sz w:val="18"/>
                <w:szCs w:val="18"/>
                <w:color w:val="auto"/>
              </w:rPr>
              <w:t>50,000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14.79</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26,106,000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2011 – December 31, 2011</w:t>
            </w:r>
          </w:p>
        </w:tc>
        <w:tc>
          <w:tcPr>
            <w:tcW w:w="24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26,106,000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3600" w:type="dxa"/>
            <w:vAlign w:val="bottom"/>
            <w:gridSpan w:val="3"/>
          </w:tcPr>
          <w:p>
            <w:pPr>
              <w:jc w:val="right"/>
              <w:ind w:right="240"/>
              <w:spacing w:after="0"/>
              <w:rPr>
                <w:sz w:val="20"/>
                <w:szCs w:val="20"/>
                <w:color w:val="auto"/>
              </w:rPr>
            </w:pPr>
            <w:r>
              <w:rPr>
                <w:rFonts w:ascii="Arial" w:cs="Arial" w:eastAsia="Arial" w:hAnsi="Arial"/>
                <w:sz w:val="18"/>
                <w:szCs w:val="18"/>
                <w:color w:val="auto"/>
              </w:rPr>
              <w:t>50,000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14.79</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26,106,000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480" w:type="dxa"/>
            <w:vAlign w:val="bottom"/>
            <w:vMerge w:val="restart"/>
          </w:tcPr>
          <w:p>
            <w:pPr>
              <w:jc w:val="right"/>
              <w:ind w:right="852"/>
              <w:spacing w:after="0"/>
              <w:rPr>
                <w:sz w:val="20"/>
                <w:szCs w:val="20"/>
                <w:color w:val="auto"/>
              </w:rPr>
            </w:pPr>
            <w:r>
              <w:rPr>
                <w:rFonts w:ascii="Arial" w:cs="Arial" w:eastAsia="Arial" w:hAnsi="Arial"/>
                <w:sz w:val="18"/>
                <w:szCs w:val="18"/>
                <w:color w:val="auto"/>
              </w:rPr>
              <w:t>66</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University Stock Performance</w:t>
      </w:r>
    </w:p>
    <w:p>
      <w:pPr>
        <w:spacing w:after="0" w:line="15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graph compares the cumulative 37-month return of holders of our common stock with the cumulative total returns of the S&amp;P 500 Index, the NASDAQ Composite index, our peer group of six companies that includes: Capella Education Company, American Public Education, Inc., Apollo Group Inc., Strayer Education Inc., Education Management Corporation and Bridgepoint Education, Inc. This chart assumes that an investment of $100 was made in our common stock, in the index, and in the peer group on November 20, 2008 and that all dividends paid by us (other than the special distribution) and such companies were reinvested, and tracks the relative performance of such investments through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156210</wp:posOffset>
            </wp:positionV>
            <wp:extent cx="4973955" cy="41249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73955" cy="412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11/08</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11/08</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12/08</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1/09</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2/09</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3/09</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4/09</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5/09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Grand Canyon Education, Inc.</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100.00</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125.23</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158.48</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146.24</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143.63</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145.65</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137.97</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114.43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b w:val="1"/>
                <w:bCs w:val="1"/>
                <w:color w:val="auto"/>
              </w:rPr>
              <w:t>S&amp;P 500</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100.00</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92.83</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93.81</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85.91</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76.76</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83.48</w:t>
            </w: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91.47</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96.59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NASDAQ Composite</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100.00</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89.99</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92.81</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87.08</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81.62</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89.96</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100.59</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104.30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20"/>
                <w:szCs w:val="20"/>
                <w:color w:val="auto"/>
              </w:rPr>
            </w:pPr>
            <w:r>
              <w:rPr>
                <w:rFonts w:ascii="Arial" w:cs="Arial" w:eastAsia="Arial" w:hAnsi="Arial"/>
                <w:sz w:val="14"/>
                <w:szCs w:val="14"/>
                <w:b w:val="1"/>
                <w:bCs w:val="1"/>
                <w:color w:val="auto"/>
              </w:rPr>
              <w:t>Peer Group</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100.00</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112.86</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110.37</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114.62</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103.04</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91.28</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77.84</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74.49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6/09</w:t>
            </w:r>
          </w:p>
        </w:tc>
        <w:tc>
          <w:tcPr>
            <w:tcW w:w="22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7/09</w:t>
            </w:r>
          </w:p>
        </w:tc>
        <w:tc>
          <w:tcPr>
            <w:tcW w:w="200" w:type="dxa"/>
            <w:vAlign w:val="bottom"/>
          </w:tcPr>
          <w:p>
            <w:pPr>
              <w:spacing w:after="0"/>
              <w:rPr>
                <w:sz w:val="24"/>
                <w:szCs w:val="24"/>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8/09</w:t>
            </w:r>
          </w:p>
        </w:tc>
        <w:tc>
          <w:tcPr>
            <w:tcW w:w="200" w:type="dxa"/>
            <w:vAlign w:val="bottom"/>
          </w:tcPr>
          <w:p>
            <w:pPr>
              <w:spacing w:after="0"/>
              <w:rPr>
                <w:sz w:val="24"/>
                <w:szCs w:val="24"/>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9/09</w:t>
            </w:r>
          </w:p>
        </w:tc>
        <w:tc>
          <w:tcPr>
            <w:tcW w:w="2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10/09</w:t>
            </w:r>
          </w:p>
        </w:tc>
        <w:tc>
          <w:tcPr>
            <w:tcW w:w="2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11/09</w:t>
            </w:r>
          </w:p>
        </w:tc>
        <w:tc>
          <w:tcPr>
            <w:tcW w:w="2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12/09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Grand Canyon Education, Inc.</w:t>
            </w: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141.60</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147.76</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146.84</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150.46</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136.88</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161.77</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160.42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b w:val="1"/>
                <w:bCs w:val="1"/>
                <w:color w:val="auto"/>
              </w:rPr>
              <w:t>S&amp;P 500</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96.78</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104.10</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107.86</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111.88</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109.80</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116.39</w:t>
            </w: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118.64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NASDAQ Composite</w:t>
            </w: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108.02</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116.39</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118.59</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125.08</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120.89</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126.96</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134.06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20"/>
                <w:szCs w:val="20"/>
                <w:color w:val="auto"/>
              </w:rPr>
            </w:pPr>
            <w:r>
              <w:rPr>
                <w:rFonts w:ascii="Arial" w:cs="Arial" w:eastAsia="Arial" w:hAnsi="Arial"/>
                <w:sz w:val="14"/>
                <w:szCs w:val="14"/>
                <w:b w:val="1"/>
                <w:bCs w:val="1"/>
                <w:color w:val="auto"/>
              </w:rPr>
              <w:t>Peer Group</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89.68</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87.84</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84.18</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91.49</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76.19</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75.97</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80.07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1/10</w:t>
            </w:r>
          </w:p>
        </w:tc>
        <w:tc>
          <w:tcPr>
            <w:tcW w:w="22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2/10</w:t>
            </w:r>
          </w:p>
        </w:tc>
        <w:tc>
          <w:tcPr>
            <w:tcW w:w="200" w:type="dxa"/>
            <w:vAlign w:val="bottom"/>
          </w:tcPr>
          <w:p>
            <w:pPr>
              <w:spacing w:after="0"/>
              <w:rPr>
                <w:sz w:val="24"/>
                <w:szCs w:val="24"/>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3/10</w:t>
            </w:r>
          </w:p>
        </w:tc>
        <w:tc>
          <w:tcPr>
            <w:tcW w:w="200" w:type="dxa"/>
            <w:vAlign w:val="bottom"/>
          </w:tcPr>
          <w:p>
            <w:pPr>
              <w:spacing w:after="0"/>
              <w:rPr>
                <w:sz w:val="24"/>
                <w:szCs w:val="24"/>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4/10</w:t>
            </w:r>
          </w:p>
        </w:tc>
        <w:tc>
          <w:tcPr>
            <w:tcW w:w="2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5/10</w:t>
            </w:r>
          </w:p>
        </w:tc>
        <w:tc>
          <w:tcPr>
            <w:tcW w:w="2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6/10</w:t>
            </w:r>
          </w:p>
        </w:tc>
        <w:tc>
          <w:tcPr>
            <w:tcW w:w="2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7/10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Grand Canyon Education, Inc.</w:t>
            </w: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168.52</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183.54</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220.59</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204.05</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207.26</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197.72</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204.81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b w:val="1"/>
                <w:bCs w:val="1"/>
                <w:color w:val="auto"/>
              </w:rPr>
              <w:t>S&amp;P 500</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114.37</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117.91</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125.03</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127.00</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116.86</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110.74</w:t>
            </w: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118.50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NASDAQ Composite</w:t>
            </w: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127.40</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132.92</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142.25</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145.46</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133.36</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125.34</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133.98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20"/>
                <w:szCs w:val="20"/>
                <w:color w:val="auto"/>
              </w:rPr>
            </w:pPr>
            <w:r>
              <w:rPr>
                <w:rFonts w:ascii="Arial" w:cs="Arial" w:eastAsia="Arial" w:hAnsi="Arial"/>
                <w:sz w:val="14"/>
                <w:szCs w:val="14"/>
                <w:b w:val="1"/>
                <w:bCs w:val="1"/>
                <w:color w:val="auto"/>
              </w:rPr>
              <w:t>Peer Group</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77.94</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80.92</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86.97</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84.01</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79.13</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64.69</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71.06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8/10</w:t>
            </w:r>
          </w:p>
        </w:tc>
        <w:tc>
          <w:tcPr>
            <w:tcW w:w="200" w:type="dxa"/>
            <w:vAlign w:val="bottom"/>
          </w:tcPr>
          <w:p>
            <w:pPr>
              <w:spacing w:after="0"/>
              <w:rPr>
                <w:sz w:val="24"/>
                <w:szCs w:val="24"/>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9/10</w:t>
            </w:r>
          </w:p>
        </w:tc>
        <w:tc>
          <w:tcPr>
            <w:tcW w:w="2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10/10</w:t>
            </w:r>
          </w:p>
        </w:tc>
        <w:tc>
          <w:tcPr>
            <w:tcW w:w="2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11/10</w:t>
            </w:r>
          </w:p>
        </w:tc>
        <w:tc>
          <w:tcPr>
            <w:tcW w:w="2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12/10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Grand Canyon Education, Inc.</w:t>
            </w: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143.88</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185.06</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158.73</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160.68</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165.32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b w:val="1"/>
                <w:bCs w:val="1"/>
                <w:color w:val="auto"/>
              </w:rPr>
              <w:t>S&amp;P 500</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113.15</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123.25</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127.94</w:t>
            </w: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127.96</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136.51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NASDAQ Composite</w:t>
            </w: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126.21</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141.37</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149.55</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148.93</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158.26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20"/>
                <w:szCs w:val="20"/>
                <w:color w:val="auto"/>
              </w:rPr>
            </w:pPr>
            <w:r>
              <w:rPr>
                <w:rFonts w:ascii="Arial" w:cs="Arial" w:eastAsia="Arial" w:hAnsi="Arial"/>
                <w:sz w:val="14"/>
                <w:szCs w:val="14"/>
                <w:b w:val="1"/>
                <w:bCs w:val="1"/>
                <w:color w:val="auto"/>
              </w:rPr>
              <w:t>Peer Group</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52.47</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66.91</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51.37</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50.97</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60.29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1/11</w:t>
            </w:r>
          </w:p>
        </w:tc>
        <w:tc>
          <w:tcPr>
            <w:tcW w:w="22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2/11</w:t>
            </w:r>
          </w:p>
        </w:tc>
        <w:tc>
          <w:tcPr>
            <w:tcW w:w="200" w:type="dxa"/>
            <w:vAlign w:val="bottom"/>
          </w:tcPr>
          <w:p>
            <w:pPr>
              <w:spacing w:after="0"/>
              <w:rPr>
                <w:sz w:val="24"/>
                <w:szCs w:val="2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3/11</w:t>
            </w:r>
          </w:p>
        </w:tc>
        <w:tc>
          <w:tcPr>
            <w:tcW w:w="200" w:type="dxa"/>
            <w:vAlign w:val="bottom"/>
          </w:tcPr>
          <w:p>
            <w:pPr>
              <w:spacing w:after="0"/>
              <w:rPr>
                <w:sz w:val="24"/>
                <w:szCs w:val="2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4/11</w:t>
            </w:r>
          </w:p>
        </w:tc>
        <w:tc>
          <w:tcPr>
            <w:tcW w:w="2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5/11</w:t>
            </w:r>
          </w:p>
        </w:tc>
        <w:tc>
          <w:tcPr>
            <w:tcW w:w="2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6/11</w:t>
            </w:r>
          </w:p>
        </w:tc>
        <w:tc>
          <w:tcPr>
            <w:tcW w:w="2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7/11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Grand Canyon Education, Inc.</w:t>
            </w: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152.66</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135.70</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122.36</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122.03</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108.86</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119.66</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129.87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b w:val="1"/>
                <w:bCs w:val="1"/>
                <w:color w:val="auto"/>
              </w:rPr>
              <w:t>S&amp;P 500</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139.74</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144.53</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144.59</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148.87</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147.19</w:t>
            </w: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144.73</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141.79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NASDAQ Composite</w:t>
            </w: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161.63</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166.60</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166.55</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172.30</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169.85</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166.32</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165.25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20"/>
                <w:szCs w:val="20"/>
                <w:color w:val="auto"/>
              </w:rPr>
            </w:pPr>
            <w:r>
              <w:rPr>
                <w:rFonts w:ascii="Arial" w:cs="Arial" w:eastAsia="Arial" w:hAnsi="Arial"/>
                <w:sz w:val="14"/>
                <w:szCs w:val="14"/>
                <w:b w:val="1"/>
                <w:bCs w:val="1"/>
                <w:color w:val="auto"/>
              </w:rPr>
              <w:t>Peer Group</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58.49</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63.75</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60.83</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58.00</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62.04</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65.66</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69.26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8/11</w:t>
            </w:r>
          </w:p>
        </w:tc>
        <w:tc>
          <w:tcPr>
            <w:tcW w:w="200" w:type="dxa"/>
            <w:vAlign w:val="bottom"/>
          </w:tcPr>
          <w:p>
            <w:pPr>
              <w:spacing w:after="0"/>
              <w:rPr>
                <w:sz w:val="24"/>
                <w:szCs w:val="2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9/11</w:t>
            </w:r>
          </w:p>
        </w:tc>
        <w:tc>
          <w:tcPr>
            <w:tcW w:w="2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10/11</w:t>
            </w:r>
          </w:p>
        </w:tc>
        <w:tc>
          <w:tcPr>
            <w:tcW w:w="2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11/11</w:t>
            </w:r>
          </w:p>
        </w:tc>
        <w:tc>
          <w:tcPr>
            <w:tcW w:w="2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12/11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Grand Canyon Education, Inc.</w:t>
            </w: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131.22</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136.29</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137.64</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130.38</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134.68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b w:val="1"/>
                <w:bCs w:val="1"/>
                <w:color w:val="auto"/>
              </w:rPr>
              <w:t>S&amp;P 500</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134.09</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124.66</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138.29</w:t>
            </w: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137.98</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139.39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NASDAQ Composite</w:t>
            </w: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154.71</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144.74</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160.70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157.37</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156.71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20"/>
                <w:szCs w:val="20"/>
                <w:color w:val="auto"/>
              </w:rPr>
            </w:pPr>
            <w:r>
              <w:rPr>
                <w:rFonts w:ascii="Arial" w:cs="Arial" w:eastAsia="Arial" w:hAnsi="Arial"/>
                <w:sz w:val="14"/>
                <w:szCs w:val="14"/>
                <w:b w:val="1"/>
                <w:bCs w:val="1"/>
                <w:color w:val="auto"/>
              </w:rPr>
              <w:t>Peer Group</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58.85</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50.25</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60.88</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64.25</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72.38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Copyright</w:t>
      </w:r>
      <w:r>
        <w:rPr>
          <w:rFonts w:ascii="Arial" w:cs="Arial" w:eastAsia="Arial" w:hAnsi="Arial"/>
          <w:sz w:val="10"/>
          <w:szCs w:val="10"/>
          <w:b w:val="1"/>
          <w:bCs w:val="1"/>
          <w:color w:val="auto"/>
        </w:rPr>
        <w:t>©</w:t>
      </w:r>
      <w:r>
        <w:rPr>
          <w:rFonts w:ascii="Arial" w:cs="Arial" w:eastAsia="Arial" w:hAnsi="Arial"/>
          <w:sz w:val="16"/>
          <w:szCs w:val="16"/>
          <w:b w:val="1"/>
          <w:bCs w:val="1"/>
          <w:color w:val="auto"/>
        </w:rPr>
        <w:t xml:space="preserve"> 2012 Standard &amp; Poor’s, a division of The McGraw-Hill Companies Inc. All rights reserved. (www.researchdatagroup.com/S&amp;P.htm)</w:t>
      </w:r>
    </w:p>
    <w:p>
      <w:pPr>
        <w:spacing w:after="0" w:line="17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information contained in the performance graph shall not be deemed “soliciting material” or to be “filed” with the SEC nor shall such information be deemed incorporated by reference into any future filing under the Securities Act or the Exchange Act, except to the extent that we specifically incorporate it by reference into such filing.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stock price performance included in this graph is not necessarily indicative of future stock price performance.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Consolidated Financial and Other Data</w:t>
      </w:r>
    </w:p>
    <w:p>
      <w:pPr>
        <w:spacing w:after="0" w:line="15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The following selected consolidated financial and other data should be read in conjunction with Item 8, </w:t>
      </w:r>
      <w:r>
        <w:rPr>
          <w:rFonts w:ascii="Arial" w:cs="Arial" w:eastAsia="Arial" w:hAnsi="Arial"/>
          <w:sz w:val="16"/>
          <w:szCs w:val="16"/>
          <w:i w:val="1"/>
          <w:iCs w:val="1"/>
          <w:color w:val="auto"/>
        </w:rPr>
        <w:t>Consolidated Financial Statements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Supplementary Data</w:t>
      </w:r>
      <w:r>
        <w:rPr>
          <w:rFonts w:ascii="Arial" w:cs="Arial" w:eastAsia="Arial" w:hAnsi="Arial"/>
          <w:sz w:val="16"/>
          <w:szCs w:val="16"/>
          <w:color w:val="auto"/>
        </w:rPr>
        <w:t>, and Item 7,</w:t>
      </w:r>
      <w:r>
        <w:rPr>
          <w:rFonts w:ascii="Arial" w:cs="Arial" w:eastAsia="Arial" w:hAnsi="Arial"/>
          <w:sz w:val="16"/>
          <w:szCs w:val="16"/>
          <w:i w:val="1"/>
          <w:iCs w:val="1"/>
          <w:color w:val="auto"/>
        </w:rPr>
        <w:t xml:space="preserve"> Management’s Discussion and Analysis of Financial Condition and Results of Operations</w:t>
      </w:r>
      <w:r>
        <w:rPr>
          <w:rFonts w:ascii="Arial" w:cs="Arial" w:eastAsia="Arial" w:hAnsi="Arial"/>
          <w:sz w:val="16"/>
          <w:szCs w:val="16"/>
          <w:color w:val="auto"/>
        </w:rPr>
        <w:t>, to fully understand factors that may</w:t>
      </w:r>
      <w:r>
        <w:rPr>
          <w:rFonts w:ascii="Arial" w:cs="Arial" w:eastAsia="Arial" w:hAnsi="Arial"/>
          <w:sz w:val="16"/>
          <w:szCs w:val="16"/>
          <w:i w:val="1"/>
          <w:iCs w:val="1"/>
          <w:color w:val="auto"/>
        </w:rPr>
        <w:t xml:space="preserve"> </w:t>
      </w:r>
      <w:r>
        <w:rPr>
          <w:rFonts w:ascii="Arial" w:cs="Arial" w:eastAsia="Arial" w:hAnsi="Arial"/>
          <w:sz w:val="16"/>
          <w:szCs w:val="16"/>
          <w:color w:val="auto"/>
        </w:rPr>
        <w:t>affect the comparability of the information presented below. The selected consolidated income statement data and other data, excluding period end enrollment, for the years ended December 31, 2011, 2010, and 2009, and the selected consolidated balance sheet data as of December 31, 2011, and 2010, have been derived from our audited consolidated financial statements for such years, which are included herein. The selected consolidated income statement data and other data, excluding period end enrollment, for the years ended December 31, 2008 and 2007, and the selected consolidated balance sheet data as of December 31, 2008, and 2007, have been derived from our audited consolidated financial statements for such years, which are not included herein. Our historical results are not necessarily indicative of our results for any future period.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8"/>
          </w:tcPr>
          <w:p>
            <w:pPr>
              <w:jc w:val="center"/>
              <w:ind w:left="455"/>
              <w:spacing w:after="0"/>
              <w:rPr>
                <w:sz w:val="20"/>
                <w:szCs w:val="20"/>
                <w:color w:val="auto"/>
              </w:rPr>
            </w:pPr>
            <w:r>
              <w:rPr>
                <w:rFonts w:ascii="Arial" w:cs="Arial" w:eastAsia="Arial" w:hAnsi="Arial"/>
                <w:sz w:val="14"/>
                <w:szCs w:val="14"/>
                <w:b w:val="1"/>
                <w:bCs w:val="1"/>
                <w:color w:val="auto"/>
                <w:w w:val="87"/>
              </w:rPr>
              <w:t>Year Ended December 31,</w:t>
            </w: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89"/>
              </w:rPr>
              <w:t>2009</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gridSpan w:val="10"/>
          </w:tcPr>
          <w:p>
            <w:pPr>
              <w:jc w:val="center"/>
              <w:ind w:right="320"/>
              <w:spacing w:after="0"/>
              <w:rPr>
                <w:sz w:val="20"/>
                <w:szCs w:val="20"/>
                <w:color w:val="auto"/>
              </w:rPr>
            </w:pPr>
            <w:r>
              <w:rPr>
                <w:rFonts w:ascii="Arial" w:cs="Arial" w:eastAsia="Arial" w:hAnsi="Arial"/>
                <w:sz w:val="14"/>
                <w:szCs w:val="14"/>
                <w:b w:val="1"/>
                <w:bCs w:val="1"/>
                <w:color w:val="auto"/>
                <w:w w:val="86"/>
              </w:rPr>
              <w:t>(In thousands, except per share data)</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4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revenue</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426,741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385,625</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261,902</w:t>
            </w:r>
          </w:p>
        </w:tc>
        <w:tc>
          <w:tcPr>
            <w:tcW w:w="1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161,309</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Instructional costs and services</w:t>
            </w:r>
            <w:r>
              <w:rPr>
                <w:rFonts w:ascii="Arial" w:cs="Arial" w:eastAsia="Arial" w:hAnsi="Arial"/>
                <w:sz w:val="11"/>
                <w:szCs w:val="11"/>
                <w:color w:val="auto"/>
              </w:rPr>
              <w:t>(1)</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194,505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178,548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101,608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62,915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and promotional</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112,493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1"/>
                <w:szCs w:val="11"/>
                <w:color w:val="auto"/>
              </w:rPr>
              <w:t>(1)</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29,043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26,621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termination fees to related party</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Litigation loss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 termination costs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Estimated exit costs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Royalty to former owner</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Total costs and expenses</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344,581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327,449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215,330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148,512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4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58,176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Interest expense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(2,897)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20" w:type="dxa"/>
            <w:vAlign w:val="bottom"/>
            <w:gridSpan w:val="2"/>
            <w:vMerge w:val="continue"/>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81,528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57,455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45,283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20" w:type="dxa"/>
            <w:vAlign w:val="bottom"/>
            <w:gridSpan w:val="2"/>
            <w:vMerge w:val="continue"/>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50,546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35,206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27,304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Preferred dividends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720" w:type="dxa"/>
            <w:vAlign w:val="bottom"/>
            <w:gridSpan w:val="2"/>
          </w:tcPr>
          <w:p>
            <w:pPr>
              <w:spacing w:after="0"/>
              <w:rPr>
                <w:sz w:val="20"/>
                <w:szCs w:val="20"/>
                <w:color w:val="auto"/>
              </w:rPr>
            </w:pPr>
            <w:r>
              <w:rPr>
                <w:rFonts w:ascii="Arial" w:cs="Arial" w:eastAsia="Arial" w:hAnsi="Arial"/>
                <w:sz w:val="18"/>
                <w:szCs w:val="18"/>
                <w:color w:val="auto"/>
              </w:rPr>
              <w:t>Net income available to common stockholders</w:t>
            </w:r>
          </w:p>
        </w:tc>
        <w:tc>
          <w:tcPr>
            <w:tcW w:w="1120" w:type="dxa"/>
            <w:vAlign w:val="bottom"/>
            <w:gridSpan w:val="2"/>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50,546</w:t>
            </w:r>
          </w:p>
        </w:tc>
        <w:tc>
          <w:tcPr>
            <w:tcW w:w="10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35,206</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27,304</w:t>
            </w:r>
          </w:p>
        </w:tc>
        <w:tc>
          <w:tcPr>
            <w:tcW w:w="12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5,747</w:t>
            </w:r>
          </w:p>
        </w:tc>
        <w:tc>
          <w:tcPr>
            <w:tcW w:w="12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Basic</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0.77</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0.76</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Shares used in computing earnings per common share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45,105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46,396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45,503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33,430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Capital expenditures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86,515</w:t>
            </w:r>
          </w:p>
        </w:tc>
        <w:tc>
          <w:tcPr>
            <w:tcW w:w="100" w:type="dxa"/>
            <w:vAlign w:val="bottom"/>
          </w:tcPr>
          <w:p>
            <w:pPr>
              <w:spacing w:after="0"/>
              <w:rPr>
                <w:sz w:val="18"/>
                <w:szCs w:val="18"/>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62,627</w:t>
            </w:r>
          </w:p>
        </w:tc>
        <w:tc>
          <w:tcPr>
            <w:tcW w:w="12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60,265</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8,374</w:t>
            </w:r>
          </w:p>
        </w:tc>
        <w:tc>
          <w:tcPr>
            <w:tcW w:w="1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16,738</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11,812</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1"/>
                <w:szCs w:val="11"/>
                <w:color w:val="auto"/>
              </w:rPr>
              <w:t>(2)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107,428</w:t>
            </w:r>
          </w:p>
        </w:tc>
        <w:tc>
          <w:tcPr>
            <w:tcW w:w="100" w:type="dxa"/>
            <w:vAlign w:val="bottom"/>
          </w:tcPr>
          <w:p>
            <w:pPr>
              <w:spacing w:after="0"/>
              <w:rPr>
                <w:sz w:val="18"/>
                <w:szCs w:val="18"/>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85,824</w:t>
            </w:r>
          </w:p>
        </w:tc>
        <w:tc>
          <w:tcPr>
            <w:tcW w:w="12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65,119</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25,675</w:t>
            </w:r>
          </w:p>
        </w:tc>
        <w:tc>
          <w:tcPr>
            <w:tcW w:w="1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11,723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Period end enrollment</w:t>
            </w:r>
            <w:r>
              <w:rPr>
                <w:rFonts w:ascii="Arial" w:cs="Arial" w:eastAsia="Arial" w:hAnsi="Arial"/>
                <w:sz w:val="11"/>
                <w:szCs w:val="11"/>
                <w:color w:val="auto"/>
              </w:rPr>
              <w:t>(3)</w:t>
            </w: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Online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38,918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37,734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34,596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Ground</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As of December 31,</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275"/>
              <w:spacing w:after="0" w:line="142" w:lineRule="exact"/>
              <w:rPr>
                <w:sz w:val="20"/>
                <w:szCs w:val="20"/>
                <w:color w:val="auto"/>
              </w:rPr>
            </w:pPr>
            <w:r>
              <w:rPr>
                <w:rFonts w:ascii="Arial" w:cs="Arial" w:eastAsia="Arial" w:hAnsi="Arial"/>
                <w:sz w:val="14"/>
                <w:szCs w:val="14"/>
                <w:b w:val="1"/>
                <w:bCs w:val="1"/>
                <w:color w:val="auto"/>
                <w:w w:val="89"/>
              </w:rPr>
              <w:t>2009</w:t>
            </w: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4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Cash and cash equivalents and marketable securities</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21,189</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33,637</w:t>
            </w:r>
          </w:p>
        </w:tc>
        <w:tc>
          <w:tcPr>
            <w:tcW w:w="360" w:type="dxa"/>
            <w:vAlign w:val="bottom"/>
          </w:tcPr>
          <w:p>
            <w:pPr>
              <w:jc w:val="right"/>
              <w:ind w:right="4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63,101</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35,627</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18,930</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cash equivalents and investments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56,670</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52,938</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3,233</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5,125</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7,578</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Total assets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317,847</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275,096</w:t>
            </w:r>
          </w:p>
        </w:tc>
        <w:tc>
          <w:tcPr>
            <w:tcW w:w="360" w:type="dxa"/>
            <w:vAlign w:val="bottom"/>
          </w:tcPr>
          <w:p>
            <w:pPr>
              <w:spacing w:after="0"/>
              <w:rPr>
                <w:sz w:val="18"/>
                <w:szCs w:val="18"/>
                <w:color w:val="auto"/>
              </w:rPr>
            </w:pP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174,738</w:t>
            </w:r>
          </w:p>
        </w:tc>
        <w:tc>
          <w:tcPr>
            <w:tcW w:w="28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116,990</w:t>
            </w:r>
          </w:p>
        </w:tc>
        <w:tc>
          <w:tcPr>
            <w:tcW w:w="3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88,568</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(including short-term)</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1,144</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1,619</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30,509</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29,228</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Notes payable (including short-term)</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21,640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23,907</w:t>
            </w:r>
          </w:p>
        </w:tc>
        <w:tc>
          <w:tcPr>
            <w:tcW w:w="360" w:type="dxa"/>
            <w:vAlign w:val="bottom"/>
          </w:tcPr>
          <w:p>
            <w:pPr>
              <w:spacing w:after="0"/>
              <w:rPr>
                <w:sz w:val="18"/>
                <w:szCs w:val="18"/>
                <w:color w:val="auto"/>
              </w:rPr>
            </w:pP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26,088</w:t>
            </w:r>
          </w:p>
        </w:tc>
        <w:tc>
          <w:tcPr>
            <w:tcW w:w="28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1,744</w:t>
            </w:r>
          </w:p>
        </w:tc>
        <w:tc>
          <w:tcPr>
            <w:tcW w:w="3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2,408</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31,948</w:t>
            </w: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Total stockholders’/members’ equity (deficit)</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163,293</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127,501</w:t>
            </w:r>
          </w:p>
        </w:tc>
        <w:tc>
          <w:tcPr>
            <w:tcW w:w="360" w:type="dxa"/>
            <w:vAlign w:val="bottom"/>
          </w:tcPr>
          <w:p>
            <w:pPr>
              <w:spacing w:after="0"/>
              <w:rPr>
                <w:sz w:val="19"/>
                <w:szCs w:val="19"/>
                <w:color w:val="auto"/>
              </w:rPr>
            </w:pP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86,028</w:t>
            </w:r>
          </w:p>
        </w:tc>
        <w:tc>
          <w:tcPr>
            <w:tcW w:w="28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53,590</w:t>
            </w:r>
          </w:p>
        </w:tc>
        <w:tc>
          <w:tcPr>
            <w:tcW w:w="3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(10,386)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2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amounts presented reflect the reclassification of bad debt expense from General and administrative expense to Instructional costs and services expense as disclosed in Note 2 to our consolidated financial statements included herein.</w:t>
      </w:r>
    </w:p>
    <w:p>
      <w:pPr>
        <w:spacing w:after="0" w:line="118" w:lineRule="exact"/>
        <w:rPr>
          <w:rFonts w:ascii="Arial" w:cs="Arial" w:eastAsia="Arial" w:hAnsi="Arial"/>
          <w:sz w:val="18"/>
          <w:szCs w:val="18"/>
          <w:color w:val="auto"/>
        </w:rPr>
      </w:pPr>
    </w:p>
    <w:p>
      <w:pPr>
        <w:ind w:left="460" w:right="160" w:hanging="452"/>
        <w:spacing w:after="0" w:line="25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Adjusted EBITDA is defined as net income plus interest expense net of interest income, plus income tax expense, and plus depreciation and amortization (EBITDA), as adjusted for (i) the amortization of prepaid royalty payments recorded in conjunction with a settlement of a dispute with our former owner, as discussed in Note 2 to our consolidated financial statements that are included in Item 8, </w:t>
      </w:r>
      <w:r>
        <w:rPr>
          <w:rFonts w:ascii="Arial" w:cs="Arial" w:eastAsia="Arial" w:hAnsi="Arial"/>
          <w:sz w:val="18"/>
          <w:szCs w:val="18"/>
          <w:i w:val="1"/>
          <w:iCs w:val="1"/>
          <w:color w:val="auto"/>
        </w:rPr>
        <w:t>Consolidated Financial Statements and Supplementary Data</w:t>
      </w:r>
      <w:r>
        <w:rPr>
          <w:rFonts w:ascii="Arial" w:cs="Arial" w:eastAsia="Arial" w:hAnsi="Arial"/>
          <w:sz w:val="18"/>
          <w:szCs w:val="18"/>
          <w:color w:val="auto"/>
        </w:rPr>
        <w:t>; (ii) contributions made to Arizona school tuition organizations in lieu of the payment of state income taxes, which we typically make in the fourth quarter of a fiscal year; (iii) litigation losses, if any; (iv) exit costs, if any; (v) contract termination fees, if any; (vi) lease termination costs, if any; and (vii) share-based compensation.</w:t>
      </w:r>
    </w:p>
    <w:p>
      <w:pPr>
        <w:spacing w:after="0" w:line="130" w:lineRule="exact"/>
        <w:rPr>
          <w:rFonts w:ascii="Arial" w:cs="Arial" w:eastAsia="Arial" w:hAnsi="Arial"/>
          <w:sz w:val="18"/>
          <w:szCs w:val="18"/>
          <w:color w:val="auto"/>
        </w:rPr>
      </w:pPr>
    </w:p>
    <w:p>
      <w:pPr>
        <w:ind w:left="460" w:hanging="452"/>
        <w:spacing w:after="0" w:line="370"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Enrollment at December 31, 2011 and 2010 represents individual students who attended a course during the last two months of the calendar quarter. Prior to our transition to BBAY, enrollment had been defined as individual students that attended a course in a term that was in session as of the end of the quarter.</w:t>
      </w:r>
    </w:p>
    <w:p>
      <w:pPr>
        <w:spacing w:after="0" w:line="3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present Adjusted EBITDA because we consider it to be an important supplemental measure of our operating performance. We also make certain compensation decisions based, in part, on our operating performance, as measured by Adjusted EBITDA, and our loan agreement requires us to comply with covenants that include performance metrics substantially similar to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Royalty expenses paid to our former owner, contributions made to Arizona school tuition organizations in lieu of the payment of state income taxes, estimated litigation losses, exit costs, share-based compensation, and contract termination fees are not considered reflective of our core performance. 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9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and you should not consider it in isolation, or as a substitute for net income, operating income, or any other performance measure derived in accordance with and reported under GAAP or as an alternative to cash flow from operating activities or as a measure of our liquidity. Some of these limitations are that it does not reflect: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567"/>
        <w:spacing w:after="0"/>
        <w:tabs>
          <w:tab w:leader="none" w:pos="148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cash expenditures for capital expenditures or contractual commitments;</w:t>
      </w:r>
    </w:p>
    <w:p>
      <w:pPr>
        <w:spacing w:after="0" w:line="157" w:lineRule="exact"/>
        <w:rPr>
          <w:rFonts w:ascii="Arial" w:cs="Arial" w:eastAsia="Arial" w:hAnsi="Arial"/>
          <w:sz w:val="18"/>
          <w:szCs w:val="18"/>
          <w:b w:val="1"/>
          <w:bCs w:val="1"/>
          <w:color w:val="auto"/>
        </w:rPr>
      </w:pPr>
    </w:p>
    <w:p>
      <w:pPr>
        <w:ind w:left="1480" w:hanging="567"/>
        <w:spacing w:after="0"/>
        <w:tabs>
          <w:tab w:leader="none" w:pos="148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changes in, or cash requirement for, our working capital requirements;</w:t>
      </w:r>
    </w:p>
    <w:p>
      <w:pPr>
        <w:spacing w:after="0" w:line="157" w:lineRule="exact"/>
        <w:rPr>
          <w:rFonts w:ascii="Arial" w:cs="Arial" w:eastAsia="Arial" w:hAnsi="Arial"/>
          <w:sz w:val="18"/>
          <w:szCs w:val="18"/>
          <w:b w:val="1"/>
          <w:bCs w:val="1"/>
          <w:color w:val="auto"/>
        </w:rPr>
      </w:pPr>
    </w:p>
    <w:p>
      <w:pPr>
        <w:ind w:left="1480" w:hanging="567"/>
        <w:spacing w:after="0"/>
        <w:tabs>
          <w:tab w:leader="none" w:pos="148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interest expense, or the cash required to replace assets that are being depreciated or amortized; and</w:t>
      </w:r>
    </w:p>
    <w:p>
      <w:pPr>
        <w:spacing w:after="0" w:line="157" w:lineRule="exact"/>
        <w:rPr>
          <w:rFonts w:ascii="Arial" w:cs="Arial" w:eastAsia="Arial" w:hAnsi="Arial"/>
          <w:sz w:val="18"/>
          <w:szCs w:val="18"/>
          <w:b w:val="1"/>
          <w:bCs w:val="1"/>
          <w:color w:val="auto"/>
        </w:rPr>
      </w:pPr>
    </w:p>
    <w:p>
      <w:pPr>
        <w:ind w:left="1480" w:right="600" w:hanging="567"/>
        <w:spacing w:after="0" w:line="268" w:lineRule="auto"/>
        <w:tabs>
          <w:tab w:leader="none" w:pos="148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the impact on our reported results of earnings or charges resulting from the items for which we make adjustments to our EBITDA, as described above and set forth in the table below.</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using Adjusted EBITDA only supplementally. For more information, see our consolidated financial statements and the notes to those statements included elsewhere in this Annual Report on Form 10-K.</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data relating to Adjusted EBITDA,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83"/>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980" w:type="dxa"/>
            <w:vAlign w:val="bottom"/>
            <w:gridSpan w:val="4"/>
            <w:vMerge w:val="continue"/>
          </w:tcPr>
          <w:p>
            <w:pPr>
              <w:spacing w:after="0"/>
              <w:rPr>
                <w:sz w:val="11"/>
                <w:szCs w:val="11"/>
                <w:color w:val="auto"/>
              </w:rPr>
            </w:pPr>
          </w:p>
        </w:tc>
        <w:tc>
          <w:tcPr>
            <w:tcW w:w="2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55"/>
              <w:spacing w:after="0" w:line="129"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34"/>
              <w:spacing w:after="0" w:line="129"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34"/>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50,546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35,206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Plus: interest expense net of interest income</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632</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721</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30,982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22,249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Plus: depreciation and amortization</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16,738</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11,812</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EBITDA</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98,898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69,988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4"/>
            <w:vMerge w:val="restart"/>
          </w:tcPr>
          <w:p>
            <w:pPr>
              <w:spacing w:after="0"/>
              <w:rPr>
                <w:sz w:val="20"/>
                <w:szCs w:val="20"/>
                <w:color w:val="auto"/>
              </w:rPr>
            </w:pPr>
            <w:r>
              <w:rPr>
                <w:rFonts w:ascii="Arial" w:cs="Arial" w:eastAsia="Arial" w:hAnsi="Arial"/>
                <w:sz w:val="18"/>
                <w:szCs w:val="18"/>
                <w:color w:val="auto"/>
              </w:rPr>
              <w:t>Plus: royalty to former owner</w:t>
            </w:r>
            <w:r>
              <w:rPr>
                <w:rFonts w:ascii="Arial" w:cs="Arial" w:eastAsia="Arial" w:hAnsi="Arial"/>
                <w:sz w:val="11"/>
                <w:szCs w:val="11"/>
                <w:color w:val="auto"/>
              </w:rPr>
              <w:t>(a)</w:t>
            </w:r>
          </w:p>
        </w:tc>
        <w:tc>
          <w:tcPr>
            <w:tcW w:w="2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80" w:type="dxa"/>
            <w:vAlign w:val="bottom"/>
            <w:gridSpan w:val="4"/>
            <w:vMerge w:val="continue"/>
          </w:tcPr>
          <w:p>
            <w:pPr>
              <w:spacing w:after="0"/>
              <w:rPr>
                <w:sz w:val="19"/>
                <w:szCs w:val="19"/>
                <w:color w:val="auto"/>
              </w:rPr>
            </w:pPr>
          </w:p>
        </w:tc>
        <w:tc>
          <w:tcPr>
            <w:tcW w:w="2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contributions made in lieu of state income taxes</w:t>
            </w:r>
            <w:r>
              <w:rPr>
                <w:rFonts w:ascii="Arial" w:cs="Arial" w:eastAsia="Arial" w:hAnsi="Arial"/>
                <w:sz w:val="11"/>
                <w:szCs w:val="11"/>
                <w:color w:val="auto"/>
              </w:rPr>
              <w:t>(b)</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Plus: litigation loss</w:t>
            </w:r>
            <w:r>
              <w:rPr>
                <w:rFonts w:ascii="Arial" w:cs="Arial" w:eastAsia="Arial" w:hAnsi="Arial"/>
                <w:sz w:val="11"/>
                <w:szCs w:val="11"/>
                <w:color w:val="auto"/>
              </w:rPr>
              <w:t>(c)</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exit costs</w:t>
            </w:r>
            <w:r>
              <w:rPr>
                <w:rFonts w:ascii="Arial" w:cs="Arial" w:eastAsia="Arial" w:hAnsi="Arial"/>
                <w:sz w:val="11"/>
                <w:szCs w:val="11"/>
                <w:color w:val="auto"/>
              </w:rPr>
              <w:t>(d)</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Plus: contract termination fees to a related party</w:t>
            </w:r>
            <w:r>
              <w:rPr>
                <w:rFonts w:ascii="Arial" w:cs="Arial" w:eastAsia="Arial" w:hAnsi="Arial"/>
                <w:sz w:val="11"/>
                <w:szCs w:val="11"/>
                <w:color w:val="auto"/>
              </w:rPr>
              <w:t>(e)</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9,233</w:t>
            </w:r>
          </w:p>
        </w:tc>
        <w:tc>
          <w:tcPr>
            <w:tcW w:w="20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lease termination costs</w:t>
            </w:r>
            <w:r>
              <w:rPr>
                <w:rFonts w:ascii="Arial" w:cs="Arial" w:eastAsia="Arial" w:hAnsi="Arial"/>
                <w:sz w:val="11"/>
                <w:szCs w:val="11"/>
                <w:color w:val="auto"/>
              </w:rPr>
              <w:t>(f)</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Plus: share-based compensation</w:t>
            </w:r>
            <w:r>
              <w:rPr>
                <w:rFonts w:ascii="Arial" w:cs="Arial" w:eastAsia="Arial" w:hAnsi="Arial"/>
                <w:sz w:val="11"/>
                <w:szCs w:val="11"/>
                <w:color w:val="auto"/>
              </w:rPr>
              <w:t>(g)</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6,452</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5,049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107,428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85,824</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8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0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Under the terms of a settlement agreement with the former owner, we are no longer obligated to pay this royalty. The settlement, however, included a prepayment of future royalties that we amortize over time. See Note 2 to our consolidated financial statements that are included in Item 8,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460" w:right="140" w:hanging="452"/>
        <w:spacing w:after="0" w:line="294"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Reflects contributions made to various Arizona school tuition organizations to assist with funding for education. In connection with such contributions made we received a dollar-for-dollar state income tax credit, which resulted in a reduction in our effective income tax rate to 38.0%, 38.7% and 39.7% for the years ended December 31, 2011, 2010 and 2009, respectively. Had these contributions not been made, our effective tax rate would have been 38.7%, 39.8% and 40.7%, for 2011, 2010 and 2009, respectively. Such contributions are viewed by our management to be made in lieu of payments of state income taxes and are therefore excluded from evaluation of our core operating performance.</w:t>
      </w:r>
    </w:p>
    <w:p>
      <w:pPr>
        <w:spacing w:after="0" w:line="102" w:lineRule="exact"/>
        <w:rPr>
          <w:rFonts w:ascii="Arial" w:cs="Arial" w:eastAsia="Arial" w:hAnsi="Arial"/>
          <w:sz w:val="16"/>
          <w:szCs w:val="16"/>
          <w:color w:val="auto"/>
        </w:rPr>
      </w:pPr>
    </w:p>
    <w:p>
      <w:pPr>
        <w:ind w:left="460" w:right="8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Reflects $5.2 million for the litigation settlement on our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matter, which became final in December 2010 and was paid in the second quarter of 2011. See Item 8, </w:t>
      </w:r>
      <w:r>
        <w:rPr>
          <w:rFonts w:ascii="Arial" w:cs="Arial" w:eastAsia="Arial" w:hAnsi="Arial"/>
          <w:sz w:val="18"/>
          <w:szCs w:val="18"/>
          <w:i w:val="1"/>
          <w:iCs w:val="1"/>
          <w:color w:val="auto"/>
        </w:rPr>
        <w:t>Consolidated Financial Statements and Supplementary Data</w:t>
      </w:r>
      <w:r>
        <w:rPr>
          <w:rFonts w:ascii="Arial" w:cs="Arial" w:eastAsia="Arial" w:hAnsi="Arial"/>
          <w:sz w:val="18"/>
          <w:szCs w:val="18"/>
          <w:color w:val="auto"/>
        </w:rPr>
        <w:t xml:space="preserve">, and Item 3, </w:t>
      </w:r>
      <w:r>
        <w:rPr>
          <w:rFonts w:ascii="Arial" w:cs="Arial" w:eastAsia="Arial" w:hAnsi="Arial"/>
          <w:sz w:val="18"/>
          <w:szCs w:val="18"/>
          <w:i w:val="1"/>
          <w:iCs w:val="1"/>
          <w:color w:val="auto"/>
        </w:rPr>
        <w:t>Legal Proceedings</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exit costs related to the closure of a student services facility in Utah, including termination benefits, relocation expenses and the future lease payments, plus the write off of leasehold improvements associated with the leased space.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Represents contract termination fees related to the termination of our Mind Streams revenue sharing arrangement, which was reached in December 2010. See Item 8, </w:t>
      </w:r>
      <w:r>
        <w:rPr>
          <w:rFonts w:ascii="Arial" w:cs="Arial" w:eastAsia="Arial" w:hAnsi="Arial"/>
          <w:sz w:val="18"/>
          <w:szCs w:val="18"/>
          <w:i w:val="1"/>
          <w:iCs w:val="1"/>
          <w:color w:val="auto"/>
        </w:rPr>
        <w:t>Consolidated Financial Statements and Supplementary Data</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Reflects termination costs incurred related to the early termination of leased space, removal of deferred rent and leasehold improvements.</w:t>
      </w:r>
    </w:p>
    <w:p>
      <w:pPr>
        <w:spacing w:after="0" w:line="180" w:lineRule="exact"/>
        <w:rPr>
          <w:rFonts w:ascii="Arial" w:cs="Arial" w:eastAsia="Arial" w:hAnsi="Arial"/>
          <w:sz w:val="16"/>
          <w:szCs w:val="16"/>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Reflects share-based compensation expense relating to stock and option grants made to employees and directors.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5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The following discussion and analysis of our financial condition and results of operations for the year ended December 31, 2011 and should be read in conjunction with our consolidated financial statements and related notes that appear in Item 8, </w:t>
      </w:r>
      <w:r>
        <w:rPr>
          <w:rFonts w:ascii="Arial" w:cs="Arial" w:eastAsia="Arial" w:hAnsi="Arial"/>
          <w:sz w:val="16"/>
          <w:szCs w:val="16"/>
          <w:i w:val="1"/>
          <w:iCs w:val="1"/>
          <w:color w:val="auto"/>
        </w:rPr>
        <w:t>Consolidated Financial Statements and Supplementary Data</w:t>
      </w:r>
      <w:r>
        <w:rPr>
          <w:rFonts w:ascii="Arial" w:cs="Arial" w:eastAsia="Arial" w:hAnsi="Arial"/>
          <w:sz w:val="16"/>
          <w:szCs w:val="16"/>
          <w:color w:val="auto"/>
        </w:rPr>
        <w:t xml:space="preserve">. In addition to historical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in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and </w:t>
      </w:r>
      <w:r>
        <w:rPr>
          <w:rFonts w:ascii="Arial" w:cs="Arial" w:eastAsia="Arial" w:hAnsi="Arial"/>
          <w:sz w:val="16"/>
          <w:szCs w:val="16"/>
          <w:i w:val="1"/>
          <w:iCs w:val="1"/>
          <w:color w:val="auto"/>
        </w:rPr>
        <w:t>Forward-Looking Statements</w:t>
      </w:r>
      <w:r>
        <w:rPr>
          <w:rFonts w:ascii="Arial" w:cs="Arial" w:eastAsia="Arial" w:hAnsi="Arial"/>
          <w:sz w:val="16"/>
          <w:szCs w:val="16"/>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5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are a regionally accredited provider of postsecondary education services focused on offering graduate and undergraduate degree programs in our core disciplines of education, healthcare, business and liberal arts. We offer programs online as well as ground programs at our approximately 115-acre traditional campus in Phoenix, Arizona and onsite at the facilities of employers. At December 31, 2011, we had approximately 43,900 students. At December 31, 2011, 88.6% of our students were enrolled in our online programs and, of our online and professional studies students, 42.8% were pursuing master’s or doctoral degrees.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circumstances and trends present opportunities, challenges and risks.</w:t>
      </w:r>
    </w:p>
    <w:p>
      <w:pPr>
        <w:spacing w:after="0" w:line="138"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Evolving Postsecondary Education Market</w:t>
      </w:r>
      <w:r>
        <w:rPr>
          <w:rFonts w:ascii="Arial" w:cs="Arial" w:eastAsia="Arial" w:hAnsi="Arial"/>
          <w:sz w:val="16"/>
          <w:szCs w:val="16"/>
          <w:color w:val="auto"/>
        </w:rPr>
        <w:t>. The U.S. is in the midst of an economic environment that has caused an increased number of individuals to</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 advancing their education. Additionally, we believe the number of non-traditional students who work, are raising a family, or are doing both while trying to earn a college degree continues to grow. Given these trends, we believe that many individuals will be attracted to our high quality academic programs at affordable tuition rates. However we believe that competition for students, especially graduate students, continues to increase.</w:t>
      </w:r>
    </w:p>
    <w:p>
      <w:pPr>
        <w:spacing w:after="0" w:line="7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Regulation and Oversight. </w:t>
      </w:r>
      <w:r>
        <w:rPr>
          <w:rFonts w:ascii="Arial" w:cs="Arial" w:eastAsia="Arial" w:hAnsi="Arial"/>
          <w:sz w:val="16"/>
          <w:szCs w:val="16"/>
          <w:color w:val="auto"/>
        </w:rPr>
        <w:t>We are subject to extensive regulation by federal and state governmental agencies and accrediting bodies. In particular, the</w:t>
      </w:r>
      <w:r>
        <w:rPr>
          <w:rFonts w:ascii="Arial" w:cs="Arial" w:eastAsia="Arial" w:hAnsi="Arial"/>
          <w:sz w:val="16"/>
          <w:szCs w:val="16"/>
          <w:b w:val="1"/>
          <w:bCs w:val="1"/>
          <w:color w:val="auto"/>
        </w:rPr>
        <w:t xml:space="preserve"> </w:t>
      </w:r>
      <w:r>
        <w:rPr>
          <w:rFonts w:ascii="Arial" w:cs="Arial" w:eastAsia="Arial" w:hAnsi="Arial"/>
          <w:sz w:val="16"/>
          <w:szCs w:val="16"/>
          <w:color w:val="auto"/>
        </w:rPr>
        <w:t>Higher Education Act of 1965, as amended (the “Higher Education Act”), and the regulations promulgated thereunder by the Department of Education (including significant new regulations that became effective on July 1, 2011) subject us to significant regulatory scrutiny on the basis of numerous standards that schools must satisfy in order to participate in the various federal student financial assistance programs under Title IV of the Higher Education Act. See Item 1. Business – Regulation. Many of these recent regulations have imposed new reporting and disclosure requirements that have caused increased administrative burden and costs and may have a negative effect on our growth and enrollments. In addition, in recent years, there has been increased focus by Congress on the role that proprietary educational institutions play in higher education and various proposals to modify the laws to which proprietary educational institutions, including, for example, proposals to change the 90/10 Rule to an 85/15 rule and require that colleges count GI Bill benefits, military tuition assistance, and several other sources of federal funds as student financial aid. We cannot predict what legislation, if any, may result from these Congressional committee hearings and inquiries or what impact any such legislation might have on the proprietary education sector or our business in particular. To the extent that any laws or regulations are adopted, or other administrative actions are taken, that limit our participation in Title IV programs or the amount of student financial aid for which the students at our institutions are eligible, our enrollments, revenues and results of operation could be materially and adversely affected.</w:t>
      </w:r>
    </w:p>
    <w:p>
      <w:pPr>
        <w:spacing w:after="0" w:line="88"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Department of Education Program Review</w:t>
      </w:r>
      <w:r>
        <w:rPr>
          <w:rFonts w:ascii="Arial" w:cs="Arial" w:eastAsia="Arial" w:hAnsi="Arial"/>
          <w:sz w:val="16"/>
          <w:szCs w:val="16"/>
          <w:color w:val="auto"/>
        </w:rPr>
        <w:t>. In connection with an ongoing program review that was initiated by the Department of Education in July</w:t>
      </w:r>
      <w:r>
        <w:rPr>
          <w:rFonts w:ascii="Arial" w:cs="Arial" w:eastAsia="Arial" w:hAnsi="Arial"/>
          <w:sz w:val="16"/>
          <w:szCs w:val="16"/>
          <w:b w:val="1"/>
          <w:bCs w:val="1"/>
          <w:color w:val="auto"/>
        </w:rPr>
        <w:t xml:space="preserve"> </w:t>
      </w:r>
      <w:r>
        <w:rPr>
          <w:rFonts w:ascii="Arial" w:cs="Arial" w:eastAsia="Arial" w:hAnsi="Arial"/>
          <w:sz w:val="16"/>
          <w:szCs w:val="16"/>
          <w:color w:val="auto"/>
        </w:rPr>
        <w:t>2010, on August 24, 2011, we received from the Department of Education a written preliminary program review report that included five findings, two of which involve individual student-specific errors concerning the monitoring of satisfactory academic progress for two students and the certification of one student’s Federal Family Educational Loan as an unsubsidized Stafford loan rather than a subsidized Stafford loan. The other three findings address issues related to incentive compensation, gainful employment issue and one additional issue not previously raised with us, as follows: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0" w:hanging="567"/>
        <w:spacing w:after="0" w:line="287" w:lineRule="auto"/>
        <w:tabs>
          <w:tab w:leader="none" w:pos="14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Incentive compensation issue</w:t>
      </w:r>
      <w:r>
        <w:rPr>
          <w:rFonts w:ascii="Arial" w:cs="Arial" w:eastAsia="Arial" w:hAnsi="Arial"/>
          <w:sz w:val="16"/>
          <w:szCs w:val="16"/>
          <w:color w:val="auto"/>
        </w:rPr>
        <w:t>. During a portion of the period under review, we had in place a compensation plan for our enrollment</w:t>
      </w:r>
      <w:r>
        <w:rPr>
          <w:rFonts w:ascii="Arial" w:cs="Arial" w:eastAsia="Arial" w:hAnsi="Arial"/>
          <w:sz w:val="16"/>
          <w:szCs w:val="16"/>
          <w:i w:val="1"/>
          <w:iCs w:val="1"/>
          <w:color w:val="auto"/>
        </w:rPr>
        <w:t xml:space="preserve"> </w:t>
      </w:r>
      <w:r>
        <w:rPr>
          <w:rFonts w:ascii="Arial" w:cs="Arial" w:eastAsia="Arial" w:hAnsi="Arial"/>
          <w:sz w:val="16"/>
          <w:szCs w:val="16"/>
          <w:color w:val="auto"/>
        </w:rPr>
        <w:t>counselors that was designed to comply with the regulatory “safe harbors” in effect during such period that allowed companies to make adjustments to fixed compensation for enrollment personnel, provided that any such adjustment (i) was not made more than twice during any twelve month period, and (ii) was not based solely on the number of students recruited, admitted, enrolled, or awarded financial aid. The plan at issue provided for enrollment counselor performance to be reviewed on a number of non-enrollment-related factors that could account for a substantial portion of any potential base compensation adjustment. The preliminary program review report does not appear to set forth any definitive finding regarding the plan, but the Department of Education has requested additional information from us regarding our enrollment counselor compensation practices and policies in effect during the period under review. We continue to believe that the plan at issue, both as designed and as applied, did not base compensation solely on success in enrolling students in violation of applicable law and will continue to communicate with the Department of Education to resolve this matter.</w:t>
      </w:r>
    </w:p>
    <w:p>
      <w:pPr>
        <w:spacing w:after="0" w:line="109" w:lineRule="exact"/>
        <w:rPr>
          <w:rFonts w:ascii="Arial" w:cs="Arial" w:eastAsia="Arial" w:hAnsi="Arial"/>
          <w:sz w:val="16"/>
          <w:szCs w:val="16"/>
          <w:color w:val="auto"/>
        </w:rPr>
      </w:pPr>
    </w:p>
    <w:p>
      <w:pPr>
        <w:ind w:left="1480" w:right="140" w:hanging="567"/>
        <w:spacing w:after="0" w:line="288" w:lineRule="auto"/>
        <w:tabs>
          <w:tab w:leader="none" w:pos="14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Gainful employment issue</w:t>
      </w:r>
      <w:r>
        <w:rPr>
          <w:rFonts w:ascii="Arial" w:cs="Arial" w:eastAsia="Arial" w:hAnsi="Arial"/>
          <w:sz w:val="16"/>
          <w:szCs w:val="16"/>
          <w:color w:val="auto"/>
        </w:rPr>
        <w:t>. The preliminary program review report sets forth the Department of Education’s position that our Bachelor of</w:t>
      </w:r>
      <w:r>
        <w:rPr>
          <w:rFonts w:ascii="Arial" w:cs="Arial" w:eastAsia="Arial" w:hAnsi="Arial"/>
          <w:sz w:val="16"/>
          <w:szCs w:val="16"/>
          <w:i w:val="1"/>
          <w:iCs w:val="1"/>
          <w:color w:val="auto"/>
        </w:rPr>
        <w:t xml:space="preserve"> </w:t>
      </w:r>
      <w:r>
        <w:rPr>
          <w:rFonts w:ascii="Arial" w:cs="Arial" w:eastAsia="Arial" w:hAnsi="Arial"/>
          <w:sz w:val="16"/>
          <w:szCs w:val="16"/>
          <w:color w:val="auto"/>
        </w:rPr>
        <w:t>Arts in Interdisciplinary Studies program was not an eligible program under Title IV because it did not provide students with training to prepare them for gainful employment in a recognized occupation. This “gainful employment” standard has been a requirement for Title IV eligibility for programs offered at proprietary institutions of higher education such as Grand Canyon University although, pursuant to legislation passed in 2008 and effective as of July 1, 2010, this requirement no longer applies to designated liberal arts programs offered by us and certain other institutions that have held accreditation by a regional accrediting agency since a date on or before October 1, 2007 (we have held a regional accreditation since 1968). We believe that our Interdisciplinary Studies program, which we first offered in Fall 2007 in response to a request by one of our employer-partners, was an eligible program under the “gainful employment” standard in effect prior to July 1, 2010 and intend to continue to communicate with the Department of Education to resolve the matter.</w:t>
      </w:r>
    </w:p>
    <w:p>
      <w:pPr>
        <w:spacing w:after="0" w:line="106" w:lineRule="exact"/>
        <w:rPr>
          <w:rFonts w:ascii="Arial" w:cs="Arial" w:eastAsia="Arial" w:hAnsi="Arial"/>
          <w:sz w:val="16"/>
          <w:szCs w:val="16"/>
          <w:color w:val="auto"/>
        </w:rPr>
      </w:pPr>
    </w:p>
    <w:p>
      <w:pPr>
        <w:ind w:left="1480" w:hanging="567"/>
        <w:spacing w:after="0" w:line="288" w:lineRule="auto"/>
        <w:tabs>
          <w:tab w:leader="none" w:pos="14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Inadequate procedures related to non-passing grades. </w:t>
      </w:r>
      <w:r>
        <w:rPr>
          <w:rFonts w:ascii="Arial" w:cs="Arial" w:eastAsia="Arial" w:hAnsi="Arial"/>
          <w:sz w:val="16"/>
          <w:szCs w:val="16"/>
          <w:color w:val="auto"/>
        </w:rPr>
        <w:t>The preliminary program review report sets forth the Department of Education’s</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that, during the period under review and prior to the time we converted from a term-based financial aid system to a non-term, borrower-based financial aid system in mid-2010, we failed to have an accurate system to determine if students with non-passing grades for a term had no documented attendance for the term or should have been treated as unofficial withdrawals for the term, thereby potentially requiring us to return all or a portion of the Title IV monies previously received with respect to such students. Although we are confident in the legal sufficiency of our policies that were in place during the period under review, we are currently in discussions with the Department of Education regarding this finding. As part of the process of reviewing and responding to this finding, the Department of Education has requested that we conduct a further review of student files and provide additional information to the Department of Education following the completion of such review.</w:t>
      </w:r>
    </w:p>
    <w:p>
      <w:pPr>
        <w:spacing w:after="0" w:line="9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 xml:space="preserve">We cannot presently predict whether or if further information requests will be made, how the foregoing issues will be resolved, when the final program review determination letter will be issued, or when the program review will be closed. At this time, the Department of Education has not specified the amount of any potential penalties, and we have not accrued any amounts in connection with the program review. Our policies and procedures are planned and implemented to comply with the applicable standards and regulations under Title IV and we are committed to resolving any issues of non-compliance identified in the final program review determination letter and ensuring that we operate in compliance with all Department of Education requirements. If the Department of Education were to make significant findings of non-compliance in the final program review determination letter, then, after exhausting any administrative appeals available to us, we could be required to pay a fine, return Title IV monies previously received, or be subjected to other administrative sanctions. While we cannot currently predict the final outcome of the Department of Education review, any such final adverse finding could damage our reputation in the industry and have a material adverse effect on our business, results of operations, cash flows and financial position. See Item 1. </w:t>
      </w:r>
      <w:r>
        <w:rPr>
          <w:rFonts w:ascii="Arial" w:cs="Arial" w:eastAsia="Arial" w:hAnsi="Arial"/>
          <w:sz w:val="16"/>
          <w:szCs w:val="16"/>
          <w:i w:val="1"/>
          <w:iCs w:val="1"/>
          <w:color w:val="auto"/>
        </w:rPr>
        <w:t>Business – Regulation – Compliance Reviews</w:t>
      </w:r>
      <w:r>
        <w:rPr>
          <w:rFonts w:ascii="Arial" w:cs="Arial" w:eastAsia="Arial" w:hAnsi="Arial"/>
          <w:sz w:val="16"/>
          <w:szCs w:val="16"/>
          <w:color w:val="auto"/>
        </w:rPr>
        <w:t xml:space="preserve">, and Item 1A. </w:t>
      </w:r>
      <w:r>
        <w:rPr>
          <w:rFonts w:ascii="Arial" w:cs="Arial" w:eastAsia="Arial" w:hAnsi="Arial"/>
          <w:sz w:val="16"/>
          <w:szCs w:val="16"/>
          <w:i w:val="1"/>
          <w:iCs w:val="1"/>
          <w:color w:val="auto"/>
        </w:rPr>
        <w:t>Risk Factors–The Department of Education is conducting a program review of Grand Canyon University, which may result in the repayment of a substantial amount of Title IV funds and may lead to fines, penalties, or other sanctions, and damage to our reputation in the industry.</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b w:val="1"/>
          <w:bCs w:val="1"/>
          <w:color w:val="auto"/>
        </w:rPr>
        <w:t>Conversion to Borrower Based, Non-Term Financial Aid System</w:t>
      </w:r>
      <w:r>
        <w:rPr>
          <w:rFonts w:ascii="Arial" w:cs="Arial" w:eastAsia="Arial" w:hAnsi="Arial"/>
          <w:sz w:val="16"/>
          <w:szCs w:val="16"/>
          <w:color w:val="auto"/>
        </w:rPr>
        <w:t>. A significant portion of our net revenue is derived from tuition financed by the Title</w:t>
      </w:r>
      <w:r>
        <w:rPr>
          <w:rFonts w:ascii="Arial" w:cs="Arial" w:eastAsia="Arial" w:hAnsi="Arial"/>
          <w:sz w:val="16"/>
          <w:szCs w:val="16"/>
          <w:b w:val="1"/>
          <w:bCs w:val="1"/>
          <w:color w:val="auto"/>
        </w:rPr>
        <w:t xml:space="preserve"> </w:t>
      </w:r>
      <w:r>
        <w:rPr>
          <w:rFonts w:ascii="Arial" w:cs="Arial" w:eastAsia="Arial" w:hAnsi="Arial"/>
          <w:sz w:val="16"/>
          <w:szCs w:val="16"/>
          <w:color w:val="auto"/>
        </w:rPr>
        <w:t>IV programs. Federal regulations dictate the timing of disbursements under the Title IV programs. In April 2010, we began transitioning our online and professional studies students from a “term-based” financial aid system (where all students, including online students, begin programs and are eligible to receive financial aid at periodic start dates pursuant to a calendar-based term system) to a “borrower-based, non-term” or “BBAY” financial aid system (where each student may begin a program and be eligible to receive financial aid at any time throughout the year). We believe BBAY provides greater ease and flexibility for our students by providing for rolling and flexible start dates. It also assists in ensuring the student does not over borrow in the early years of a program, which could result in aggregate loan limits being exceeded prior to graduation. The move to BBAY has, in some circumstances, significantly reduced the amount of living expenses a student is eligible to receive. We believe that the conversion to BBAY, although positive for the student in many respects, caused some of our existing students to leave the University and some potential new students to look for educational opportunities elsewhere. The flexibility of BBAY has also allowed our students to take more frequent breaks between classes which has reduced the revenues we earn in the short term.</w:t>
      </w:r>
    </w:p>
    <w:p>
      <w:pPr>
        <w:spacing w:after="0" w:line="9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Under the BBAY financial aid system, loan funds are generally provided by the Federal Direct Loan Program in two disbursements for each academic year. The disbursements are usually received two to four weeks into the first course of a payment period. These factors, together with the timing of students beginning their programs, affect our operating cash flow. In a term-based Title IV environment, Title IV disbursements are generally based on three academic terms per year and institutions operating on this basis are generally allowed to bring in depending on which term the student begins in anywhere from 33% to 100% of a student’s academic year financial aid at the start of a term, with the majority of such amounts being treated as unrestricted cash and deferred revenue (or a student deposit liability depending on if the course had begun or not) until the revenue is recognized. In BBAY, Title IV disbursements are generally based on a 24-credit academic year/12-credit payment period for undergraduate students and a 12-credit academic year/6-credit payment period for graduate students. Institutions operating on this basis are generally allowed to bring in up to 50% of a student’s academic year financial aid at the start of a program. If this financial aid is received for courses that have begun, then it is treated as unrestricted cash and deferred revenue until the revenue is recognized. If the financial aid is received for courses that have not yet begun, then it is treated as restricted cash and a student deposit liability.</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accordance with University policy, all prospective students are required to select both a primary and secondary payment option with respect to amounts due to the University for tuition, fees and other expenses. In instances where a student selects financial aid as the primary payment option, he or she often selects personal cash as the secondary option. If a student that has selected financial aid as his or her primary payment option withdraws prior to the end of a course but after the date that our institutional refund period has expired, the student will have incurred the obligation to pay the full cost of the course. When a student who has received Title IV program funds withdraws from school, the institution must determine the amount of Title IV program funds the student has “earned” and then must return the unearned Title IV program funds (a “return to Title IV”) to the appropriate lender or the Department of Education in a timely manner, which is generally no later than 45 days after the date the institution determined that the student withdrew. In a term based environment, the return to Title IV is calculated based on the number of completed days in a term as a percentage of the total days in the term, with the exception that, with respect to courses offered in a modular setting (i.e. those offered to nontraditional students as two eight week courses in a term), if a student completed the first course but withdrew prior to the second course, then the full financial aid award was earned by and paid to the student and no return to Title IV calculation was done. In BBAY, we calculate returns to Title IV based on the percentage of the payment period attended in comparison to the full payment period (there is no module concept in a BBAY environment). In this environment, a student (whether undergraduate or graduate) must complete greater than 60% of the payment period in order to earn the full financial aid award. Thus, if a student completes the first course but withdraws prior to the second course and therefore does not complete greater than 60% of the payment period, then the full financial aid award is not earned by the student. In such case, we must perform a return to Title IV calculation and most, if not all, of the refund would be returned to the lender or the Department of Education. If the student withdraws after the 60% threshold, then the student is deemed to have earned 100% of the Title IV program funds he or she received. Because under BBAY, a student generally must complete two of the courses in a payment period to earn the full financial aid award, as opposed to just a single course under the term-based module approach, we have experienced an increase in the Title IV program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funds that will need to be returned to lenders or the Department of Education. This has resulted in an increase in the amounts we need to collect from inactive students which has led to an increase in bad debt expense, from 5.4% of net revenues in 2009 to 10.0% of net revenues in 2010. Bad debt expense decreased to 8.1% of net revenues in 2011 from 10.0% of net revenues in 2010 as a result of improved collections of receivables due from current students between periods due to operational improvements made during 2011 and a reduction in receivables due from former students during the second half of 2011 as a result of us moving further away from our transition to BBAY.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2011 Events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items mentioned above, we experienced the following significant events in 2011:</w:t>
      </w:r>
    </w:p>
    <w:p>
      <w:pPr>
        <w:spacing w:after="0" w:line="158" w:lineRule="exact"/>
        <w:rPr>
          <w:sz w:val="20"/>
          <w:szCs w:val="20"/>
          <w:color w:val="auto"/>
        </w:rPr>
      </w:pPr>
    </w:p>
    <w:p>
      <w:pPr>
        <w:ind w:left="1480" w:right="20" w:hanging="567"/>
        <w:spacing w:after="0" w:line="285" w:lineRule="auto"/>
        <w:tabs>
          <w:tab w:leader="none" w:pos="1480" w:val="left"/>
        </w:tabs>
        <w:numPr>
          <w:ilvl w:val="0"/>
          <w:numId w:val="42"/>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Enrollment, Net Revenue, and Operating Income Growth</w:t>
      </w:r>
      <w:r>
        <w:rPr>
          <w:rFonts w:ascii="Arial" w:cs="Arial" w:eastAsia="Arial" w:hAnsi="Arial"/>
          <w:sz w:val="16"/>
          <w:szCs w:val="16"/>
          <w:i w:val="1"/>
          <w:iCs w:val="1"/>
          <w:color w:val="auto"/>
        </w:rPr>
        <w:t xml:space="preserve"> </w:t>
      </w:r>
      <w:r>
        <w:rPr>
          <w:rFonts w:ascii="Arial" w:cs="Arial" w:eastAsia="Arial" w:hAnsi="Arial"/>
          <w:sz w:val="16"/>
          <w:szCs w:val="16"/>
          <w:color w:val="auto"/>
        </w:rPr>
        <w:t>— We achieved enrollment growth for the fiscal year ended December 31, 2011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fiscal year ended December 31, 2010, as ground enrollment increased 33.4% and online enrollment increased 3.1% over the prior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for tuition, room, board, and fees often half to a third of what it costs to attend a private, traditional university in another state and an amount comparable to what it costs to attend the public universities in the state of Arizona as an in-state student. Another factor contributing to the 10.7% increase in net revenue over the same period was the increase in the revenue per student for our online and professional studies students as a result of tuition price increases as we increased tuition prices for students in our online and professional studies programs by 0.0% to 6.5%, depending on the program, with an estimated blended rate increase of 3.2% for our 2011-12 academic year, as compared to tuition price increases for students in our online and professional studies programs from 0.0% to 5.7%, depending on the program, with an estimated blended rate increase of 3.5% for the prior academic year and an increase in student fees between years. Although we did not raise our tuition for our traditional ground programs during either our 2011-12 or 2010-11 academic years, we did recognize an increase in revenue per student for our traditional ground programs as we recognized a higher amount of revenue from room and board and student fees. Tuition increases have not historically been, and may not in the future be, consistent across our programs due to market conditions and differences in operating costs of individual programs. Operating income was $82.2 million for the fiscal year ended December 31, 2011, an increase of 41.2% over the $58.2 million in operating income for 2010.</w:t>
      </w:r>
    </w:p>
    <w:p>
      <w:pPr>
        <w:spacing w:after="0" w:line="110" w:lineRule="exact"/>
        <w:rPr>
          <w:rFonts w:ascii="Arial" w:cs="Arial" w:eastAsia="Arial" w:hAnsi="Arial"/>
          <w:sz w:val="16"/>
          <w:szCs w:val="16"/>
          <w:b w:val="1"/>
          <w:bCs w:val="1"/>
          <w:color w:val="auto"/>
        </w:rPr>
      </w:pPr>
    </w:p>
    <w:p>
      <w:pPr>
        <w:ind w:left="1480" w:right="120" w:hanging="567"/>
        <w:spacing w:after="0" w:line="290" w:lineRule="auto"/>
        <w:tabs>
          <w:tab w:leader="none" w:pos="1480" w:val="left"/>
        </w:tabs>
        <w:numPr>
          <w:ilvl w:val="0"/>
          <w:numId w:val="42"/>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Capital Expenditures</w:t>
      </w:r>
      <w:r>
        <w:rPr>
          <w:rFonts w:ascii="Arial" w:cs="Arial" w:eastAsia="Arial" w:hAnsi="Arial"/>
          <w:sz w:val="16"/>
          <w:szCs w:val="16"/>
          <w:i w:val="1"/>
          <w:iCs w:val="1"/>
          <w:color w:val="auto"/>
        </w:rPr>
        <w:t xml:space="preserve"> </w:t>
      </w:r>
      <w:r>
        <w:rPr>
          <w:rFonts w:ascii="Arial" w:cs="Arial" w:eastAsia="Arial" w:hAnsi="Arial"/>
          <w:sz w:val="16"/>
          <w:szCs w:val="16"/>
          <w:color w:val="auto"/>
        </w:rPr>
        <w:t>— Our capital expenditures in 2011 of $86.5 million were primarily related to the expansion of our physical campus</w:t>
      </w:r>
      <w:r>
        <w:rPr>
          <w:rFonts w:ascii="Arial" w:cs="Arial" w:eastAsia="Arial" w:hAnsi="Arial"/>
          <w:sz w:val="16"/>
          <w:szCs w:val="16"/>
          <w:i w:val="1"/>
          <w:iCs w:val="1"/>
          <w:color w:val="auto"/>
        </w:rPr>
        <w:t xml:space="preserve"> </w:t>
      </w:r>
      <w:r>
        <w:rPr>
          <w:rFonts w:ascii="Arial" w:cs="Arial" w:eastAsia="Arial" w:hAnsi="Arial"/>
          <w:sz w:val="16"/>
          <w:szCs w:val="16"/>
          <w:color w:val="auto"/>
        </w:rPr>
        <w:t>and significant investments in technology innovation to support our students and staff. In 2011, we completed construction on our 140,000 square foot basketball and entertainment arena, a new 500 bed dormitory, and a student activity center that contains a food court, a bowling alley and other services. In addition, we started construction on an Arts and Science classroom building, which will have 21 traditional classrooms, five chemistry labs, two computer labs, a simulation laboratory, and a skills laboratory, and two additional dormitories. In the Spring of 2012 we will begin construction on our first parking garage. These investments are to support our growing on-campus student population as well as enhance the brand of the University.</w:t>
      </w:r>
    </w:p>
    <w:p>
      <w:pPr>
        <w:spacing w:after="0" w:line="104" w:lineRule="exact"/>
        <w:rPr>
          <w:rFonts w:ascii="Arial" w:cs="Arial" w:eastAsia="Arial" w:hAnsi="Arial"/>
          <w:sz w:val="16"/>
          <w:szCs w:val="16"/>
          <w:b w:val="1"/>
          <w:bCs w:val="1"/>
          <w:color w:val="auto"/>
        </w:rPr>
      </w:pPr>
    </w:p>
    <w:p>
      <w:pPr>
        <w:ind w:left="1480" w:hanging="567"/>
        <w:spacing w:after="0" w:line="294" w:lineRule="auto"/>
        <w:tabs>
          <w:tab w:leader="none" w:pos="1480" w:val="left"/>
        </w:tabs>
        <w:numPr>
          <w:ilvl w:val="0"/>
          <w:numId w:val="42"/>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Amended Loan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 During April 2011, we entered into an amended and restated loan agreement with a financial institution.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amended agreement, the bank (a) extended the maturity date of our existing loan from April 30, 2014 to March 31, 2016 and decreased the interest rate on the outstanding balance from the BBA Libor Rate plus 225 basis points to the BBA Libor Rate plus 200 basis points (all other terms of the existing loan remain the same), and (b) provided us with a revolving line of credit in the amount of $50.0 million through March 31, 2016 to be utilized for working capital, capital expenditures, share repurchases and other general corporate purposes.</w:t>
      </w:r>
    </w:p>
    <w:p>
      <w:pPr>
        <w:spacing w:after="0" w:line="102" w:lineRule="exact"/>
        <w:rPr>
          <w:rFonts w:ascii="Arial" w:cs="Arial" w:eastAsia="Arial" w:hAnsi="Arial"/>
          <w:sz w:val="16"/>
          <w:szCs w:val="16"/>
          <w:b w:val="1"/>
          <w:bCs w:val="1"/>
          <w:color w:val="auto"/>
        </w:rPr>
      </w:pPr>
    </w:p>
    <w:p>
      <w:pPr>
        <w:ind w:left="1480" w:right="40" w:hanging="567"/>
        <w:spacing w:after="0" w:line="303" w:lineRule="auto"/>
        <w:tabs>
          <w:tab w:leader="none" w:pos="1480" w:val="left"/>
        </w:tabs>
        <w:numPr>
          <w:ilvl w:val="0"/>
          <w:numId w:val="42"/>
        </w:numPr>
        <w:rPr>
          <w:rFonts w:ascii="Arial" w:cs="Arial" w:eastAsia="Arial" w:hAnsi="Arial"/>
          <w:sz w:val="15"/>
          <w:szCs w:val="15"/>
          <w:b w:val="1"/>
          <w:bCs w:val="1"/>
          <w:color w:val="auto"/>
        </w:rPr>
      </w:pPr>
      <w:r>
        <w:rPr>
          <w:rFonts w:ascii="Arial" w:cs="Arial" w:eastAsia="Arial" w:hAnsi="Arial"/>
          <w:sz w:val="15"/>
          <w:szCs w:val="15"/>
          <w:i w:val="1"/>
          <w:iCs w:val="1"/>
          <w:u w:val="single" w:color="auto"/>
          <w:color w:val="auto"/>
        </w:rPr>
        <w:t>Investing in Innovative Educational Tools</w:t>
      </w:r>
      <w:r>
        <w:rPr>
          <w:rFonts w:ascii="Arial" w:cs="Arial" w:eastAsia="Arial" w:hAnsi="Arial"/>
          <w:sz w:val="15"/>
          <w:szCs w:val="15"/>
          <w:i w:val="1"/>
          <w:iCs w:val="1"/>
          <w:color w:val="auto"/>
        </w:rPr>
        <w:t xml:space="preserve"> </w:t>
      </w:r>
      <w:r>
        <w:rPr>
          <w:rFonts w:ascii="Arial" w:cs="Arial" w:eastAsia="Arial" w:hAnsi="Arial"/>
          <w:sz w:val="15"/>
          <w:szCs w:val="15"/>
          <w:color w:val="auto"/>
        </w:rPr>
        <w:t>— During 2010, we entered into an agreement with an affiliated entity to develop a new learning</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system for use by the University. Through this agreement we prepaid perpetual license fees, acquired source code rights for the software developed, and prepaid maintenance and service fees for the first seven years of use, for an aggregate amount of $4.9 million.</w:t>
      </w:r>
    </w:p>
    <w:p>
      <w:pPr>
        <w:spacing w:after="0" w:line="1" w:lineRule="exact"/>
        <w:rPr>
          <w:rFonts w:ascii="Arial" w:cs="Arial" w:eastAsia="Arial" w:hAnsi="Arial"/>
          <w:sz w:val="15"/>
          <w:szCs w:val="15"/>
          <w:b w:val="1"/>
          <w:bCs w:val="1"/>
          <w:color w:val="auto"/>
        </w:rPr>
      </w:pPr>
    </w:p>
    <w:p>
      <w:pPr>
        <w:ind w:left="1480" w:right="60"/>
        <w:spacing w:after="0" w:line="261" w:lineRule="auto"/>
        <w:rPr>
          <w:rFonts w:ascii="Arial" w:cs="Arial" w:eastAsia="Arial" w:hAnsi="Arial"/>
          <w:sz w:val="15"/>
          <w:szCs w:val="15"/>
          <w:b w:val="1"/>
          <w:bCs w:val="1"/>
          <w:color w:val="auto"/>
        </w:rPr>
      </w:pPr>
      <w:r>
        <w:rPr>
          <w:rFonts w:ascii="Arial" w:cs="Arial" w:eastAsia="Arial" w:hAnsi="Arial"/>
          <w:sz w:val="18"/>
          <w:szCs w:val="18"/>
          <w:color w:val="auto"/>
        </w:rPr>
        <w:t>During October 2011, we began converting our students to this new learning management platform for our online delivered coursework and anticipate full implementation by 2012.</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metrics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44"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Net revenue consists principally of tuition, room and board charges attributable to students residing on our ground campus, application and graduation fees, and fees from educational resources such as access to online materials or commissions we earn from bookstore and publication sales, less scholarships. Factors affecting our net revenue include: (i) the number of students who are enrolled and who remain enrolled in our courses; (ii) the number of credit hours per student;</w:t>
      </w:r>
    </w:p>
    <w:p>
      <w:pPr>
        <w:spacing w:after="0" w:line="1" w:lineRule="exact"/>
        <w:rPr>
          <w:sz w:val="20"/>
          <w:szCs w:val="20"/>
          <w:color w:val="auto"/>
        </w:rPr>
      </w:pPr>
    </w:p>
    <w:p>
      <w:pPr>
        <w:ind w:right="40" w:firstLine="8"/>
        <w:spacing w:after="0" w:line="261" w:lineRule="auto"/>
        <w:tabs>
          <w:tab w:leader="none" w:pos="307"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degree and program mix; (iv) changes in our tuition rates; (v) the amount of the scholarships that we offer; and (vi) the number of students housed in, and the rent charged for, our on-campus student apartments and dormitories.</w:t>
      </w:r>
    </w:p>
    <w:p>
      <w:pPr>
        <w:spacing w:after="0" w:line="11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Prior to our transition to BBAY, enrollment had been defined as individual students that attended a course in a term that was in session as of the end of the period. We now define enrollment as individual students who attended a course during the last two months of the calendar quarter. We offer three 16-week semesters in a calendar year with one start available per semester for our traditional ground students. Online and professional studies students have more frequent class starts in five-, seven- or eight-week courses through the calendar year. Enrollments are a function of the number of continuing students at the beginning of each period and new enrollments during the period, which are offset by graduations, withdrawals, and inactive students during the period. Inactive students for a particular period include students who are not registered in a class and, therefore, are not generating net revenue for that period, but who have not withdrawn from Grand Canyon University.</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believe that the principal factors that affect our enrollments and net revenue are the number and breadth of the programs we offer; the attractiveness of our program offerings and learning experience, particularly for career-oriented adults who are seeking pay increases or job opportunities that are directly tied to higher educational attainment; the effectiveness of our marketing, recruiting and retention efforts, which is affected by the number and seniority of our enrollment counselors and other recruiting personnel; the quality of our academic programs and student services; the pricing of comparable programs; our brand strength; the convenience and flexibility of our online delivery platform; the availability and cost of federal and other funding for student financial aid; the seasonality of our net revenue, which is enrollment driven and is typically lowest in our second fiscal quarter and highest in our fourth fiscal quarter; and general economic conditions, particularly as they might affect job prospects in our core disciplines.</w:t>
      </w:r>
    </w:p>
    <w:p>
      <w:pPr>
        <w:spacing w:after="0" w:line="9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is a summary of our student enrollment at December 31, 2011, 2010, and 2009 (which included fewer than 400 students pursuing non-degree certificates in each period) by degree type and by instructional delivery method: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85"/>
              </w:rPr>
              <w:t>December 31,</w:t>
            </w: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22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6"/>
                <w:szCs w:val="16"/>
                <w:b w:val="1"/>
                <w:bCs w:val="1"/>
                <w:color w:val="auto"/>
                <w:vertAlign w:val="superscript"/>
              </w:rPr>
              <w:t>(1)</w:t>
            </w:r>
          </w:p>
        </w:tc>
        <w:tc>
          <w:tcPr>
            <w:tcW w:w="7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Borders>
              <w:bottom w:val="single" w:sz="8" w:color="auto"/>
            </w:tcBorders>
            <w:gridSpan w:val="3"/>
          </w:tcPr>
          <w:p>
            <w:pPr>
              <w:jc w:val="center"/>
              <w:ind w:left="685"/>
              <w:spacing w:after="0" w:line="142" w:lineRule="exact"/>
              <w:rPr>
                <w:sz w:val="20"/>
                <w:szCs w:val="20"/>
                <w:color w:val="auto"/>
              </w:rPr>
            </w:pPr>
            <w:r>
              <w:rPr>
                <w:rFonts w:ascii="Arial" w:cs="Arial" w:eastAsia="Arial" w:hAnsi="Arial"/>
                <w:sz w:val="11"/>
                <w:szCs w:val="11"/>
                <w:b w:val="1"/>
                <w:bCs w:val="1"/>
                <w:color w:val="auto"/>
              </w:rPr>
              <w:t>2010</w:t>
            </w:r>
            <w:r>
              <w:rPr>
                <w:rFonts w:ascii="Arial" w:cs="Arial" w:eastAsia="Arial" w:hAnsi="Arial"/>
                <w:sz w:val="16"/>
                <w:szCs w:val="16"/>
                <w:b w:val="1"/>
                <w:bCs w:val="1"/>
                <w:color w:val="auto"/>
                <w:vertAlign w:val="superscript"/>
              </w:rPr>
              <w:t>(1)</w:t>
            </w:r>
          </w:p>
        </w:tc>
        <w:tc>
          <w:tcPr>
            <w:tcW w:w="7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8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 of Total</w:t>
            </w:r>
          </w:p>
        </w:tc>
        <w:tc>
          <w:tcPr>
            <w:tcW w:w="3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 of Total</w:t>
            </w:r>
          </w:p>
        </w:tc>
        <w:tc>
          <w:tcPr>
            <w:tcW w:w="2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Graduate degree</w:t>
            </w:r>
            <w:r>
              <w:rPr>
                <w:rFonts w:ascii="Arial" w:cs="Arial" w:eastAsia="Arial" w:hAnsi="Arial"/>
                <w:sz w:val="11"/>
                <w:szCs w:val="11"/>
                <w:color w:val="auto"/>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17,175</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17,732</w:t>
            </w:r>
          </w:p>
        </w:tc>
        <w:tc>
          <w:tcPr>
            <w:tcW w:w="2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Undergraduate degree</w:t>
            </w:r>
          </w:p>
        </w:tc>
        <w:tc>
          <w:tcPr>
            <w:tcW w:w="860" w:type="dxa"/>
            <w:vAlign w:val="bottom"/>
          </w:tcPr>
          <w:p>
            <w:pPr>
              <w:jc w:val="right"/>
              <w:spacing w:after="0"/>
              <w:rPr>
                <w:sz w:val="20"/>
                <w:szCs w:val="20"/>
                <w:color w:val="auto"/>
              </w:rPr>
            </w:pPr>
            <w:r>
              <w:rPr>
                <w:rFonts w:ascii="Arial" w:cs="Arial" w:eastAsia="Arial" w:hAnsi="Arial"/>
                <w:sz w:val="18"/>
                <w:szCs w:val="18"/>
                <w:color w:val="auto"/>
              </w:rPr>
              <w:t>26,742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60.9%</w:t>
            </w:r>
          </w:p>
        </w:tc>
        <w:tc>
          <w:tcPr>
            <w:tcW w:w="880" w:type="dxa"/>
            <w:vAlign w:val="bottom"/>
          </w:tcPr>
          <w:p>
            <w:pPr>
              <w:jc w:val="right"/>
              <w:spacing w:after="0"/>
              <w:rPr>
                <w:sz w:val="20"/>
                <w:szCs w:val="20"/>
                <w:color w:val="auto"/>
              </w:rPr>
            </w:pPr>
            <w:r>
              <w:rPr>
                <w:rFonts w:ascii="Arial" w:cs="Arial" w:eastAsia="Arial" w:hAnsi="Arial"/>
                <w:sz w:val="18"/>
                <w:szCs w:val="18"/>
                <w:color w:val="auto"/>
              </w:rPr>
              <w:t>23,750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57.3%</w:t>
            </w:r>
          </w:p>
        </w:tc>
        <w:tc>
          <w:tcPr>
            <w:tcW w:w="900" w:type="dxa"/>
            <w:vAlign w:val="bottom"/>
          </w:tcPr>
          <w:p>
            <w:pPr>
              <w:jc w:val="right"/>
              <w:spacing w:after="0"/>
              <w:rPr>
                <w:sz w:val="20"/>
                <w:szCs w:val="20"/>
                <w:color w:val="auto"/>
              </w:rPr>
            </w:pPr>
            <w:r>
              <w:rPr>
                <w:rFonts w:ascii="Arial" w:cs="Arial" w:eastAsia="Arial" w:hAnsi="Arial"/>
                <w:sz w:val="18"/>
                <w:szCs w:val="18"/>
                <w:color w:val="auto"/>
              </w:rPr>
              <w:t>21,612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43,917</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41,482</w:t>
            </w:r>
          </w:p>
        </w:tc>
        <w:tc>
          <w:tcPr>
            <w:tcW w:w="2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85"/>
              </w:rPr>
              <w:t>December 31,</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22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6"/>
                <w:szCs w:val="16"/>
                <w:b w:val="1"/>
                <w:bCs w:val="1"/>
                <w:color w:val="auto"/>
                <w:vertAlign w:val="superscript"/>
              </w:rPr>
              <w:t>(1)</w:t>
            </w:r>
          </w:p>
        </w:tc>
        <w:tc>
          <w:tcPr>
            <w:tcW w:w="7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Borders>
              <w:bottom w:val="single" w:sz="8" w:color="auto"/>
            </w:tcBorders>
            <w:gridSpan w:val="3"/>
          </w:tcPr>
          <w:p>
            <w:pPr>
              <w:jc w:val="center"/>
              <w:ind w:left="685"/>
              <w:spacing w:after="0" w:line="142" w:lineRule="exact"/>
              <w:rPr>
                <w:sz w:val="20"/>
                <w:szCs w:val="20"/>
                <w:color w:val="auto"/>
              </w:rPr>
            </w:pPr>
            <w:r>
              <w:rPr>
                <w:rFonts w:ascii="Arial" w:cs="Arial" w:eastAsia="Arial" w:hAnsi="Arial"/>
                <w:sz w:val="11"/>
                <w:szCs w:val="11"/>
                <w:b w:val="1"/>
                <w:bCs w:val="1"/>
                <w:color w:val="auto"/>
              </w:rPr>
              <w:t>2010</w:t>
            </w:r>
            <w:r>
              <w:rPr>
                <w:rFonts w:ascii="Arial" w:cs="Arial" w:eastAsia="Arial" w:hAnsi="Arial"/>
                <w:sz w:val="16"/>
                <w:szCs w:val="16"/>
                <w:b w:val="1"/>
                <w:bCs w:val="1"/>
                <w:color w:val="auto"/>
                <w:vertAlign w:val="superscript"/>
              </w:rPr>
              <w:t>(1)</w:t>
            </w:r>
          </w:p>
        </w:tc>
        <w:tc>
          <w:tcPr>
            <w:tcW w:w="7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8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 of Total</w:t>
            </w:r>
          </w:p>
        </w:tc>
        <w:tc>
          <w:tcPr>
            <w:tcW w:w="3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 of Total</w:t>
            </w:r>
          </w:p>
        </w:tc>
        <w:tc>
          <w:tcPr>
            <w:tcW w:w="2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Online</w:t>
            </w:r>
            <w:r>
              <w:rPr>
                <w:rFonts w:ascii="Arial" w:cs="Arial" w:eastAsia="Arial" w:hAnsi="Arial"/>
                <w:sz w:val="11"/>
                <w:szCs w:val="11"/>
                <w:color w:val="auto"/>
              </w:rPr>
              <w:t>(3)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38,918</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37,734</w:t>
            </w:r>
          </w:p>
        </w:tc>
        <w:tc>
          <w:tcPr>
            <w:tcW w:w="2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1"/>
                <w:szCs w:val="11"/>
                <w:color w:val="auto"/>
              </w:rPr>
              <w:t>(4)</w:t>
            </w:r>
          </w:p>
        </w:tc>
        <w:tc>
          <w:tcPr>
            <w:tcW w:w="860" w:type="dxa"/>
            <w:vAlign w:val="bottom"/>
          </w:tcPr>
          <w:p>
            <w:pPr>
              <w:jc w:val="right"/>
              <w:spacing w:after="0"/>
              <w:rPr>
                <w:sz w:val="20"/>
                <w:szCs w:val="20"/>
                <w:color w:val="auto"/>
              </w:rPr>
            </w:pPr>
            <w:r>
              <w:rPr>
                <w:rFonts w:ascii="Arial" w:cs="Arial" w:eastAsia="Arial" w:hAnsi="Arial"/>
                <w:sz w:val="18"/>
                <w:szCs w:val="18"/>
                <w:color w:val="auto"/>
              </w:rPr>
              <w:t>4,999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880" w:type="dxa"/>
            <w:vAlign w:val="bottom"/>
          </w:tcPr>
          <w:p>
            <w:pPr>
              <w:jc w:val="right"/>
              <w:spacing w:after="0"/>
              <w:rPr>
                <w:sz w:val="20"/>
                <w:szCs w:val="20"/>
                <w:color w:val="auto"/>
              </w:rPr>
            </w:pPr>
            <w:r>
              <w:rPr>
                <w:rFonts w:ascii="Arial" w:cs="Arial" w:eastAsia="Arial" w:hAnsi="Arial"/>
                <w:sz w:val="18"/>
                <w:szCs w:val="18"/>
                <w:color w:val="auto"/>
              </w:rPr>
              <w:t>3,748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900" w:type="dxa"/>
            <w:vAlign w:val="bottom"/>
          </w:tcPr>
          <w:p>
            <w:pPr>
              <w:jc w:val="right"/>
              <w:spacing w:after="0"/>
              <w:rPr>
                <w:sz w:val="20"/>
                <w:szCs w:val="20"/>
                <w:color w:val="auto"/>
              </w:rPr>
            </w:pPr>
            <w:r>
              <w:rPr>
                <w:rFonts w:ascii="Arial" w:cs="Arial" w:eastAsia="Arial" w:hAnsi="Arial"/>
                <w:sz w:val="18"/>
                <w:szCs w:val="18"/>
                <w:color w:val="auto"/>
              </w:rPr>
              <w:t>3,113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43,917</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41,482</w:t>
            </w:r>
          </w:p>
        </w:tc>
        <w:tc>
          <w:tcPr>
            <w:tcW w:w="2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hanging="452"/>
        <w:spacing w:after="0" w:line="306" w:lineRule="auto"/>
        <w:tabs>
          <w:tab w:leader="none" w:pos="460" w:val="left"/>
        </w:tabs>
        <w:numPr>
          <w:ilvl w:val="0"/>
          <w:numId w:val="44"/>
        </w:numPr>
        <w:rPr>
          <w:rFonts w:ascii="Arial" w:cs="Arial" w:eastAsia="Arial" w:hAnsi="Arial"/>
          <w:sz w:val="19"/>
          <w:szCs w:val="19"/>
          <w:color w:val="auto"/>
          <w:vertAlign w:val="superscript"/>
        </w:rPr>
      </w:pPr>
      <w:r>
        <w:rPr>
          <w:rFonts w:ascii="Arial" w:cs="Arial" w:eastAsia="Arial" w:hAnsi="Arial"/>
          <w:sz w:val="15"/>
          <w:szCs w:val="15"/>
          <w:color w:val="auto"/>
        </w:rPr>
        <w:t>Enrollment at December 31, 2011 and 2010 represents individual students who attended a course during the last two months of the calendar quarter. Prior to our transition to BBAY, enrollment had been defined as individual students that attended a course in a term that was in session as of the end of the quarter.</w:t>
      </w:r>
    </w:p>
    <w:p>
      <w:pPr>
        <w:spacing w:after="0" w:line="51" w:lineRule="exact"/>
        <w:rPr>
          <w:rFonts w:ascii="Arial" w:cs="Arial" w:eastAsia="Arial" w:hAnsi="Arial"/>
          <w:sz w:val="19"/>
          <w:szCs w:val="19"/>
          <w:color w:val="auto"/>
          <w:vertAlign w:val="superscript"/>
        </w:rPr>
      </w:pPr>
    </w:p>
    <w:p>
      <w:pPr>
        <w:ind w:left="460" w:hanging="452"/>
        <w:spacing w:after="0"/>
        <w:tabs>
          <w:tab w:leader="none" w:pos="46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Includes 1,924, 1,186 and 315 students pursuing doctoral degrees at December 31, 2011, 2010 and 2009, respectively.</w:t>
      </w:r>
    </w:p>
    <w:p>
      <w:pPr>
        <w:spacing w:after="0" w:line="142" w:lineRule="exact"/>
        <w:rPr>
          <w:rFonts w:ascii="Arial" w:cs="Arial" w:eastAsia="Arial" w:hAnsi="Arial"/>
          <w:sz w:val="22"/>
          <w:szCs w:val="22"/>
          <w:color w:val="auto"/>
          <w:vertAlign w:val="superscript"/>
        </w:rPr>
      </w:pPr>
    </w:p>
    <w:p>
      <w:pPr>
        <w:ind w:left="460" w:hanging="452"/>
        <w:spacing w:after="0" w:line="228" w:lineRule="auto"/>
        <w:tabs>
          <w:tab w:leader="none" w:pos="46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As of December 31, 2011, 2010 and 2009, 42.8%, 45.7% and 44.8%, respectively, of our online and professional studies students were pursuing graduate or doctoral degrees.</w:t>
      </w:r>
    </w:p>
    <w:p>
      <w:pPr>
        <w:spacing w:after="0" w:line="113"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Includes our traditional on-campus students, as well as our professional studies students.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For the 2011-12 academic year (the academic year that began in May 2011), our prices per credit hour are $450 for undergraduate online and professional studies courses, $480 for graduate online courses (other than graduate business and graduate nursing), $530 for graduate business courses, $580 for graduate online nursing courses, $595 for doctoral programs, and $688 for undergraduate courses for ground students. For our active duty and active reserve online and professional studies students, our prices per credit hour are $250 for undergraduate and $385 for graduate. The overall price of each course varies based upon the number of credit hours per course (with most courses representing four credit hours), the degree level of the program, and the discipline. In addition, we charge a fixed $8,250 “block tuition” for undergraduate ground students taking between 12 and 18 credit hours per semester, with an additional $688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The doctoral program requires approximately 60 credit hours.</w:t>
      </w:r>
    </w:p>
    <w:p>
      <w:pPr>
        <w:spacing w:after="0" w:line="9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Based on current tuition rates, tuition for a full program would equate to between $17,300 and $20,900 for an online master’s program, approximately $54,000 for a full four-year online bachelor’s program, and approximately $57,750 for a full four-year bachelor’s program taken on our ground campus. The tuition amounts referred to above assume no reductions for transfer credits or scholarships, which many of our students utilize to reduce their total program costs. Additionally, tuition is reduced for some of our students by scholarships. For the years ended December 31, 2011, 2010 and 2009, revenue was reduced by approximately $73.6 million, $55.8 million and $34.2 million, respectively, as a result of scholarships that we offered to our students. The increase in scholarships is due to increased revenues, especially at our ground traditional campus where scholarships are earned to a greater extent, and a significant increase in the use of academic scholarships to attract high performing students.</w:t>
      </w:r>
    </w:p>
    <w:p>
      <w:pPr>
        <w:spacing w:after="0" w:line="9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Revenue per student increased between periods as we increased tuition prices for students in our online and professional studies programs by 0.0% to 6.5%, depending on the program, with an estimated blended rate increase of 3.2% for our 2011-12 academic year, as compared to tuition price increases for students in our online and professional studies programs from 0.0% to 5.7%, depending on the program, with an estimated blended rate increase of 3.5% for the prior academic year. Tuition for our traditional ground programs had no increase for our 2011-12 or 2010-11 academic years. Tuition increases have not historically been, and may not in the future be, consistent across our programs due to market conditions and differences in operating costs of individual programs. The lower increases for our programs for the current academic year generally reflect a concerted effort to control tuition pricing for students so that debt levels assumed by our students are reasonable.</w:t>
      </w:r>
    </w:p>
    <w:p>
      <w:pPr>
        <w:spacing w:after="0" w:line="9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 xml:space="preserve">We derive a majority of our net revenues from tuition financed by the Title IV programs. For the years ended December 31, 2011, 2010 and 2009, we derived cash receipts equal to approximately 80.2%, 84.9%, and 82.5%, respectively, of our net revenues from Title IV programs. Our students also rely on scholarships, personal savings, private loans, and employer tuition reimbursements to pay a portion of their tuition and related expenses. During fiscal 2011, payments derived from private loans constituted less than 1% of our net revenues from our income statement. Third party lenders independently determine whether a loan to a student is classified as subprime, and, based on these determinations, we derived no payments from subprime loans during the year ended December 31, 2011. Our future revenues could be affected if and to the extent the Department of Education restricts our participation in the Title IV programs, as it did during the period between 2005 and 2007. Current conditions in the credit markets have adversely affected the environment surrounding access to and cost of student loans. The legislative and regulatory environment is also changing, and new federal legislation was recently enacted or has been proposed that could have an impact on us. See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and Item 1, </w:t>
      </w:r>
      <w:r>
        <w:rPr>
          <w:rFonts w:ascii="Arial" w:cs="Arial" w:eastAsia="Arial" w:hAnsi="Arial"/>
          <w:sz w:val="16"/>
          <w:szCs w:val="16"/>
          <w:i w:val="1"/>
          <w:iCs w:val="1"/>
          <w:color w:val="auto"/>
        </w:rPr>
        <w:t>Regulation — Regulation of Federal Student Financial Aid Programs</w:t>
      </w:r>
      <w:r>
        <w:rPr>
          <w:rFonts w:ascii="Arial" w:cs="Arial" w:eastAsia="Arial" w:hAnsi="Arial"/>
          <w:sz w:val="16"/>
          <w:szCs w:val="16"/>
          <w:color w:val="auto"/>
        </w:rPr>
        <w:t>. We cannot predict whether the new legislation will limit access to Title IV funding or the impact of any of these developments on future performance.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44"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i w:val="1"/>
          <w:iCs w:val="1"/>
          <w:color w:val="auto"/>
        </w:rPr>
        <w:t>Instructional cost and services</w:t>
      </w:r>
      <w:r>
        <w:rPr>
          <w:rFonts w:ascii="Arial" w:cs="Arial" w:eastAsia="Arial" w:hAnsi="Arial"/>
          <w:sz w:val="18"/>
          <w:szCs w:val="18"/>
          <w:color w:val="auto"/>
        </w:rPr>
        <w:t>. Instructional cost and services consist primarily of costs related to the administration and delivery of our educational</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including electronic media. This expense category includes salaries and benefits for full-time and adjunct faculty and administrative personnel, information technology costs, bad debt expense, curriculum and new program development costs, and costs associated with other support groups that provide service directly to the students. This category also includes an allocation of depreciation, amortization, rent, and occupancy costs attributable to the provision of educational services. Classroom facilities are leased or, in some cases, are provided by the students’ employers at no charge to us. We continue to increase our spending 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student and academic services, and we expect instructional costs and services as a percentage of tuition and other net revenue to remain relatively consistent as these additional costs are offset by leverage of our support services that are in place over a larger tuition and enrollment base.</w:t>
      </w:r>
    </w:p>
    <w:p>
      <w:pPr>
        <w:spacing w:after="0" w:line="5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Selling and promotional</w:t>
      </w:r>
      <w:r>
        <w:rPr>
          <w:rFonts w:ascii="Arial" w:cs="Arial" w:eastAsia="Arial" w:hAnsi="Arial"/>
          <w:sz w:val="18"/>
          <w:szCs w:val="18"/>
          <w:color w:val="auto"/>
        </w:rPr>
        <w:t>. Selling and promotional expenses include salaries and benefits of personnel engaged in the marketing, recruitment, and retention</w:t>
      </w:r>
      <w:r>
        <w:rPr>
          <w:rFonts w:ascii="Arial" w:cs="Arial" w:eastAsia="Arial" w:hAnsi="Arial"/>
          <w:sz w:val="18"/>
          <w:szCs w:val="18"/>
          <w:i w:val="1"/>
          <w:iCs w:val="1"/>
          <w:color w:val="auto"/>
        </w:rPr>
        <w:t xml:space="preserve"> </w:t>
      </w:r>
      <w:r>
        <w:rPr>
          <w:rFonts w:ascii="Arial" w:cs="Arial" w:eastAsia="Arial" w:hAnsi="Arial"/>
          <w:sz w:val="18"/>
          <w:szCs w:val="18"/>
          <w:color w:val="auto"/>
        </w:rPr>
        <w:t>of students, as well as advertising costs associated with purchasing leads, hosting events and seminars, producing marketing materials, and our branding campaigns. Our selling and promotional expenses are generally affected by the cost of advertising media and leads, the efficiency of our marketing and recruiting efforts, salaries, and benefits for our enrollment personnel, and expenditures on advertising initiatives for new and existing academic programs. This category also includes an allocation of depreciation, amortization, rent, and occupancy costs attributable to selling and promotional activities. Selling and promotional costs are expensed as incurred.</w:t>
      </w:r>
    </w:p>
    <w:p>
      <w:pPr>
        <w:spacing w:after="0" w:line="11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include salaries, benefits, and share-based compensation of employees engaged in</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management, finance, human resources, facilities, compliance, insurance, audit fees and other corporate functions. General and administrative expenses also include an allocation of depreciation, amortization, rent and occupancy costs attributable to general and administrative functions.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consists primarily of interest charges on our notes payable and capital lease obligations.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5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discussion of our financial condition and results of operations is based upon our consolidated financial statements, which have been prepared in accordance with U.S. generally accepted accounting principles, or GAAP. During the preparation of these consolidated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consolidated financial statements.</w:t>
      </w:r>
    </w:p>
    <w:p>
      <w:pPr>
        <w:spacing w:after="0" w:line="9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believe that the following critical accounting policies involve our more significant judgments and estimates used in the preparation of our consolidated financial statements:</w:t>
      </w:r>
    </w:p>
    <w:p>
      <w:pPr>
        <w:spacing w:after="0" w:line="105"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b w:val="1"/>
          <w:bCs w:val="1"/>
          <w:i w:val="1"/>
          <w:iCs w:val="1"/>
          <w:color w:val="auto"/>
        </w:rPr>
        <w:t>Revenue recognition</w:t>
      </w:r>
      <w:r>
        <w:rPr>
          <w:rFonts w:ascii="Arial" w:cs="Arial" w:eastAsia="Arial" w:hAnsi="Arial"/>
          <w:sz w:val="15"/>
          <w:szCs w:val="15"/>
          <w:color w:val="auto"/>
        </w:rPr>
        <w:t>. Net revenues consist primarily of tuition and fees derived from courses taught by us online, at our approximately 115-acre traditional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campus in Phoenix, Arizona, and onsite at facilities of employers, as well as from related educational resources such as access to online materials. Tuition revenue and most fees and related educational resources are recognized pro-rata over the applicable period of instruction, net of scholarships awarded by us. Generally, we will refund all or a portion of tuition already paid pursuant to our refund policy, dependent upon length of course and modality and subject to certain state specific refund requirements. If a student withdraws at a time when only a portion, or none of the tuition is refundable, then we continue to recognize the tuition that was not refunded pro-rata over the term of the course and as the amount subject to refund is never greater than the amount of revenue that has been deferred, under our accounting policies revenue is not recognized with respect to amounts that could potentially be refunded. Sales tax collected from students is excluded from net revenues. We also charge online students an upfront learning management fee, which is deferred and recognized over the average expected term of a</w:t>
      </w:r>
    </w:p>
    <w:p>
      <w:pPr>
        <w:spacing w:after="0" w:line="4"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statement of operations and are reflected as current liabilities in the accompanying balance sheet. Our educational programs have starting and ending dates that differ from our quarters. Therefore, at the end of each fiscal quarter, a portion of revenue from these programs is not yet earned. Other revenues may be recognized as sales occur or services are performed.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Allowance for doubtful accounts</w:t>
      </w:r>
      <w:r>
        <w:rPr>
          <w:rFonts w:ascii="Arial" w:cs="Arial" w:eastAsia="Arial" w:hAnsi="Arial"/>
          <w:sz w:val="16"/>
          <w:szCs w:val="16"/>
          <w:color w:val="auto"/>
        </w:rPr>
        <w:t>. In accordance with our policy, all prospective students are required to select both a primary and secondary payment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 with respect to amounts due to us for tuition, fees and other expenses. The most common payment option for our students is financial aid but students may also choose personal cash, tuition reimbursement, or direct bill to their employer. Financial aid loan funds are generally provided by the Federal Direct Loan Program in two disbursements for each academic year. The disbursements are usually received two to four weeks after the start of the first course in a payment period. These factors, together with the timing of students’ beginning their programs, affect our operating cash flow including our accounts receivable balance. In instances where a student selects financial aid as the primary payment option, he or she often selects personal cash as the secondary option. If a student that has selected financial aid as his or her primary payment option withdraws prior to the end of a course but after the date that our institutional refund period has expired, the student will have incurred the obligation to pay the full cost of the course. If the withdrawal occurs before the date at which the student has earned 100% of his or her financial aid, we will have a return to Title IV requirement and the student will owe us all amounts incurred that are in excess of the amount of financial aid that the student earned and that we are entitled to retain. In this case, we must collect the receivable using the student’s second payment option. In instances in which the student chose to receive living expense funds as part of his or her financial aid disbursement, we are required to return the unearned portion of these funds as well and then collect these amounts from the student.</w:t>
      </w:r>
    </w:p>
    <w:p>
      <w:pPr>
        <w:spacing w:after="0" w:line="9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record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We determine the adequacy of our allowance for doubtful accounts based on an analysis of our historical bad debt experience, current economic trends, and the aging of the accounts receivable and student status. We apply a reserve to our receivables based upon an estimate of the risk presented by the age of the receivables and student status. We have historically written off accounts receivable at the earlier of the time the balance is deemed uncollectible, or one year after the revenue is generated. In the third quarter of 2011, we accelerated the way we reserve for receivables due from inactive students and write off inactive student accounts at 150 days, while maintaining our historical reserve and write off policies for active student accounts as based on our historical experience, amounts due from inactive students are much more difficult to collect than amounts due from active students. We monitor our collections and write-off experience to assess whether adjustments are necessary.</w:t>
      </w:r>
    </w:p>
    <w:p>
      <w:pPr>
        <w:spacing w:after="0" w:line="9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Long-Lived Assets (other than goodwill)</w:t>
      </w:r>
      <w:r>
        <w:rPr>
          <w:rFonts w:ascii="Arial" w:cs="Arial" w:eastAsia="Arial" w:hAnsi="Arial"/>
          <w:sz w:val="16"/>
          <w:szCs w:val="16"/>
          <w:color w:val="auto"/>
        </w:rPr>
        <w:t>. We evaluate the recoverability of our long-lived assets for impairment whenever events or changes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8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Loss Contingencies</w:t>
      </w:r>
      <w:r>
        <w:rPr>
          <w:rFonts w:ascii="Arial" w:cs="Arial" w:eastAsia="Arial" w:hAnsi="Arial"/>
          <w:sz w:val="16"/>
          <w:szCs w:val="16"/>
          <w:color w:val="auto"/>
        </w:rPr>
        <w:t>. We are subject to various claims and contingencies in the ordinary course of business and incidental to our industry, including those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regulation, litigation, business transactions and taxes, among others. We accrue for contingent obligations when it is probable that a liability has been incurred and the amount is reasonably estimable. When we become aware of a claim or potential claim, the likelihood of any loss exposure is assessed. If it is probable that a loss will result and the amount of the loss is estimable, we accrue for the estimated amount of the loss. If the loss is not probable or the amount of the potential loss is not estimable, we disclose the claim if the likelihood of a potential loss is reasonably possible and that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w:t>
      </w:r>
    </w:p>
    <w:p>
      <w:pPr>
        <w:spacing w:after="0" w:line="9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We recognize the amount of taxes payable or refundable for the current year and deferred tax assets and liabilities for future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consequences of events that have been recognized in our consolidated financial statements or tax returns. Deferred tax assets and liabilities are measured using enacted tax rates in effect for the year in which the temporary differences are expect to be realized. Our deferred tax assets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in August 2005, we have not recorded any valuation allowances to date on our deferred income tax assets. Commencing in January 2008, we evaluate and account for uncertain tax positions using a two step approach. Recognition occurs when we conclude that a tax</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position based solely on its technical merits, is more-likely-than-not to be sustained upon examination. Measurement determines the amount of benefit that is greater than 50% likely to be realized upon the ultimate settlement with a taxing authority that has full knowledge of the facts. Derecognition of a tax position that was previously recognized occurs when we determine that a tax position no longer meets the more-likely-than-not threshold of being sustained upon examination.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statements of operations data as a percentage of net revenue for each of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540" w:type="dxa"/>
            <w:vAlign w:val="bottom"/>
            <w:tcBorders>
              <w:bottom w:val="single" w:sz="8" w:color="auto"/>
            </w:tcBorders>
            <w:gridSpan w:val="5"/>
          </w:tcPr>
          <w:p>
            <w:pPr>
              <w:jc w:val="center"/>
              <w:ind w:left="675"/>
              <w:spacing w:after="0"/>
              <w:rPr>
                <w:sz w:val="20"/>
                <w:szCs w:val="20"/>
                <w:color w:val="auto"/>
              </w:rPr>
            </w:pPr>
            <w:r>
              <w:rPr>
                <w:rFonts w:ascii="Arial" w:cs="Arial" w:eastAsia="Arial" w:hAnsi="Arial"/>
                <w:sz w:val="14"/>
                <w:szCs w:val="14"/>
                <w:b w:val="1"/>
                <w:bCs w:val="1"/>
                <w:color w:val="auto"/>
                <w:w w:val="87"/>
              </w:rPr>
              <w:t>Year Ended December 31,</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Operating expenses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Instructional cost and services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Selling and promotional</w:t>
            </w:r>
          </w:p>
        </w:tc>
        <w:tc>
          <w:tcPr>
            <w:tcW w:w="900" w:type="dxa"/>
            <w:vAlign w:val="bottom"/>
          </w:tcPr>
          <w:p>
            <w:pPr>
              <w:jc w:val="right"/>
              <w:spacing w:after="0"/>
              <w:rPr>
                <w:sz w:val="20"/>
                <w:szCs w:val="20"/>
                <w:color w:val="auto"/>
              </w:rPr>
            </w:pPr>
            <w:r>
              <w:rPr>
                <w:rFonts w:ascii="Arial" w:cs="Arial" w:eastAsia="Arial" w:hAnsi="Arial"/>
                <w:sz w:val="18"/>
                <w:szCs w:val="18"/>
                <w:color w:val="auto"/>
              </w:rPr>
              <w:t>28.1</w:t>
            </w:r>
          </w:p>
        </w:tc>
        <w:tc>
          <w:tcPr>
            <w:tcW w:w="3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Litigation loss</w:t>
            </w:r>
          </w:p>
        </w:tc>
        <w:tc>
          <w:tcPr>
            <w:tcW w:w="900" w:type="dxa"/>
            <w:vAlign w:val="bottom"/>
          </w:tcPr>
          <w:p>
            <w:pPr>
              <w:jc w:val="right"/>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termination fees to related party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Exit costs</w:t>
            </w:r>
          </w:p>
        </w:tc>
        <w:tc>
          <w:tcPr>
            <w:tcW w:w="900" w:type="dxa"/>
            <w:vAlign w:val="bottom"/>
          </w:tcPr>
          <w:p>
            <w:pPr>
              <w:jc w:val="right"/>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 termination costs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80.7</w:t>
            </w:r>
          </w:p>
        </w:tc>
        <w:tc>
          <w:tcPr>
            <w:tcW w:w="3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84.9</w:t>
            </w:r>
          </w:p>
        </w:tc>
        <w:tc>
          <w:tcPr>
            <w:tcW w:w="1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Interest expense</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794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79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900" w:type="dxa"/>
            <w:vAlign w:val="bottom"/>
          </w:tcPr>
          <w:p>
            <w:pPr>
              <w:jc w:val="right"/>
              <w:spacing w:after="0"/>
              <w:rPr>
                <w:sz w:val="20"/>
                <w:szCs w:val="20"/>
                <w:color w:val="auto"/>
              </w:rPr>
            </w:pPr>
            <w:r>
              <w:rPr>
                <w:rFonts w:ascii="Arial" w:cs="Arial" w:eastAsia="Arial" w:hAnsi="Arial"/>
                <w:sz w:val="18"/>
                <w:szCs w:val="18"/>
                <w:color w:val="auto"/>
              </w:rPr>
              <w:t>19.1</w:t>
            </w:r>
          </w:p>
        </w:tc>
        <w:tc>
          <w:tcPr>
            <w:tcW w:w="30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40" w:type="dxa"/>
            <w:vAlign w:val="bottom"/>
            <w:gridSpan w:val="2"/>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Compared to Year Ended December 31, 2010</w:t>
      </w:r>
    </w:p>
    <w:p>
      <w:pPr>
        <w:spacing w:after="0" w:line="14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year ended December 31, 2011 was $426.7 million, an increase of $41.1 million, or 10.7%, as compared to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$385.6 million for the year ended December 31, 2010. This increase was primarily due to increased enrollment and, to a lesser extent, increases in the average tuition per student as a result of tuition price increases and an increase in room and board and other student fees, partially offset by an increase in institutional scholarships and reduced revenue caused by our transition to BBAY from a term-based financial aid system during 2010. End-of-period enrollment increased 5.9% between December 30, 2011 and 2010, as ground enrollment increased 33.4% and online enrollment increased 3.1% over the prior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for tuition, room, board, and fees often half to a third of what it costs to attend a private, traditional university in another state and an amount comparable to what it costs to attend the public universities in the state of Arizona as an in-state student. We are anticipating increased pressure on new and continuing online enrollments due primarily to the increasing challenges presented in the economy, the impact of new and proposed regulations, and increased competition.</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year ended December 31, 2011 were $194.8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$16.0 million, or 8.9%, as compared to instructional costs and services expenses of $178.8 million for the year ended December 31, 2010. This increase was primarily due to increases in instructional compensation and related expenses, faculty compensation, depreciation and amortization, instructional supplies and other miscellaneous instructional costs and services of $10.3 million, $5.0 million, $4.0 million, $3.7 million, and $1.1 million, respectively, partially offset by a decrease in bad debt expense and non-capitalizable system conversion costs of $4.1 million and $4.0 million, respectively. The increases in instructional and faculty compensation are primarily attributable to the increase in headcount (both staff and faculty) needed to provide student instruction and support services to support the increase in enrollments. The increase in depreciation and amortization is the result of us placing into service $70.1 million of new buildings for our ground traditional campus in the last twelve months as well as investments in technology innovation to support our students and staff. Bad debt expense decreased to $34.4 million or 8.1% of net revenues for the year ended December 31, 2011 from $38.5 million or 10.0% of net revenues for the year ended December 31, 2010 as a result of improved collections of receivables due from current students between periods due to operational improvements made during 2011 and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reduction in receivables due from former students during the second half of 2011 as a result of us moving further away from our transition to BBAY. The non-capitalizable system conversion costs were incurred in the second quarter of 2010 as we converted our back office systems to support our transition to BBAY. In connection with this conversion, we incurred $4.0 million of costs due to unanticipated delays in information processing. Our instructional costs and services expenses as a percentage of net revenue decreased by 0.8% to 45.6% for the year ended December 31, 2011, as compared to 46.4% for the year ended December 31, 2010. This decrease was a result of a decrease in bad debt expense as a percentage of net revenues from 10.0% in the year ended December 31, 2010 to 8.1% for the year ended December 31, 2011, as well as the decrease related to non-capitalizable system conversion costs. These decreases were partially offset by an increase in instructional employee compensation and related expenses as a percentage of revenue as we have hired additional staff to improve our student to staff ratios, faculty compensation as a percentage of revenue as we have seen decreases in class size as the result of increasing the number of starts, increased occupancy and depreciation expense as a percentage of revenue, and increased instructional supplies and miscellaneous instructional costs due to increased licensing fees related to educational resources, and continued improvement in curriculum development and new and enhanced innovative educational tools.</w:t>
      </w:r>
    </w:p>
    <w:p>
      <w:pPr>
        <w:spacing w:after="0" w:line="100"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i w:val="1"/>
          <w:iCs w:val="1"/>
          <w:color w:val="auto"/>
        </w:rPr>
        <w:t>Selling and promotional expenses</w:t>
      </w:r>
      <w:r>
        <w:rPr>
          <w:rFonts w:ascii="Arial" w:cs="Arial" w:eastAsia="Arial" w:hAnsi="Arial"/>
          <w:sz w:val="15"/>
          <w:szCs w:val="15"/>
          <w:color w:val="auto"/>
        </w:rPr>
        <w:t>. Our selling and promotional expenses for the year ended December 31, 2011 were $120.0 million, an increase of $7.5</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or 6.6%, as compared to selling and promotional expenses of $112.5 million for the year ended December 31, 2010. This increase was primarily due to increases in selling and promotional employee compensation and related expenses and advertising, partially offset by lower other selling and promotional expenses of $5.8 million, $2.5 million and $0.8 million, respectively. The increases in compensation and related expenses and advertising were driven by a continued expansion in our marketing efforts, which resulted in an increase in recruitment, marketing, and enrollment staffing especially for our ground traditional campus, partially offset by the termination of a revenue sharing arrangement in December 2010. Our selling and promotional expenses as a percentage of net revenue decreased by 1.1% to 28.1% for the year ended December 31, 2011, from 29.2% for the year ended December 31, 2010. This decrease occurred primarily due to the termination of the revenue sharing arrangement in December 2010. We plan to continue to add additional enrollment counselors in the future, although the number of additional hires as a percentage of the total headcount is expected to remain flat or decrease. Additionally, we entered into a new revenue sharing arrangement in 2011 although the amounts to be paid under this new arrangement will be less than amounts paid under the original arrangement.</w:t>
      </w:r>
    </w:p>
    <w:p>
      <w:pPr>
        <w:spacing w:after="0" w:line="82"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year ended December 31, 2011 were $29.0 million,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$2.4 million, or 9.1%, as compared to general and administrative expenses of $26.6 million for the year ended December 31, 2010. This increase was primarily due to increases in employee compensation, share based compensation, and other general and administrative expenses of $1.6 million, $0.4 million, and $0.4 million, respectively. Employee compensation increased primarily as a result of headcount increases in departments such as accounting and human resources to support the increasing number of students and staff. Our general and administrative expenses as a percentage of net revenue decreased by 0.1% to 6.8% for the year ended December 31, 2011, from 6.9% for the year ended December 31, 2010.</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Lease termination costs. </w:t>
      </w:r>
      <w:r>
        <w:rPr>
          <w:rFonts w:ascii="Arial" w:cs="Arial" w:eastAsia="Arial" w:hAnsi="Arial"/>
          <w:sz w:val="16"/>
          <w:szCs w:val="16"/>
          <w:color w:val="auto"/>
        </w:rPr>
        <w:t>In July 2011, we notified a current landlord of its intent to vacate leased space by the fourth quarter of 2011. As a result, we were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pay a termination fee to terminate the lease resulting in $0.8 million of expense in the year ended December 31, 2011. The termination fee was paid on our behalf by our new landlord. This payment was recorded as an expense in the third quarter of 2011 with the offset being to a deferred liability. The remainder of the leasehold improvements and deferred rent from the old lease were removed in the fourth quarter of 2011 when the space was vacated.</w:t>
      </w:r>
    </w:p>
    <w:p>
      <w:pPr>
        <w:spacing w:after="0" w:line="8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for the year ended December 31, 2011 was $0.7 million, a decrease of $0.2 million from $0.9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2010, as a higher amount of interest expense was capitalized in 2011 as compared to 2010 as a result of our continuing expansion of our ground infrastructure. Additionally, in April 2011 the loan agreement was amended to reduce the interest rate on unpaid amounts to 30-day LIBOR plus 2.00% from 30-day LIBOR plus 2.25%.</w:t>
      </w:r>
    </w:p>
    <w:p>
      <w:pPr>
        <w:spacing w:after="0" w:line="11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year ended December 31, 2011 was $31.0 million, an increase of $8.8 million from $22.2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2010. This increase was primarily attributable to increased income before income taxes. Our effective tax rate was 38.0% during the year ended December 31, 2011 compared to 38.7% during the year ended December 31, 2010.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year ended December 31, 2011 was $50.5 million, an increase of $15.3 million, as compared to $35.2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2010, due to the factors discussed above.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2010 Compared to Year Ended December 31, 2009</w:t>
      </w:r>
    </w:p>
    <w:p>
      <w:pPr>
        <w:spacing w:after="0" w:line="14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year ended December 31, 2010 was $385.6 million, an increase of $123.9 million, or 47.2%, as compared to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$261.9 million for the year ended December 31, 2009. This increase was primarily due to increased online enrollment and, to a lesser extent, increases in the average tuition per student as a result of tuition price increases and an increase in the number of students taking four credit courses between years, partially offset by an increase in institutional scholarships. End-of-period enrollment increased to approximately 41,500, as we were able to continue our growth and increase our recruitment, marketing, and enrollment operations.</w:t>
      </w:r>
    </w:p>
    <w:p>
      <w:pPr>
        <w:spacing w:after="0" w:line="89"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year ended December 31, 2010 were $178.8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$76.9 million, or 75.5%, as compared to instructional costs and services expenses of $101.9 million for the year ended December 31, 2009. This increase was primarily due to increases in bad debt expense, instructional compensation and related expenses, faculty compensation, instructional supplies, non-capitalizable system conversion costs incurred as a result of our transition to BBAY, depreciation and amortization, share-based compensation, and other miscellaneous instructional costs and services of $24.5 million, $16.9 million, $13.8 million, $4.3 million, $4.0 million, $3.0 million, $1.2 million, and $9.2 million, respectively. The increase is primarily due to bad debt expense increasing to $38.5 million for the year ended December 31, 2010 from $14.0 million for the year ended December 31, 2009 as a result of an increase in net revenues and the increase in aged receivables between periods as a result of current economic conditions and the conversion to BBAY, which has caused an increase in receivables due from former students. The other increases are attributable to the increased headcount (both staff and faculty) needed to provide student instruction and support services, including increased occupancy and equipment costs for the increased headcount, to support the increase in enrollments and non-capitalizable system conversion costs of $4.0 million. Our instructional costs and services expenses as a percentage of net revenue increased by 7.5% to 46.4% for the year ended December 31, 2010, as compared to 38.9% for the year ended December 31, 2009. This increase was a result of an increase in bad debt expense as a percentage of revenue from 5.4% in the year ended December 31, 2009 to 10.0% for the year ended December 31, 2010, the non-capitalizable system conversion costs, an increase in faculty compensation as a percentage of revenue as we have seen decreases in class size as the result of increasing the number of starts during 2010 and increased instructional supplies and miscellaneous instructional costs due to increased licensing fees related to educational resources and continued improvement in curriculum development and new and enhanced innovative educational tools, partially offset by our ability to leverage the fixed cost structure of our campus-based facilities and ground faculty across an increasing revenue base.</w:t>
      </w:r>
    </w:p>
    <w:p>
      <w:pPr>
        <w:spacing w:after="0" w:line="9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Selling and promotional expenses</w:t>
      </w:r>
      <w:r>
        <w:rPr>
          <w:rFonts w:ascii="Arial" w:cs="Arial" w:eastAsia="Arial" w:hAnsi="Arial"/>
          <w:sz w:val="16"/>
          <w:szCs w:val="16"/>
          <w:color w:val="auto"/>
        </w:rPr>
        <w:t>. Our selling and promotional expenses for the year ended December 31, 2010 were $112.5 million, an increase of $27.1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31.7%, as compared to selling and promotional expenses of $85.4 million for the year ended December 31, 2009. This increase was primarily due to increases in selling and promotional employee compensation and related expenses, advertising, and other selling and promotional related costs of $12.2 million, $11.9 million and $3.0 million, respectively. These increases were driven by a continued substantial expansion in our marketing efforts, which resulted in an increase in recruitment, marketing, and enrollment staffing, and expenses related to our revenue sharing arrangement. Our selling and promotional expenses as a percentage of net revenue decreased by 3.4% to 29.2% for the year ended December 31, 2010, from 32.6% for the year ended December 31, 2009. This decrease occurred as a result of slowing the growth of our enrollment counselor hiring such that our new enrollment counselors as a percentage of total enrollment counselors is less in 2010 than in 2009.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 We plan to continue to add additional enrollment counselors in the future, although the number of additional hires as a percentage of the total headcount is expected to remain flat or decrease.</w:t>
      </w:r>
    </w:p>
    <w:p>
      <w:pPr>
        <w:spacing w:after="0" w:line="10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year ended December 31, 2010 were $26.6 million,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$4.7 million, or 21.6%, as compared to general and administrative expenses of $21.9 million for the year ended December 31, 2009. This increase was primarily due to increases in employee compensation, increases in legal, audit and corporate insurance expenses and other general and administrative expenses of $2.5 million, $1.0 million, and $1.2 million, respectively. Employee compensation increased primarily as a result of headcount increases in departments such as accounting and human resources to support the increasing number of students and staff. Our general and administrative expenses as a percentage of net revenue decreased by 1.5% to 6.9% for the year ended December 31, 2010, from 8.4% for the year ended December 31, 2009. This decrease was primarily due to our ability to leverage our costs over an increasing revenue base.</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 xml:space="preserve">Contract termination fees to related party. </w:t>
      </w:r>
      <w:r>
        <w:rPr>
          <w:rFonts w:ascii="Arial" w:cs="Arial" w:eastAsia="Arial" w:hAnsi="Arial"/>
          <w:sz w:val="16"/>
          <w:szCs w:val="16"/>
          <w:color w:val="auto"/>
        </w:rPr>
        <w:t>As a result of new rules adopted by the Department of Education and effective July 1, 2011, we determined that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sharing arrangements like the Collaboration Agreement, and the manner in which we pay amounts due Mind Streams under the Collaboration Agreement, will most likely no longer be permitted. Accordingly, we and Mind Streams entered into an agreement, dated December 30, 2010, pursuant to which we agreed to pay Mind Streams an amount equal to (a) $8.5 million, plus (b) Mind Streams’ applicable share of any net revenue actually received by us on or before February 28, 2011 with respect to any qualified applicant identified by Mind Streams that matriculated at the University and began a course prior to November 1, 2010. In return, Mind Streams agreed to (i) accept such amounts in full and complete satisfaction of all amounts owed by us to Mind Streams under the Collaboration Agreement, and (ii) transfer to us a proprietary database of potential student leads. In the aggregate, we have expensed $9.2 million in 2010 relating to the termination of this contract.</w:t>
      </w:r>
    </w:p>
    <w:p>
      <w:pPr>
        <w:spacing w:after="0" w:line="9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i w:val="1"/>
          <w:iCs w:val="1"/>
          <w:color w:val="auto"/>
        </w:rPr>
        <w:t xml:space="preserve">Litigation loss. </w:t>
      </w:r>
      <w:r>
        <w:rPr>
          <w:rFonts w:ascii="Arial" w:cs="Arial" w:eastAsia="Arial" w:hAnsi="Arial"/>
          <w:sz w:val="16"/>
          <w:szCs w:val="16"/>
          <w:color w:val="auto"/>
        </w:rPr>
        <w:t>During the third quarter of fiscal year 2009, we recorded an accrual of $5.2 million for the estimated settlement of the</w:t>
      </w:r>
      <w:r>
        <w:rPr>
          <w:rFonts w:ascii="Arial" w:cs="Arial" w:eastAsia="Arial" w:hAnsi="Arial"/>
          <w:sz w:val="16"/>
          <w:szCs w:val="16"/>
          <w:i w:val="1"/>
          <w:iCs w:val="1"/>
          <w:color w:val="auto"/>
        </w:rPr>
        <w:t xml:space="preserve"> qui tam </w:t>
      </w:r>
      <w:r>
        <w:rPr>
          <w:rFonts w:ascii="Arial" w:cs="Arial" w:eastAsia="Arial" w:hAnsi="Arial"/>
          <w:sz w:val="16"/>
          <w:szCs w:val="16"/>
          <w:color w:val="auto"/>
        </w:rPr>
        <w:t>lawsuit.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settlement became final in December 2010. See Item 8, </w:t>
      </w:r>
      <w:r>
        <w:rPr>
          <w:rFonts w:ascii="Arial" w:cs="Arial" w:eastAsia="Arial" w:hAnsi="Arial"/>
          <w:sz w:val="16"/>
          <w:szCs w:val="16"/>
          <w:i w:val="1"/>
          <w:iCs w:val="1"/>
          <w:color w:val="auto"/>
        </w:rPr>
        <w:t>Consolidated Financial Statements and Supplementary Data</w:t>
      </w:r>
      <w:r>
        <w:rPr>
          <w:rFonts w:ascii="Arial" w:cs="Arial" w:eastAsia="Arial" w:hAnsi="Arial"/>
          <w:sz w:val="16"/>
          <w:szCs w:val="16"/>
          <w:color w:val="auto"/>
        </w:rPr>
        <w:t xml:space="preserve">, and Item 3, </w:t>
      </w:r>
      <w:r>
        <w:rPr>
          <w:rFonts w:ascii="Arial" w:cs="Arial" w:eastAsia="Arial" w:hAnsi="Arial"/>
          <w:sz w:val="16"/>
          <w:szCs w:val="16"/>
          <w:i w:val="1"/>
          <w:iCs w:val="1"/>
          <w:color w:val="auto"/>
        </w:rPr>
        <w:t>Legal Proceedings</w:t>
      </w:r>
      <w:r>
        <w:rPr>
          <w:rFonts w:ascii="Arial" w:cs="Arial" w:eastAsia="Arial" w:hAnsi="Arial"/>
          <w:sz w:val="16"/>
          <w:szCs w:val="16"/>
          <w:color w:val="auto"/>
        </w:rPr>
        <w:t>.</w:t>
      </w:r>
    </w:p>
    <w:p>
      <w:pPr>
        <w:spacing w:after="0" w:line="58"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i w:val="1"/>
          <w:iCs w:val="1"/>
          <w:color w:val="auto"/>
        </w:rPr>
        <w:t xml:space="preserve">Exit costs. </w:t>
      </w:r>
      <w:r>
        <w:rPr>
          <w:rFonts w:ascii="Arial" w:cs="Arial" w:eastAsia="Arial" w:hAnsi="Arial"/>
          <w:sz w:val="18"/>
          <w:szCs w:val="18"/>
          <w:color w:val="auto"/>
        </w:rPr>
        <w:t>In 2009, we recorded $1.2 million for exit costs related to the closure of the student services facility in Utah, including termination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relocation expenses and the future lease payments, net of estimated sublease rentals, plus the write off of leasehold improvements associated with the leased space. During 2010, we recorded an additional $0.3 million for exit costs primarily related to our unused lease space in Utah and technology related costs that could not be utilized in other locations.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Our interest expense for the year ended December 31, 2010 was $0.9 million, a decrease of $0.7 million from $1.6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2009, as the average level of borrowings and related interest rates were significantly lowered as a result of the repurchase of the campus land and buildings and the conversion from a capital lease obligation at an effective interest rate of approximately 8.7% to a variable rate debt with an effective interest rate of 3.8% beginning in the second quarter of 2009. Additionally, in June 2010 the loan agreement was amended to reduce the interest rate on unpaid amounts to 30-day LIBOR plus 2.25% from 30-day LIBOR plus 3.5%.</w:t>
      </w:r>
    </w:p>
    <w:p>
      <w:pPr>
        <w:spacing w:after="0" w:line="89"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year ended December 31, 2010 was $22.2 million, an increase of $4.2 million from $18.0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2009. This increase was primarily attributable to increased income before income taxes. Our effective tax rate was 38.7% during the year ended December 31, 2010 compared to 39.7% during the year ended December 31, 2009.</w:t>
      </w:r>
    </w:p>
    <w:p>
      <w:pPr>
        <w:spacing w:after="0" w:line="11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year ended December 31, 2010 was $35.2 million, an increase of $7.9 million, as compared to $27.3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2009, due to the factors discussed above.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5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As we increased the relative proportion of our online students during the past few years, this summer effect lessened. However, it is our intent to increase the number of ground traditional students significantly during the next few years. To accomplish this we doubled the number of ground traditional campus enrollment staff during 2011 and will significantly increase the number of ground traditional support staff in the Spring and Summer of 2012. Thus, we expect this summer effect to become even more pronounced in 2012 and thereafter.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15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During 2011, we financed our operating activities and capital expenditures primarily through cash provided by operating activities. Our</w:t>
      </w:r>
      <w:r>
        <w:rPr>
          <w:rFonts w:ascii="Arial" w:cs="Arial" w:eastAsia="Arial" w:hAnsi="Arial"/>
          <w:sz w:val="18"/>
          <w:szCs w:val="18"/>
          <w:i w:val="1"/>
          <w:iCs w:val="1"/>
          <w:color w:val="auto"/>
        </w:rPr>
        <w:t xml:space="preserve"> </w:t>
      </w:r>
      <w:r>
        <w:rPr>
          <w:rFonts w:ascii="Arial" w:cs="Arial" w:eastAsia="Arial" w:hAnsi="Arial"/>
          <w:sz w:val="18"/>
          <w:szCs w:val="18"/>
          <w:color w:val="auto"/>
        </w:rPr>
        <w:t>unrestricted cash, cash equivalents, and marketable securities were $21.2 million at December 31, 2011 and our restricted cash, cash equivalents and investments were $56.7 million.</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2011, we completed construction of our 140,000 square foot basketball and entertainment arena, a new dormitory that can hold up to 500 students, a student activity center that contains a food court, a bowling alley and other services. In addition, we started construction on an Arts and Science classroom building, which will have 21 traditional classrooms, five chemistry labs, two computer labs, a simulation laboratory, and a skills laboratory, and two additional dormitories. In the Spring of 2012 we will begin construction on our first parking garage. These investments are to support our growing on-campus student population as well as enhance the brand of the University.</w:t>
      </w:r>
    </w:p>
    <w:p>
      <w:pPr>
        <w:spacing w:after="0" w:line="1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 significant portion of our net revenue is derived from tuition financed by the Title IV programs. Federal regulations dictate the timing of disbursements under the Title IV programs. Under the BBAY financial aid system, loan funds are generally provided by the Federal Direct Loan Program in two disbursements for each academic year. The disbursements are usually received two to four weeks into the first course of a payment period. These factors, together with the timing of students beginning their programs, affect our operating cash flow. In a term-based Title IV environment, Title IV disbursements are generally based on three academic terms per year and institutions operating on this basis are generally allowed to bring in up to 33% of a student’s academic year financial aid at the start of each term, with the majority of such amounts being treated as unrestricted cash and deferred revenue (or a student deposit liability depending on if the course had begun or not) until the revenue is recognized. In a non-term, borrower-based environment, Title IV disbursements are generally based on a 24-credit academic year/12-credit payment period for undergraduate students and a 12-credit academic year/6-credit payment period for graduate students. Institutions operating on this basis are generally allowed to bring in up to 50% of a student’s academic year financial aid at the start of a program. If this financial aid is received for courses that have begun, then it is treated as unrestricted cash and deferred revenue until the revenue is recognized. If the financial aid is received for courses that have not yet begun, then it is treated as restricted cash and a student deposit liability.</w:t>
      </w:r>
    </w:p>
    <w:p>
      <w:pPr>
        <w:spacing w:after="0" w:line="10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August 16, 2010, our Board of Directors authorized the University to repurchase up to $25.0 million of common stock, from time to time, depending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market conditions and other considerations. On July 28, 2011, our Board of Directors authorized the University to repurchase up to an additional $25.0 million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($50.0 million total) of common stock. The expiration date on the repurchase authorization is September 30, 2012. Repurchases occur at our discretion. The 2011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repurchase authorization is an expansion of, and does not replace the 2010 purchase authorization.</w:t>
      </w:r>
    </w:p>
    <w:p>
      <w:pPr>
        <w:spacing w:after="0" w:line="138"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35"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Since the approval of the initial share repurchase plan, the University has purchased 1,657,300 shares of common stock at an aggregate cost of $23.9 million which includes 1,607,300 shares of common stock at an aggregate cost of $23.1 million during the year ended December 31, 2011. At December 31, 2011, there remains $26.1 million available under our current share repurchase authorization.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4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Net cash provided by operating activities for the year ended December 31, 2011, 2010 and 2009 was $97.1 million, $84.1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$61.2 million, respectively. Cash provided by operations in 2011, 2010 and 2009 resulted from our net income plus non-cash charges for provision for bad debts, depreciation and amortization, estimated settlement loss, exit costs, share-based compensation and improvement in our working capital management.</w:t>
      </w:r>
    </w:p>
    <w:p>
      <w:pPr>
        <w:spacing w:after="0" w:line="8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$84.3 million, $111.8 million, and $58.4 million for the years ended December 31, 2011,</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2010, and 2009, respectively. Our cash used in investing activities is primarily related to the purchase of property and equipment, leasehold improvements, and changes in restricted cash and cash equivalents related to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settlement and collateral on our derivative instruments. Other capital expenditures were $80.5 million, $62.6 million and $60.3 million for the years ended December 31, 2011, 2010, and 2009, respectively. In 2011, capital expenditures completed consisted of a 140,000 square foot/5,000 seat basketball and entertainment arena, a student activity center that contains a food court, a bowling alley, and other student services, and a new dormitory, as well as campus improvements to support our growing on-campus student population, purchases of computer equipment, leasehold improvements, infrastructure licenses and software development costs, and office furniture and fixtures to support our increasing employee headcounts. In addition in 2011, we began construction of two new dormitories and a new Arts and Sciences classroom building, which will have 21 traditional classrooms, five chemistry labs, two computer labs, a simulation laboratory, and a skill laboratory. In 2010, capital expenditures primarily consisted of campus improvements to support our growing on-campus student population such as a new dormitory and a 55,000 square foot recreation center for both student-athletes and on-campus students as well as completion of the College of Education classroom building, purchases of computer equipment, leasehold improvements, infrastructure licenses and software development costs to facilitate our transition from Datatel to CampusVue and Great Plains, and office furniture and fixtures to support our increasing employee headcounts. In 2009, cash used in investing activities was primarily related to the acquisition of our campus land and buildings for $35.5 million. We anticipate capital expenditures to remain at levels comparable to 2011 in 2012 and 2013 to support the continued increase in students, innovative education tools and ground campus building projects.</w:t>
      </w:r>
    </w:p>
    <w:p>
      <w:pPr>
        <w:spacing w:after="0" w:line="9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Net cash (used in) provided by financing activities was $(25.3) million, $(1.2) million, and $24.7 million for the years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2011, 2010, and 2009, respectively. During 2011, $23.1 million was used to purchase treasury stock in accordance with our share repurchase program and principal payments on notes payable and capital leases totaled $3.7 million. These uses of cash were partially offset by proceeds of $1.7 million from the exercise of stock options. During 2010, principal payments on notes payable and capital lease obligation and the repurchase of our common stock were partially offset by proceeds from the exercise of stock options and the excess tax benefits from share-based compensation. During 2009, the proceeds from the note payable associated with the acquisition of our ground campus and buildings and proceeds from our September 2009 offering of stock were partially offset by the repurchase of our shares from Spirit.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5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sets forth, as of December 31, 2011, the aggregate amounts of our significant contractual obligations and commitments with definitive payment terms due in each of the periods presented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w w:val="96"/>
              </w:rPr>
              <w:t>Payments Due by Period</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98"/>
              <w:spacing w:after="0" w:line="129" w:lineRule="exact"/>
              <w:rPr>
                <w:sz w:val="20"/>
                <w:szCs w:val="20"/>
                <w:color w:val="auto"/>
              </w:rPr>
            </w:pPr>
            <w:r>
              <w:rPr>
                <w:rFonts w:ascii="Arial" w:cs="Arial" w:eastAsia="Arial" w:hAnsi="Arial"/>
                <w:sz w:val="14"/>
                <w:szCs w:val="14"/>
                <w:b w:val="1"/>
                <w:bCs w:val="1"/>
                <w:color w:val="auto"/>
                <w:w w:val="91"/>
              </w:rPr>
              <w:t>Less than</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38"/>
              <w:spacing w:after="0" w:line="129" w:lineRule="exact"/>
              <w:rPr>
                <w:sz w:val="20"/>
                <w:szCs w:val="20"/>
                <w:color w:val="auto"/>
              </w:rPr>
            </w:pPr>
            <w:r>
              <w:rPr>
                <w:rFonts w:ascii="Arial" w:cs="Arial" w:eastAsia="Arial" w:hAnsi="Arial"/>
                <w:sz w:val="14"/>
                <w:szCs w:val="14"/>
                <w:b w:val="1"/>
                <w:bCs w:val="1"/>
                <w:color w:val="auto"/>
                <w:w w:val="89"/>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98"/>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2-3 Years</w:t>
            </w:r>
          </w:p>
        </w:tc>
        <w:tc>
          <w:tcPr>
            <w:tcW w:w="14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4-5 Years</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Long term notes payable</w:t>
            </w:r>
            <w:r>
              <w:rPr>
                <w:rFonts w:ascii="Arial" w:cs="Arial" w:eastAsia="Arial" w:hAnsi="Arial"/>
                <w:sz w:val="11"/>
                <w:szCs w:val="11"/>
                <w:color w:val="auto"/>
              </w:rPr>
              <w:t>(1)</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Capital lease obligations</w:t>
            </w:r>
            <w:r>
              <w:rPr>
                <w:rFonts w:ascii="Arial" w:cs="Arial" w:eastAsia="Arial" w:hAnsi="Arial"/>
                <w:sz w:val="11"/>
                <w:szCs w:val="11"/>
                <w:color w:val="auto"/>
              </w:rPr>
              <w:t>(2)</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1"/>
                <w:szCs w:val="11"/>
                <w:color w:val="auto"/>
              </w:rPr>
              <w:t>(3)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600" w:hanging="452"/>
        <w:spacing w:after="0" w:line="332"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See Note 6, “Notes Payable and Other Noncurrent Liabilities,” to our consolidated financial statements, included in Item 8, </w:t>
      </w:r>
      <w:r>
        <w:rPr>
          <w:rFonts w:ascii="Arial" w:cs="Arial" w:eastAsia="Arial" w:hAnsi="Arial"/>
          <w:sz w:val="16"/>
          <w:szCs w:val="16"/>
          <w:i w:val="1"/>
          <w:iCs w:val="1"/>
          <w:color w:val="auto"/>
        </w:rPr>
        <w:t>Consolidated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and Supplementary Data</w:t>
      </w:r>
      <w:r>
        <w:rPr>
          <w:rFonts w:ascii="Arial" w:cs="Arial" w:eastAsia="Arial" w:hAnsi="Arial"/>
          <w:sz w:val="16"/>
          <w:szCs w:val="16"/>
          <w:color w:val="auto"/>
        </w:rPr>
        <w:t>, for a discussion of our long term notes payable and other obligations.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See Note 7, “Capital Lease Obligations,” to our consolidated financial statements, included in Item 8, </w:t>
      </w:r>
      <w:r>
        <w:rPr>
          <w:rFonts w:ascii="Arial" w:cs="Arial" w:eastAsia="Arial" w:hAnsi="Arial"/>
          <w:sz w:val="18"/>
          <w:szCs w:val="18"/>
          <w:i w:val="1"/>
          <w:iCs w:val="1"/>
          <w:color w:val="auto"/>
        </w:rPr>
        <w:t>Consolidated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r>
        <w:rPr>
          <w:rFonts w:ascii="Arial" w:cs="Arial" w:eastAsia="Arial" w:hAnsi="Arial"/>
          <w:sz w:val="18"/>
          <w:szCs w:val="18"/>
          <w:color w:val="auto"/>
        </w:rPr>
        <w:t>, for a discussion of our capital lease obligations.</w:t>
      </w:r>
    </w:p>
    <w:p>
      <w:pPr>
        <w:spacing w:after="0" w:line="118" w:lineRule="exact"/>
        <w:rPr>
          <w:rFonts w:ascii="Arial" w:cs="Arial" w:eastAsia="Arial" w:hAnsi="Arial"/>
          <w:sz w:val="18"/>
          <w:szCs w:val="18"/>
          <w:color w:val="auto"/>
        </w:rPr>
      </w:pPr>
    </w:p>
    <w:p>
      <w:pPr>
        <w:ind w:left="460" w:right="48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See Note 8, “Commitments and Contingencies,” to our consolidated financial statements, included in Item 8, </w:t>
      </w:r>
      <w:r>
        <w:rPr>
          <w:rFonts w:ascii="Arial" w:cs="Arial" w:eastAsia="Arial" w:hAnsi="Arial"/>
          <w:sz w:val="18"/>
          <w:szCs w:val="18"/>
          <w:i w:val="1"/>
          <w:iCs w:val="1"/>
          <w:color w:val="auto"/>
        </w:rPr>
        <w:t>Consolidated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r>
        <w:rPr>
          <w:rFonts w:ascii="Arial" w:cs="Arial" w:eastAsia="Arial" w:hAnsi="Arial"/>
          <w:sz w:val="18"/>
          <w:szCs w:val="18"/>
          <w:color w:val="auto"/>
        </w:rPr>
        <w:t>, for a discussion of our operating lease obligations.</w:t>
      </w:r>
    </w:p>
    <w:p>
      <w:pPr>
        <w:spacing w:after="0" w:line="10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foregoing obligations exclude potential royalty payments to Blanchard Education, LLC under our license agreement, the amounts of which are contingent on tuition revenue from certain of our business programs.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5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Discussion</w:t>
      </w:r>
    </w:p>
    <w:p>
      <w:pPr>
        <w:spacing w:after="0" w:line="15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 See Item 6, </w:t>
      </w:r>
      <w:r>
        <w:rPr>
          <w:rFonts w:ascii="Arial" w:cs="Arial" w:eastAsia="Arial" w:hAnsi="Arial"/>
          <w:sz w:val="16"/>
          <w:szCs w:val="16"/>
          <w:i w:val="1"/>
          <w:iCs w:val="1"/>
          <w:color w:val="auto"/>
        </w:rPr>
        <w:t>Selected Consolidated Financial and Other Data,</w:t>
      </w:r>
      <w:r>
        <w:rPr>
          <w:rFonts w:ascii="Arial" w:cs="Arial" w:eastAsia="Arial" w:hAnsi="Arial"/>
          <w:sz w:val="16"/>
          <w:szCs w:val="16"/>
          <w:color w:val="auto"/>
        </w:rPr>
        <w:t xml:space="preserve"> for a discussion of our Adjusted EBITDA computation and reconciliation.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See Note 2, Summary of Significant Accounting Policies, in Item 8, </w:t>
      </w:r>
      <w:r>
        <w:rPr>
          <w:rFonts w:ascii="Arial" w:cs="Arial" w:eastAsia="Arial" w:hAnsi="Arial"/>
          <w:sz w:val="18"/>
          <w:szCs w:val="18"/>
          <w:i w:val="1"/>
          <w:iCs w:val="1"/>
          <w:color w:val="auto"/>
        </w:rPr>
        <w:t>Consolidated Financial Statements and Supplementary Data</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Impact of inflation. </w:t>
      </w:r>
      <w:r>
        <w:rPr>
          <w:rFonts w:ascii="Arial" w:cs="Arial" w:eastAsia="Arial" w:hAnsi="Arial"/>
          <w:sz w:val="16"/>
          <w:szCs w:val="16"/>
          <w:color w:val="auto"/>
        </w:rPr>
        <w:t>We believe that inflation has not had a material impact on our results of operations for the years ended December 31, 2011, 2010,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 There can be no assurance that future inflation will not have an adverse impact on our operating results and financial condition.</w:t>
      </w:r>
    </w:p>
    <w:p>
      <w:pPr>
        <w:spacing w:after="0" w:line="13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On June 30, 2009, we entered into two derivative agreements to manage our 30-day LIBOR interest exposure from the variable rate note</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A corridor instrument hedges our variable interest rate risk from July 1, 2009 through April 30, 2014 with a notional amount of $10.6 million as of December 31, 2011 and permits us to hedge our interest rate risk at several thresholds. Under this arrangement, in addition to the credit spread we will pay variable interest rates based on the 30-day LIBOR rates monthly until that index reaches 4%. If 30-day LIBOR is equal to 4% through 6%, we will continue to pay 4%. If the 30-day LIBOR exceeds 6%, we will pay actual 30-day LIBOR less 2%. In addition, an interest rate swap commenced on May 1, 2010, continues each month thereafter until April 30, 2014, and has a notional amount of $10.6 million as of December 31, 2011. Under this arrangement, we will receive 30-day LIBOR and pay 3.245% fixed rate on the amortizing notional amount plus the credit spread.</w:t>
      </w:r>
    </w:p>
    <w:p>
      <w:pPr>
        <w:spacing w:after="0" w:line="9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Except with respect to the foregoing, we have no derivative financial instruments or derivative commodity instruments. We invest cash in excess of current operating requirements in short term certificates of deposit and money market instruments in multiple financial institutions.</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Interest rate risk</w:t>
      </w:r>
      <w:r>
        <w:rPr>
          <w:rFonts w:ascii="Arial" w:cs="Arial" w:eastAsia="Arial" w:hAnsi="Arial"/>
          <w:sz w:val="16"/>
          <w:szCs w:val="16"/>
          <w:color w:val="auto"/>
        </w:rPr>
        <w:t>. We manage interest rate risk through the instruments noted above and by investing excess funds in cash equivalents and AAA rated</w:t>
      </w:r>
      <w:r>
        <w:rPr>
          <w:rFonts w:ascii="Arial" w:cs="Arial" w:eastAsia="Arial" w:hAnsi="Arial"/>
          <w:sz w:val="16"/>
          <w:szCs w:val="16"/>
          <w:i w:val="1"/>
          <w:iCs w:val="1"/>
          <w:color w:val="auto"/>
        </w:rPr>
        <w:t xml:space="preserve"> </w:t>
      </w:r>
      <w:r>
        <w:rPr>
          <w:rFonts w:ascii="Arial" w:cs="Arial" w:eastAsia="Arial" w:hAnsi="Arial"/>
          <w:sz w:val="16"/>
          <w:szCs w:val="16"/>
          <w:color w:val="auto"/>
        </w:rPr>
        <w:t>marketable securities bearing variable interest rates, which are tied to various market indices. Our future investment income may fall short of expectations due to changes in interest rates or we may suffer losses in principal if we are forced to sell securities that have declined in market value due to changes in interest rates. At December 31, 2011, a 10% increase or decrease in interest rates would not have a material impact on our future earnings, fair values, or cash flows. For information regarding our variable rate notes payable, see “Market risk” above.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660" w:type="dxa"/>
            <w:vAlign w:val="bottom"/>
            <w:gridSpan w:val="8"/>
          </w:tcPr>
          <w:p>
            <w:pPr>
              <w:ind w:left="260"/>
              <w:spacing w:after="0"/>
              <w:rPr>
                <w:sz w:val="20"/>
                <w:szCs w:val="20"/>
                <w:color w:val="auto"/>
              </w:rPr>
            </w:pPr>
            <w:r>
              <w:rPr>
                <w:rFonts w:ascii="Arial" w:cs="Arial" w:eastAsia="Arial" w:hAnsi="Arial"/>
                <w:sz w:val="18"/>
                <w:szCs w:val="18"/>
                <w:b w:val="1"/>
                <w:bCs w:val="1"/>
                <w:i w:val="1"/>
                <w:iCs w:val="1"/>
                <w:color w:val="auto"/>
              </w:rPr>
              <w:t>Consolidated Financial Statements and Supplementary Data</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0440" w:type="dxa"/>
            <w:vAlign w:val="bottom"/>
            <w:gridSpan w:val="9"/>
            <w:vMerge w:val="restart"/>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Report of Independent Registered Public Accounting Firm</w:t>
              </w:r>
            </w:hyperlink>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440" w:type="dxa"/>
            <w:vAlign w:val="bottom"/>
            <w:gridSpan w:val="9"/>
            <w:vMerge w:val="continue"/>
          </w:tcPr>
          <w:p>
            <w:pPr>
              <w:spacing w:after="0"/>
              <w:rPr>
                <w:sz w:val="13"/>
                <w:szCs w:val="13"/>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5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91">
              <w:r>
                <w:rPr>
                  <w:rFonts w:ascii="Arial" w:cs="Arial" w:eastAsia="Arial" w:hAnsi="Arial"/>
                  <w:sz w:val="18"/>
                  <w:szCs w:val="18"/>
                  <w:color w:val="0000EE"/>
                  <w:w w:val="86"/>
                </w:rPr>
                <w:t>Consolidated Balance Sheets as of December 31, 2011 and 2010</w:t>
              </w:r>
            </w:hyperlink>
          </w:p>
        </w:tc>
        <w:tc>
          <w:tcPr>
            <w:tcW w:w="5900" w:type="dxa"/>
            <w:vAlign w:val="bottom"/>
            <w:gridSpan w:val="5"/>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72"/>
        </w:trPr>
        <w:tc>
          <w:tcPr>
            <w:tcW w:w="626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92">
              <w:r>
                <w:rPr>
                  <w:rFonts w:ascii="Arial" w:cs="Arial" w:eastAsia="Arial" w:hAnsi="Arial"/>
                  <w:sz w:val="18"/>
                  <w:szCs w:val="18"/>
                  <w:color w:val="0000EE"/>
                  <w:w w:val="86"/>
                </w:rPr>
                <w:t>Consolidated Income Statements for the years ended December 31, 2011, 2010 and 2009</w:t>
              </w:r>
            </w:hyperlink>
          </w:p>
        </w:tc>
        <w:tc>
          <w:tcPr>
            <w:tcW w:w="4180" w:type="dxa"/>
            <w:vAlign w:val="bottom"/>
            <w:gridSpan w:val="4"/>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372"/>
        </w:trPr>
        <w:tc>
          <w:tcPr>
            <w:tcW w:w="10440" w:type="dxa"/>
            <w:vAlign w:val="bottom"/>
            <w:gridSpan w:val="9"/>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Consolidated Statements of Comprehensive Income for the years ended December 31, 2011, 2010 and 2009</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72"/>
        </w:trPr>
        <w:tc>
          <w:tcPr>
            <w:tcW w:w="7580" w:type="dxa"/>
            <w:vAlign w:val="bottom"/>
            <w:tcBorders>
              <w:top w:val="single" w:sz="8" w:color="0000EE"/>
            </w:tcBorders>
            <w:gridSpan w:val="8"/>
          </w:tcPr>
          <w:p>
            <w:pPr>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Consolidated Statements of Stockholders’ Equity for the years ended December 31, 2011, 2010 and 2009</w:t>
              </w:r>
            </w:hyperlink>
          </w:p>
        </w:tc>
        <w:tc>
          <w:tcPr>
            <w:tcW w:w="28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72"/>
        </w:trPr>
        <w:tc>
          <w:tcPr>
            <w:tcW w:w="67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95">
              <w:r>
                <w:rPr>
                  <w:rFonts w:ascii="Arial" w:cs="Arial" w:eastAsia="Arial" w:hAnsi="Arial"/>
                  <w:sz w:val="18"/>
                  <w:szCs w:val="18"/>
                  <w:color w:val="0000EE"/>
                  <w:w w:val="86"/>
                </w:rPr>
                <w:t>Consolidated Statements of Cash Flows for the years ended December 31, 2011, 2010 and 2009</w:t>
              </w:r>
            </w:hyperlink>
          </w:p>
        </w:tc>
        <w:tc>
          <w:tcPr>
            <w:tcW w:w="700" w:type="dxa"/>
            <w:vAlign w:val="bottom"/>
            <w:tcBorders>
              <w:top w:val="single" w:sz="8" w:color="0000EE"/>
            </w:tcBorders>
          </w:tcPr>
          <w:p>
            <w:pPr>
              <w:spacing w:after="0"/>
              <w:rPr>
                <w:sz w:val="24"/>
                <w:szCs w:val="24"/>
                <w:color w:val="auto"/>
              </w:rPr>
            </w:pPr>
          </w:p>
        </w:tc>
        <w:tc>
          <w:tcPr>
            <w:tcW w:w="3000" w:type="dxa"/>
            <w:vAlign w:val="bottom"/>
            <w:gridSpan w:val="2"/>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372"/>
        </w:trPr>
        <w:tc>
          <w:tcPr>
            <w:tcW w:w="10440" w:type="dxa"/>
            <w:vAlign w:val="bottom"/>
            <w:gridSpan w:val="9"/>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Notes to Consolidated Financial Statements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83"/>
        </w:trPr>
        <w:tc>
          <w:tcPr>
            <w:tcW w:w="780" w:type="dxa"/>
            <w:vAlign w:val="bottom"/>
            <w:tcBorders>
              <w:top w:val="single" w:sz="8" w:color="0000EE"/>
            </w:tcBorders>
          </w:tcPr>
          <w:p>
            <w:pPr>
              <w:spacing w:after="0"/>
              <w:rPr>
                <w:sz w:val="24"/>
                <w:szCs w:val="24"/>
                <w:color w:val="auto"/>
              </w:rPr>
            </w:pPr>
          </w:p>
        </w:tc>
        <w:tc>
          <w:tcPr>
            <w:tcW w:w="2300" w:type="dxa"/>
            <w:vAlign w:val="bottom"/>
            <w:tcBorders>
              <w:top w:val="single" w:sz="8" w:color="0000EE"/>
            </w:tcBorders>
          </w:tcPr>
          <w:p>
            <w:pPr>
              <w:spacing w:after="0"/>
              <w:rPr>
                <w:sz w:val="24"/>
                <w:szCs w:val="24"/>
                <w:color w:val="auto"/>
              </w:rPr>
            </w:pPr>
          </w:p>
        </w:tc>
        <w:tc>
          <w:tcPr>
            <w:tcW w:w="3180" w:type="dxa"/>
            <w:vAlign w:val="bottom"/>
            <w:gridSpan w:val="3"/>
          </w:tcPr>
          <w:p>
            <w:pPr>
              <w:jc w:val="right"/>
              <w:ind w:right="460"/>
              <w:spacing w:after="0"/>
              <w:rPr>
                <w:sz w:val="20"/>
                <w:szCs w:val="20"/>
                <w:color w:val="auto"/>
              </w:rPr>
            </w:pPr>
            <w:r>
              <w:rPr>
                <w:rFonts w:ascii="Arial" w:cs="Arial" w:eastAsia="Arial" w:hAnsi="Arial"/>
                <w:sz w:val="18"/>
                <w:szCs w:val="18"/>
                <w:color w:val="auto"/>
              </w:rPr>
              <w:t>88</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13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Grand Canyon Education, Inc. (the “Company”) as of December 31, 2011 and 2010, and the related consolidated statements of income, comprehensive income, stockholders’ equity, and cash flows for each of the three years in the period ended December 31, 2011. These financial statements are the responsibility of the Company’s management. Our responsibility is to express an opinion on these consolidated financial statements based on our audits.</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Grand Canyon Education, Inc. at December 31, 2011 and 2010, and the consolidated results of its operations and its cash flows for each of the three years in the period ended December 31, 2011, in conformity with U.S. generally accepted accounting principles.</w:t>
      </w:r>
    </w:p>
    <w:p>
      <w:pPr>
        <w:spacing w:after="0" w:line="11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Grand Canyon Education, Inc.’s internal control over financial reporting as of December 31, 2011, based on criteria established in Internal Control — Integrated Framework issued by the Committee of Sponsoring Organizations of the Treadway Commission and our report dated February 21, 2012, expressed an unqualified opinion thereon.</w:t>
      </w:r>
    </w:p>
    <w:p>
      <w:pPr>
        <w:spacing w:after="0" w:line="8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36"/>
        </w:trPr>
        <w:tc>
          <w:tcPr>
            <w:tcW w:w="890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53"/>
              <w:spacing w:after="0" w:line="129"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33"/>
              <w:spacing w:after="0" w:line="129"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6940" w:type="dxa"/>
            <w:vAlign w:val="bottom"/>
            <w:tcBorders>
              <w:top w:val="single" w:sz="8" w:color="CCEEFF"/>
            </w:tcBorders>
            <w:shd w:val="clear" w:color="auto" w:fill="CCEEFF"/>
          </w:tcPr>
          <w:p>
            <w:pPr>
              <w:jc w:val="center"/>
              <w:ind w:left="252"/>
              <w:spacing w:after="0" w:line="202" w:lineRule="exact"/>
              <w:rPr>
                <w:sz w:val="20"/>
                <w:szCs w:val="20"/>
                <w:color w:val="auto"/>
              </w:rPr>
            </w:pPr>
            <w:r>
              <w:rPr>
                <w:rFonts w:ascii="Arial" w:cs="Arial" w:eastAsia="Arial" w:hAnsi="Arial"/>
                <w:sz w:val="18"/>
                <w:szCs w:val="18"/>
                <w:b w:val="1"/>
                <w:bCs w:val="1"/>
                <w:color w:val="auto"/>
                <w:w w:val="92"/>
              </w:rPr>
              <w:t>ASSETS:</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21,189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Restricted cash and cash equivalents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56,115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52,178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0"/>
              </w:rPr>
              <w:t>Accounts receivable, net of allowance for doubtful accounts of $11,706 and $30,112 at December 31, 2011 and 2010,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17,983</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Income taxes receivable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11,861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115,414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189,947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123,999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Prepaid royalties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5,958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6,579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317,847</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275,096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940" w:type="dxa"/>
            <w:vAlign w:val="bottom"/>
            <w:shd w:val="clear" w:color="auto" w:fill="CCEEFF"/>
          </w:tcPr>
          <w:p>
            <w:pPr>
              <w:jc w:val="center"/>
              <w:ind w:left="272"/>
              <w:spacing w:after="0"/>
              <w:rPr>
                <w:sz w:val="20"/>
                <w:szCs w:val="20"/>
                <w:color w:val="auto"/>
              </w:rPr>
            </w:pPr>
            <w:r>
              <w:rPr>
                <w:rFonts w:ascii="Arial" w:cs="Arial" w:eastAsia="Arial" w:hAnsi="Arial"/>
                <w:sz w:val="18"/>
                <w:szCs w:val="18"/>
                <w:b w:val="1"/>
                <w:bCs w:val="1"/>
                <w:color w:val="auto"/>
                <w:w w:val="99"/>
              </w:rPr>
              <w:t>LIABILITIES AND STOCKHOLDERS’ EQUITY:</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18,523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12,229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Accrued litigation loss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Student deposits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57,602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48,873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Due to related parties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9,471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Current portion of notes payable</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121,505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122,848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portion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Deferred income taxes, non-current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5,334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less current portion</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0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154,554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147,595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Preferred stock, $0.01 par value, 10,000 shares authorized; 0 shares issued and outstanding at December 31, 2011 and 2010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w w:val="88"/>
              </w:rPr>
              <w:t>Common stock, $0.01 par value, 100,000 shares authorized; 45,955 and 45,811 shares issued and 44,298 and 45,761 shares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outstanding at December 31, 2011 and 2010, respectively</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 at cost, 1,657 and 50 shares of common stock at December 31, 2011 and 2010, respectively</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85,720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77,449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Accumulated earnings</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50,821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127,501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0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317,847</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275,096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gridSpan w:val="3"/>
            <w:vMerge w:val="restart"/>
          </w:tcPr>
          <w:p>
            <w:pPr>
              <w:ind w:left="562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9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right"/>
              <w:ind w:right="63"/>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54"/>
              <w:spacing w:after="0" w:line="129"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3"/>
              <w:spacing w:after="0" w:line="129"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53"/>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Net revenue</w:t>
            </w:r>
          </w:p>
        </w:tc>
        <w:tc>
          <w:tcPr>
            <w:tcW w:w="55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426,741</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385,625</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261,902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Instructional costs and services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178,844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w w:val="93"/>
              </w:rPr>
              <w:t>Selling and promotional, including $877 in 2011; $8,777 in 2010; and $6,736 in 2009, to related parties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119,955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112,493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Litigation loss</w:t>
            </w:r>
          </w:p>
        </w:tc>
        <w:tc>
          <w:tcPr>
            <w:tcW w:w="2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Contract termination fees to related party</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Lease termination costs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Exit costs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0"/>
        </w:trPr>
        <w:tc>
          <w:tcPr>
            <w:tcW w:w="8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costs and expenses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8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344,581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327,449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215,330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(720)</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8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8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81,528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57,455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45,283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17,979</w:t>
            </w:r>
          </w:p>
        </w:tc>
        <w:tc>
          <w:tcPr>
            <w:tcW w:w="0" w:type="dxa"/>
            <w:vAlign w:val="bottom"/>
          </w:tcPr>
          <w:p>
            <w:pPr>
              <w:spacing w:after="0"/>
              <w:rPr>
                <w:sz w:val="1"/>
                <w:szCs w:val="1"/>
                <w:color w:val="auto"/>
              </w:rPr>
            </w:pPr>
          </w:p>
        </w:tc>
      </w:tr>
      <w:tr>
        <w:trPr>
          <w:trHeight w:val="20"/>
        </w:trPr>
        <w:tc>
          <w:tcPr>
            <w:tcW w:w="8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80" w:type="dxa"/>
            <w:vAlign w:val="bottom"/>
            <w:gridSpan w:val="3"/>
            <w:vMerge w:val="continue"/>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50,546</w:t>
            </w:r>
          </w:p>
        </w:tc>
        <w:tc>
          <w:tcPr>
            <w:tcW w:w="22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35,206</w:t>
            </w:r>
          </w:p>
        </w:tc>
        <w:tc>
          <w:tcPr>
            <w:tcW w:w="28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Basic income per share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0.77</w:t>
            </w:r>
          </w:p>
        </w:tc>
        <w:tc>
          <w:tcPr>
            <w:tcW w:w="28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income per share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0.76</w:t>
            </w:r>
          </w:p>
        </w:tc>
        <w:tc>
          <w:tcPr>
            <w:tcW w:w="2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8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8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44,631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45,722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right"/>
              <w:ind w:right="63"/>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57"/>
              <w:spacing w:after="0" w:line="129"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55"/>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86"/>
              </w:rPr>
              <w:t>Net income</w:t>
            </w:r>
          </w:p>
        </w:tc>
        <w:tc>
          <w:tcPr>
            <w:tcW w:w="7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50,546</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35,206</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27,304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losses on hedging derivatives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Reclassification of net loss on interest rate corridor</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gains (losses) on available for sale securities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Realized gains on available for sale securities</w:t>
            </w:r>
          </w:p>
        </w:tc>
        <w:tc>
          <w:tcPr>
            <w:tcW w:w="220" w:type="dxa"/>
            <w:vAlign w:val="bottom"/>
          </w:tcPr>
          <w:p>
            <w:pPr>
              <w:spacing w:after="0"/>
              <w:rPr>
                <w:sz w:val="18"/>
                <w:szCs w:val="18"/>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34,905</w:t>
            </w:r>
          </w:p>
        </w:tc>
        <w:tc>
          <w:tcPr>
            <w:tcW w:w="2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Grand Canyon Education, Inc.</w:t>
      </w:r>
    </w:p>
    <w:p>
      <w:pPr>
        <w:spacing w:after="0" w:line="144"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Accumulated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Additional</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080" w:type="dxa"/>
            <w:vAlign w:val="bottom"/>
            <w:gridSpan w:val="6"/>
          </w:tcPr>
          <w:p>
            <w:pPr>
              <w:ind w:left="520"/>
              <w:spacing w:after="0"/>
              <w:rPr>
                <w:sz w:val="20"/>
                <w:szCs w:val="20"/>
                <w:color w:val="auto"/>
              </w:rPr>
            </w:pPr>
            <w:r>
              <w:rPr>
                <w:rFonts w:ascii="Arial" w:cs="Arial" w:eastAsia="Arial" w:hAnsi="Arial"/>
                <w:sz w:val="14"/>
                <w:szCs w:val="14"/>
                <w:b w:val="1"/>
                <w:bCs w:val="1"/>
                <w:color w:val="auto"/>
              </w:rPr>
              <w:t>Common Stock</w:t>
            </w:r>
          </w:p>
        </w:tc>
        <w:tc>
          <w:tcPr>
            <w:tcW w:w="20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5"/>
                <w:szCs w:val="15"/>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Comprehensive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Accumulated</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96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100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2"/>
                <w:szCs w:val="12"/>
                <w:color w:val="auto"/>
              </w:rPr>
            </w:pPr>
          </w:p>
        </w:tc>
        <w:tc>
          <w:tcPr>
            <w:tcW w:w="10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86"/>
              </w:rPr>
              <w:t>Income (Loss)</w:t>
            </w:r>
          </w:p>
        </w:tc>
        <w:tc>
          <w:tcPr>
            <w:tcW w:w="40" w:type="dxa"/>
            <w:vAlign w:val="bottom"/>
          </w:tcPr>
          <w:p>
            <w:pPr>
              <w:spacing w:after="0"/>
              <w:rPr>
                <w:sz w:val="12"/>
                <w:szCs w:val="12"/>
                <w:color w:val="auto"/>
              </w:rPr>
            </w:pPr>
          </w:p>
        </w:tc>
        <w:tc>
          <w:tcPr>
            <w:tcW w:w="1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6"/>
              </w:rPr>
              <w:t>Earnings (Deficit)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2008</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45,465</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color w:val="auto"/>
                <w:w w:val="76"/>
              </w:rPr>
              <w:t>455</w:t>
            </w:r>
          </w:p>
        </w:tc>
        <w:tc>
          <w:tcPr>
            <w:tcW w:w="1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64,808</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(11,689)</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53,590</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9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27,304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27,304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Unrealized losses on hedging derivatives, net of taxes</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of $111</w:t>
            </w:r>
          </w:p>
        </w:tc>
        <w:tc>
          <w:tcPr>
            <w:tcW w:w="96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5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(167)</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tcPr>
          <w:p>
            <w:pPr>
              <w:spacing w:after="0" w:line="138" w:lineRule="exact"/>
              <w:rPr>
                <w:sz w:val="20"/>
                <w:szCs w:val="20"/>
                <w:color w:val="auto"/>
              </w:rPr>
            </w:pPr>
            <w:r>
              <w:rPr>
                <w:rFonts w:ascii="Arial" w:cs="Arial" w:eastAsia="Arial" w:hAnsi="Arial"/>
                <w:sz w:val="14"/>
                <w:szCs w:val="14"/>
                <w:color w:val="auto"/>
                <w:w w:val="91"/>
              </w:rPr>
              <w:t>Unrealized gains on available for-sale securities, net</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80" w:type="dxa"/>
            <w:vAlign w:val="bottom"/>
          </w:tcPr>
          <w:p>
            <w:pPr>
              <w:ind w:left="200"/>
              <w:spacing w:after="0" w:line="159" w:lineRule="exact"/>
              <w:rPr>
                <w:sz w:val="20"/>
                <w:szCs w:val="20"/>
                <w:color w:val="auto"/>
              </w:rPr>
            </w:pPr>
            <w:r>
              <w:rPr>
                <w:rFonts w:ascii="Arial" w:cs="Arial" w:eastAsia="Arial" w:hAnsi="Arial"/>
                <w:sz w:val="14"/>
                <w:szCs w:val="14"/>
                <w:color w:val="auto"/>
              </w:rPr>
              <w:t>of taxes of $5</w:t>
            </w:r>
          </w:p>
        </w:tc>
        <w:tc>
          <w:tcPr>
            <w:tcW w:w="96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6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Repurchase and retirement of the Company’s</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common stock</w:t>
            </w:r>
          </w:p>
        </w:tc>
        <w:tc>
          <w:tcPr>
            <w:tcW w:w="9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(909)</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w:t>
            </w:r>
          </w:p>
        </w:tc>
        <w:tc>
          <w:tcPr>
            <w:tcW w:w="10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(14,486)</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(14,495)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Stock issued in offering, net of issuance costs</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14,870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14,880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9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9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102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1,225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benefit</w:t>
            </w:r>
          </w:p>
        </w:tc>
        <w:tc>
          <w:tcPr>
            <w:tcW w:w="880" w:type="dxa"/>
            <w:vAlign w:val="bottom"/>
            <w:tcBorders>
              <w:bottom w:val="single" w:sz="8" w:color="auto"/>
            </w:tcBorders>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00" w:type="dxa"/>
            <w:vAlign w:val="bottom"/>
            <w:gridSpan w:val="2"/>
          </w:tcPr>
          <w:p>
            <w:pPr>
              <w:spacing w:after="0" w:line="155" w:lineRule="exact"/>
              <w:rPr>
                <w:sz w:val="20"/>
                <w:szCs w:val="20"/>
                <w:color w:val="auto"/>
              </w:rPr>
            </w:pPr>
            <w:r>
              <w:rPr>
                <w:rFonts w:ascii="Arial" w:cs="Arial" w:eastAsia="Arial" w:hAnsi="Arial"/>
                <w:sz w:val="14"/>
                <w:szCs w:val="14"/>
                <w:color w:val="auto"/>
              </w:rPr>
              <w:t>Balance at December 31, 2009</w:t>
            </w:r>
          </w:p>
        </w:tc>
        <w:tc>
          <w:tcPr>
            <w:tcW w:w="9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45,658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560"/>
              <w:spacing w:after="0" w:line="155" w:lineRule="exact"/>
              <w:rPr>
                <w:sz w:val="20"/>
                <w:szCs w:val="20"/>
                <w:color w:val="auto"/>
              </w:rPr>
            </w:pPr>
            <w:r>
              <w:rPr>
                <w:rFonts w:ascii="Arial" w:cs="Arial" w:eastAsia="Arial" w:hAnsi="Arial"/>
                <w:sz w:val="14"/>
                <w:szCs w:val="14"/>
                <w:color w:val="auto"/>
              </w:rPr>
              <w:t>457</w:t>
            </w:r>
          </w:p>
        </w:tc>
        <w:tc>
          <w:tcPr>
            <w:tcW w:w="10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60" w:type="dxa"/>
            <w:vAlign w:val="bottom"/>
            <w:gridSpan w:val="2"/>
          </w:tcPr>
          <w:p>
            <w:pPr>
              <w:ind w:left="56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70,100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(144)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15,615</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86,028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9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income</w:t>
            </w:r>
          </w:p>
        </w:tc>
        <w:tc>
          <w:tcPr>
            <w:tcW w:w="960" w:type="dxa"/>
            <w:vAlign w:val="bottom"/>
            <w:gridSpan w:val="2"/>
            <w:shd w:val="clear" w:color="auto" w:fill="CCEEFF"/>
          </w:tcPr>
          <w:p>
            <w:pPr>
              <w:ind w:left="660"/>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60"/>
              <w:spacing w:after="0" w:line="143"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35,206</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35,206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tcPr>
          <w:p>
            <w:pPr>
              <w:spacing w:after="0" w:line="138" w:lineRule="exact"/>
              <w:rPr>
                <w:sz w:val="20"/>
                <w:szCs w:val="20"/>
                <w:color w:val="auto"/>
              </w:rPr>
            </w:pPr>
            <w:r>
              <w:rPr>
                <w:rFonts w:ascii="Arial" w:cs="Arial" w:eastAsia="Arial" w:hAnsi="Arial"/>
                <w:sz w:val="14"/>
                <w:szCs w:val="14"/>
                <w:color w:val="auto"/>
                <w:w w:val="88"/>
              </w:rPr>
              <w:t>Unrealized losses on hedging derivatives, net of taxes</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80" w:type="dxa"/>
            <w:vAlign w:val="bottom"/>
          </w:tcPr>
          <w:p>
            <w:pPr>
              <w:ind w:left="200"/>
              <w:spacing w:after="0" w:line="159" w:lineRule="exact"/>
              <w:rPr>
                <w:sz w:val="20"/>
                <w:szCs w:val="20"/>
                <w:color w:val="auto"/>
              </w:rPr>
            </w:pPr>
            <w:r>
              <w:rPr>
                <w:rFonts w:ascii="Arial" w:cs="Arial" w:eastAsia="Arial" w:hAnsi="Arial"/>
                <w:sz w:val="14"/>
                <w:szCs w:val="14"/>
                <w:color w:val="auto"/>
              </w:rPr>
              <w:t>of $273</w:t>
            </w:r>
          </w:p>
        </w:tc>
        <w:tc>
          <w:tcPr>
            <w:tcW w:w="96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6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(278)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Unrealized losses on available for-sale securities, net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of taxes of $3</w:t>
            </w:r>
          </w:p>
        </w:tc>
        <w:tc>
          <w:tcPr>
            <w:tcW w:w="96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5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tcPr>
          <w:p>
            <w:pPr>
              <w:spacing w:after="0" w:line="138" w:lineRule="exact"/>
              <w:rPr>
                <w:sz w:val="20"/>
                <w:szCs w:val="20"/>
                <w:color w:val="auto"/>
              </w:rPr>
            </w:pPr>
            <w:r>
              <w:rPr>
                <w:rFonts w:ascii="Arial" w:cs="Arial" w:eastAsia="Arial" w:hAnsi="Arial"/>
                <w:sz w:val="14"/>
                <w:szCs w:val="14"/>
                <w:color w:val="auto"/>
                <w:w w:val="90"/>
              </w:rPr>
              <w:t>Realized gains on available for-sale securities, net of</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80" w:type="dxa"/>
            <w:vAlign w:val="bottom"/>
          </w:tcPr>
          <w:p>
            <w:pPr>
              <w:ind w:left="200"/>
              <w:spacing w:after="0" w:line="159" w:lineRule="exact"/>
              <w:rPr>
                <w:sz w:val="20"/>
                <w:szCs w:val="20"/>
                <w:color w:val="auto"/>
              </w:rPr>
            </w:pPr>
            <w:r>
              <w:rPr>
                <w:rFonts w:ascii="Arial" w:cs="Arial" w:eastAsia="Arial" w:hAnsi="Arial"/>
                <w:sz w:val="14"/>
                <w:szCs w:val="14"/>
                <w:color w:val="auto"/>
              </w:rPr>
              <w:t>taxes of $12</w:t>
            </w:r>
          </w:p>
        </w:tc>
        <w:tc>
          <w:tcPr>
            <w:tcW w:w="96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6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purchased for treasury</w:t>
            </w:r>
          </w:p>
        </w:tc>
        <w:tc>
          <w:tcPr>
            <w:tcW w:w="9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(782)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5,049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9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144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Excess tax benefits</w:t>
            </w:r>
          </w:p>
        </w:tc>
        <w:tc>
          <w:tcPr>
            <w:tcW w:w="880" w:type="dxa"/>
            <w:vAlign w:val="bottom"/>
            <w:tcBorders>
              <w:bottom w:val="single" w:sz="8" w:color="auto"/>
            </w:tcBorders>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5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2010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45,811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458</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(782)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77,449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50,821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127,501</w:t>
            </w: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4"/>
                <w:szCs w:val="14"/>
                <w:color w:val="auto"/>
              </w:rPr>
              <w:t>Net income</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00" w:type="dxa"/>
            <w:vAlign w:val="bottom"/>
            <w:gridSpan w:val="2"/>
            <w:vMerge w:val="continue"/>
          </w:tcPr>
          <w:p>
            <w:pPr>
              <w:spacing w:after="0"/>
              <w:rPr>
                <w:sz w:val="12"/>
                <w:szCs w:val="12"/>
                <w:color w:val="auto"/>
              </w:rPr>
            </w:pPr>
          </w:p>
        </w:tc>
        <w:tc>
          <w:tcPr>
            <w:tcW w:w="960" w:type="dxa"/>
            <w:vAlign w:val="bottom"/>
            <w:gridSpan w:val="2"/>
          </w:tcPr>
          <w:p>
            <w:pPr>
              <w:ind w:left="66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ind w:left="560"/>
              <w:spacing w:after="0" w:line="143"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ind w:left="56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50,546</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50,546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Unrealized losses on hedging derivatives, net of taxes</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of $3</w:t>
            </w:r>
          </w:p>
        </w:tc>
        <w:tc>
          <w:tcPr>
            <w:tcW w:w="96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5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tcPr>
          <w:p>
            <w:pPr>
              <w:spacing w:after="0" w:line="138" w:lineRule="exact"/>
              <w:rPr>
                <w:sz w:val="20"/>
                <w:szCs w:val="20"/>
                <w:color w:val="auto"/>
              </w:rPr>
            </w:pPr>
            <w:r>
              <w:rPr>
                <w:rFonts w:ascii="Arial" w:cs="Arial" w:eastAsia="Arial" w:hAnsi="Arial"/>
                <w:sz w:val="14"/>
                <w:szCs w:val="14"/>
                <w:color w:val="auto"/>
                <w:w w:val="90"/>
              </w:rPr>
              <w:t>Reclassification of loss on derivatives, net of taxes of</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00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$70</w:t>
            </w:r>
          </w:p>
        </w:tc>
        <w:tc>
          <w:tcPr>
            <w:tcW w:w="96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6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92</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purchased for treasury</w:t>
            </w:r>
          </w:p>
        </w:tc>
        <w:tc>
          <w:tcPr>
            <w:tcW w:w="9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1,607</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(23,112)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6,452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9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140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Excess tax benefits</w:t>
            </w:r>
          </w:p>
        </w:tc>
        <w:tc>
          <w:tcPr>
            <w:tcW w:w="880" w:type="dxa"/>
            <w:vAlign w:val="bottom"/>
            <w:tcBorders>
              <w:bottom w:val="single" w:sz="8" w:color="auto"/>
            </w:tcBorders>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5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2011</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45,955</w:t>
            </w:r>
          </w:p>
        </w:tc>
        <w:tc>
          <w:tcPr>
            <w:tcW w:w="2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460</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1,657</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(23,894)</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85,720</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(360)</w:t>
            </w: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101,367</w:t>
            </w:r>
          </w:p>
        </w:tc>
        <w:tc>
          <w:tcPr>
            <w:tcW w:w="24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163,293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0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ind w:right="253"/>
              <w:spacing w:after="0" w:line="129"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33"/>
              <w:spacing w:after="0" w:line="129"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ind w:right="253"/>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7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provided by operating activities: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50,546</w:t>
            </w:r>
          </w:p>
        </w:tc>
        <w:tc>
          <w:tcPr>
            <w:tcW w:w="2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35,206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6,452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5,049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Excess tax benefits from share-based compensation</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Amortization of notes payable issuance costs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 for bad debts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12,108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Non-capitalizable system conversion costs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Litigation loss</w:t>
            </w:r>
          </w:p>
        </w:tc>
        <w:tc>
          <w:tcPr>
            <w:tcW w:w="2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Exit costs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Lease termination fees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86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(28,196)</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(46,705)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Prepaid expenses and other</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860"/>
              <w:spacing w:after="0"/>
              <w:rPr>
                <w:sz w:val="20"/>
                <w:szCs w:val="20"/>
                <w:color w:val="auto"/>
              </w:rPr>
            </w:pPr>
            <w:r>
              <w:rPr>
                <w:rFonts w:ascii="Arial" w:cs="Arial" w:eastAsia="Arial" w:hAnsi="Arial"/>
                <w:sz w:val="18"/>
                <w:szCs w:val="18"/>
                <w:color w:val="auto"/>
              </w:rPr>
              <w:t>Due to/from related parties</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(9,244)</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9,166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86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(3,300)</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5,013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Accrued litigation loss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860"/>
              <w:spacing w:after="0"/>
              <w:rPr>
                <w:sz w:val="20"/>
                <w:szCs w:val="20"/>
                <w:color w:val="auto"/>
              </w:rPr>
            </w:pPr>
            <w:r>
              <w:rPr>
                <w:rFonts w:ascii="Arial" w:cs="Arial" w:eastAsia="Arial" w:hAnsi="Arial"/>
                <w:sz w:val="18"/>
                <w:szCs w:val="18"/>
                <w:color w:val="auto"/>
              </w:rPr>
              <w:t>Income taxes receivable/payable</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(3,599)</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(9,293)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Deferred rent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86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6,689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(3,021)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Student deposits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0"/>
        </w:trPr>
        <w:tc>
          <w:tcPr>
            <w:tcW w:w="8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8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97,099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84,104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(80,545)</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(62,627)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(60,265)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in restricted cash and cash equivalents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Proceeds from sale or maturity of investments</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(84,277)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(111,806)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(58,421)</w:t>
            </w:r>
          </w:p>
        </w:tc>
        <w:tc>
          <w:tcPr>
            <w:tcW w:w="0" w:type="dxa"/>
            <w:vAlign w:val="bottom"/>
          </w:tcPr>
          <w:p>
            <w:pPr>
              <w:spacing w:after="0"/>
              <w:rPr>
                <w:sz w:val="1"/>
                <w:szCs w:val="1"/>
                <w:color w:val="auto"/>
              </w:rPr>
            </w:pPr>
          </w:p>
        </w:tc>
      </w:tr>
      <w:tr>
        <w:trPr>
          <w:trHeight w:val="222"/>
        </w:trPr>
        <w:tc>
          <w:tcPr>
            <w:tcW w:w="808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Proceeds from notes payable and line of credit</w:t>
            </w:r>
          </w:p>
        </w:tc>
        <w:tc>
          <w:tcPr>
            <w:tcW w:w="2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Notes payable issuance costs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Repurchase of outstanding shares</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(23,112)</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proceeds from issuance of common stock</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Net proceeds from exercise of stock options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1,747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Excess tax benefits from share-based compensation</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8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8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(25,270)</w:t>
            </w:r>
          </w:p>
        </w:tc>
        <w:tc>
          <w:tcPr>
            <w:tcW w:w="2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24,673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(12,448)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62,571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35,152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33,637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 (continued)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634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5"/>
              </w:rPr>
              <w:t>Year Ended 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634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ind w:left="120"/>
              <w:spacing w:after="0" w:line="129"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ind w:left="120"/>
              <w:spacing w:after="0" w:line="129"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4"/>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8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Cash paid during the year for interest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535</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769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paid during the year for income taxes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13,463</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37,703</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Purchase of equipment through notes payable and capital lease obligations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801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957</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ind w:left="440"/>
              <w:spacing w:after="0"/>
              <w:rPr>
                <w:sz w:val="20"/>
                <w:szCs w:val="20"/>
                <w:color w:val="auto"/>
              </w:rPr>
            </w:pPr>
            <w:r>
              <w:rPr>
                <w:rFonts w:ascii="Arial" w:cs="Arial" w:eastAsia="Arial" w:hAnsi="Arial"/>
                <w:sz w:val="18"/>
                <w:szCs w:val="18"/>
                <w:color w:val="auto"/>
                <w:w w:val="99"/>
              </w:rPr>
              <w:t>Purchases of property and equipment included in accounts payable and deferred rent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325</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4,421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Shortfall tax expense from share-based compensation</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Tax benefit of Spirit warrant intangible</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291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182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Settlement of capital lease obligation</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Removal of Utah leasehold improvements</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Grand Canyon Education, Inc.</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5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Grand Canyon Education, Inc. (together with its subsidiaries, the “University”) was formed in Delaware in November 2003 as a limited liability company, under the name Significant Education, LLC, for the purpose of acquiring the assets of Grand Canyon University from a non-profit foundation on February 2, 2004. On August 24, 2005, the University converted from a limited liability company to a corporation and changed its name to Significant Education, Inc. On May 9, 2008, the University changed its name to Grand Canyon Education, Inc.</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University is a regionally accredited provider of postsecondary education services focused on offering graduate and undergraduate degree programs in its core disciplines of education, healthcare, business and liberal arts. The University offers courses online, at its approximately 115 acre traditional ground campus in Phoenix, Arizona and onsite at the facilities of employers. The University’s wholly-owned subsidiaries are primarily used to facilitate expansion of the University campus. The University is accredited by the Higher Learning Commission of the North Central Association of Colleges and Schools.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4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Grand Canyon Education, Inc. and its wholly-owned subsidiaries. Intercompany transactions have been eliminated in consolidation.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Formation and Transactions with Former Owner</w:t>
      </w:r>
    </w:p>
    <w:p>
      <w:pPr>
        <w:spacing w:after="0" w:line="14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January 29, 2004, the University entered into an asset purchase agreement (the “Purchase Agreement”) with the Grand Canyon University Institute for Advanced Studies (the “Institute” or “former owner”), an Arizona nonprofit corporation, pursuant to which the University acquired substantially all of the operating assets (excluding the ground campus and related buildings) of Grand Canyon University (the “University”), including all accreditations, licensures, and approvals necessary to offer its ground and online education programs. The consideration paid and liabilities assumed exceeded the fair value of the assets acquired by $2,941 which was recorded as goodwill. The transaction closed on February 2, 2004 at which time the University commenced its operations.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Spirit Transaction</w:t>
      </w:r>
    </w:p>
    <w:p>
      <w:pPr>
        <w:spacing w:after="0" w:line="144"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In April 2009, the University acquired the land and buildings that comprise its ground campus and 909 shares of its common stock from Spirit Master Funding, LLC and Spirit Management Company, respectively (collectively, “Spirit”) for an aggregate purchase price of $50,000. Prior to the acquisition, the University had leased the land and buildings from Spirit, accounting for the land as an operating lease and the buildings and improvements as capital lease obligations. To finance a portion of the purchase, the University entered into a loan agreement with a financial institution pursuant which it borrowed $25,675. See Note 6, Notes Payable and Other Noncurrent Liabilities and Note 11, Equity Transactions.</w:t>
      </w:r>
    </w:p>
    <w:p>
      <w:pPr>
        <w:spacing w:after="0" w:line="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University allocated $14,495 of the purchase price to the repurchase of its common stock and the remaining $35,505 to the land and buildings. Additionally, the University removed the building and improvement assets and related capital lease obligations of $30,020 and applied the deferred gain of $1,429 as a reduction to the new building value. See Note 5, Property and Equipment.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The preparation of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Grand Canyon Education, Inc.</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reclassifications have been made to prior year balances to conform to the current period.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University invests cash in excess of current operating requirements in short term certificates of deposit and money market instruments. The University considers all highly liquid investments with maturities of three months or less at the time of purchase to be cash equivalents.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4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 significant portion of the University’s revenue is received from students who participate in government financial aid and assistance programs. Restricted cash and cash equivalents primarily represent amounts received from the federal and state governments under various student aid grant and loan programs, such as Title IV. The University receives these funds subsequent to the completion of the authorization and disbursement process and holds them for the benefit of the student. The U.S. Department of Education (“Department of Education”) requires Title IV funds collected in advance of student billings to be segregated in a separate cash or cash equivalent account until the course begins. The University records all of these amounts as a current asset in restricted cash and cash equivalents until the cash is no longer restricted, at which time such amounts are reclassified as cash and cash equivalents. The majority of these funds remain as restricted cash and cash equivalents for an average of 60 to 90 days from the date of receipt.</w:t>
      </w:r>
    </w:p>
    <w:p>
      <w:pPr>
        <w:spacing w:after="0" w:line="9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In addition, the University had previously classified the $5,200 that it had agreed to pay in connection with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matter that in settled in 2010 as restricted cash; this amount was paid during the second quarter of 2011 in final payment of all amounts due under the settlement agreement. In the fourth quarter of 2010, the counterparty to the University’s interest rate swap made a collateral call and the University posted $760 of pledged collateral as noncurrent restricted cash. The pledged collateral was reduced to $555 as of December 31, 2011.</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44"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 depreciated. Internally developed software represents qualifying salary and consulting costs for time spent on developing internal use software and is included in construction in progress until its completion. The University capitalizes interest using its interest rates on the specific borrowings used to finance the improvements, which approximated 2.3% in 2011, 3.1% in 2010 and 5.4% in 2009, given the amount of the specific debt exceeded the in process value of the project at all times. Interest cost capitalized and incurred in the years ended December 31, 2011, 2010, and 2009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83"/>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bottom w:val="single" w:sz="8" w:color="CCEEFF"/>
            </w:tcBorders>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incurred</w:t>
            </w:r>
          </w:p>
        </w:tc>
        <w:tc>
          <w:tcPr>
            <w:tcW w:w="3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Interest capitalized</w:t>
            </w: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513</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5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Depreciation is provided using the straight-line method over the estimated useful lives of the assets. Furniture and fixtures, computer equipment, and vehicles generally have estimated useful lives of ten, four, and five years, respectively. Leasehold improvements are depreciated over the shorter of their lease term or their useful life. Land improvements and buildings are depreciated over lives ranging from 10 to 40 years.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Grand Canyon Education, Inc.</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4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University enters into various lease agreements in conducting its business. At the inception of each lease, the University evaluates the lease agreement to determine whether the lease is an operating or capital lease. In addition, many of the lease agreements contain renewal options and tenant improvement allowances. When such items are included in a lease agreement, the University records a deferred liability on the balance sheet and records the rent expense evenly over the term of the lease. Leasehold improvements are included as investing activities and are included as additions to property, plant and equipment. For leases with renewal options, the University records rent expense and amortizes the leasehold improvement on a straight-line basis over the initial non-cancelable lease term unless it intends to exercise the renewal option. Once it extends the renewal option, the University amortizes any tenant improvement allowances over the extended lease period as well as the leasehold improvement asset (unless the extended lease term is longer than the economic life of the asset). The University expenses any additional payments under its operating leases for taxes, insurance or other operating expenses as incurred.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Termination Fee</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July 2011, the University notified a current landlord of its intent to vacate leased space by the fourth quarter of 2011. As a result, the University was required to pay a termination fee to its landlord of $1,093, resulting in expense in 2011 of $782, which was net of remaining deferred rent on the leased space plus the disposal of the remaining leasehold improvements. This termination fee was paid on the University’s behalf by the University’s new landlord. This payment was recorded as an expense in the third quarter of 2011 with the offset being to a deferred rent liability. The deferred rent liability is being amortized into income over the new lease term. In the fourth quarter of 2011, the University exited the prior leased space.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Loan Costs</w:t>
      </w:r>
    </w:p>
    <w:p>
      <w:pPr>
        <w:spacing w:after="0" w:line="14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University capitalized expenses paid to third parties from a note agreement and any subsequent modifications with a financial institution. These costs, which totaled $408, are amortized over the life of the note using the straight-line method, which approximates the effective interest method. Accumulated amortization was $180 and $105 as of December 31, 2011 and 2010,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144"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During 2010, the University entered into an agreement with an affiliated entity to develop a new learning management system for use by the University. Through this agreement, the University prepaid perpetual license fees, acquired source code rights for the software developed, and prepaid maintenance and service fees for the first seven years of use for an aggregate amount of $4,900, which has been paid in full as of December 31, 2011. The University commenced utilization of this software in October 2011. Accordingly, the University has reclassified to current other assets the amount that will be amortized in the next twelve month cycle for maintenance and service fees and reclassified to property and equipment the amount that will be amortized over fifteen years for the perpetual licenses. Students are gradually being converted to the new system by program of study and the University anticipates all students to be fully transitioned by the spring of 2012.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4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University evaluates the recoverability of its long-lived assets for impairment, other than goodwill,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Grand Canyon Education, Inc.</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Royalties</w:t>
      </w:r>
    </w:p>
    <w:p>
      <w:pPr>
        <w:spacing w:after="0" w:line="14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connection with the February 2, 2004 acquisition of the assets of Grand Canyon University from a non-profit foundation, the University entered into a royalty fee arrangement with the former owner in which the University agreed to pay a stated percentage of cash revenue generated by its online programs. The University settled all future royalty obligations with the former owner in April 2008 when it finalized an agreement to pay $22,500 to the former owner. $5,920 of this payment was considered as settlement of the future royalty payment obligation and is included in the accompanying balance sheet as a component of “Prepaid Royalty” and is being amortized over a period of 20 years.</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addition, In June 2004, the University entered into a license agreement relating to the University’s use of the Ken Blanchard name for its College of Business. Under the terms of that agreement the University agreed to pay Blanchard a royalty generated on net tuition from certain programs in the University’s College of Business and to issue Blanchard shares of common stock with the actual number issued to be contingent upon the University’s achievement of stated enrollment levels in its College of Business during the term of the agreement. The fair value of the shares issued to Blanchard as part of the license agreement of $3,394 was determined at the date it became probable that shares would then be earned and then adjusted until the date the shares were earned. This amount is also included in the balance sheet as a component of “Prepaid Royalty” and is being amortized over the remaining term of the license agreement. Included in accrued liabilities is $231 and $875 at December 31, 2011 and 2010, respectively, related to the royalty arrangement.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44"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Goodwill represents the excess of the cost over the fair market value of net assets acquired, including identified intangible assets. Goodwill is tested annually or more frequently if circumstances indicate potential impairment, by comparing its fair value to its carrying amount.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44"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The University measures and recognizes compensation expense for share-based payment awards made to employees, consultants and directors, including employee stock options. The University calculates the fair value of share-based awards on the date of grant. The University uses the Black-Scholes-Merton option pricing model to estimate fair value. The option pricing model requires the University to estimate certain key assumptions such as expected life, volatility, risk free interest rates, and dividend yield to determine the fair value of share-based awards, based on historical information and management judgment. The University amortizes the share-based compensation expense over the period that the awards are expected to vest, net of estimated forfeiture rates. If the actual forfeitures differ from management estimates, adjustments to compensation expense are recorded. The University reports cash flows resulting from tax deductions in excess of the compensation cost realized for those options (excess tax benefits) as financing cash flows. The University reports cash flows resulting from tax deductions that are less than the compensation cost realized for those option (tax shortfalls) as a noncash transaction in the consolidated statement of cash flows.</w:t>
      </w:r>
    </w:p>
    <w:p>
      <w:pPr>
        <w:spacing w:after="0" w:line="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University has analyzed the circumstances in which the simplified method is allowed and is utilizing the simplified method for all stock options granted since November 2008. The simplified method for estimating the expected life uses the mid-point between the vesting term and the contractual term of the stock option.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4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 during which the hedged transaction affects earnings. Gains and losses on the derivative representing either hedge ineffectiveness or hedge components excluded from the assessment of effectiveness are recognized in current earnings.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Grand Canyon Education, Inc.</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right="540" w:firstLine="456"/>
        <w:spacing w:after="0" w:line="298" w:lineRule="auto"/>
        <w:rPr>
          <w:sz w:val="20"/>
          <w:szCs w:val="20"/>
          <w:color w:val="auto"/>
        </w:rPr>
      </w:pPr>
      <w:r>
        <w:rPr>
          <w:rFonts w:ascii="Arial" w:cs="Arial" w:eastAsia="Arial" w:hAnsi="Arial"/>
          <w:sz w:val="16"/>
          <w:szCs w:val="16"/>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Aa or higher credit ratings, and they are expected to perform fully under the terms of the agreements.</w:t>
      </w:r>
    </w:p>
    <w:p>
      <w:pPr>
        <w:spacing w:after="0" w:line="8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December 31, 2011 no derivative ineffectiveness was identified. Any ineffectiveness in the University’s derivative instruments designated as hedges would be reported in interest expense in the income statement. As of December 31, 2011 $1 of credit default risk interest income was recorded in interest expense in the income statement. As of December 31, 2011, the University de-designated the corridor instrument and reclassified into earnings $92, net of tax of accumulated other comprehensive loss. At December 31, 2011, the University does not expect to reclassify any gains or losses on derivative instruments from accumulated other comprehensive income (loss) into earnings during the next 12 months.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44"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carrying value of notes payable approximate fair value based on its variable rate index. The carrying value of other notes payable and capital lease obligations approximate fair value based upon market interest rates available to the University for debt of similar risk and maturities. Derivative financial instruments are carried at fair value, determined using Level 2 of the hierarchy of valuation inputs as defined in the Financial Accounting Standards Board (“FASB”) Accounting Standards Codification (“Codification”), with the use of inputs other than quoted prices that are observable for the asset or liability. See Note 9, Derivative Instruments.</w:t>
      </w:r>
    </w:p>
    <w:p>
      <w:pPr>
        <w:spacing w:after="0" w:line="1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fair value of the prepaid royalty asset relating to the settlement of future royalty payment obligations to the former owner was determined using an income approach, based on management’s forecasts of revenue to be generated through its online education program using Level 3 of the hierarchy of valuation inputs. The rate utilized to discount net cash flows to their present values is 35%. This discount rate was determined after consideration of the University’s weighted average cost of capital giving effect to estimates of the University’s risk-free rate, beta coefficient, equity risk premium, small size risk premium, and company-specific risk premium.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University accounts for income taxes payable or refundable for the current year and deferred tax assets and liabilities for future tax consequences of events that have been recognized in the University’s consolidated financial statements or tax returns. Deferred tax assets and liabilities are measured using enacted tax rates in effect for the year in which the temporary differences are expected to be realized.</w:t>
      </w:r>
    </w:p>
    <w:p>
      <w:pPr>
        <w:spacing w:after="0" w:line="8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University applies a more-likely-than-not threshold for financial statement recognition and measurement of an uncertain tax position taken or expected to be taken in a tax return. The University recognizes interest and penalties related to uncertain tax positions in income tax expense. The University has reserved approximately $543 and $388 for uncertain tax positions including interest and penalties, which is classified within accrued liabilities on the accompanying consolidated balance sheet as of December 31, 2011 and 2010, respectively.</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University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44"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University accrues for a contingent obligation when it is probable that a liability has been incurred and the amount is reasonably estimable. When the University becomes aware of a claim or potential claim, the likelihood of any loss exposure is assessed. If it is probable that a loss will result and the amount of the loss is estimable, the University records a liability for the estimated loss. If the loss is not probable or the amount of the potential loss is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Grand Canyon Education, Inc.</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not estimable, the University will disclose the claim if the likelihood of a potential loss is reasonably possible and that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 expenses legal fees as incurred.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Net revenues consist primarily of tuition and fees derived from courses taught by the University online, at its traditional campus in Phoenix, Arizona, and onsite at the facilities of employers, as well as from related educational resources that the University provides to its students, such as access to online materials. Tuition revenue and most fees from related educational resources are recognized pro-rata over the applicable period of instruction, net of scholarships provided by the University. For the years ended December 31, 2011, 2010 and 2009, the University’s revenue was reduced by approximately $73,612, $55,833 and $34,155,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as pro-rata over the applicable period of instruction. Since the University recognizes revenue pro-rata over the term of the course and because, under its institutional refund policy, the amount subject to refund is never greater than the amount of the revenue that has been deferred, under the University’s accounting policies revenue is not recognized with respect to amounts that could potentially be refunded. Sales tax collected from students is excluded from net revenues. Collected but unremitted sales tax is included as an accrued liability in our Consolidated Balance Sheets. The University also charges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income statement and are reflected as current liabilities in the accompanying consolidated balance sheet. The University’s educational programs have starting and ending dates that differ from its fiscal quarters. Therefore, at the end of each fiscal quarter, a portion of revenue from these programs is not yet earned. Other revenues may be recognized as sales occur or services are performed.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4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All students are required to select both a primary and secondary payment option with respect to amounts due to the University for tuition, fees and other expenses. The most common payment option for the University’s students is financial aid. In instances where a student selects financial aid as the primary payment option, he or she often selects personal cash as the secondary option. If a student who has selected financial aid as his or her primary payment option withdraws prior to the end of a course but after the date that the University’s institutional refund period has expired, the student will have incurred the obligation to pay the full cost of the course. If the withdrawal occurs before the date at which the student has earned 100% of his or her financial aid, the University will have a return to Title IV requirement and the student will owe the University all amounts incurred that are in excess of the amount of financial aid that the student earned and that the University is entitled to retain. In this case, the University must collect the receivable using the student’s second payment option. In instances in which the students chose to receive living expense funds as part of his or her financial aid disbursement, the University is required to return the unearned portion of these funds as well and then collect these amounts from the student.</w:t>
      </w:r>
    </w:p>
    <w:p>
      <w:pPr>
        <w:spacing w:after="0" w:line="9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University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The University determines the adequacy of its allowance for doubtful accounts based on an analysis of its historical bad debt experience, current economic trends, and the aging of the accounts receivable and student status. The University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Grand Canyon Education, Inc.</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applies reserves to its receivables based upon an estimate of the risk presented by the age of the receivables and student status. Historically, the University has written off accounts receivable balances at the earlier of the time the balances were deemed uncollectible, or one year after the revenue is generated. In the third quarter of 2011, the University accelerated the write off of inactive student accounts such that the accounts are written off by day 150, while maintaining its historical write off policy for active student accounts. The University continues to reflect accounts receivable with an offsetting allowance as long as management believes there is a reasonable possibility of collection. Bad debt expense is recorded as an instructional costs and services expense in the consolidated income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 In the second quarter of 2010, the University completed the conversion of its student records system from DataTel to CampusVue. In connection with this conversion, the University incurred approximately $4,013 of costs due to unanticipated delays in information processing which are included in instructional costs and services for the year ended December 31, 2010.</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Promotional</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Selling and promotional expenses include salaries, benefits and share-based compensation of personnel engaged in the marketing, recruitment, and retention of students, as well as advertising costs associated with purchasing leads, hosting events and seminars, and producing marketing materials. This category also includes an allocation of depreciation, amortization, rent, and occupancy costs attributable to selling and promotional activities at the Company’s facilities in Arizona. Selling and promotional costs are expensed as incurred. Advertising costs, which include marketing leads, events, and promotional materials for the years ended December 31, 2011, 2010, and 2009 were $45,587, $35,550, and $24,820, respectively.</w:t>
      </w:r>
    </w:p>
    <w:p>
      <w:pPr>
        <w:spacing w:after="0" w:line="89"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Through December 2010, the University was a party to a revenue sharing arrangement (the Collaboration Agreement) with Mind Streams, L.L.C. (Mind Streams), a related party, pursuant to which it paid a percentage of the net revenue that it actually received from applicants recruited by Mind Streams that matriculated at the University. Mind Streams bore all costs associated with the recruitment of these applicants.</w:t>
      </w:r>
    </w:p>
    <w:p>
      <w:pPr>
        <w:spacing w:after="0" w:line="8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a result of new rules adopted by the Department of Education in October 2010 and effective July 1, 2011, the University determined late in 2010 that revenue sharing arrangements like the Collaboration Agreement, and the manner in which it paid amounts under the Collaboration Agreement, would most likely no longer be permitted. Accordingly the University and Mid Streams entered into an agreement, dated December 30, 2010, pursuant to which the University agreed to pay Mind Streams an amount equal to (a) $8,500, plus (b) Mind Streams’ applicable share of any net revenue actually received by the University on or before February 28, 2011 with respect to any students recruited by Mind Streams that commenced University courses prior to November 1, 2010. In return, Mind Streams agreed to (i) accept such amounts in full and complete satisfaction of all amounts owed by the University to Mind Streams under the Collaboration Agreement, and (ii) transfer to the University a proprietary database of potential student leads. A payment of $8,500 was made in January 2011 in conjunction with this agreement, which was expensed in 2010. In the aggregate, the University has expensed $9,233 in 2010 relating to this agreement.</w:t>
      </w:r>
    </w:p>
    <w:p>
      <w:pPr>
        <w:spacing w:after="0" w:line="9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Leading up to the effective date of the new rules referred to above, the Department of Education made certain clarifications, which the University determined would permit collaboration agreements although on significantly different terms than the prior Mind Streams agreement. Accordingly, commencing in the third quarter of 2011, the University entered into a new Collaboration Agreement with Mind Streams that is in accordance with the requirements specified by the Department of Education and under which the university will pay a percentage of net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Grand Canyon Education, Inc.</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 that it receives from applicants recruited by Mind Streams that matriculate at the University. Additionally in 2010, Gail Richardson, the father of Brent D. Richardson, the University’s Executive Chairman, and Christopher C. Richardson, the university’s General Counsel and a director, formed a new entity, Lifetime Learning, for the purpose of generating and selling leads to our University and other entities in the education sector. For the years ended December 31, 2011, 2010, and 2009, the University expensed approximately $877, $7,694, and $6,736, respectively, pursuant to the agreement with Lifetime Learning and the new agreement with Mind Streams, exclusive of the settlement arrangement discussed above. As of December 31, 2011 and 2010, $212, and $9,367, respectively, were due to these related parties.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44"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Exit Costs</w:t>
      </w:r>
    </w:p>
    <w:p>
      <w:pPr>
        <w:spacing w:after="0" w:line="14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November 2009, the University finalized a plan to centralize its student services operations in Arizona and, as a result, closed its student services facility in Utah. The exit costs expected to be incurred in connection with this decision have been expensed and are presented separately on the income statement. The costs incurred include severance payments; relocation expense; lease payments; and the write off of leasehold improvements associated with this leased space. The following is a summary of the University’s exit activities: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Accrued Exit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Accrued Exit</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3"/>
              </w:rPr>
              <w:t>Costs at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Costs at</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Payments to</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2010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Exit Costs</w:t>
            </w:r>
          </w:p>
        </w:tc>
        <w:tc>
          <w:tcPr>
            <w:tcW w:w="1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Date</w:t>
            </w:r>
          </w:p>
        </w:tc>
        <w:tc>
          <w:tcPr>
            <w:tcW w:w="160" w:type="dxa"/>
            <w:vAlign w:val="bottom"/>
          </w:tcPr>
          <w:p>
            <w:pPr>
              <w:spacing w:after="0"/>
              <w:rPr>
                <w:sz w:val="14"/>
                <w:szCs w:val="14"/>
                <w:color w:val="auto"/>
              </w:rPr>
            </w:pPr>
          </w:p>
        </w:tc>
        <w:tc>
          <w:tcPr>
            <w:tcW w:w="760" w:type="dxa"/>
            <w:vAlign w:val="bottom"/>
          </w:tcPr>
          <w:p>
            <w:pPr>
              <w:jc w:val="center"/>
              <w:ind w:right="80"/>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Accrued exit costs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w w:val="78"/>
              </w:rPr>
              <w:t>64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Accrued Exit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Accrued Exit</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3"/>
              </w:rPr>
              <w:t>Costs at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Costs at</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Payments to</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2009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Exit Costs</w:t>
            </w:r>
          </w:p>
        </w:tc>
        <w:tc>
          <w:tcPr>
            <w:tcW w:w="1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Date</w:t>
            </w:r>
          </w:p>
        </w:tc>
        <w:tc>
          <w:tcPr>
            <w:tcW w:w="160" w:type="dxa"/>
            <w:vAlign w:val="bottom"/>
          </w:tcPr>
          <w:p>
            <w:pPr>
              <w:spacing w:after="0"/>
              <w:rPr>
                <w:sz w:val="14"/>
                <w:szCs w:val="14"/>
                <w:color w:val="auto"/>
              </w:rPr>
            </w:pPr>
          </w:p>
        </w:tc>
        <w:tc>
          <w:tcPr>
            <w:tcW w:w="760" w:type="dxa"/>
            <w:vAlign w:val="bottom"/>
          </w:tcPr>
          <w:p>
            <w:pPr>
              <w:jc w:val="center"/>
              <w:ind w:right="80"/>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Severance payments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79"/>
              </w:rPr>
              <w:t>503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Future lease payments, lease terminated in October 2010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w w:val="79"/>
              </w:rPr>
              <w:t>288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(395)</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 and 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600"/>
              <w:spacing w:after="0"/>
              <w:rPr>
                <w:sz w:val="20"/>
                <w:szCs w:val="20"/>
                <w:color w:val="auto"/>
              </w:rPr>
            </w:pPr>
            <w:r>
              <w:rPr>
                <w:rFonts w:ascii="Arial" w:cs="Arial" w:eastAsia="Arial" w:hAnsi="Arial"/>
                <w:sz w:val="16"/>
                <w:szCs w:val="16"/>
                <w:color w:val="auto"/>
                <w:w w:val="78"/>
              </w:rPr>
              <w:t>41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vMerge w:val="continue"/>
          </w:tcPr>
          <w:p>
            <w:pPr>
              <w:spacing w:after="0"/>
              <w:rPr>
                <w:sz w:val="19"/>
                <w:szCs w:val="19"/>
                <w:color w:val="auto"/>
              </w:rPr>
            </w:pPr>
          </w:p>
        </w:tc>
        <w:tc>
          <w:tcPr>
            <w:tcW w:w="160" w:type="dxa"/>
            <w:vAlign w:val="bottom"/>
            <w:gridSpan w:val="2"/>
          </w:tcPr>
          <w:p>
            <w:pPr>
              <w:jc w:val="right"/>
              <w:ind w:right="19"/>
              <w:spacing w:after="0"/>
              <w:rPr>
                <w:sz w:val="20"/>
                <w:szCs w:val="20"/>
                <w:color w:val="auto"/>
              </w:rPr>
            </w:pPr>
            <w:r>
              <w:rPr>
                <w:rFonts w:ascii="Arial" w:cs="Arial" w:eastAsia="Arial" w:hAnsi="Arial"/>
                <w:sz w:val="15"/>
                <w:szCs w:val="15"/>
                <w:color w:val="auto"/>
                <w:w w:val="71"/>
              </w:rPr>
              <w:t>$</w:t>
            </w:r>
          </w:p>
        </w:tc>
        <w:tc>
          <w:tcPr>
            <w:tcW w:w="760" w:type="dxa"/>
            <w:vAlign w:val="bottom"/>
          </w:tcPr>
          <w:p>
            <w:pPr>
              <w:ind w:left="500"/>
              <w:spacing w:after="0"/>
              <w:rPr>
                <w:sz w:val="20"/>
                <w:szCs w:val="20"/>
                <w:color w:val="auto"/>
              </w:rPr>
            </w:pPr>
            <w:r>
              <w:rPr>
                <w:rFonts w:ascii="Arial" w:cs="Arial" w:eastAsia="Arial" w:hAnsi="Arial"/>
                <w:sz w:val="18"/>
                <w:szCs w:val="18"/>
                <w:color w:val="auto"/>
                <w:w w:val="79"/>
              </w:rPr>
              <w:t>832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258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(1,026)</w:t>
            </w: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6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Accrued Exit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Accrued Exit</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3"/>
              </w:rPr>
              <w:t>Costs at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Costs at</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Payments to</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2008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Exit Costs</w:t>
            </w:r>
          </w:p>
        </w:tc>
        <w:tc>
          <w:tcPr>
            <w:tcW w:w="1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Date</w:t>
            </w:r>
          </w:p>
        </w:tc>
        <w:tc>
          <w:tcPr>
            <w:tcW w:w="160" w:type="dxa"/>
            <w:vAlign w:val="bottom"/>
          </w:tcPr>
          <w:p>
            <w:pPr>
              <w:spacing w:after="0"/>
              <w:rPr>
                <w:sz w:val="14"/>
                <w:szCs w:val="14"/>
                <w:color w:val="auto"/>
              </w:rPr>
            </w:pPr>
          </w:p>
        </w:tc>
        <w:tc>
          <w:tcPr>
            <w:tcW w:w="760" w:type="dxa"/>
            <w:vAlign w:val="bottom"/>
          </w:tcPr>
          <w:p>
            <w:pPr>
              <w:jc w:val="center"/>
              <w:ind w:right="80"/>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Severance payments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79"/>
              </w:rPr>
              <w:t>615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Future lease payments, net of estimated sublease rentals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 and 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vMerge w:val="continue"/>
          </w:tcPr>
          <w:p>
            <w:pPr>
              <w:spacing w:after="0"/>
              <w:rPr>
                <w:sz w:val="19"/>
                <w:szCs w:val="19"/>
                <w:color w:val="auto"/>
              </w:rPr>
            </w:pPr>
          </w:p>
        </w:tc>
        <w:tc>
          <w:tcPr>
            <w:tcW w:w="160" w:type="dxa"/>
            <w:vAlign w:val="bottom"/>
            <w:gridSpan w:val="2"/>
          </w:tcPr>
          <w:p>
            <w:pPr>
              <w:jc w:val="right"/>
              <w:ind w:right="19"/>
              <w:spacing w:after="0"/>
              <w:rPr>
                <w:sz w:val="20"/>
                <w:szCs w:val="20"/>
                <w:color w:val="auto"/>
              </w:rPr>
            </w:pPr>
            <w:r>
              <w:rPr>
                <w:rFonts w:ascii="Arial" w:cs="Arial" w:eastAsia="Arial" w:hAnsi="Arial"/>
                <w:sz w:val="15"/>
                <w:szCs w:val="15"/>
                <w:color w:val="auto"/>
                <w:w w:val="71"/>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420"/>
              <w:spacing w:after="0"/>
              <w:rPr>
                <w:sz w:val="20"/>
                <w:szCs w:val="20"/>
                <w:color w:val="auto"/>
              </w:rPr>
            </w:pPr>
            <w:r>
              <w:rPr>
                <w:rFonts w:ascii="Arial" w:cs="Arial" w:eastAsia="Arial" w:hAnsi="Arial"/>
                <w:sz w:val="18"/>
                <w:szCs w:val="18"/>
                <w:color w:val="auto"/>
              </w:rPr>
              <w:t>1,218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(386)</w:t>
            </w: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Insurance/Self-Insurance</w:t>
      </w:r>
    </w:p>
    <w:p>
      <w:pPr>
        <w:spacing w:after="0" w:line="14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University uses a combination of insurance and self-insurance for a number of risks, including claims related to employee health care, workers’ compensation, general liability, and business interruption. Liabilities associated with these risks are estimated based on, among other things, historical claims experience, severity factors, and other actuarial assumptions. The University’s loss exposure related to self-insurance is limited by stop loss coverage on a per occurrence and aggregate basis. Expected loss accruals are based on estimates, and while the University believes the amounts accrued are adequate, the ultimate loss may differ from the amounts provided.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Grand Canyon Education, Inc.</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University may extend credit for tuition to some students. A substantial portion is repaid through the student’s participation in federally funded financial aid programs. Transfers of funds from the financial aid programs to the Company are made in accordance with the U.S. Department of Education (“Department of Education”) requirements. A majority of the University’s revenues are derived from tuition financed under the Title IV programs of the Higher Education Act of 1965, as amended (the “Higher Education Act”). The financial aid and assistance programs are subject to political and budgetary considerations and are subject to extensive and complex regulations. The University’s administration of these programs is periodically reviewed by various regulatory agencies. Any regulatory violation could be the basis for the initiation of potentially adverse actions including a suspension, limitation, or termination proceeding, which could have a material adverse effect on the University.</w:t>
      </w:r>
    </w:p>
    <w:p>
      <w:pPr>
        <w:spacing w:after="0" w:line="9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Students obtain access to federal student financial aid through a Department of Education prescribed application and eligibility certification process. Student financial aid funds are generally made available to students at prescribed intervals throughout their predetermined expected length of study. Students typically apply the funds received from the federal financial aid programs first to pay their tuition and fees. Any remaining funds are distributed directly to the student.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4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September 2011, the Financial Accounting Standards Board (“FASB”) issued guidance that simplifies how an entity tests goodwill for impairment. The amendments permit an entity to first assess qualitative factors to determine whether it is necessary to perform the two-step quantitative goodwill impairment test. Accordingly, an entity will no longer be required to calculate the fair value of a reporting unit in the step one test unless the entity determines, based on a qualitative assessment, that it is more likely than that its fair value is less than its carrying amount. This guidance is effective for annual and interim goodwill impairment tests performed for fiscal years beginning after December 15, 2011, with early adoption permitted. The University adopted this qualitative approach effective January 1, 2012 and believes this will have no material impact on our financial condition, results of operations or disclosures.</w:t>
      </w:r>
    </w:p>
    <w:p>
      <w:pPr>
        <w:spacing w:after="0" w:line="9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University has determined that all other recently issued accounting standards will not have a material impact on its consolidated financial statements, or do not apply to its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Secondary Offering</w:t>
      </w:r>
    </w:p>
    <w:p>
      <w:pPr>
        <w:spacing w:after="0" w:line="15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September 2009, the University completed a public offering of shares of its common stock. In the offering 6,900 shares were sold, consisting of 1,000 shares sold by the University and 5,900 shares sold by certain stockholders of the University. Total net proceeds to the University were $14,880, net of underwriting discounts and commissions and offering expenses. The University did not receive any of the proceeds from the sale of common stock sold by the selling stockholders.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459" w:right="2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Grand Canyon Education, Inc.</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Valuation and Qualifying Accounts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Balance at</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Beginning of</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Charged to</w:t>
            </w: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7"/>
              </w:rPr>
              <w:t>Deductions</w:t>
            </w:r>
            <w:r>
              <w:rPr>
                <w:rFonts w:ascii="Arial" w:cs="Arial" w:eastAsia="Arial" w:hAnsi="Arial"/>
                <w:sz w:val="22"/>
                <w:szCs w:val="22"/>
                <w:b w:val="1"/>
                <w:bCs w:val="1"/>
                <w:color w:val="auto"/>
                <w:w w:val="87"/>
                <w:vertAlign w:val="superscript"/>
              </w:rPr>
              <w:t>(1)</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61"/>
        </w:trPr>
        <w:tc>
          <w:tcPr>
            <w:tcW w:w="50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Year</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Expense</w:t>
            </w: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Allowance for doubtful accounts receivable:</w:t>
            </w:r>
          </w:p>
        </w:tc>
        <w:tc>
          <w:tcPr>
            <w:tcW w:w="19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Year ended December 31, 2011</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30,112</w:t>
            </w:r>
          </w:p>
        </w:tc>
        <w:tc>
          <w:tcPr>
            <w:tcW w:w="900" w:type="dxa"/>
            <w:vAlign w:val="bottom"/>
          </w:tcPr>
          <w:p>
            <w:pPr>
              <w:jc w:val="right"/>
              <w:spacing w:after="0"/>
              <w:rPr>
                <w:sz w:val="20"/>
                <w:szCs w:val="20"/>
                <w:color w:val="auto"/>
              </w:rPr>
            </w:pPr>
            <w:r>
              <w:rPr>
                <w:rFonts w:ascii="Arial" w:cs="Arial" w:eastAsia="Arial" w:hAnsi="Arial"/>
                <w:sz w:val="18"/>
                <w:szCs w:val="18"/>
                <w:color w:val="auto"/>
              </w:rPr>
              <w:t>34,364</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(52,770)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11,706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2010</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7,553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(15,952)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Year ended December 31, 2009</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6,356</w:t>
            </w:r>
          </w:p>
        </w:tc>
        <w:tc>
          <w:tcPr>
            <w:tcW w:w="900" w:type="dxa"/>
            <w:vAlign w:val="bottom"/>
          </w:tcPr>
          <w:p>
            <w:pPr>
              <w:jc w:val="right"/>
              <w:spacing w:after="0"/>
              <w:rPr>
                <w:sz w:val="20"/>
                <w:szCs w:val="20"/>
                <w:color w:val="auto"/>
              </w:rPr>
            </w:pPr>
            <w:r>
              <w:rPr>
                <w:rFonts w:ascii="Arial" w:cs="Arial" w:eastAsia="Arial" w:hAnsi="Arial"/>
                <w:sz w:val="18"/>
                <w:szCs w:val="18"/>
                <w:color w:val="auto"/>
              </w:rPr>
              <w:t>14,016</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(12,819)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Deductions represent accounts written off, net of recoveries.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Land improvements</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118,445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Equipment under capital leases</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5,310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Computer equipment</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46,993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7,108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9,590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21,349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230,407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(40,460)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(24,427)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189,947</w:t>
            </w:r>
          </w:p>
        </w:tc>
        <w:tc>
          <w:tcPr>
            <w:tcW w:w="2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Depreciation and amortization expense associated with property and equipment, including assets under capital lease, totaled $16,339, $11,376, and $7,228 for the years ended December 31, 2011, 2010, and 2009,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Notes Payable and Other Noncurrent Liabilities</w:t>
      </w:r>
    </w:p>
    <w:p>
      <w:pPr>
        <w:spacing w:after="0" w:line="15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To finance a portion of the campus land and building purchase from Spirit, the University entered into a loan agreement in April 2009 with a financial institution pursuant to which it borrowed $25,675. In April 2011, the University entered into an amended and restated loan agreement with the financial institution. Under the amendment, the financial institution (a) extended the maturity date of the University’s existing loan from April 30, 2014 to March 31, 2016 and decreased the interest rate on the outstanding balance from the BBA Libor Rate plus 225 basis points to the BBA Libor Rate plus 200 basis points (all other terms of the existing loan remain the same), and (b) provided to the University a revolving line of credit in the amount of $50,000 through March 31, 2016 to be utilized for working capital, capital expenditures, share repurchases and other general corporate purposes. Indebtedness under the loan agreement is secured by all of the University’s assets. No amounts are borrowed on the line of credit as of December 31, 2011.</w:t>
      </w:r>
    </w:p>
    <w:p>
      <w:pPr>
        <w:spacing w:after="0" w:line="9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note agreement contains standard covenants, including covenants that, among other things, restrict the University’s ability to incur additional indebtedness or liens; sell, assign, lease, transfer or otherwise dispose of any part of the University’s assets other than in the ordinary course of business; make investments or capital contributions to any individual or entity; enter into any consolidation, merger, or other combination, or become a partner in a partnership, a member of a joint venture, or a member of a limited liability company; acquire or purchase a business or all or substantially all of the assets of a business in an aggregate amount exceeding an amount equal to 25% of the University’s tangible net worth; and engage in any business activities substantially different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Grand Canyon Education, Inc.</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from the University’s present business. In addition the loan agreement requires the University to maintain compliance with certain applicable regulatory standards, and requires the University to maintain a certain financial condition. Indebtedness under the note agreement is collateralized by the land and buildings that comprise the University’s ground campus. As of December 31, 2011, the University is in compliance with its debt covenants. Under the loan covenant computation as of December 31, 2011 $32,844 is available to be borrowed on the line of credit.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ind w:left="2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Notes Payable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0"/>
              </w:rPr>
              <w:t>Note payable, monthly payment of $143; interest at 30 day LIBOR plus 2.00% (2.3% at December 31, 2011) through March 31,</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gridSpan w:val="2"/>
          </w:tcPr>
          <w:p>
            <w:pPr>
              <w:jc w:val="right"/>
              <w:ind w:right="8572"/>
              <w:spacing w:after="0"/>
              <w:rPr>
                <w:sz w:val="20"/>
                <w:szCs w:val="20"/>
                <w:color w:val="auto"/>
              </w:rPr>
            </w:pPr>
            <w:r>
              <w:rPr>
                <w:rFonts w:ascii="Arial" w:cs="Arial" w:eastAsia="Arial" w:hAnsi="Arial"/>
                <w:sz w:val="18"/>
                <w:szCs w:val="18"/>
                <w:color w:val="auto"/>
              </w:rPr>
              <w:t>2016</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20,929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Note payable; paid in September 2011</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Various Gift Annuities; quarterly payments of $34 extending through 2019; interest at 10%</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670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Equipment note; paid in December 2011</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4"/>
              </w:rPr>
              <w:t>Notes payable for vehicles requiring monthly payments with interest rates ranging from 8.8% to 11.0% through March 2013</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21,640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1,739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19,901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jc w:val="right"/>
              <w:ind w:right="2312"/>
              <w:spacing w:after="0"/>
              <w:rPr>
                <w:sz w:val="20"/>
                <w:szCs w:val="20"/>
                <w:color w:val="auto"/>
              </w:rPr>
            </w:pPr>
            <w:r>
              <w:rPr>
                <w:rFonts w:ascii="Arial" w:cs="Arial" w:eastAsia="Arial" w:hAnsi="Arial"/>
                <w:sz w:val="18"/>
                <w:szCs w:val="18"/>
                <w:color w:val="auto"/>
                <w:w w:val="92"/>
              </w:rPr>
              <w:t>Payments due under the notes payable obligations are as follows as of December 31, 2011: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9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Long-term deferred rent included in other noncurrent liabilities as of December 31, 2011and 2010 was $6,512 and $2,029, respectively. The derivative liability for the forward interest rate swap included in other noncurrent liabilities as of December 31, 2011 and 2010 was $628 and $686, respectively.</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Capital Lease Obligations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 lease obligations consist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ind w:left="28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92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9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Capital Lease Obligations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8"/>
        </w:trPr>
        <w:tc>
          <w:tcPr>
            <w:tcW w:w="9240" w:type="dxa"/>
            <w:vAlign w:val="bottom"/>
          </w:tcPr>
          <w:p>
            <w:pPr>
              <w:spacing w:after="0"/>
              <w:rPr>
                <w:sz w:val="20"/>
                <w:szCs w:val="20"/>
                <w:color w:val="auto"/>
              </w:rPr>
            </w:pPr>
            <w:r>
              <w:rPr>
                <w:rFonts w:ascii="Arial" w:cs="Arial" w:eastAsia="Arial" w:hAnsi="Arial"/>
                <w:sz w:val="18"/>
                <w:szCs w:val="18"/>
                <w:color w:val="auto"/>
                <w:w w:val="96"/>
              </w:rPr>
              <w:t>Capital leases for equipment (various leases extending into 2016, with implicit interest rates ranging up to 6.9%, monthly</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240" w:type="dxa"/>
            <w:vAlign w:val="bottom"/>
          </w:tcPr>
          <w:p>
            <w:pPr>
              <w:ind w:left="220"/>
              <w:spacing w:after="0"/>
              <w:rPr>
                <w:sz w:val="20"/>
                <w:szCs w:val="20"/>
                <w:color w:val="auto"/>
              </w:rPr>
            </w:pPr>
            <w:r>
              <w:rPr>
                <w:rFonts w:ascii="Arial" w:cs="Arial" w:eastAsia="Arial" w:hAnsi="Arial"/>
                <w:sz w:val="18"/>
                <w:szCs w:val="18"/>
                <w:color w:val="auto"/>
              </w:rPr>
              <w:t>payments totaling $71 and quarterly payments totaling $242)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1,144</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19"/>
                <w:szCs w:val="19"/>
                <w:color w:val="auto"/>
              </w:rPr>
            </w:pPr>
          </w:p>
        </w:tc>
      </w:tr>
      <w:tr>
        <w:trPr>
          <w:trHeight w:val="28"/>
        </w:trPr>
        <w:tc>
          <w:tcPr>
            <w:tcW w:w="9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Less: Current portion of capital lease obligations</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470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18"/>
                <w:szCs w:val="18"/>
                <w:color w:val="auto"/>
              </w:rPr>
            </w:pPr>
          </w:p>
        </w:tc>
      </w:tr>
      <w:tr>
        <w:trPr>
          <w:trHeight w:val="27"/>
        </w:trPr>
        <w:tc>
          <w:tcPr>
            <w:tcW w:w="9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674</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Payments due under future minimum lease payments under the capital lease obligations are as follows as of 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2013 and thereafter</w:t>
            </w:r>
          </w:p>
        </w:tc>
        <w:tc>
          <w:tcPr>
            <w:tcW w:w="6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Less: Portion representing interest</w:t>
            </w:r>
          </w:p>
        </w:tc>
        <w:tc>
          <w:tcPr>
            <w:tcW w:w="6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6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120" w:type="dxa"/>
            <w:vAlign w:val="bottom"/>
            <w:vMerge w:val="restart"/>
          </w:tcPr>
          <w:p>
            <w:pPr>
              <w:jc w:val="right"/>
              <w:ind w:right="4472"/>
              <w:spacing w:after="0"/>
              <w:rPr>
                <w:sz w:val="20"/>
                <w:szCs w:val="20"/>
                <w:color w:val="auto"/>
              </w:rPr>
            </w:pPr>
            <w:r>
              <w:rPr>
                <w:rFonts w:ascii="Arial" w:cs="Arial" w:eastAsia="Arial" w:hAnsi="Arial"/>
                <w:sz w:val="18"/>
                <w:szCs w:val="18"/>
                <w:color w:val="auto"/>
              </w:rPr>
              <w:t>106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Grand Canyon Education, Inc.</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University leases certain land, buildings and equipment under non-cancelable operating leases expiring at various dates through 2023. Future minimum lease payments under operating leases due each year are as follows at December 31, 2011: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2013</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Total rent expense and related taxes and operating expenses under operating leases for the years ended December 31, 2011, 2010 and 2009 was $7,388, $5,287, and $4,541,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From time to time, the University is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is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pacing w:after="0" w:line="9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4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From time to time the University has exposure to various non-income tax related matters that arise in the ordinary course of business. At December 31, 2011 and 2010, the University has reserved approximately $49 and $92 for tax matters where its ultimate exposure is considered probable and the potential loss can be reasonably estimated. During 2009, a non-income tax related matter related to the University’s classification of its online faculty as independent contractors was resolved with the Internal Revenue Service (“IRS”) and, effective July 1, 2009, all faculty for the University have been treated as employees.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w:t>
      </w:r>
    </w:p>
    <w:p>
      <w:pPr>
        <w:spacing w:after="0" w:line="15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June 30, 2009, the University entered into two derivative agreements to manage its 30-day LIBOR interest exposure related to its variable rate note payable. Neither of these instruments contained financing elements. The contractual terms of the University’s derivative instruments have not been structured to ensure that net payments will be made by one party in the earlier periods and subsequently returned by the counterparty in later periods of the derivative’s term. Neither of the University’s derivative instruments have been amended or modified since their inception. The interest rate corridor required an upfront payment of $164 by the University to the counterparty solely for the time value of an out-of-the-money option contract based on the forward LIBOR rate curve at the instrument’s inception. Accordingly, the fair value of the corridor derivative asset at inception was $164. The fair value for the interest rate corridor was determined using a hypothetical derivative transaction and Level 2 of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Grand Canyon Education, Inc.</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hierarchy of valuation inputs. The fair value as of December 31, 2011 and 2010 with adjustment for credit risk was $1 and $27, respectively, and this derivative asset is included in other assets in the accompanying consolidated balance sheet. The interest rate swap instrument was an out-of-the-money option contract based on the forward LIBOR rate curve at the instrument’s inception. The fair value of the interest rate swap, with adjustment for credit risk, is a liability of $629 and $686 as of December 31, 2011 and 2010, respectively, and is included in other noncurrent liabilities in the accompanying consolidated balance sheet. These derivative instruments were designated as cash flow hedges of variable rate note payable obligations. Accordingly, the adjustment of $10 and $551 for the year ended December 31, 2011 and 2010, respectively, for the effective portion of the loss on the derivatives is included as a component of other comprehensive income, net of taxes.</w:t>
      </w:r>
    </w:p>
    <w:p>
      <w:pPr>
        <w:spacing w:after="0" w:line="12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interest rate corridor instrument hedges variable interest rate risk starting July 1, 2009 through April 30, 2014 with a notional amount of $10,627 as of December 31, 2011. The corridor instrument permits the University to hedge its interest rate risk at several thresholds; the University will pay variable interest rates based on the 30-day LIBOR rates monthly until that index reaches 4%. If 30-day LIBOR is equal to 4% through 6%, the University will pay 4%. If 30-day LIBOR exceeds 6%, the University will pay actual 30-day LIBOR less 2%. This reduces the University’s exposure to potential increases in interest rates. In the fourth quarter of 2011, the University de-designated the corridor instrument and reclassified $92, net of tax of accumulated other comprehensive loss related to this instrument into earnings.</w:t>
      </w:r>
    </w:p>
    <w:p>
      <w:pPr>
        <w:spacing w:after="0" w:line="117"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The interest rate swap commenced on May 1, 2010 and continues each month thereafter until April 30, 2014 and has a notional amount of $10,627 as of December 31, 2011. The University will receive 30-day LIBOR and pay 3.245% fixed interest on the amortizing notional amount. Therefore, the University has hedged its exposure to future variable rate cash flows through April 30, 2014. The interest rate swap is not subject to a master netting arrangement and collateral has been called by the counterparty and reflected in a restricted cash account as of December 31, 2011 and 2010 in the amount of $555 and $760,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5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8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4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w w:val="91"/>
              </w:rPr>
              <w:t>Year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2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196"/>
        </w:trPr>
        <w:tc>
          <w:tcPr>
            <w:tcW w:w="8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200" w:type="dxa"/>
            <w:vAlign w:val="bottom"/>
          </w:tcPr>
          <w:p>
            <w:pPr>
              <w:ind w:left="440"/>
              <w:spacing w:after="0"/>
              <w:rPr>
                <w:sz w:val="20"/>
                <w:szCs w:val="20"/>
                <w:color w:val="auto"/>
              </w:rPr>
            </w:pPr>
            <w:r>
              <w:rPr>
                <w:rFonts w:ascii="Arial" w:cs="Arial" w:eastAsia="Arial" w:hAnsi="Arial"/>
                <w:sz w:val="18"/>
                <w:szCs w:val="18"/>
                <w:color w:val="auto"/>
              </w:rPr>
              <w:t>Basic common shares outstanding</w:t>
            </w:r>
          </w:p>
        </w:tc>
        <w:tc>
          <w:tcPr>
            <w:tcW w:w="880" w:type="dxa"/>
            <w:vAlign w:val="bottom"/>
          </w:tcPr>
          <w:p>
            <w:pPr>
              <w:jc w:val="right"/>
              <w:spacing w:after="0"/>
              <w:rPr>
                <w:sz w:val="20"/>
                <w:szCs w:val="20"/>
                <w:color w:val="auto"/>
              </w:rPr>
            </w:pPr>
            <w:r>
              <w:rPr>
                <w:rFonts w:ascii="Arial" w:cs="Arial" w:eastAsia="Arial" w:hAnsi="Arial"/>
                <w:sz w:val="18"/>
                <w:szCs w:val="18"/>
                <w:color w:val="auto"/>
              </w:rPr>
              <w:t>44,631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45,722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45,184</w:t>
            </w:r>
          </w:p>
        </w:tc>
        <w:tc>
          <w:tcPr>
            <w:tcW w:w="100" w:type="dxa"/>
            <w:vAlign w:val="bottom"/>
          </w:tcPr>
          <w:p>
            <w:pPr>
              <w:spacing w:after="0"/>
              <w:rPr>
                <w:sz w:val="18"/>
                <w:szCs w:val="18"/>
                <w:color w:val="auto"/>
              </w:rPr>
            </w:pPr>
          </w:p>
        </w:tc>
      </w:tr>
      <w:tr>
        <w:trPr>
          <w:trHeight w:val="216"/>
        </w:trPr>
        <w:tc>
          <w:tcPr>
            <w:tcW w:w="8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stock options and restricted stock</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r>
      <w:tr>
        <w:trPr>
          <w:trHeight w:val="222"/>
        </w:trPr>
        <w:tc>
          <w:tcPr>
            <w:tcW w:w="8200" w:type="dxa"/>
            <w:vAlign w:val="bottom"/>
          </w:tcPr>
          <w:p>
            <w:pPr>
              <w:ind w:left="440"/>
              <w:spacing w:after="0"/>
              <w:rPr>
                <w:sz w:val="20"/>
                <w:szCs w:val="20"/>
                <w:color w:val="auto"/>
              </w:rPr>
            </w:pPr>
            <w:r>
              <w:rPr>
                <w:rFonts w:ascii="Arial" w:cs="Arial" w:eastAsia="Arial" w:hAnsi="Arial"/>
                <w:sz w:val="18"/>
                <w:szCs w:val="18"/>
                <w:color w:val="auto"/>
              </w:rPr>
              <w:t>Diluted common shares outstanding</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45,105</w:t>
            </w:r>
          </w:p>
        </w:tc>
        <w:tc>
          <w:tcPr>
            <w:tcW w:w="2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46,396</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45,503</w:t>
            </w:r>
          </w:p>
        </w:tc>
        <w:tc>
          <w:tcPr>
            <w:tcW w:w="100" w:type="dxa"/>
            <w:vAlign w:val="bottom"/>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Diluted weighted average shares outstanding exclude the incremental effect of shares that would be issued upon the assumed exercise of stock options. For the year ended December 31, 2011, 2010 and 2009, approximately 2,158, 602 and 1,571, respectively, of the University’s stock options outstanding were excluded from the calculation of diluted earnings per share as their inclusion would have been anti-dilutive. These options could be dilutive in the future.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Grand Canyon Education, Inc.</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Transactions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4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As of December 31, 2011 and 2010, the University had 10,000 shares of authorized but unissued and undesignated preferred stock. The University’s charter, which became effective on November 19, 2008, provides that the board of directors has authority to issue preferred stock, with voting powers, designations, preferences, and special rights, qualifications, limitation, or restrictions as permitted by law as determined by the board of directors, without stockholder approval. The board of directors may authorize the issuance of preferred stock with voting or conversion rights that could adversely affect the voting power or other rights of the holders of the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44"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On July 28, 2011, our Board of Directors authorized the University to repurchase up to an additional $25,000 ($50,000 total) of common stock, from time to time, depending on market conditions and other considerations. The original authorization of $25,000 occurred on August 16, 2010 and the expiration date on the repurchase authorization is September 30, 2012.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its approval of the share repurchase plan, the University has purchased 1,657 shares of common stock at an aggregate cost of $23,894, which includes 1,607 shares of common stock at an aggregate cost of $23,112 during the year ended December 31, 2011, which are recorded at cost in the accompanying December 31, 2011 consolidated balance sheet and statement of stockholders’ equity. At December 31, 2011, there remained $26,106 available under its current share repurchase authorization.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5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University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The University has no valuation allowance at December 31, 2011 and 2010.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tax expense (benefit)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center"/>
              <w:ind w:left="437"/>
              <w:spacing w:after="0"/>
              <w:rPr>
                <w:sz w:val="20"/>
                <w:szCs w:val="20"/>
                <w:color w:val="auto"/>
              </w:rPr>
            </w:pPr>
            <w:r>
              <w:rPr>
                <w:rFonts w:ascii="Arial" w:cs="Arial" w:eastAsia="Arial" w:hAnsi="Arial"/>
                <w:sz w:val="14"/>
                <w:szCs w:val="14"/>
                <w:b w:val="1"/>
                <w:bCs w:val="1"/>
                <w:color w:val="auto"/>
                <w:w w:val="87"/>
              </w:rPr>
              <w:t>Year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Borders>
              <w:bottom w:val="single" w:sz="8" w:color="CCEEFF"/>
            </w:tcBorders>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4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Federal</w:t>
            </w:r>
          </w:p>
        </w:tc>
        <w:tc>
          <w:tcPr>
            <w:tcW w:w="5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7,441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22,522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4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2,737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10,178</w:t>
            </w:r>
          </w:p>
        </w:tc>
        <w:tc>
          <w:tcPr>
            <w:tcW w:w="2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27,685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48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Federal</w:t>
            </w:r>
          </w:p>
        </w:tc>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18,125</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(2,956)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4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20,804</w:t>
            </w:r>
          </w:p>
        </w:tc>
        <w:tc>
          <w:tcPr>
            <w:tcW w:w="2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(5,436)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30,982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22,249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800" w:type="dxa"/>
            <w:vAlign w:val="bottom"/>
            <w:vMerge w:val="restart"/>
          </w:tcPr>
          <w:p>
            <w:pPr>
              <w:jc w:val="right"/>
              <w:ind w:right="2152"/>
              <w:spacing w:after="0"/>
              <w:rPr>
                <w:sz w:val="20"/>
                <w:szCs w:val="20"/>
                <w:color w:val="auto"/>
              </w:rPr>
            </w:pPr>
            <w:r>
              <w:rPr>
                <w:rFonts w:ascii="Arial" w:cs="Arial" w:eastAsia="Arial" w:hAnsi="Arial"/>
                <w:sz w:val="18"/>
                <w:szCs w:val="18"/>
                <w:color w:val="auto"/>
              </w:rPr>
              <w:t>109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Grand Canyon Education, Inc.</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income tax computed at the U.S. statutory rate to the effective income tax rate is as follows:</w:t>
      </w:r>
    </w:p>
    <w:p>
      <w:pPr>
        <w:spacing w:after="0" w:line="194"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9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U.S. federal income tax rate</w:t>
            </w:r>
          </w:p>
        </w:tc>
        <w:tc>
          <w:tcPr>
            <w:tcW w:w="5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State income taxes, net of federal tax benefit</w:t>
            </w:r>
          </w:p>
        </w:tc>
        <w:tc>
          <w:tcPr>
            <w:tcW w:w="32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tax credits, net of federal effect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Non deductible expenses</w:t>
            </w:r>
          </w:p>
        </w:tc>
        <w:tc>
          <w:tcPr>
            <w:tcW w:w="32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40" w:type="dxa"/>
            <w:vAlign w:val="bottom"/>
            <w:gridSpan w:val="2"/>
          </w:tcPr>
          <w:p>
            <w:pPr>
              <w:spacing w:after="0"/>
              <w:rPr>
                <w:sz w:val="20"/>
                <w:szCs w:val="20"/>
                <w:color w:val="auto"/>
              </w:rPr>
            </w:pPr>
            <w:r>
              <w:rPr>
                <w:rFonts w:ascii="Arial" w:cs="Arial" w:eastAsia="Arial" w:hAnsi="Arial"/>
                <w:sz w:val="18"/>
                <w:szCs w:val="18"/>
                <w:color w:val="auto"/>
              </w:rPr>
              <w:t>Effective income tax rate</w:t>
            </w:r>
          </w:p>
        </w:tc>
        <w:tc>
          <w:tcPr>
            <w:tcW w:w="5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38.7%</w:t>
            </w:r>
          </w:p>
        </w:tc>
        <w:tc>
          <w:tcPr>
            <w:tcW w:w="18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8500" w:type="dxa"/>
            <w:vAlign w:val="bottom"/>
            <w:gridSpan w:val="2"/>
          </w:tcPr>
          <w:p>
            <w:pPr>
              <w:ind w:left="440"/>
              <w:spacing w:after="0"/>
              <w:rPr>
                <w:sz w:val="20"/>
                <w:szCs w:val="20"/>
                <w:color w:val="auto"/>
              </w:rPr>
            </w:pPr>
            <w:r>
              <w:rPr>
                <w:rFonts w:ascii="Arial" w:cs="Arial" w:eastAsia="Arial" w:hAnsi="Arial"/>
                <w:sz w:val="18"/>
                <w:szCs w:val="18"/>
                <w:color w:val="auto"/>
              </w:rPr>
              <w:t>Significant components of the Company’s deferred income tax assets and liabilities are as follows:</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deferred tax asset (liability):</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420"/>
              <w:spacing w:after="0"/>
              <w:rPr>
                <w:sz w:val="20"/>
                <w:szCs w:val="20"/>
                <w:color w:val="auto"/>
              </w:rPr>
            </w:pPr>
            <w:r>
              <w:rPr>
                <w:rFonts w:ascii="Arial" w:cs="Arial" w:eastAsia="Arial" w:hAnsi="Arial"/>
                <w:sz w:val="18"/>
                <w:szCs w:val="18"/>
                <w:color w:val="auto"/>
              </w:rPr>
              <w:t>Accounts receivable allowance for doubtful accounts</w:t>
            </w: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4,638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14,713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State taxes</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(764)</w:t>
            </w: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420"/>
              <w:spacing w:after="0"/>
              <w:rPr>
                <w:sz w:val="20"/>
                <w:szCs w:val="20"/>
                <w:color w:val="auto"/>
              </w:rPr>
            </w:pPr>
            <w:r>
              <w:rPr>
                <w:rFonts w:ascii="Arial" w:cs="Arial" w:eastAsia="Arial" w:hAnsi="Arial"/>
                <w:sz w:val="18"/>
                <w:szCs w:val="18"/>
                <w:color w:val="auto"/>
              </w:rPr>
              <w:t>Estimated litigation loss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(597)</w:t>
            </w: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gridSpan w:val="2"/>
            <w:vMerge w:val="restart"/>
          </w:tcPr>
          <w:p>
            <w:pPr>
              <w:ind w:left="860"/>
              <w:spacing w:after="0"/>
              <w:rPr>
                <w:sz w:val="20"/>
                <w:szCs w:val="20"/>
                <w:color w:val="auto"/>
              </w:rPr>
            </w:pPr>
            <w:r>
              <w:rPr>
                <w:rFonts w:ascii="Arial" w:cs="Arial" w:eastAsia="Arial" w:hAnsi="Arial"/>
                <w:sz w:val="18"/>
                <w:szCs w:val="18"/>
                <w:color w:val="auto"/>
              </w:rPr>
              <w:t>Current deferred tax asset</w:t>
            </w: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3,353</w:t>
            </w:r>
          </w:p>
        </w:tc>
        <w:tc>
          <w:tcPr>
            <w:tcW w:w="18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16,078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deferred tax asset (liability):</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420"/>
              <w:spacing w:after="0"/>
              <w:rPr>
                <w:sz w:val="20"/>
                <w:szCs w:val="20"/>
                <w:color w:val="auto"/>
              </w:rPr>
            </w:pPr>
            <w:r>
              <w:rPr>
                <w:rFonts w:ascii="Arial" w:cs="Arial" w:eastAsia="Arial" w:hAnsi="Arial"/>
                <w:sz w:val="18"/>
                <w:szCs w:val="18"/>
                <w:color w:val="auto"/>
              </w:rPr>
              <w:t>Depreciation and leases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(18,763)</w:t>
            </w:r>
          </w:p>
        </w:tc>
        <w:tc>
          <w:tcPr>
            <w:tcW w:w="18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(7,719)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Share-based compensation</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6,664</w:t>
            </w: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420"/>
              <w:spacing w:after="0"/>
              <w:rPr>
                <w:sz w:val="20"/>
                <w:szCs w:val="20"/>
                <w:color w:val="auto"/>
              </w:rPr>
            </w:pPr>
            <w:r>
              <w:rPr>
                <w:rFonts w:ascii="Arial" w:cs="Arial" w:eastAsia="Arial" w:hAnsi="Arial"/>
                <w:sz w:val="18"/>
                <w:szCs w:val="18"/>
                <w:color w:val="auto"/>
              </w:rPr>
              <w:t>Deferred rent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2,353</w:t>
            </w:r>
          </w:p>
        </w:tc>
        <w:tc>
          <w:tcPr>
            <w:tcW w:w="1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Intangibles</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4,121</w:t>
            </w: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Non-current deferred tax (liability) asset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(5,334)</w:t>
            </w: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gridSpan w:val="2"/>
            <w:vMerge w:val="restart"/>
          </w:tcPr>
          <w:p>
            <w:pPr>
              <w:ind w:left="860"/>
              <w:spacing w:after="0"/>
              <w:rPr>
                <w:sz w:val="20"/>
                <w:szCs w:val="20"/>
                <w:color w:val="auto"/>
              </w:rPr>
            </w:pPr>
            <w:r>
              <w:rPr>
                <w:rFonts w:ascii="Arial" w:cs="Arial" w:eastAsia="Arial" w:hAnsi="Arial"/>
                <w:sz w:val="18"/>
                <w:szCs w:val="18"/>
                <w:color w:val="auto"/>
              </w:rPr>
              <w:t>Net deferred tax (liability) asset</w:t>
            </w:r>
          </w:p>
        </w:tc>
        <w:tc>
          <w:tcPr>
            <w:tcW w:w="72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gridSpan w:val="2"/>
            <w:vMerge w:val="continue"/>
          </w:tcPr>
          <w:p>
            <w:pPr>
              <w:spacing w:after="0"/>
              <w:rPr>
                <w:sz w:val="19"/>
                <w:szCs w:val="19"/>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(1,981)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18,878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In January 2008, the University began its accounting for uncertainty in tax positions. The University will recognize the impact of a tax position in its financial statements if that position is more-likely-than-not of being sustained on audit, based on the technical merits of the position. The University discloses all unrecognized tax benefits, which includes the reserves recorded for uncertain tax positions on filed tax returns and the unrecognized portion of affirmative claims. No adjustment was made to opening retained earnings. The University recognizes interest and penalties related to uncertain tax positions in income tax expense.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the beginning and ending balance of unrecognized tax benefits at December 31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Unrecognized tax benefits, beginning of year</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Tax positions taken during the current year</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Increases</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Decreases</w:t>
            </w:r>
          </w:p>
        </w:tc>
        <w:tc>
          <w:tcPr>
            <w:tcW w:w="20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Tax positions taken during a prior year</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Increases</w:t>
            </w: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Decreases</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Decreases for settlements during the period</w:t>
            </w:r>
          </w:p>
        </w:tc>
        <w:tc>
          <w:tcPr>
            <w:tcW w:w="2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(937)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lapses of applicable statute of limitations</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9240" w:type="dxa"/>
            <w:vAlign w:val="bottom"/>
          </w:tcPr>
          <w:p>
            <w:pPr>
              <w:spacing w:after="0"/>
              <w:rPr>
                <w:sz w:val="20"/>
                <w:szCs w:val="20"/>
                <w:color w:val="auto"/>
              </w:rPr>
            </w:pPr>
            <w:r>
              <w:rPr>
                <w:rFonts w:ascii="Arial" w:cs="Arial" w:eastAsia="Arial" w:hAnsi="Arial"/>
                <w:sz w:val="18"/>
                <w:szCs w:val="18"/>
                <w:color w:val="auto"/>
              </w:rPr>
              <w:t>Unrecognized tax benefits, end of year</w:t>
            </w: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of December 31, 2011 and 2010, the unrecognized tax benefit recorded of $543 and $388, respectively, if reversed, would impact the effective tax rate. During the years ended December 31, 2011, 2010, and 2009, the University recognized approximately $123, $80 and $52, respectively, in interest and penalties. At December 31, 2011 and 2010, the University had accrued $121 and $160, respectively, in interest and $0 and $30, respectively, in penalties. It is reasonably possible that the amount of the unrecognized tax benefit will change during the next 12 months, however management does not expect the potential change to have a material effect on the results of operations or financial position.</w:t>
      </w:r>
    </w:p>
    <w:p>
      <w:pPr>
        <w:sectPr>
          <w:pgSz w:w="11900" w:h="16838" w:orient="portrait"/>
          <w:cols w:equalWidth="0" w:num="1">
            <w:col w:w="11420"/>
          </w:cols>
          <w:pgMar w:left="240" w:top="459" w:right="239"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20"/>
          </w:cols>
          <w:pgMar w:left="240" w:top="459" w:right="23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Grand Canyon Education, Inc.</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University’s uncertain tax positions are related to tax years that remain subject to examination by tax authorities. As of December 31, 2011, the earliest tax year still subject to examination for federal and state purposes is 2008 and 2005, respectively. During 2008, the IRS commenced an examination of the University’s 2005 income tax return and subsequently opened 2006 for examination. The University finalized the federal income tax audits of 2005 and 2006 and as a result of the audit findings, paid $67 and $20 in tax and interest, respectively, for 2005 and $159 and $31 in tax and interest, respectively, for 2006 during 2010.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Regulatory</w:t>
      </w:r>
    </w:p>
    <w:p>
      <w:pPr>
        <w:spacing w:after="0" w:line="15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pacing w:after="0" w:line="11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Following the Department of Education’s review of the change in control application the University filed in January 2011 in connection the termination of the voting agreements in January 2011, the Department of Education provisionally certified the University to participate in Title IV programs through 2013. As of December 31, 2011, management believes the University is in compliance with the applicable regulations in all material respects.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pacing w:after="0" w:line="89"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the University covering the 2008-2009 and 2009-2010 award years. As part of this program review, a Department of Education program review team conducted a site visit on the University’s campus in July 2010 and reviewed, and in some cases requested further information regarding, the University’s records, practices and policies relating to, among other things, financial aid, enrollment, enrollment counselor compensation, program eligibility and other Title IV compliance matters. Upon the conclusion of the site visit, the University was informed by the program review team that it would (i) conduct further review of the University’s documents and records offsite,</w:t>
      </w:r>
    </w:p>
    <w:p>
      <w:pPr>
        <w:spacing w:after="0" w:line="1" w:lineRule="exact"/>
        <w:rPr>
          <w:sz w:val="20"/>
          <w:szCs w:val="20"/>
          <w:color w:val="auto"/>
        </w:rPr>
      </w:pPr>
    </w:p>
    <w:p>
      <w:pPr>
        <w:ind w:right="40" w:firstLine="8"/>
        <w:spacing w:after="0" w:line="323" w:lineRule="auto"/>
        <w:tabs>
          <w:tab w:leader="none" w:pos="258" w:val="left"/>
        </w:tabs>
        <w:numPr>
          <w:ilvl w:val="0"/>
          <w:numId w:val="48"/>
        </w:numPr>
        <w:rPr>
          <w:rFonts w:ascii="Arial" w:cs="Arial" w:eastAsia="Arial" w:hAnsi="Arial"/>
          <w:sz w:val="16"/>
          <w:szCs w:val="16"/>
          <w:color w:val="auto"/>
        </w:rPr>
      </w:pPr>
      <w:r>
        <w:rPr>
          <w:rFonts w:ascii="Arial" w:cs="Arial" w:eastAsia="Arial" w:hAnsi="Arial"/>
          <w:sz w:val="16"/>
          <w:szCs w:val="16"/>
          <w:color w:val="auto"/>
        </w:rPr>
        <w:t>upon completion of such review, schedule a formal exit interview to be followed by a preliminary program review report in which any preliminary findings of non-compliance would be presented, and (iii) conclude the review by issuance of a final program review determination letter.</w:t>
      </w:r>
    </w:p>
    <w:p>
      <w:pPr>
        <w:spacing w:after="0" w:line="6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Following the conclusion of the site visit in July 2010, but before it had yet received notification of the timing of its exit interview or the Department of Education’s preliminary program review report or final program review determination letter, the University became aware that the program review team had two preliminary findings of concern, the incentive compensation issue and the gainful employment issue (each as described below). However, from August 2010 until August 2011, the University received no further communications from the Department of Education regarding these two concerns or the program review generally.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Grand Canyon Education, Inc.</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While the University never received a formal exit interview, which it had understood to be the typical step prior to the Department of Education’s issuance of a preliminary program review report, on August 24, 2011, the University received from the Department of Education a written preliminary program review report that included five findings, two of which involve individual student-specific errors concerning the monitoring of satisfactory academic progress for two students and the certification of one student’s Federal Family Educational Loan as an unsubsidized Stafford loan rather than a subsidized Stafford loan. The other three findings address the incentive compensation issue, the gainful employment issue and one additional issue not previously raised with the University, as follows:</w:t>
      </w:r>
    </w:p>
    <w:p>
      <w:pPr>
        <w:spacing w:after="0" w:line="131" w:lineRule="exact"/>
        <w:rPr>
          <w:sz w:val="20"/>
          <w:szCs w:val="20"/>
          <w:color w:val="auto"/>
        </w:rPr>
      </w:pPr>
    </w:p>
    <w:p>
      <w:pPr>
        <w:ind w:left="1480" w:hanging="446"/>
        <w:spacing w:after="0" w:line="287" w:lineRule="auto"/>
        <w:tabs>
          <w:tab w:leader="none" w:pos="148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Incentive compensation issue</w:t>
      </w:r>
      <w:r>
        <w:rPr>
          <w:rFonts w:ascii="Arial" w:cs="Arial" w:eastAsia="Arial" w:hAnsi="Arial"/>
          <w:sz w:val="16"/>
          <w:szCs w:val="16"/>
          <w:color w:val="auto"/>
        </w:rPr>
        <w:t>. During a portion of the period under review, the University had in place a compensation plan for its enrollment</w:t>
      </w:r>
      <w:r>
        <w:rPr>
          <w:rFonts w:ascii="Arial" w:cs="Arial" w:eastAsia="Arial" w:hAnsi="Arial"/>
          <w:sz w:val="16"/>
          <w:szCs w:val="16"/>
          <w:i w:val="1"/>
          <w:iCs w:val="1"/>
          <w:color w:val="auto"/>
        </w:rPr>
        <w:t xml:space="preserve"> </w:t>
      </w:r>
      <w:r>
        <w:rPr>
          <w:rFonts w:ascii="Arial" w:cs="Arial" w:eastAsia="Arial" w:hAnsi="Arial"/>
          <w:sz w:val="16"/>
          <w:szCs w:val="16"/>
          <w:color w:val="auto"/>
        </w:rPr>
        <w:t>counselors that was designed to comply with the regulatory “safe harbor” in effect during such period that allowed companies to make adjustments to fixed compensation for enrollment personnel, provided that any such adjustment (i) was not made more than twice during any twelve month period, and (ii) was not based solely on the number of students recruited, admitted, enrolled, or awarded financial aid. The plan at issue provided for enrollment counselor performance to be reviewed on a number of non-enrollment-related factors that could account for a substantial portion of any potential base compensation adjustment. The preliminary program review report does not appear to set forth any definitive finding regarding the plan, but the Department of Education has requested additional information from the University regarding its enrollment counselor compensation practices and policies in effect during the period under review. The University continues to believe that the plan at issue, both as designed and as applied, did not base compensation solely on success in enrolling students in violation of applicable law and will continue to communicate with the Department of Education to resolve this matter.</w:t>
      </w:r>
    </w:p>
    <w:p>
      <w:pPr>
        <w:spacing w:after="0" w:line="109" w:lineRule="exact"/>
        <w:rPr>
          <w:rFonts w:ascii="Arial" w:cs="Arial" w:eastAsia="Arial" w:hAnsi="Arial"/>
          <w:sz w:val="16"/>
          <w:szCs w:val="16"/>
          <w:color w:val="auto"/>
        </w:rPr>
      </w:pPr>
    </w:p>
    <w:p>
      <w:pPr>
        <w:ind w:left="1480" w:right="20" w:hanging="446"/>
        <w:spacing w:after="0" w:line="288" w:lineRule="auto"/>
        <w:tabs>
          <w:tab w:leader="none" w:pos="148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Gainful employment issue</w:t>
      </w:r>
      <w:r>
        <w:rPr>
          <w:rFonts w:ascii="Arial" w:cs="Arial" w:eastAsia="Arial" w:hAnsi="Arial"/>
          <w:sz w:val="16"/>
          <w:szCs w:val="16"/>
          <w:color w:val="auto"/>
        </w:rPr>
        <w:t>. The preliminary program review report sets forth the Department of Education’s position that the University’s</w:t>
      </w:r>
      <w:r>
        <w:rPr>
          <w:rFonts w:ascii="Arial" w:cs="Arial" w:eastAsia="Arial" w:hAnsi="Arial"/>
          <w:sz w:val="16"/>
          <w:szCs w:val="16"/>
          <w:i w:val="1"/>
          <w:iCs w:val="1"/>
          <w:color w:val="auto"/>
        </w:rPr>
        <w:t xml:space="preserve"> </w:t>
      </w:r>
      <w:r>
        <w:rPr>
          <w:rFonts w:ascii="Arial" w:cs="Arial" w:eastAsia="Arial" w:hAnsi="Arial"/>
          <w:sz w:val="16"/>
          <w:szCs w:val="16"/>
          <w:color w:val="auto"/>
        </w:rPr>
        <w:t>Bachelor of Arts in Interdisciplinary Studies program was not an eligible program under Title IV because it did not provide students with training to prepare them for gainful employment in a recognized occupation. This “gainful employment” standard has been a requirement for Title IV eligibility for programs offered at proprietary institutions of higher education such as the University although, pursuant to legislation passed in 2008 and effective as of July 1, 2010, this requirement no longer applies to designated liberal arts programs offered by the University and certain other institutions that have held accreditation by a regional accrediting agency since a date on or before October 1, 2007 (we have held a regional accreditation since 1968). The University believes that its Interdisciplinary Studies program, which it first offered in Fall 2007 in response to a request by one of our employer-partners, was an eligible program under the “gainful employment” standard in effect prior to July 1, 2010 and intend to continue to communicate with the Department of Education to resolve the matter.</w:t>
      </w:r>
    </w:p>
    <w:p>
      <w:pPr>
        <w:spacing w:after="0" w:line="106" w:lineRule="exact"/>
        <w:rPr>
          <w:rFonts w:ascii="Arial" w:cs="Arial" w:eastAsia="Arial" w:hAnsi="Arial"/>
          <w:sz w:val="16"/>
          <w:szCs w:val="16"/>
          <w:color w:val="auto"/>
        </w:rPr>
      </w:pPr>
    </w:p>
    <w:p>
      <w:pPr>
        <w:ind w:left="1480" w:right="40" w:hanging="446"/>
        <w:spacing w:after="0" w:line="288" w:lineRule="auto"/>
        <w:tabs>
          <w:tab w:leader="none" w:pos="148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Inadequate procedures related to non-passing grades. </w:t>
      </w:r>
      <w:r>
        <w:rPr>
          <w:rFonts w:ascii="Arial" w:cs="Arial" w:eastAsia="Arial" w:hAnsi="Arial"/>
          <w:sz w:val="16"/>
          <w:szCs w:val="16"/>
          <w:color w:val="auto"/>
        </w:rPr>
        <w:t>The preliminary program review report sets forth the Department of Education’s</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that, during the period under review and prior to the time the University converted from a term-based financial aid system to a non-term, borrower-based financial aid system in mid-2010, the University failed to have an accurate system to determine if students with non-passing grades for a term had no documented attendance for the term or should have been treated as unofficial withdrawals for the term, thereby potentially requiring the University to return all or a portion of the Title IV monies previously received with respect to such students. Although the University is confident in the legal sufficiency of its policies that were in place during the period under review, it is currently in discussions with the Department of Education regarding this finding. As part of the process of reviewing and responding to this finding, the Department of Education has requested that the University conduct a further review of student files and provide additional information to the Department of Education following the completion of such review.</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Grand Canyon Education, Inc.</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University cannot presently predict whether or if further information requests will be made, how the foregoing issues will be resolved, when the final program review determination letter will be issued, or when the program review will be closed. At this time, the Department of Education has not specified the amount of any potential penalties, and the University has not accrued any amounts in connection with the program review. The University’s policies and procedures are planned and implemented to comply with the applicable standards and regulations under Title IV and it is committed to resolving any issues of non-compliance identified in the final program review determination letter and ensuring that it operates in compliance with all Department of Education requirements. If the Department of Education were to make significant findings of non-compliance in the final program review determination letter, then, after exhausting any administrative appeals available to the University, it could be required to pay a fine, return Title IV monies previously received, or be subjected to other administrative sanctions. While it cannot currently predict the final outcome of the Department of Education review, any such final adverse finding could damage the University’s reputation in the industry and have a material adverse effect on its business, results of operations, cash flows and financial position.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 Plans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Equity Plans</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September 27, 2008 the University’s shareholders approved the adoption of the 2008 Equity Incentive Plan (“Incentive Plan”) and the 2008 Employee Stock Purchase (“ESPP”). A total of 4,200 shares of the University’s common stock was originally authorized for issuance under the Incentive Plan. On January 1 of each subsequent year in accordance with the terms of the Incentive Plan, the number of shares authorized for issuance under the Incentive Plan automatically increased by 2.5% of the number of shares of common stock issued and outstanding on December 31, raising the total number of shares of common stock authorized for issuance under the Incentive Plan to 8,729 shares effective January 1, 2012. Although the ESPP has not yet been implemented, a total of 1,050 shares of the University’s common stock have been authorized for sale under the ESPP.</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Plan</w:t>
      </w:r>
    </w:p>
    <w:p>
      <w:pPr>
        <w:spacing w:after="0" w:line="144"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During 2011 and 2010, the University granted time vested options to purchase shares of common stock with an exercise price equal to the fair market value on the date of grant. The time vested options will vest ratably over a period of five years for employees and will expire ten years from the date of grant.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activity related to stock options granted under the University’s Incentive Plan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w w:val="87"/>
              </w:rPr>
              <w:t>Summary of Stock Options Outstanding</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58"/>
              <w:spacing w:after="0" w:line="129" w:lineRule="exact"/>
              <w:rPr>
                <w:sz w:val="20"/>
                <w:szCs w:val="20"/>
                <w:color w:val="auto"/>
              </w:rPr>
            </w:pPr>
            <w:r>
              <w:rPr>
                <w:rFonts w:ascii="Arial" w:cs="Arial" w:eastAsia="Arial" w:hAnsi="Arial"/>
                <w:sz w:val="14"/>
                <w:szCs w:val="14"/>
                <w:b w:val="1"/>
                <w:bCs w:val="1"/>
                <w:color w:val="auto"/>
                <w:w w:val="88"/>
              </w:rPr>
              <w:t>Weighted</w:t>
            </w:r>
          </w:p>
        </w:tc>
        <w:tc>
          <w:tcPr>
            <w:tcW w:w="240" w:type="dxa"/>
            <w:vAlign w:val="bottom"/>
          </w:tcPr>
          <w:p>
            <w:pPr>
              <w:spacing w:after="0"/>
              <w:rPr>
                <w:sz w:val="11"/>
                <w:szCs w:val="11"/>
                <w:color w:val="auto"/>
              </w:rPr>
            </w:pPr>
          </w:p>
        </w:tc>
        <w:tc>
          <w:tcPr>
            <w:tcW w:w="11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3"/>
              </w:rPr>
              <w:t>Exercise</w:t>
            </w:r>
          </w:p>
        </w:tc>
        <w:tc>
          <w:tcPr>
            <w:tcW w:w="2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6"/>
              </w:rPr>
              <w:t>Price per</w:t>
            </w:r>
          </w:p>
        </w:tc>
        <w:tc>
          <w:tcPr>
            <w:tcW w:w="2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78"/>
              <w:spacing w:after="0"/>
              <w:rPr>
                <w:sz w:val="20"/>
                <w:szCs w:val="20"/>
                <w:color w:val="auto"/>
              </w:rPr>
            </w:pPr>
            <w:r>
              <w:rPr>
                <w:rFonts w:ascii="Arial" w:cs="Arial" w:eastAsia="Arial" w:hAnsi="Arial"/>
                <w:sz w:val="14"/>
                <w:szCs w:val="14"/>
                <w:b w:val="1"/>
                <w:bCs w:val="1"/>
                <w:color w:val="auto"/>
                <w:w w:val="87"/>
              </w:rPr>
              <w:t>Share</w:t>
            </w:r>
          </w:p>
        </w:tc>
        <w:tc>
          <w:tcPr>
            <w:tcW w:w="2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Term (Years)</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2008</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16.65</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2009</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21.29</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20" w:type="dxa"/>
            <w:vAlign w:val="bottom"/>
            <w:gridSpan w:val="2"/>
            <w:vMerge w:val="continue"/>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17.45</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15.34</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20" w:type="dxa"/>
            <w:vAlign w:val="bottom"/>
            <w:gridSpan w:val="2"/>
            <w:vMerge w:val="continue"/>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17.29</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2011</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December 31, 2011</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12.90</w:t>
            </w:r>
          </w:p>
        </w:tc>
        <w:tc>
          <w:tcPr>
            <w:tcW w:w="136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7.01</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6,403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20" w:type="dxa"/>
            <w:vAlign w:val="bottom"/>
            <w:gridSpan w:val="2"/>
            <w:vMerge w:val="continue"/>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2,092</w:t>
            </w:r>
          </w:p>
        </w:tc>
        <w:tc>
          <w:tcPr>
            <w:tcW w:w="2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December 31, 2011</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62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December 31, 2011 ($15.96) in excess of the exercise price multiplied by the number of options outstanding or exercisable.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Grand Canyon Education, Inc.</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December 31, 2011, there was approximately $18,000 of total unrecognized share-based compensation cost, net of estimated forfeitures, related to unvested stock options. These costs are expected to be recognized over a weighted average period of 2.1 years.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related to stock options exercised for year ended December 31, 2011, 2010 and 2009: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196"/>
        </w:trPr>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Amounts related to options exercised:</w:t>
            </w:r>
          </w:p>
        </w:tc>
        <w:tc>
          <w:tcPr>
            <w:tcW w:w="1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Intrinsic value realized by optionee</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403</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1,407</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Actual tax benefit realized by the University for tax deductions</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563</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r>
    </w:tbl>
    <w:p>
      <w:pPr>
        <w:spacing w:after="0" w:line="127" w:lineRule="exact"/>
        <w:rPr>
          <w:sz w:val="20"/>
          <w:szCs w:val="20"/>
          <w:color w:val="auto"/>
        </w:rPr>
      </w:pPr>
    </w:p>
    <w:p>
      <w:pPr>
        <w:ind w:right="720" w:firstLine="456"/>
        <w:spacing w:after="0" w:line="407" w:lineRule="auto"/>
        <w:rPr>
          <w:sz w:val="20"/>
          <w:szCs w:val="20"/>
          <w:color w:val="auto"/>
        </w:rPr>
      </w:pPr>
      <w:r>
        <w:rPr>
          <w:rFonts w:ascii="Arial" w:cs="Arial" w:eastAsia="Arial" w:hAnsi="Arial"/>
          <w:sz w:val="18"/>
          <w:szCs w:val="18"/>
          <w:color w:val="auto"/>
        </w:rPr>
        <w:t xml:space="preserve">Cash received from stock option exercises during fiscal year 2011, 2010 and 2009 totaled approximately $1,681, $1,747 and $1,226, respectively. </w:t>
      </w:r>
      <w:r>
        <w:rPr>
          <w:rFonts w:ascii="Arial" w:cs="Arial" w:eastAsia="Arial" w:hAnsi="Arial"/>
          <w:sz w:val="18"/>
          <w:szCs w:val="18"/>
          <w:b w:val="1"/>
          <w:bCs w:val="1"/>
          <w:i w:val="1"/>
          <w:iCs w:val="1"/>
          <w:color w:val="auto"/>
        </w:rPr>
        <w:t>Share-based Compensation Expense</w:t>
      </w:r>
    </w:p>
    <w:p>
      <w:pPr>
        <w:ind w:right="260" w:firstLine="456"/>
        <w:spacing w:after="0" w:line="268" w:lineRule="auto"/>
        <w:rPr>
          <w:sz w:val="20"/>
          <w:szCs w:val="20"/>
          <w:color w:val="auto"/>
        </w:rPr>
      </w:pPr>
      <w:r>
        <w:rPr>
          <w:rFonts w:ascii="Arial" w:cs="Arial" w:eastAsia="Arial" w:hAnsi="Arial"/>
          <w:sz w:val="18"/>
          <w:szCs w:val="18"/>
          <w:color w:val="auto"/>
        </w:rPr>
        <w:t>The table below outlines share-based compensation expense for the fiscal years ended December 31, 2011, 2010 and 2009 related to restricted stock and stock options granted: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Instructional costs and services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Selling and promotional</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8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6,452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5,049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218"/>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Tax effect of share-based compensation</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Share-based compensation expense, net of tax</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80" w:type="dxa"/>
            <w:vAlign w:val="bottom"/>
            <w:vMerge w:val="continue"/>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3,871</w:t>
            </w:r>
          </w:p>
        </w:tc>
        <w:tc>
          <w:tcPr>
            <w:tcW w:w="22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3,029</w:t>
            </w:r>
          </w:p>
        </w:tc>
        <w:tc>
          <w:tcPr>
            <w:tcW w:w="28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Share-based Compensation Expense Assumptions</w:t>
      </w:r>
    </w:p>
    <w:p>
      <w:pPr>
        <w:spacing w:after="0" w:line="14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Fair Value. </w:t>
      </w:r>
      <w:r>
        <w:rPr>
          <w:rFonts w:ascii="Arial" w:cs="Arial" w:eastAsia="Arial" w:hAnsi="Arial"/>
          <w:sz w:val="18"/>
          <w:szCs w:val="18"/>
          <w:color w:val="auto"/>
        </w:rPr>
        <w:t>The University uses the Black-Scholes-Merton option pricing model to estimate the fair value of the University’s options as of the grant dates</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following weighted average assumptions: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Year Ended December 31,</w:t>
            </w:r>
          </w:p>
        </w:tc>
        <w:tc>
          <w:tcPr>
            <w:tcW w:w="6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56"/>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56"/>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5"/>
                <w:szCs w:val="15"/>
                <w:color w:val="auto"/>
              </w:rPr>
            </w:pPr>
          </w:p>
        </w:tc>
      </w:tr>
      <w:tr>
        <w:trPr>
          <w:trHeight w:val="203"/>
        </w:trPr>
        <w:tc>
          <w:tcPr>
            <w:tcW w:w="7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fair value</w:t>
            </w:r>
          </w:p>
        </w:tc>
        <w:tc>
          <w:tcPr>
            <w:tcW w:w="220" w:type="dxa"/>
            <w:vAlign w:val="bottom"/>
            <w:tcBorders>
              <w:top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6.98</w:t>
            </w: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10.74</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7.99</w:t>
            </w: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41.85%</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47.50%</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47.46%</w:t>
            </w: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6.47</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2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As the University’s stock had not been publicly traded prior to November 2008, the expected volatility assumption for the years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2010 and 2009 reflects an average of volatilities of the University’s peer group of public education companies with a period equal to the expected life of the options. Beginning on January 1, 2011, the University believes that the use of Grand Canyon Education, Inc.’s historical stock price provides a more accurate estimate of expected volatility and, consequently, a better estimate of fair value of the University’s stock options. Therefore, the expected volatility assumption for the year ended December 31, 2011 is based upon the University’s historical stock price. This change in estimate did not have a material impact on the University’s operating income, net income or net income per common share.</w:t>
      </w:r>
    </w:p>
    <w:p>
      <w:pPr>
        <w:spacing w:after="0" w:line="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Expected Life (years). </w:t>
      </w:r>
      <w:r>
        <w:rPr>
          <w:rFonts w:ascii="Arial" w:cs="Arial" w:eastAsia="Arial" w:hAnsi="Arial"/>
          <w:sz w:val="18"/>
          <w:szCs w:val="18"/>
          <w:color w:val="auto"/>
        </w:rPr>
        <w:t>The University continues to use the simplified method to estimate the expected term of stock options under certain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The simplified method for estimating expected term is to use the mid-point between the vesting term and the contractual term of the share option. The University has analyzed the circumstances in which the use of the simplified method is allowed. The University has elected to use the simplified method for options granted in fiscal year 2011, 2010, and 2009 because the University does not have historical exercise data to estimate expected term due to the limited time period its shares have been publicly traded.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Grand Canyon Education, Inc.</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assumption is based upon the U.S. constant maturity treasury rates as the risk-free rate interpolated</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years commensurate with the expected life of the options.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Dividend Yield. </w:t>
      </w:r>
      <w:r>
        <w:rPr>
          <w:rFonts w:ascii="Arial" w:cs="Arial" w:eastAsia="Arial" w:hAnsi="Arial"/>
          <w:sz w:val="16"/>
          <w:szCs w:val="16"/>
          <w:color w:val="auto"/>
        </w:rPr>
        <w:t>The dividend yield assumption is zero since the University does not expect to declare or pay dividends in the foreseeable future.</w:t>
      </w:r>
    </w:p>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Forfeitures are estimated at the time of grant based on historical retention of employees. If necessary, management estimates are adjusted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each reporting period if actual forfeitures differ from those estimates.</w:t>
      </w:r>
    </w:p>
    <w:p>
      <w:pPr>
        <w:spacing w:after="0" w:line="10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Expected Vesting Period. </w:t>
      </w:r>
      <w:r>
        <w:rPr>
          <w:rFonts w:ascii="Arial" w:cs="Arial" w:eastAsia="Arial" w:hAnsi="Arial"/>
          <w:sz w:val="18"/>
          <w:szCs w:val="18"/>
          <w:color w:val="auto"/>
        </w:rPr>
        <w:t>The University amortizes the share-based compensation expense, net of forfeitures, over the expected vesting period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straight-line method.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Grants</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March 3, 2009, the University granted 1,307 shares of common stock with a fair value of $15.30 per share, to certain members of the University’s board of directors. The restricted shares have voting rights and vested on March 3, 2010. On May 19, 2009, the University granted 2,491 shares of common stock with a fair value of $14.05 per share, to certain members of the University’s board of directors. The restricted shares have voting rights and vested immediately prior to the 2010 annual stockholders’ meeting. On November 10, 2009, the University granted 1,141 shares of common stock with a fair value of $17.54 per share, to a member of the University’s board of directors. The restricted shares have voting rights and vested on November 10, 2010. On May 18, 2010, the University granted 1,391 shares of common stock with a fair value of $25.16 per share, to certain members of the University’s board of directors. The restricted shares have voting rights and vest on the earlier of May 18, 2011 or immediately prior to the 2011 annual stockholders meeting. On May 18, 2011, the University granted 2,608 shares of common stock with a fair value of $13.42 per share, to certain members of the University’s board of directors. The restricted shares have voting rights and vest on the earlier of May 18, 2012 or immediately prior to the 2012 annual stockholders meeting.</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activity related to restricted and unrestricted stock granted under the University’s Incentive Plan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600" w:type="dxa"/>
            <w:vAlign w:val="bottom"/>
          </w:tcPr>
          <w:p>
            <w:pPr>
              <w:ind w:left="300"/>
              <w:spacing w:after="0" w:line="149" w:lineRule="exact"/>
              <w:rPr>
                <w:sz w:val="20"/>
                <w:szCs w:val="20"/>
                <w:color w:val="auto"/>
              </w:rPr>
            </w:pPr>
            <w:r>
              <w:rPr>
                <w:rFonts w:ascii="Arial" w:cs="Arial" w:eastAsia="Arial" w:hAnsi="Arial"/>
                <w:sz w:val="14"/>
                <w:szCs w:val="14"/>
                <w:b w:val="1"/>
                <w:bCs w:val="1"/>
                <w:color w:val="auto"/>
                <w:w w:val="83"/>
              </w:rPr>
              <w:t>Total</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2008</w:t>
            </w: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2009</w:t>
            </w:r>
          </w:p>
        </w:tc>
        <w:tc>
          <w:tcPr>
            <w:tcW w:w="6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118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88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2010</w:t>
            </w:r>
          </w:p>
        </w:tc>
        <w:tc>
          <w:tcPr>
            <w:tcW w:w="6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88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60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2011</w:t>
            </w:r>
          </w:p>
        </w:tc>
        <w:tc>
          <w:tcPr>
            <w:tcW w:w="6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Vested as of December 31, 2011</w:t>
            </w:r>
          </w:p>
        </w:tc>
        <w:tc>
          <w:tcPr>
            <w:tcW w:w="60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jc w:val="right"/>
              <w:ind w:right="3352"/>
              <w:spacing w:after="0"/>
              <w:rPr>
                <w:sz w:val="20"/>
                <w:szCs w:val="20"/>
                <w:color w:val="auto"/>
              </w:rPr>
            </w:pPr>
            <w:r>
              <w:rPr>
                <w:rFonts w:ascii="Arial" w:cs="Arial" w:eastAsia="Arial" w:hAnsi="Arial"/>
                <w:sz w:val="18"/>
                <w:szCs w:val="18"/>
                <w:color w:val="auto"/>
              </w:rPr>
              <w:t>115</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Grand Canyon Education, Inc.</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4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University has established a 401(k) Defined Contribution Benefit Plan (the “Plan”). The Plan provides eligible employees, upon date of hire, with an opportunity to make tax-deferred contributions into a long-term investment and savings program. All employees over the age of 21 are eligible to participate in the plan. The Plan allows eligible employees to contribute to the Plan subject to Internal Revenue Code restrictions and the Plan allows the University to make discretionary matching contributions. The University made discretionary matching contributions to the plan of $925, $745 and $522 for the years ended December 31, 2011, 2010 and 2009,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5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Related party transactions include transactions between the University and certain of its shareholders and affiliates. The following transactions were in the normal course of operations and were measured at the exchange amount, which is the amount of consideration established and agreed to by the parties.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and for the years ended December 31, 2011, 2010, and 2009, related party transactions consisted of the following: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Vergo Marketing (“Vergo”) — </w:t>
      </w:r>
      <w:r>
        <w:rPr>
          <w:rFonts w:ascii="Arial" w:cs="Arial" w:eastAsia="Arial" w:hAnsi="Arial"/>
          <w:sz w:val="18"/>
          <w:szCs w:val="18"/>
          <w:color w:val="auto"/>
        </w:rPr>
        <w:t>A member of Vergo is related to the Executive Chairman and Director of the University. Vergo provided marketing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totaling $80 and $249 in the years ended December 31, 2011, and 2010, respectively, of which $8 and $44 amounts were owed at December 31, 2011, and 2010,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Affiliates</w:t>
      </w:r>
    </w:p>
    <w:p>
      <w:pPr>
        <w:spacing w:after="0" w:line="14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Mind Streams, LLC (“Mind Streams”), 21st Century, LLC (“21st Century”) and Lifetime Learning — </w:t>
      </w:r>
      <w:r>
        <w:rPr>
          <w:rFonts w:ascii="Arial" w:cs="Arial" w:eastAsia="Arial" w:hAnsi="Arial"/>
          <w:sz w:val="18"/>
          <w:szCs w:val="18"/>
          <w:color w:val="auto"/>
        </w:rPr>
        <w:t>Mind Streams, 21st Century and Lifetime Learning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are owned and operated, in part, by the father of the University’s Executive Chairman and General Counsel. See further discussion in Note 2, Summary of Significant Accounting Policies </w:t>
      </w:r>
      <w:r>
        <w:rPr>
          <w:rFonts w:ascii="Arial" w:cs="Arial" w:eastAsia="Arial" w:hAnsi="Arial"/>
          <w:sz w:val="18"/>
          <w:szCs w:val="18"/>
          <w:i w:val="1"/>
          <w:iCs w:val="1"/>
          <w:color w:val="auto"/>
        </w:rPr>
        <w:t>—</w:t>
      </w:r>
      <w:r>
        <w:rPr>
          <w:rFonts w:ascii="Arial" w:cs="Arial" w:eastAsia="Arial" w:hAnsi="Arial"/>
          <w:sz w:val="18"/>
          <w:szCs w:val="18"/>
          <w:color w:val="auto"/>
        </w:rPr>
        <w:t xml:space="preserve"> Selling and Promotional.</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20"/>
          </w:cols>
          <w:pgMar w:left="240" w:top="459" w:right="3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Grand Canyon Education, Inc.</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Quarterly Results of Operations (Unaudited)</w:t>
      </w:r>
    </w:p>
    <w:p>
      <w:pPr>
        <w:spacing w:after="0" w:line="15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summarizes the unaudited quarterly results of operations for 2011 and 2010 and should be read in conjunction with other information included in the accompanying consolidated financial statements.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14"/>
                <w:szCs w:val="14"/>
                <w:b w:val="1"/>
                <w:bCs w:val="1"/>
                <w:color w:val="auto"/>
              </w:rPr>
              <w:t>2011</w:t>
            </w: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14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99"/>
              </w:rPr>
              <w:t>First Quarter</w:t>
            </w:r>
          </w:p>
        </w:tc>
        <w:tc>
          <w:tcPr>
            <w:tcW w:w="1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8"/>
              </w:rPr>
              <w:t>Second Quarter</w:t>
            </w:r>
          </w:p>
        </w:tc>
        <w:tc>
          <w:tcPr>
            <w:tcW w:w="60" w:type="dxa"/>
            <w:vAlign w:val="bottom"/>
          </w:tcPr>
          <w:p>
            <w:pPr>
              <w:spacing w:after="0"/>
              <w:rPr>
                <w:sz w:val="12"/>
                <w:szCs w:val="12"/>
                <w:color w:val="auto"/>
              </w:rPr>
            </w:pPr>
          </w:p>
        </w:tc>
        <w:tc>
          <w:tcPr>
            <w:tcW w:w="106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98"/>
              </w:rPr>
              <w:t>Third Quarter</w:t>
            </w:r>
          </w:p>
        </w:tc>
        <w:tc>
          <w:tcPr>
            <w:tcW w:w="80" w:type="dxa"/>
            <w:vAlign w:val="bottom"/>
          </w:tcPr>
          <w:p>
            <w:pPr>
              <w:spacing w:after="0"/>
              <w:rPr>
                <w:sz w:val="12"/>
                <w:szCs w:val="12"/>
                <w:color w:val="auto"/>
              </w:rPr>
            </w:pPr>
          </w:p>
        </w:tc>
        <w:tc>
          <w:tcPr>
            <w:tcW w:w="9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Fourth Quarter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101,709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103,118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108,909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Instructional costs and services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48,875</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Selling and promotional</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29,832</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27,709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Lease termination costs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85,539</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89,693</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16,170</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23,312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16,095</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22,014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20,511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22,908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7,584</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gridSpan w:val="2"/>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9,481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12,873</w:t>
            </w:r>
          </w:p>
        </w:tc>
        <w:tc>
          <w:tcPr>
            <w:tcW w:w="140" w:type="dxa"/>
            <w:vAlign w:val="bottom"/>
          </w:tcPr>
          <w:p>
            <w:pPr>
              <w:spacing w:after="0"/>
              <w:rPr>
                <w:sz w:val="19"/>
                <w:szCs w:val="19"/>
                <w:color w:val="auto"/>
              </w:rPr>
            </w:pPr>
          </w:p>
        </w:tc>
        <w:tc>
          <w:tcPr>
            <w:tcW w:w="30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12,868</w:t>
            </w:r>
          </w:p>
        </w:tc>
        <w:tc>
          <w:tcPr>
            <w:tcW w:w="120" w:type="dxa"/>
            <w:vAlign w:val="bottom"/>
          </w:tcPr>
          <w:p>
            <w:pPr>
              <w:spacing w:after="0"/>
              <w:rPr>
                <w:sz w:val="19"/>
                <w:szCs w:val="19"/>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Basic income per share(1)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0.29</w:t>
            </w:r>
          </w:p>
        </w:tc>
        <w:tc>
          <w:tcPr>
            <w:tcW w:w="140" w:type="dxa"/>
            <w:vAlign w:val="bottom"/>
          </w:tcPr>
          <w:p>
            <w:pPr>
              <w:spacing w:after="0"/>
              <w:rPr>
                <w:sz w:val="18"/>
                <w:szCs w:val="18"/>
                <w:color w:val="auto"/>
              </w:rPr>
            </w:pPr>
          </w:p>
        </w:tc>
        <w:tc>
          <w:tcPr>
            <w:tcW w:w="30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per share(1)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45,590</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44,658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44,302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46,089</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2010</w:t>
            </w: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140" w:type="dxa"/>
            <w:vAlign w:val="bottom"/>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w w:val="99"/>
              </w:rPr>
              <w:t>First Quarter</w:t>
            </w:r>
          </w:p>
        </w:tc>
        <w:tc>
          <w:tcPr>
            <w:tcW w:w="1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8"/>
              </w:rPr>
              <w:t>Second Quarter</w:t>
            </w:r>
          </w:p>
        </w:tc>
        <w:tc>
          <w:tcPr>
            <w:tcW w:w="60" w:type="dxa"/>
            <w:vAlign w:val="bottom"/>
          </w:tcPr>
          <w:p>
            <w:pPr>
              <w:spacing w:after="0"/>
              <w:rPr>
                <w:sz w:val="12"/>
                <w:szCs w:val="12"/>
                <w:color w:val="auto"/>
              </w:rPr>
            </w:pPr>
          </w:p>
        </w:tc>
        <w:tc>
          <w:tcPr>
            <w:tcW w:w="106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98"/>
              </w:rPr>
              <w:t>Third Quarter</w:t>
            </w:r>
          </w:p>
        </w:tc>
        <w:tc>
          <w:tcPr>
            <w:tcW w:w="80" w:type="dxa"/>
            <w:vAlign w:val="bottom"/>
          </w:tcPr>
          <w:p>
            <w:pPr>
              <w:spacing w:after="0"/>
              <w:rPr>
                <w:sz w:val="12"/>
                <w:szCs w:val="12"/>
                <w:color w:val="auto"/>
              </w:rPr>
            </w:pPr>
          </w:p>
        </w:tc>
        <w:tc>
          <w:tcPr>
            <w:tcW w:w="9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Fourth Quarter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89,326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97,322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98,946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Instructional costs and services</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36,660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Selling and promotional</w:t>
            </w: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26,876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28,976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28,103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6,104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Contract termination fees with a related party</w:t>
            </w:r>
          </w:p>
        </w:tc>
        <w:tc>
          <w:tcPr>
            <w:tcW w:w="26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Exit costs</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Total costs and expenses</w:t>
            </w: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69,729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86,300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80,455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19,597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interest expense</w:t>
            </w:r>
          </w:p>
        </w:tc>
        <w:tc>
          <w:tcPr>
            <w:tcW w:w="260" w:type="dxa"/>
            <w:vAlign w:val="bottom"/>
          </w:tcPr>
          <w:p>
            <w:pPr>
              <w:spacing w:after="0"/>
              <w:rPr>
                <w:sz w:val="19"/>
                <w:szCs w:val="19"/>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11,480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10,742</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income per share(1)</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income per share(1)</w:t>
            </w: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gridSpan w:val="2"/>
            <w:vMerge w:val="continue"/>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c>
          <w:tcPr>
            <w:tcW w:w="2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18"/>
                <w:szCs w:val="18"/>
                <w:color w:val="auto"/>
              </w:rPr>
            </w:pPr>
          </w:p>
        </w:tc>
        <w:tc>
          <w:tcPr>
            <w:tcW w:w="34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45,674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45,724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46,325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46,557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46,351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5580" w:right="4260" w:hanging="5572"/>
        <w:spacing w:after="0" w:line="440" w:lineRule="auto"/>
        <w:tabs>
          <w:tab w:leader="none" w:pos="4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 117</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5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Chief Executive Officer (“Principal Executive Officer”) and Chief Financial Officer (“Principal Financial Officer”), as appropriate, to allow timely decisions regarding required disclosure. We have established a Disclosure Committee, consisting of certain members of management, to assist in this evaluation. Our Disclosure Committee meets on a quarterly basis and more often if necessary.</w:t>
      </w:r>
    </w:p>
    <w:p>
      <w:pPr>
        <w:spacing w:after="0" w:line="89"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an evaluation was performed on the effectiveness of the design and operation of our disclosure controls and procedures (as defined in Rules 13a-15(e) or 15d-15(e) promulgated under the Exchange Act), as of the end of the period covered by this annual report. Based on that evaluation, our management, including the Principal Executive. Officer and Principal Financial Officer, concluded that our disclosure controls and procedures were effective as of December 31, 2011.</w:t>
      </w:r>
    </w:p>
    <w:p>
      <w:pPr>
        <w:spacing w:after="0" w:line="8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Attached as exhibits to this Annual Report on Form 10-K are certifications of our Chief Executive Office and Chief Financial Officer, which are required in accordance with Rule 13a-14 of the Exchange Act. This Disclosure Controls and Procedures section includes information concerning management’s evaluation of disclosure controls and procedures referred to in those certifications and, as such, should be read in conjunction with the certifications of our Chief Executive Officer and Chief Financial Officer.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5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Management is responsible for establishing and maintaining effective internal control over financial reporting, as such term is defined in Exchange Act Rule 13a-15(f).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(“GAAP”).</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58"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80" w:lineRule="exact"/>
        <w:rPr>
          <w:rFonts w:ascii="Arial" w:cs="Arial" w:eastAsia="Arial" w:hAnsi="Arial"/>
          <w:sz w:val="16"/>
          <w:szCs w:val="16"/>
          <w:color w:val="auto"/>
        </w:rPr>
      </w:pPr>
    </w:p>
    <w:p>
      <w:pPr>
        <w:ind w:left="900" w:right="320" w:hanging="446"/>
        <w:spacing w:after="0" w:line="370" w:lineRule="auto"/>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provide reasonable assurance that transactions are recorded as necessary to permit preparation of consolidated financial statements in accordance with GAAP, and that receipts and expenditures are being made only in accordance with authorizations of our management and directors; and</w:t>
      </w:r>
    </w:p>
    <w:p>
      <w:pPr>
        <w:spacing w:after="0" w:line="48" w:lineRule="exact"/>
        <w:rPr>
          <w:rFonts w:ascii="Arial" w:cs="Arial" w:eastAsia="Arial" w:hAnsi="Arial"/>
          <w:sz w:val="15"/>
          <w:szCs w:val="15"/>
          <w:color w:val="auto"/>
        </w:rPr>
      </w:pPr>
    </w:p>
    <w:p>
      <w:pPr>
        <w:ind w:left="900" w:right="6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Because of its inherent limitation, our internal control systems and procedures may not prevent or detect misstatements. An internal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risks that controls may become inadequate because of changes in condition, or that the degree of compliance with the policies and procedures may deteriorate.</w:t>
      </w:r>
    </w:p>
    <w:p>
      <w:pPr>
        <w:spacing w:after="0" w:line="89"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Management performed an assessment of the effectiveness of our internal control over financial reporting as of December 31, 2011, utilizing the criteria described in the “Internal Control-Integrated Framework” issued by the Committee of Sponsoring Organizations of the Treadway Commission. The objective of this assessment was to determine whether our internal control over financial reporting was effective as of December 31, 2011. Based on its assessment, management believes that, as of December 31, 2011, the Company’s internal control over financial reporting is effective.</w:t>
      </w:r>
    </w:p>
    <w:p>
      <w:pPr>
        <w:spacing w:after="0" w:line="8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effectiveness of our internal control over financial reporting has been audited by, Ernst &amp; Young LLP, an independent registered public accounting firm, as stated in their attestation report which is included herein.</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500"/>
        <w:spacing w:after="0" w:line="410" w:lineRule="auto"/>
        <w:rPr>
          <w:sz w:val="20"/>
          <w:szCs w:val="20"/>
          <w:color w:val="auto"/>
        </w:rPr>
      </w:pPr>
      <w:r>
        <w:rPr>
          <w:rFonts w:ascii="Arial" w:cs="Arial" w:eastAsia="Arial" w:hAnsi="Arial"/>
          <w:sz w:val="18"/>
          <w:szCs w:val="18"/>
          <w:b w:val="1"/>
          <w:bCs w:val="1"/>
          <w:color w:val="auto"/>
        </w:rPr>
        <w:t xml:space="preserve">Report of Independent Registered Public Accounting Firm on Internal Control Over Financial Reporting </w:t>
      </w:r>
      <w:r>
        <w:rPr>
          <w:rFonts w:ascii="Arial" w:cs="Arial" w:eastAsia="Arial" w:hAnsi="Arial"/>
          <w:sz w:val="18"/>
          <w:szCs w:val="18"/>
          <w:color w:val="auto"/>
        </w:rPr>
        <w:t>The Board of Directors and Stockholders of Grand Canyon Education, Inc.:</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audited Grand Canyon Education, Inc.’s internal control over financial reporting as of December 31, 2011, based on criteria established in Internal Control — Integrated Framework issued by the Committee of Sponsoring Organizations of the Treadway Commission (the COSO criteria). Grand Canyon Education,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8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9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our opinion, Grand Canyon Education, Inc. maintained, in all material respects, effective internal control over financial reporting as of December 31, 2011, based on the COSO criteria.</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accompanying consolidated balance sheets of Grand Canyon Education, Inc. as of December 31, 2011 and 2010, and the related consolidated statements of income, comprehensive income, stockholders’ equity, and cash flows for each of the three years in the period ended December 31, 2011 and our report dated February 21, 2012 expressed an unqualified opinion thereon.</w:t>
      </w:r>
    </w:p>
    <w:p>
      <w:pPr>
        <w:spacing w:after="0" w:line="1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5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our Quarterly Report on Form 10-Q for the quarter ended September 30, 2011, management concluded that our internal control over financial reporting was ineffective as a result of a material weakness with respect to our calculation of the allowance for doubtful accounts, as initially disclosed in Amendment No. 1 to our Annual Report on Form 10-K for the year ended December 31, 2010. Management has dedicated significant resources to correct the methodology relating to the calculation of our allowance for doubtful accounts and to ensure that we take proper steps to improve our internal controls and remedy our material weakness in our internal control over financial reporting and disclosure controls. Management has implemented effective control policies and procedures and remediated the underlying control deficiencies by taking the following actions:</w:t>
      </w:r>
    </w:p>
    <w:p>
      <w:pPr>
        <w:spacing w:after="0" w:line="107"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conducted a full review of our methodology for estimating the allowance for doubtful accounts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established controls and procedures adequate to timely identify changes to the composition of our accounts receivable</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established controls and procedures to enhance our ability to monitor collection trends.</w:t>
      </w:r>
    </w:p>
    <w:p>
      <w:pPr>
        <w:spacing w:after="0" w:line="14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Management believes that the actions described above remediated the identified material weakness and strengthened our internal control over financial reporting in the fourth quarter of 2011.</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Further, we believe that, as a result of management’s in-depth review of its accounting processes and the additional procedures management has implemented, there are no material inaccuracies or omissions of material fact in this Form 10-K and, to the best of our knowledge, we believe that the financial statements in this Form 10-K fairly present in all material aspects the financial condition, results of operations and cash flows of the Company in conformity with GAAP.</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2011, management has determined that the material weakness identified in 2011 has been remediated.</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5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Information relating to our Board of Directors, Executive Officers, and Corporate Governance required by this item appears in the sections entitled “Corporate Governance and Board Matters” and “Proposal No. 1: Election of Directors” in our 2012 proxy statement, to be filed within 120 days of our fiscal year end (December 31, 2011) and such information is incorporated herein by reference.</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employees must act ethically at all times and in accordance with the policies in our Code of Business Conduct and Ethics. We require full compliance with this policy from all designated employees including our Chief Executive Officer, Chief Financial Officer, and Chief Accounting Officer. We publish the policy, and any amendments or waivers to the policy, in the Corporate Governance section of our website located at www.gcu.edu/ Investor Relations/Corporate Governance.</w:t>
      </w:r>
    </w:p>
    <w:p>
      <w:pPr>
        <w:spacing w:after="0" w:line="11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charters of our Audit Committee, Compensation Committee, and Nominating and Governance Committee are also available in the Corporate Governance section our website located at www.gcu.edu/Investor Relations/Corporate Governance.</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5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Information relating to this item appears in the section entitled “Executive Compensation” in our 2012 proxy statement, to be filed within 120 days of our fiscal year end (December 31, 2011) and such information is incorporated herein by reference.</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5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Information relating to this item appears in the sections entitled “Executive Compensation” and “Beneficial Ownership of Common Stock” in our 2012 proxy statement, to be filed within 120 days of our fiscal year end (December 31, 2011) and such information is incorporated herein by reference.</w:t>
      </w:r>
    </w:p>
    <w:p>
      <w:pPr>
        <w:spacing w:after="0" w:line="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5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Information relating to this item appears in the sections entitled “Corporate Governance and Board Matters — Director Independence” and “Certain Relationships and Related Party Transactions” in our 2012 proxy statement, to be filed within 120 days of our fiscal year end (December 31, 2011) and such information is incorporated herein by reference.</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15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Information relating to this item appears in the section entitled “Ratification of Independent Registered Public Accounting Firm — Fees” in our 2012 our proxy statement, to be filed within 120 days of our fiscal year end (December 31, 2011) and such information is incorporated herein by reference.</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00"/>
          </w:cols>
          <w:pgMar w:left="240" w:top="459" w:right="3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Consolidated Financial Statement Schedules</w:t>
      </w:r>
    </w:p>
    <w:p>
      <w:pPr>
        <w:spacing w:after="0" w:line="144" w:lineRule="exact"/>
        <w:rPr>
          <w:sz w:val="20"/>
          <w:szCs w:val="20"/>
          <w:color w:val="auto"/>
        </w:rPr>
      </w:pPr>
    </w:p>
    <w:p>
      <w:pPr>
        <w:ind w:left="260" w:hanging="252"/>
        <w:spacing w:after="0"/>
        <w:tabs>
          <w:tab w:leader="none" w:pos="2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The following documents are filed as part of this Annual Report on Form 10-K:</w:t>
      </w:r>
    </w:p>
    <w:p>
      <w:pPr>
        <w:spacing w:after="0" w:line="163" w:lineRule="exact"/>
        <w:rPr>
          <w:rFonts w:ascii="Arial" w:cs="Arial" w:eastAsia="Arial" w:hAnsi="Arial"/>
          <w:sz w:val="18"/>
          <w:szCs w:val="18"/>
          <w:b w:val="1"/>
          <w:bCs w:val="1"/>
          <w:color w:val="auto"/>
        </w:rPr>
      </w:pPr>
    </w:p>
    <w:p>
      <w:pPr>
        <w:ind w:left="900" w:hanging="446"/>
        <w:spacing w:after="0"/>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i w:val="1"/>
          <w:iCs w:val="1"/>
          <w:color w:val="auto"/>
        </w:rPr>
        <w:t>Consolidated Financial Statements filed as part of this report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440" w:type="dxa"/>
            <w:vAlign w:val="bottom"/>
            <w:gridSpan w:val="4"/>
          </w:tcPr>
          <w:p>
            <w:pPr>
              <w:spacing w:after="0"/>
              <w:rPr>
                <w:sz w:val="20"/>
                <w:szCs w:val="20"/>
                <w:color w:val="auto"/>
              </w:rPr>
            </w:pPr>
            <w:r>
              <w:rPr>
                <w:rFonts w:ascii="Arial" w:cs="Arial" w:eastAsia="Arial" w:hAnsi="Arial"/>
                <w:sz w:val="14"/>
                <w:szCs w:val="14"/>
                <w:b w:val="1"/>
                <w:bCs w:val="1"/>
                <w:color w:val="auto"/>
              </w:rPr>
              <w:t>Index to Consolidated Financial Statements</w:t>
            </w:r>
          </w:p>
        </w:tc>
        <w:tc>
          <w:tcPr>
            <w:tcW w:w="980" w:type="dxa"/>
            <w:vAlign w:val="bottom"/>
            <w:gridSpan w:val="2"/>
          </w:tcPr>
          <w:p>
            <w:pPr>
              <w:ind w:left="3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tcPr>
          <w:p>
            <w:pPr>
              <w:spacing w:after="0"/>
              <w:rPr>
                <w:sz w:val="14"/>
                <w:szCs w:val="14"/>
                <w:color w:val="auto"/>
              </w:rPr>
            </w:pPr>
          </w:p>
        </w:tc>
        <w:tc>
          <w:tcPr>
            <w:tcW w:w="778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gridSpan w:val="3"/>
          </w:tcPr>
          <w:p>
            <w:pPr>
              <w:spacing w:after="0"/>
              <w:rPr>
                <w:sz w:val="20"/>
                <w:szCs w:val="20"/>
                <w:color w:val="auto"/>
              </w:rPr>
            </w:pPr>
            <w:r>
              <w:rPr>
                <w:rFonts w:ascii="Arial" w:cs="Arial" w:eastAsia="Arial" w:hAnsi="Arial"/>
                <w:sz w:val="18"/>
                <w:szCs w:val="18"/>
                <w:color w:val="auto"/>
              </w:rPr>
              <w:t>Consolidated Balance Sheets as of December 31, 2011 and 2010</w:t>
            </w: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 Income Statements for the years ended December 31, 2011, 2010 and 2009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gridSpan w:val="3"/>
          </w:tcPr>
          <w:p>
            <w:pPr>
              <w:spacing w:after="0"/>
              <w:rPr>
                <w:sz w:val="20"/>
                <w:szCs w:val="20"/>
                <w:color w:val="auto"/>
              </w:rPr>
            </w:pPr>
            <w:r>
              <w:rPr>
                <w:rFonts w:ascii="Arial" w:cs="Arial" w:eastAsia="Arial" w:hAnsi="Arial"/>
                <w:sz w:val="18"/>
                <w:szCs w:val="18"/>
                <w:color w:val="auto"/>
              </w:rPr>
              <w:t>Consolidated Statements of Comprehensive Income for the years ended December 31, 2011, 2010 and 2009</w:t>
            </w:r>
          </w:p>
        </w:tc>
        <w:tc>
          <w:tcPr>
            <w:tcW w:w="8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 Statements of Stockholders’ Equity for the years ended December 31, 2011, 2010 and 2009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gridSpan w:val="3"/>
          </w:tcPr>
          <w:p>
            <w:pPr>
              <w:spacing w:after="0"/>
              <w:rPr>
                <w:sz w:val="20"/>
                <w:szCs w:val="20"/>
                <w:color w:val="auto"/>
              </w:rPr>
            </w:pPr>
            <w:r>
              <w:rPr>
                <w:rFonts w:ascii="Arial" w:cs="Arial" w:eastAsia="Arial" w:hAnsi="Arial"/>
                <w:sz w:val="18"/>
                <w:szCs w:val="18"/>
                <w:color w:val="auto"/>
              </w:rPr>
              <w:t>Consolidated Statements of Cash Flows for the years ended December 31, 2011, 2010 and 2009</w:t>
            </w: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740" w:type="dxa"/>
            <w:vAlign w:val="bottom"/>
            <w:gridSpan w:val="2"/>
          </w:tcPr>
          <w:p>
            <w:pPr>
              <w:jc w:val="right"/>
              <w:ind w:right="72"/>
              <w:spacing w:after="0"/>
              <w:rPr>
                <w:sz w:val="20"/>
                <w:szCs w:val="20"/>
                <w:color w:val="auto"/>
              </w:rPr>
            </w:pPr>
            <w:r>
              <w:rPr>
                <w:rFonts w:ascii="Arial" w:cs="Arial" w:eastAsia="Arial" w:hAnsi="Arial"/>
                <w:sz w:val="18"/>
                <w:szCs w:val="18"/>
                <w:color w:val="auto"/>
              </w:rPr>
              <w:t>2.</w:t>
            </w:r>
          </w:p>
        </w:tc>
        <w:tc>
          <w:tcPr>
            <w:tcW w:w="9700" w:type="dxa"/>
            <w:vAlign w:val="bottom"/>
            <w:gridSpan w:val="2"/>
          </w:tcPr>
          <w:p>
            <w:pPr>
              <w:ind w:left="160"/>
              <w:spacing w:after="0"/>
              <w:rPr>
                <w:sz w:val="20"/>
                <w:szCs w:val="20"/>
                <w:color w:val="auto"/>
              </w:rPr>
            </w:pPr>
            <w:r>
              <w:rPr>
                <w:rFonts w:ascii="Arial" w:cs="Arial" w:eastAsia="Arial" w:hAnsi="Arial"/>
                <w:sz w:val="18"/>
                <w:szCs w:val="18"/>
                <w:i w:val="1"/>
                <w:iCs w:val="1"/>
                <w:color w:val="auto"/>
              </w:rPr>
              <w:t>Consolidated Financial Statement Schedules</w:t>
            </w: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Schedules are omitted because they are not required, or because the information required is included in the Consolidated Financial Statements and Notes thereto.</w:t>
      </w:r>
    </w:p>
    <w:p>
      <w:pPr>
        <w:spacing w:after="0" w:line="118"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60" w:type="dxa"/>
            <w:vAlign w:val="bottom"/>
          </w:tcPr>
          <w:p>
            <w:pPr>
              <w:spacing w:after="0"/>
              <w:rPr>
                <w:sz w:val="14"/>
                <w:szCs w:val="14"/>
                <w:color w:val="auto"/>
              </w:rPr>
            </w:pPr>
          </w:p>
        </w:tc>
        <w:tc>
          <w:tcPr>
            <w:tcW w:w="506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Description</w:t>
            </w:r>
          </w:p>
        </w:tc>
        <w:tc>
          <w:tcPr>
            <w:tcW w:w="340" w:type="dxa"/>
            <w:vAlign w:val="bottom"/>
          </w:tcPr>
          <w:p>
            <w:pPr>
              <w:spacing w:after="0"/>
              <w:rPr>
                <w:sz w:val="14"/>
                <w:szCs w:val="14"/>
                <w:color w:val="auto"/>
              </w:rPr>
            </w:pPr>
          </w:p>
        </w:tc>
        <w:tc>
          <w:tcPr>
            <w:tcW w:w="506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Method of Filing</w:t>
            </w:r>
          </w:p>
        </w:tc>
      </w:tr>
      <w:tr>
        <w:trPr>
          <w:trHeight w:val="370"/>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5520" w:type="dxa"/>
            <w:vAlign w:val="bottom"/>
            <w:gridSpan w:val="2"/>
          </w:tcPr>
          <w:p>
            <w:pPr>
              <w:ind w:left="460"/>
              <w:spacing w:after="0"/>
              <w:rPr>
                <w:sz w:val="20"/>
                <w:szCs w:val="20"/>
                <w:color w:val="auto"/>
              </w:rPr>
            </w:pPr>
            <w:r>
              <w:rPr>
                <w:rFonts w:ascii="Arial" w:cs="Arial" w:eastAsia="Arial" w:hAnsi="Arial"/>
                <w:sz w:val="18"/>
                <w:szCs w:val="18"/>
                <w:color w:val="auto"/>
              </w:rPr>
              <w:t>Amended and Restated Certificate of Incorporation</w:t>
            </w: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w w:val="94"/>
              </w:rPr>
              <w:t>Incorporated by reference to Exhibit 3.1 to Amendment No. 6 to the</w:t>
            </w:r>
          </w:p>
        </w:tc>
      </w:tr>
      <w:tr>
        <w:trPr>
          <w:trHeight w:val="216"/>
        </w:trPr>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w w:val="90"/>
              </w:rPr>
              <w:t>University’s Registration Statement on Form S-1 filed with the SEC on</w:t>
            </w: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November 12, 2008.</w:t>
            </w:r>
          </w:p>
        </w:tc>
      </w:tr>
      <w:tr>
        <w:trPr>
          <w:trHeight w:val="385"/>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5520" w:type="dxa"/>
            <w:vAlign w:val="bottom"/>
            <w:gridSpan w:val="2"/>
          </w:tcPr>
          <w:p>
            <w:pPr>
              <w:ind w:left="460"/>
              <w:spacing w:after="0"/>
              <w:rPr>
                <w:sz w:val="20"/>
                <w:szCs w:val="20"/>
                <w:color w:val="auto"/>
              </w:rPr>
            </w:pPr>
            <w:r>
              <w:rPr>
                <w:rFonts w:ascii="Arial" w:cs="Arial" w:eastAsia="Arial" w:hAnsi="Arial"/>
                <w:sz w:val="18"/>
                <w:szCs w:val="18"/>
                <w:color w:val="auto"/>
              </w:rPr>
              <w:t>Second Amended and Restated Bylaws</w:t>
            </w: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w w:val="95"/>
              </w:rPr>
              <w:t>Incorporated by reference to Exhibit 3.1 to the University’s Current</w:t>
            </w: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Report on Form 8-K filed with the SEC on August 2, 2010.</w:t>
            </w:r>
          </w:p>
        </w:tc>
      </w:tr>
      <w:tr>
        <w:trPr>
          <w:trHeight w:val="385"/>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5520" w:type="dxa"/>
            <w:vAlign w:val="bottom"/>
            <w:gridSpan w:val="2"/>
          </w:tcPr>
          <w:p>
            <w:pPr>
              <w:ind w:left="460"/>
              <w:spacing w:after="0"/>
              <w:rPr>
                <w:sz w:val="20"/>
                <w:szCs w:val="20"/>
                <w:color w:val="auto"/>
              </w:rPr>
            </w:pPr>
            <w:r>
              <w:rPr>
                <w:rFonts w:ascii="Arial" w:cs="Arial" w:eastAsia="Arial" w:hAnsi="Arial"/>
                <w:sz w:val="18"/>
                <w:szCs w:val="18"/>
                <w:color w:val="auto"/>
              </w:rPr>
              <w:t>Specimen of Stock Certificate</w:t>
            </w: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w w:val="94"/>
              </w:rPr>
              <w:t>Incorporated by reference to Exhibit 4.1 to Amendment No. 2 to the</w:t>
            </w:r>
          </w:p>
        </w:tc>
      </w:tr>
      <w:tr>
        <w:trPr>
          <w:trHeight w:val="216"/>
        </w:trPr>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w w:val="90"/>
              </w:rPr>
              <w:t>University’s Registration Statement on Form S-1 filed with the SEC on</w:t>
            </w: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September 29, 2008.</w:t>
            </w:r>
          </w:p>
        </w:tc>
      </w:tr>
    </w:tbl>
    <w:p>
      <w:pPr>
        <w:spacing w:after="0" w:line="169" w:lineRule="exact"/>
        <w:rPr>
          <w:sz w:val="20"/>
          <w:szCs w:val="20"/>
          <w:color w:val="auto"/>
        </w:rPr>
      </w:pP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right"/>
              <w:ind w:right="232"/>
              <w:spacing w:after="0"/>
              <w:rPr>
                <w:sz w:val="20"/>
                <w:szCs w:val="20"/>
                <w:color w:val="auto"/>
              </w:rPr>
            </w:pPr>
            <w:r>
              <w:rPr>
                <w:rFonts w:ascii="Arial" w:cs="Arial" w:eastAsia="Arial" w:hAnsi="Arial"/>
                <w:sz w:val="18"/>
                <w:szCs w:val="18"/>
                <w:color w:val="auto"/>
                <w:w w:val="85"/>
              </w:rPr>
              <w:t>10.1</w:t>
            </w:r>
          </w:p>
        </w:tc>
        <w:tc>
          <w:tcPr>
            <w:tcW w:w="5200" w:type="dxa"/>
            <w:vAlign w:val="bottom"/>
          </w:tcPr>
          <w:p>
            <w:pPr>
              <w:ind w:left="320"/>
              <w:spacing w:after="0"/>
              <w:rPr>
                <w:sz w:val="20"/>
                <w:szCs w:val="20"/>
                <w:color w:val="auto"/>
              </w:rPr>
            </w:pPr>
            <w:r>
              <w:rPr>
                <w:rFonts w:ascii="Arial" w:cs="Arial" w:eastAsia="Arial" w:hAnsi="Arial"/>
                <w:sz w:val="18"/>
                <w:szCs w:val="18"/>
                <w:color w:val="auto"/>
                <w:w w:val="92"/>
              </w:rPr>
              <w:t>Amended and Restated Executive Employment Agreement, dated</w:t>
            </w:r>
          </w:p>
        </w:tc>
      </w:tr>
      <w:tr>
        <w:trPr>
          <w:trHeight w:val="216"/>
        </w:trPr>
        <w:tc>
          <w:tcPr>
            <w:tcW w:w="64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w w:val="88"/>
              </w:rPr>
              <w:t>September 10, 2008, by and between Grand Canyon Education, Inc.</w:t>
            </w:r>
          </w:p>
        </w:tc>
      </w:tr>
      <w:tr>
        <w:trPr>
          <w:trHeight w:val="222"/>
        </w:trPr>
        <w:tc>
          <w:tcPr>
            <w:tcW w:w="640" w:type="dxa"/>
            <w:vAlign w:val="bottom"/>
          </w:tcPr>
          <w:p>
            <w:pPr>
              <w:spacing w:after="0"/>
              <w:rPr>
                <w:sz w:val="19"/>
                <w:szCs w:val="19"/>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and Brent Richardson†</w:t>
            </w:r>
          </w:p>
        </w:tc>
      </w:tr>
      <w:tr>
        <w:trPr>
          <w:trHeight w:val="385"/>
        </w:trPr>
        <w:tc>
          <w:tcPr>
            <w:tcW w:w="640" w:type="dxa"/>
            <w:vAlign w:val="bottom"/>
          </w:tcPr>
          <w:p>
            <w:pPr>
              <w:jc w:val="right"/>
              <w:ind w:right="232"/>
              <w:spacing w:after="0"/>
              <w:rPr>
                <w:sz w:val="20"/>
                <w:szCs w:val="20"/>
                <w:color w:val="auto"/>
              </w:rPr>
            </w:pPr>
            <w:r>
              <w:rPr>
                <w:rFonts w:ascii="Arial" w:cs="Arial" w:eastAsia="Arial" w:hAnsi="Arial"/>
                <w:sz w:val="18"/>
                <w:szCs w:val="18"/>
                <w:color w:val="auto"/>
                <w:w w:val="85"/>
              </w:rPr>
              <w:t>10.2</w:t>
            </w:r>
          </w:p>
        </w:tc>
        <w:tc>
          <w:tcPr>
            <w:tcW w:w="5200" w:type="dxa"/>
            <w:vAlign w:val="bottom"/>
          </w:tcPr>
          <w:p>
            <w:pPr>
              <w:ind w:left="320"/>
              <w:spacing w:after="0"/>
              <w:rPr>
                <w:sz w:val="20"/>
                <w:szCs w:val="20"/>
                <w:color w:val="auto"/>
              </w:rPr>
            </w:pPr>
            <w:r>
              <w:rPr>
                <w:rFonts w:ascii="Arial" w:cs="Arial" w:eastAsia="Arial" w:hAnsi="Arial"/>
                <w:sz w:val="18"/>
                <w:szCs w:val="18"/>
                <w:color w:val="auto"/>
                <w:w w:val="92"/>
              </w:rPr>
              <w:t>Amended and Restated Executive Employment Agreement, dated</w:t>
            </w:r>
          </w:p>
        </w:tc>
      </w:tr>
      <w:tr>
        <w:trPr>
          <w:trHeight w:val="216"/>
        </w:trPr>
        <w:tc>
          <w:tcPr>
            <w:tcW w:w="64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w w:val="88"/>
              </w:rPr>
              <w:t>September 10, 2008, by and between Grand Canyon Education, Inc.</w:t>
            </w:r>
          </w:p>
        </w:tc>
      </w:tr>
      <w:tr>
        <w:trPr>
          <w:trHeight w:val="222"/>
        </w:trPr>
        <w:tc>
          <w:tcPr>
            <w:tcW w:w="640" w:type="dxa"/>
            <w:vAlign w:val="bottom"/>
          </w:tcPr>
          <w:p>
            <w:pPr>
              <w:spacing w:after="0"/>
              <w:rPr>
                <w:sz w:val="19"/>
                <w:szCs w:val="19"/>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and Christopher Richardson†</w:t>
            </w:r>
          </w:p>
        </w:tc>
      </w:tr>
      <w:tr>
        <w:trPr>
          <w:trHeight w:val="385"/>
        </w:trPr>
        <w:tc>
          <w:tcPr>
            <w:tcW w:w="640" w:type="dxa"/>
            <w:vAlign w:val="bottom"/>
          </w:tcPr>
          <w:p>
            <w:pPr>
              <w:jc w:val="right"/>
              <w:ind w:right="232"/>
              <w:spacing w:after="0"/>
              <w:rPr>
                <w:sz w:val="20"/>
                <w:szCs w:val="20"/>
                <w:color w:val="auto"/>
              </w:rPr>
            </w:pPr>
            <w:r>
              <w:rPr>
                <w:rFonts w:ascii="Arial" w:cs="Arial" w:eastAsia="Arial" w:hAnsi="Arial"/>
                <w:sz w:val="18"/>
                <w:szCs w:val="18"/>
                <w:color w:val="auto"/>
                <w:w w:val="85"/>
              </w:rPr>
              <w:t>10.3</w:t>
            </w:r>
          </w:p>
        </w:tc>
        <w:tc>
          <w:tcPr>
            <w:tcW w:w="5200" w:type="dxa"/>
            <w:vAlign w:val="bottom"/>
          </w:tcPr>
          <w:p>
            <w:pPr>
              <w:ind w:left="320"/>
              <w:spacing w:after="0"/>
              <w:rPr>
                <w:sz w:val="20"/>
                <w:szCs w:val="20"/>
                <w:color w:val="auto"/>
              </w:rPr>
            </w:pPr>
            <w:r>
              <w:rPr>
                <w:rFonts w:ascii="Arial" w:cs="Arial" w:eastAsia="Arial" w:hAnsi="Arial"/>
                <w:sz w:val="18"/>
                <w:szCs w:val="18"/>
                <w:color w:val="auto"/>
                <w:w w:val="87"/>
              </w:rPr>
              <w:t>Executive Employment Agreement, dated September 1, 2008, by and</w:t>
            </w:r>
          </w:p>
        </w:tc>
      </w:tr>
      <w:tr>
        <w:trPr>
          <w:trHeight w:val="222"/>
        </w:trPr>
        <w:tc>
          <w:tcPr>
            <w:tcW w:w="640" w:type="dxa"/>
            <w:vAlign w:val="bottom"/>
          </w:tcPr>
          <w:p>
            <w:pPr>
              <w:spacing w:after="0"/>
              <w:rPr>
                <w:sz w:val="19"/>
                <w:szCs w:val="19"/>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between Grand Canyon Education, Inc. and Kathy Player†</w:t>
            </w:r>
          </w:p>
        </w:tc>
      </w:tr>
      <w:tr>
        <w:trPr>
          <w:trHeight w:val="365"/>
        </w:trPr>
        <w:tc>
          <w:tcPr>
            <w:tcW w:w="640" w:type="dxa"/>
            <w:vAlign w:val="bottom"/>
          </w:tcPr>
          <w:p>
            <w:pPr>
              <w:spacing w:after="0"/>
              <w:rPr>
                <w:sz w:val="24"/>
                <w:szCs w:val="24"/>
                <w:color w:val="auto"/>
              </w:rPr>
            </w:pPr>
          </w:p>
        </w:tc>
        <w:tc>
          <w:tcPr>
            <w:tcW w:w="5200" w:type="dxa"/>
            <w:vAlign w:val="bottom"/>
          </w:tcPr>
          <w:p>
            <w:pPr>
              <w:ind w:left="4940"/>
              <w:spacing w:after="0"/>
              <w:rPr>
                <w:sz w:val="20"/>
                <w:szCs w:val="20"/>
                <w:color w:val="auto"/>
              </w:rPr>
            </w:pPr>
            <w:r>
              <w:rPr>
                <w:rFonts w:ascii="Arial" w:cs="Arial" w:eastAsia="Arial" w:hAnsi="Arial"/>
                <w:sz w:val="18"/>
                <w:szCs w:val="18"/>
                <w:color w:val="auto"/>
                <w:w w:val="79"/>
              </w:rPr>
              <w:t>122</w:t>
            </w:r>
          </w:p>
        </w:tc>
      </w:tr>
    </w:tbl>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Incorporated by reference to Exhibit 10.1 to Amendment No. 2 to the University’s Registration Statement on Form S-1 filed with the SEC on September 29, 2008.</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Incorporated by reference to Exhibit 10.2 to Amendment No. 2 to the University’s Registration Statement on Form S-1 filed with the SEC on September 29, 2008.</w:t>
      </w:r>
    </w:p>
    <w:p>
      <w:pPr>
        <w:spacing w:after="0" w:line="154"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Incorporated by reference to Exhibit 10.1 to the University’s Current Report on Form 8-K filed with the SEC on March 25, 2009.</w:t>
      </w:r>
    </w:p>
    <w:p>
      <w:pPr>
        <w:sectPr>
          <w:pgSz w:w="11900" w:h="16838" w:orient="portrait"/>
          <w:cols w:equalWidth="0" w:num="2">
            <w:col w:w="5840" w:space="520"/>
            <w:col w:w="5060"/>
          </w:cols>
          <w:pgMar w:left="240" w:top="459" w:right="23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86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c>
          <w:tcPr>
            <w:tcW w:w="514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Method of Filing</w:t>
            </w:r>
          </w:p>
        </w:tc>
      </w:tr>
      <w:tr>
        <w:trPr>
          <w:trHeight w:val="370"/>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2008</w:t>
            </w: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Equity Incentive Plan, as amended†</w:t>
            </w:r>
          </w:p>
        </w:tc>
        <w:tc>
          <w:tcPr>
            <w:tcW w:w="5140" w:type="dxa"/>
            <w:vAlign w:val="bottom"/>
          </w:tcPr>
          <w:p>
            <w:pPr>
              <w:spacing w:after="0"/>
              <w:rPr>
                <w:sz w:val="20"/>
                <w:szCs w:val="20"/>
                <w:color w:val="auto"/>
              </w:rPr>
            </w:pPr>
            <w:r>
              <w:rPr>
                <w:rFonts w:ascii="Arial" w:cs="Arial" w:eastAsia="Arial" w:hAnsi="Arial"/>
                <w:sz w:val="18"/>
                <w:szCs w:val="18"/>
                <w:color w:val="auto"/>
                <w:w w:val="92"/>
              </w:rPr>
              <w:t>Incorporated by reference to Exhibit 10.1 to the University’s Quarterly</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Report on Form 10-Q filed with the SEC on November 14, 2011.</w:t>
            </w:r>
          </w:p>
        </w:tc>
      </w:tr>
      <w:tr>
        <w:trPr>
          <w:trHeight w:val="385"/>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2008</w:t>
            </w: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Employee Stock Purchase Plan†</w:t>
            </w:r>
          </w:p>
        </w:tc>
        <w:tc>
          <w:tcPr>
            <w:tcW w:w="5140" w:type="dxa"/>
            <w:vAlign w:val="bottom"/>
          </w:tcPr>
          <w:p>
            <w:pPr>
              <w:spacing w:after="0"/>
              <w:rPr>
                <w:sz w:val="20"/>
                <w:szCs w:val="20"/>
                <w:color w:val="auto"/>
              </w:rPr>
            </w:pPr>
            <w:r>
              <w:rPr>
                <w:rFonts w:ascii="Arial" w:cs="Arial" w:eastAsia="Arial" w:hAnsi="Arial"/>
                <w:sz w:val="18"/>
                <w:szCs w:val="18"/>
                <w:color w:val="auto"/>
                <w:w w:val="93"/>
              </w:rPr>
              <w:t>Incorporated by reference to Exhibit 10.5 to Amendment No. 2 to the</w:t>
            </w: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1"/>
              </w:rPr>
              <w:t>University’s Registration Statement on Form S-1 filed with the SEC on</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September 29, 2008.</w:t>
            </w:r>
          </w:p>
        </w:tc>
      </w:tr>
    </w:tbl>
    <w:p>
      <w:pPr>
        <w:spacing w:after="0" w:line="169" w:lineRule="exact"/>
        <w:rPr>
          <w:sz w:val="20"/>
          <w:szCs w:val="20"/>
          <w:color w:val="auto"/>
        </w:rPr>
      </w:pPr>
    </w:p>
    <w:p>
      <w:pPr>
        <w:sectPr>
          <w:pgSz w:w="11900" w:h="16838" w:orient="portrait"/>
          <w:cols w:equalWidth="0" w:num="1">
            <w:col w:w="11420"/>
          </w:cols>
          <w:pgMar w:left="240" w:top="459" w:right="239" w:bottom="1440" w:gutter="0" w:footer="0" w:header="0"/>
        </w:sectPr>
      </w:pPr>
    </w:p>
    <w:p>
      <w:pPr>
        <w:ind w:left="840" w:hanging="836"/>
        <w:spacing w:after="0" w:line="268" w:lineRule="auto"/>
        <w:tabs>
          <w:tab w:leader="none" w:pos="8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Executive Employment Agreement, dated June 25, 2008, by and between Grand Canyon Education, Inc. and Daniel E. Bachus†</w:t>
      </w:r>
    </w:p>
    <w:p>
      <w:pPr>
        <w:spacing w:after="0" w:line="362" w:lineRule="exact"/>
        <w:rPr>
          <w:sz w:val="20"/>
          <w:szCs w:val="20"/>
          <w:color w:val="auto"/>
        </w:rPr>
      </w:pPr>
    </w:p>
    <w:p>
      <w:pPr>
        <w:ind w:left="840" w:hanging="836"/>
        <w:spacing w:after="0" w:line="268" w:lineRule="auto"/>
        <w:tabs>
          <w:tab w:leader="none" w:pos="8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Executive Employment Agreement, dated June 25, 2008, by and between Grand Canyon Education, Inc. and Brian E. Mueller†</w:t>
      </w:r>
    </w:p>
    <w:p>
      <w:pPr>
        <w:spacing w:after="0" w:line="362" w:lineRule="exact"/>
        <w:rPr>
          <w:sz w:val="20"/>
          <w:szCs w:val="20"/>
          <w:color w:val="auto"/>
        </w:rPr>
      </w:pPr>
    </w:p>
    <w:p>
      <w:pPr>
        <w:ind w:left="840" w:hanging="836"/>
        <w:spacing w:after="0" w:line="268" w:lineRule="auto"/>
        <w:tabs>
          <w:tab w:leader="none" w:pos="8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Executive Employment Agreement, dated June 25, 2008, by and between Grand Canyon Education, Inc. and W. Stan Meyer†</w:t>
      </w:r>
    </w:p>
    <w:p>
      <w:pPr>
        <w:spacing w:after="0" w:line="36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Form of Director and Officer Indemnity Agreement</w:t>
      </w:r>
    </w:p>
    <w:p>
      <w:pPr>
        <w:spacing w:after="0" w:line="20" w:lineRule="exact"/>
        <w:rPr>
          <w:sz w:val="20"/>
          <w:szCs w:val="20"/>
          <w:color w:val="auto"/>
        </w:rPr>
      </w:pPr>
      <w:r>
        <w:rPr>
          <w:sz w:val="20"/>
          <w:szCs w:val="20"/>
          <w:color w:val="auto"/>
        </w:rPr>
        <w:br w:type="column"/>
      </w:r>
    </w:p>
    <w:p>
      <w:pPr>
        <w:jc w:val="both"/>
        <w:ind w:right="120"/>
        <w:spacing w:after="0" w:line="259" w:lineRule="auto"/>
        <w:rPr>
          <w:sz w:val="20"/>
          <w:szCs w:val="20"/>
          <w:color w:val="auto"/>
        </w:rPr>
      </w:pPr>
      <w:r>
        <w:rPr>
          <w:rFonts w:ascii="Arial" w:cs="Arial" w:eastAsia="Arial" w:hAnsi="Arial"/>
          <w:sz w:val="18"/>
          <w:szCs w:val="18"/>
          <w:color w:val="auto"/>
        </w:rPr>
        <w:t>Incorporated by reference to Exhibit 10.19 to Amendment No. 1 to the University’s Registration Statement on Form S-1 filed with the SEC on August 13, 2008.</w:t>
      </w:r>
    </w:p>
    <w:p>
      <w:pPr>
        <w:spacing w:after="0" w:line="15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Incorporated by reference to Exhibit 10.20 to Amendment No. 1 to the University’s Registration Statement on Form S-1 filed with the SEC on August 13, 2008.</w:t>
      </w:r>
    </w:p>
    <w:p>
      <w:pPr>
        <w:spacing w:after="0" w:line="15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Incorporated by reference to Exhibit 10.21 to Amendment No. 1 to the University’s Registration Statement on Form S-1 filed with the SEC on August 13, 2008.</w:t>
      </w:r>
    </w:p>
    <w:p>
      <w:pPr>
        <w:spacing w:after="0" w:line="15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Incorporated by reference to Exhibit 10.21 to Amendment No. 2 to the University’s Registration Statement on Form S-1 filed with the SEC on September 29, 2008.</w:t>
      </w:r>
    </w:p>
    <w:p>
      <w:pPr>
        <w:spacing w:after="0" w:line="154" w:lineRule="exact"/>
        <w:rPr>
          <w:sz w:val="20"/>
          <w:szCs w:val="20"/>
          <w:color w:val="auto"/>
        </w:rPr>
      </w:pPr>
    </w:p>
    <w:p>
      <w:pPr>
        <w:sectPr>
          <w:pgSz w:w="11900" w:h="16838" w:orient="portrait"/>
          <w:cols w:equalWidth="0" w:num="2">
            <w:col w:w="6000" w:space="280"/>
            <w:col w:w="5140"/>
          </w:cols>
          <w:pgMar w:left="240" w:top="459" w:right="239" w:bottom="1440" w:gutter="0" w:footer="0" w:header="0"/>
          <w:type w:val="continuous"/>
        </w:sectPr>
      </w:pPr>
    </w:p>
    <w:p>
      <w:pPr>
        <w:ind w:left="840" w:hanging="836"/>
        <w:spacing w:after="0" w:line="259" w:lineRule="auto"/>
        <w:tabs>
          <w:tab w:leader="none" w:pos="8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Purchase and Sale Agreement, dated April 27, 2009, by and among Grand Canyon Education, Inc., Spirit Master Funding, LLC, and Spirit Management Company</w:t>
      </w:r>
    </w:p>
    <w:p>
      <w:pPr>
        <w:spacing w:after="0" w:line="154" w:lineRule="exact"/>
        <w:rPr>
          <w:sz w:val="20"/>
          <w:szCs w:val="20"/>
          <w:color w:val="auto"/>
        </w:rPr>
      </w:pPr>
    </w:p>
    <w:p>
      <w:pPr>
        <w:ind w:left="840" w:right="400" w:hanging="836"/>
        <w:spacing w:after="0" w:line="370" w:lineRule="auto"/>
        <w:tabs>
          <w:tab w:leader="none" w:pos="8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5"/>
          <w:szCs w:val="15"/>
          <w:color w:val="auto"/>
        </w:rPr>
        <w:t>Amended and Restated Loan Agreement, dated April 8, 2011 by and between Grand Canyon Education, Inc. and Bank of America, N.A.</w:t>
      </w:r>
    </w:p>
    <w:p>
      <w:pPr>
        <w:spacing w:after="0" w:line="76" w:lineRule="exact"/>
        <w:rPr>
          <w:sz w:val="20"/>
          <w:szCs w:val="20"/>
          <w:color w:val="auto"/>
        </w:rPr>
      </w:pPr>
    </w:p>
    <w:p>
      <w:pPr>
        <w:jc w:val="center"/>
        <w:ind w:right="380"/>
        <w:spacing w:after="0" w:line="268" w:lineRule="auto"/>
        <w:rPr>
          <w:sz w:val="20"/>
          <w:szCs w:val="20"/>
          <w:color w:val="auto"/>
        </w:rPr>
      </w:pPr>
      <w:r>
        <w:rPr>
          <w:rFonts w:ascii="Arial" w:cs="Arial" w:eastAsia="Arial" w:hAnsi="Arial"/>
          <w:sz w:val="18"/>
          <w:szCs w:val="18"/>
          <w:color w:val="auto"/>
        </w:rPr>
        <w:t>10.16     Employment Agreement, dated September 16, 2009, by and between Grand Canyon Education, Inc. and Joseph N. Mildenhall†</w:t>
      </w:r>
    </w:p>
    <w:p>
      <w:pPr>
        <w:spacing w:after="0" w:line="14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Subsidiaries of Grand Canyon Education, Inc.</w:t>
      </w:r>
    </w:p>
    <w:p>
      <w:pPr>
        <w:spacing w:after="0" w:line="1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w:t>
      </w:r>
    </w:p>
    <w:p>
      <w:pPr>
        <w:spacing w:after="0" w:line="185" w:lineRule="exact"/>
        <w:rPr>
          <w:sz w:val="20"/>
          <w:szCs w:val="20"/>
          <w:color w:val="auto"/>
        </w:rPr>
      </w:pPr>
    </w:p>
    <w:p>
      <w:pPr>
        <w:ind w:left="840" w:right="60" w:hanging="836"/>
        <w:spacing w:after="0" w:line="259" w:lineRule="auto"/>
        <w:tabs>
          <w:tab w:leader="none" w:pos="8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Chief Executive Officer Pursuant to Rule 13a-14(a) and 15d-14(a) as Adopted Pursuant to Section 302 of the Sarbanes-Oxley Act of 2002</w:t>
      </w:r>
    </w:p>
    <w:p>
      <w:pPr>
        <w:spacing w:after="0" w:line="154" w:lineRule="exact"/>
        <w:rPr>
          <w:sz w:val="20"/>
          <w:szCs w:val="20"/>
          <w:color w:val="auto"/>
        </w:rPr>
      </w:pPr>
    </w:p>
    <w:p>
      <w:pPr>
        <w:ind w:left="840" w:right="60" w:hanging="836"/>
        <w:spacing w:after="0" w:line="259" w:lineRule="auto"/>
        <w:tabs>
          <w:tab w:leader="none" w:pos="8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Chief Financial Officer Pursuant to Rule 13a-14(a) and 15d-14(a) as Adopted Pursuant to Section 302 of the Sarbanes-Oxley Act of 2002</w:t>
      </w:r>
    </w:p>
    <w:p>
      <w:pPr>
        <w:spacing w:after="0" w:line="1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br w:type="column"/>
      </w:r>
    </w:p>
    <w:p>
      <w:pPr>
        <w:ind w:right="160"/>
        <w:spacing w:after="0" w:line="332" w:lineRule="auto"/>
        <w:rPr>
          <w:sz w:val="20"/>
          <w:szCs w:val="20"/>
          <w:color w:val="auto"/>
        </w:rPr>
      </w:pPr>
      <w:r>
        <w:rPr>
          <w:rFonts w:ascii="Arial" w:cs="Arial" w:eastAsia="Arial" w:hAnsi="Arial"/>
          <w:sz w:val="16"/>
          <w:szCs w:val="16"/>
          <w:color w:val="auto"/>
        </w:rPr>
        <w:t>Incorporated by reference to Exhibit 10.1 to the University’s Quarterly Report on Form 10-Q filed with the SEC on August 3, 2009.</w:t>
      </w:r>
    </w:p>
    <w:p>
      <w:pPr>
        <w:spacing w:after="0" w:line="31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Incorporated by reference to Exhibit 10.1 to the University’s Quarterly Report on Form 10-Q filed with the SEC on May 9, 2011.</w:t>
      </w:r>
    </w:p>
    <w:p>
      <w:pPr>
        <w:spacing w:after="0" w:line="99"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Incorporated by reference to Exhibit 10.1 to the University’s Quarterly Report on Form 10-Q filed with the SEC on November 4, 2009.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 (on signature page)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6060" w:space="220"/>
            <w:col w:w="5140"/>
          </w:cols>
          <w:pgMar w:left="240" w:top="459" w:right="239" w:bottom="1440" w:gutter="0" w:footer="0" w:header="0"/>
          <w:type w:val="continuous"/>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60" w:type="dxa"/>
            <w:vAlign w:val="bottom"/>
          </w:tcPr>
          <w:p>
            <w:pPr>
              <w:spacing w:after="0"/>
              <w:rPr>
                <w:sz w:val="14"/>
                <w:szCs w:val="14"/>
                <w:color w:val="auto"/>
              </w:rPr>
            </w:pPr>
          </w:p>
        </w:tc>
        <w:tc>
          <w:tcPr>
            <w:tcW w:w="504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Description</w:t>
            </w:r>
          </w:p>
        </w:tc>
        <w:tc>
          <w:tcPr>
            <w:tcW w:w="340" w:type="dxa"/>
            <w:vAlign w:val="bottom"/>
          </w:tcPr>
          <w:p>
            <w:pPr>
              <w:spacing w:after="0"/>
              <w:rPr>
                <w:sz w:val="14"/>
                <w:szCs w:val="14"/>
                <w:color w:val="auto"/>
              </w:rPr>
            </w:pPr>
          </w:p>
        </w:tc>
        <w:tc>
          <w:tcPr>
            <w:tcW w:w="508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Method of Filing</w:t>
            </w:r>
          </w:p>
        </w:tc>
      </w:tr>
      <w:tr>
        <w:trPr>
          <w:trHeight w:val="302"/>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5840" w:type="dxa"/>
            <w:vAlign w:val="bottom"/>
            <w:gridSpan w:val="3"/>
          </w:tcPr>
          <w:p>
            <w:pPr>
              <w:ind w:left="460"/>
              <w:spacing w:after="0"/>
              <w:rPr>
                <w:sz w:val="20"/>
                <w:szCs w:val="20"/>
                <w:color w:val="auto"/>
              </w:rPr>
            </w:pPr>
            <w:r>
              <w:rPr>
                <w:rFonts w:ascii="Arial" w:cs="Arial" w:eastAsia="Arial" w:hAnsi="Arial"/>
                <w:sz w:val="18"/>
                <w:szCs w:val="18"/>
                <w:color w:val="auto"/>
                <w:w w:val="97"/>
              </w:rPr>
              <w:t>Certification of Chief Executive Officer Pursuant to 18 U.S.C. Section</w:t>
            </w:r>
          </w:p>
        </w:tc>
        <w:tc>
          <w:tcPr>
            <w:tcW w:w="508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5840" w:type="dxa"/>
            <w:vAlign w:val="bottom"/>
            <w:gridSpan w:val="3"/>
          </w:tcPr>
          <w:p>
            <w:pPr>
              <w:ind w:left="460"/>
              <w:spacing w:after="0"/>
              <w:rPr>
                <w:sz w:val="20"/>
                <w:szCs w:val="20"/>
                <w:color w:val="auto"/>
              </w:rPr>
            </w:pPr>
            <w:r>
              <w:rPr>
                <w:rFonts w:ascii="Arial" w:cs="Arial" w:eastAsia="Arial" w:hAnsi="Arial"/>
                <w:sz w:val="18"/>
                <w:szCs w:val="18"/>
                <w:color w:val="auto"/>
                <w:w w:val="96"/>
              </w:rPr>
              <w:t>1350, as Adopted Pursuant to Section 906 of the Sarbanes-Oxley Act</w:t>
            </w:r>
          </w:p>
        </w:tc>
        <w:tc>
          <w:tcPr>
            <w:tcW w:w="508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5840" w:type="dxa"/>
            <w:vAlign w:val="bottom"/>
            <w:gridSpan w:val="3"/>
          </w:tcPr>
          <w:p>
            <w:pPr>
              <w:ind w:left="460"/>
              <w:spacing w:after="0"/>
              <w:rPr>
                <w:sz w:val="20"/>
                <w:szCs w:val="20"/>
                <w:color w:val="auto"/>
              </w:rPr>
            </w:pPr>
            <w:r>
              <w:rPr>
                <w:rFonts w:ascii="Arial" w:cs="Arial" w:eastAsia="Arial" w:hAnsi="Arial"/>
                <w:sz w:val="18"/>
                <w:szCs w:val="18"/>
                <w:color w:val="auto"/>
              </w:rPr>
              <w:t>of 2002††</w:t>
            </w:r>
          </w:p>
        </w:tc>
        <w:tc>
          <w:tcPr>
            <w:tcW w:w="508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5840" w:type="dxa"/>
            <w:vAlign w:val="bottom"/>
            <w:gridSpan w:val="3"/>
          </w:tcPr>
          <w:p>
            <w:pPr>
              <w:ind w:left="460"/>
              <w:spacing w:after="0"/>
              <w:rPr>
                <w:sz w:val="20"/>
                <w:szCs w:val="20"/>
                <w:color w:val="auto"/>
              </w:rPr>
            </w:pPr>
            <w:r>
              <w:rPr>
                <w:rFonts w:ascii="Arial" w:cs="Arial" w:eastAsia="Arial" w:hAnsi="Arial"/>
                <w:sz w:val="18"/>
                <w:szCs w:val="18"/>
                <w:color w:val="auto"/>
                <w:w w:val="98"/>
              </w:rPr>
              <w:t>Certification of Chief Financial Officer Pursuant to 18 U.S.C. Section</w:t>
            </w:r>
          </w:p>
        </w:tc>
        <w:tc>
          <w:tcPr>
            <w:tcW w:w="508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5840" w:type="dxa"/>
            <w:vAlign w:val="bottom"/>
            <w:gridSpan w:val="3"/>
          </w:tcPr>
          <w:p>
            <w:pPr>
              <w:ind w:left="460"/>
              <w:spacing w:after="0"/>
              <w:rPr>
                <w:sz w:val="20"/>
                <w:szCs w:val="20"/>
                <w:color w:val="auto"/>
              </w:rPr>
            </w:pPr>
            <w:r>
              <w:rPr>
                <w:rFonts w:ascii="Arial" w:cs="Arial" w:eastAsia="Arial" w:hAnsi="Arial"/>
                <w:sz w:val="18"/>
                <w:szCs w:val="18"/>
                <w:color w:val="auto"/>
                <w:w w:val="96"/>
              </w:rPr>
              <w:t>1350, as Adopted Pursuant to Section 906 of the Sarbanes-Oxley Act</w:t>
            </w:r>
          </w:p>
        </w:tc>
        <w:tc>
          <w:tcPr>
            <w:tcW w:w="508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5840" w:type="dxa"/>
            <w:vAlign w:val="bottom"/>
            <w:gridSpan w:val="3"/>
          </w:tcPr>
          <w:p>
            <w:pPr>
              <w:ind w:left="460"/>
              <w:spacing w:after="0"/>
              <w:rPr>
                <w:sz w:val="20"/>
                <w:szCs w:val="20"/>
                <w:color w:val="auto"/>
              </w:rPr>
            </w:pPr>
            <w:r>
              <w:rPr>
                <w:rFonts w:ascii="Arial" w:cs="Arial" w:eastAsia="Arial" w:hAnsi="Arial"/>
                <w:sz w:val="18"/>
                <w:szCs w:val="18"/>
                <w:color w:val="auto"/>
              </w:rPr>
              <w:t>of 2002††</w:t>
            </w:r>
          </w:p>
        </w:tc>
        <w:tc>
          <w:tcPr>
            <w:tcW w:w="5080" w:type="dxa"/>
            <w:vAlign w:val="bottom"/>
          </w:tcPr>
          <w:p>
            <w:pPr>
              <w:spacing w:after="0"/>
              <w:rPr>
                <w:sz w:val="20"/>
                <w:szCs w:val="20"/>
                <w:color w:val="auto"/>
              </w:rPr>
            </w:pPr>
            <w:r>
              <w:rPr>
                <w:rFonts w:ascii="Arial" w:cs="Arial" w:eastAsia="Arial" w:hAnsi="Arial"/>
                <w:sz w:val="18"/>
                <w:szCs w:val="18"/>
                <w:color w:val="auto"/>
              </w:rPr>
              <w:t>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Significant Education, LLC is the predecessor to Significant Education, Inc., which is the former name of Grand Canyon Education, Inc.</w:t>
      </w:r>
    </w:p>
    <w:p>
      <w:pPr>
        <w:spacing w:after="0" w:line="158"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158" w:lineRule="exact"/>
        <w:rPr>
          <w:sz w:val="20"/>
          <w:szCs w:val="20"/>
          <w:color w:val="auto"/>
        </w:rPr>
      </w:pPr>
    </w:p>
    <w:p>
      <w:pPr>
        <w:ind w:left="460" w:right="20" w:hanging="452"/>
        <w:spacing w:after="0" w:line="259"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5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GRAND CANYON EDUCATION,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Brian E. Mueller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Executive Officer</w:t>
      </w:r>
    </w:p>
    <w:p>
      <w:pPr>
        <w:spacing w:after="0" w:line="13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Brian E. Mueller, Daniel E. Bachus, Brent D. Richardson, and Christopher C. Richardson, and each of them,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said attorneys-in-fact and agents, or his substitute or substitutes, may lawfully do or cause to be done by virtue hereof.</w:t>
      </w:r>
    </w:p>
    <w:p>
      <w:pPr>
        <w:spacing w:after="0" w:line="9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4"/>
                <w:szCs w:val="14"/>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4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397"/>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Chief Executive Officer and 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February 21, 2012</w:t>
            </w:r>
          </w:p>
        </w:tc>
      </w:tr>
      <w:tr>
        <w:trPr>
          <w:trHeight w:val="218"/>
        </w:trPr>
        <w:tc>
          <w:tcPr>
            <w:tcW w:w="4240" w:type="dxa"/>
            <w:vAlign w:val="bottom"/>
          </w:tcPr>
          <w:p>
            <w:pPr>
              <w:spacing w:after="0"/>
              <w:rPr>
                <w:sz w:val="20"/>
                <w:szCs w:val="20"/>
                <w:color w:val="auto"/>
              </w:rPr>
            </w:pPr>
            <w:r>
              <w:rPr>
                <w:rFonts w:ascii="Arial" w:cs="Arial" w:eastAsia="Arial" w:hAnsi="Arial"/>
                <w:sz w:val="18"/>
                <w:szCs w:val="18"/>
                <w:color w:val="auto"/>
              </w:rPr>
              <w:t>Brian E. Mueller</w:t>
            </w:r>
          </w:p>
        </w:tc>
        <w:tc>
          <w:tcPr>
            <w:tcW w:w="22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(Principal Executive Officer)</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8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Chief Financial Officer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February 21, 2012</w:t>
            </w:r>
          </w:p>
        </w:tc>
      </w:tr>
      <w:tr>
        <w:trPr>
          <w:trHeight w:val="190"/>
        </w:trPr>
        <w:tc>
          <w:tcPr>
            <w:tcW w:w="4240" w:type="dxa"/>
            <w:vAlign w:val="bottom"/>
          </w:tcPr>
          <w:p>
            <w:pPr>
              <w:spacing w:after="0" w:line="190" w:lineRule="exact"/>
              <w:rPr>
                <w:sz w:val="20"/>
                <w:szCs w:val="20"/>
                <w:color w:val="auto"/>
              </w:rPr>
            </w:pPr>
            <w:r>
              <w:rPr>
                <w:rFonts w:ascii="Arial" w:cs="Arial" w:eastAsia="Arial" w:hAnsi="Arial"/>
                <w:sz w:val="18"/>
                <w:szCs w:val="18"/>
                <w:color w:val="auto"/>
              </w:rPr>
              <w:t>Daniel E. Bachus</w:t>
            </w:r>
          </w:p>
        </w:tc>
        <w:tc>
          <w:tcPr>
            <w:tcW w:w="220" w:type="dxa"/>
            <w:vAlign w:val="bottom"/>
          </w:tcPr>
          <w:p>
            <w:pPr>
              <w:spacing w:after="0"/>
              <w:rPr>
                <w:sz w:val="16"/>
                <w:szCs w:val="16"/>
                <w:color w:val="auto"/>
              </w:rPr>
            </w:pPr>
          </w:p>
        </w:tc>
        <w:tc>
          <w:tcPr>
            <w:tcW w:w="5020" w:type="dxa"/>
            <w:vAlign w:val="bottom"/>
          </w:tcPr>
          <w:p>
            <w:pPr>
              <w:jc w:val="center"/>
              <w:spacing w:after="0" w:line="190" w:lineRule="exact"/>
              <w:rPr>
                <w:sz w:val="20"/>
                <w:szCs w:val="20"/>
                <w:color w:val="auto"/>
              </w:rPr>
            </w:pPr>
            <w:r>
              <w:rPr>
                <w:rFonts w:ascii="Arial" w:cs="Arial" w:eastAsia="Arial" w:hAnsi="Arial"/>
                <w:sz w:val="18"/>
                <w:szCs w:val="18"/>
                <w:color w:val="auto"/>
                <w:w w:val="91"/>
              </w:rPr>
              <w:t>(Principal Financial Officer and Principal</w:t>
            </w: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22"/>
        </w:trPr>
        <w:tc>
          <w:tcPr>
            <w:tcW w:w="4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Accounting Officer)</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06"/>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Brent D. Richardson</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89"/>
              </w:rPr>
              <w:t>Executive Chairman</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February 21, 2012</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Brent D. Richardson</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84"/>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C. Richardson</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February 21, 2012</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Christopher C. Richardson</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84"/>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J. Johnson</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February 21, 2012</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David J. Johnson</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84"/>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A. Henry</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February 21, 2012</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Jack A. Henry</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84"/>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Bradley A. Casper</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February 21, 2012</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Bradley A. Casper</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84"/>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 Mark Dorman</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February 21, 2012</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D. Mark Dorman</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84"/>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N. Heath</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February 21, 2012</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Chad N. Heath</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56"/>
        </w:trPr>
        <w:tc>
          <w:tcPr>
            <w:tcW w:w="4240" w:type="dxa"/>
            <w:vAlign w:val="bottom"/>
          </w:tcPr>
          <w:p>
            <w:pPr>
              <w:spacing w:after="0"/>
              <w:rPr>
                <w:sz w:val="24"/>
                <w:szCs w:val="24"/>
                <w:color w:val="auto"/>
              </w:rPr>
            </w:pPr>
          </w:p>
        </w:tc>
        <w:tc>
          <w:tcPr>
            <w:tcW w:w="5240" w:type="dxa"/>
            <w:vAlign w:val="bottom"/>
            <w:gridSpan w:val="2"/>
          </w:tcPr>
          <w:p>
            <w:pPr>
              <w:jc w:val="right"/>
              <w:ind w:right="3554"/>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6680" w:type="dxa"/>
            <w:vAlign w:val="bottom"/>
            <w:gridSpan w:val="3"/>
          </w:tcPr>
          <w:p>
            <w:pPr>
              <w:ind w:left="300"/>
              <w:spacing w:after="0"/>
              <w:rPr>
                <w:sz w:val="20"/>
                <w:szCs w:val="20"/>
                <w:color w:val="auto"/>
              </w:rPr>
            </w:pPr>
            <w:r>
              <w:rPr>
                <w:rFonts w:ascii="Arial" w:cs="Arial" w:eastAsia="Arial" w:hAnsi="Arial"/>
                <w:sz w:val="18"/>
                <w:szCs w:val="18"/>
                <w:b w:val="1"/>
                <w:bCs w:val="1"/>
                <w:color w:val="auto"/>
              </w:rPr>
              <w:t>EXHIBIT INDEX</w:t>
            </w:r>
          </w:p>
        </w:tc>
      </w:tr>
      <w:tr>
        <w:trPr>
          <w:trHeight w:val="306"/>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40" w:type="dxa"/>
            <w:vAlign w:val="bottom"/>
          </w:tcPr>
          <w:p>
            <w:pPr>
              <w:spacing w:after="0"/>
              <w:rPr>
                <w:sz w:val="24"/>
                <w:szCs w:val="24"/>
                <w:color w:val="auto"/>
              </w:rPr>
            </w:pPr>
          </w:p>
        </w:tc>
        <w:tc>
          <w:tcPr>
            <w:tcW w:w="390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Description</w:t>
            </w:r>
          </w:p>
        </w:tc>
        <w:tc>
          <w:tcPr>
            <w:tcW w:w="13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14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Method of Filing</w:t>
            </w:r>
          </w:p>
        </w:tc>
      </w:tr>
      <w:tr>
        <w:trPr>
          <w:trHeight w:val="370"/>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5"/>
              </w:rPr>
              <w:t>Amended and Restated Certificate of Incorporation</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5"/>
              </w:rPr>
              <w:t>Incorporated by reference to Exhibit 3.1 to Amendment No. 6 to the</w:t>
            </w: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1"/>
              </w:rPr>
              <w:t>University’s Registration Statement on Form S-1 filed with the SEC on</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November 12, 2008.</w:t>
            </w:r>
          </w:p>
        </w:tc>
      </w:tr>
      <w:tr>
        <w:trPr>
          <w:trHeight w:val="385"/>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Second Amended and Restated Bylaws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7"/>
              </w:rPr>
              <w:t>Incorporated by reference to Exhibit 3.1 to the University’s Current</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Report on Form 8-K filed with the SEC on August 2, 2010.</w:t>
            </w:r>
          </w:p>
        </w:tc>
      </w:tr>
      <w:tr>
        <w:trPr>
          <w:trHeight w:val="385"/>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Specimen of Stock Certificate</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5"/>
              </w:rPr>
              <w:t>Incorporated by reference to Exhibit 4.1 to Amendment No. 2 to the</w:t>
            </w: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1"/>
              </w:rPr>
              <w:t>University’s Registration Statement on Form S-1 filed with the SEC on</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September 29, 2008.</w:t>
            </w:r>
          </w:p>
        </w:tc>
      </w:tr>
    </w:tbl>
    <w:p>
      <w:pPr>
        <w:spacing w:after="0" w:line="169" w:lineRule="exact"/>
        <w:rPr>
          <w:sz w:val="20"/>
          <w:szCs w:val="20"/>
          <w:color w:val="auto"/>
        </w:rPr>
      </w:pPr>
    </w:p>
    <w:p>
      <w:pPr>
        <w:sectPr>
          <w:pgSz w:w="11900" w:h="16838" w:orient="portrait"/>
          <w:cols w:equalWidth="0" w:num="1">
            <w:col w:w="11420"/>
          </w:cols>
          <w:pgMar w:left="240" w:top="459" w:right="239" w:bottom="1440" w:gutter="0" w:footer="0" w:header="0"/>
        </w:sectPr>
      </w:pPr>
    </w:p>
    <w:p>
      <w:pPr>
        <w:ind w:left="840" w:right="80" w:hanging="836"/>
        <w:spacing w:after="0" w:line="259" w:lineRule="auto"/>
        <w:tabs>
          <w:tab w:leader="none" w:pos="8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Amended and Restated Executive Employment Agreement, dated September 10, 2008, by and between Grand Canyon Education, Inc. and Brent Richardson†</w:t>
      </w:r>
    </w:p>
    <w:p>
      <w:pPr>
        <w:spacing w:after="0" w:line="154" w:lineRule="exact"/>
        <w:rPr>
          <w:sz w:val="20"/>
          <w:szCs w:val="20"/>
          <w:color w:val="auto"/>
        </w:rPr>
      </w:pPr>
    </w:p>
    <w:p>
      <w:pPr>
        <w:ind w:left="840" w:right="80" w:hanging="836"/>
        <w:spacing w:after="0" w:line="259" w:lineRule="auto"/>
        <w:tabs>
          <w:tab w:leader="none" w:pos="8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Amended and Restated Executive Employment Agreement, dated September 10, 2008, by and between Grand Canyon Education, Inc. and Christopher Richardson†</w:t>
      </w:r>
    </w:p>
    <w:p>
      <w:pPr>
        <w:spacing w:after="0" w:line="154" w:lineRule="exact"/>
        <w:rPr>
          <w:sz w:val="20"/>
          <w:szCs w:val="20"/>
          <w:color w:val="auto"/>
        </w:rPr>
      </w:pPr>
    </w:p>
    <w:p>
      <w:pPr>
        <w:ind w:left="840" w:right="280" w:hanging="836"/>
        <w:spacing w:after="0" w:line="332" w:lineRule="auto"/>
        <w:tabs>
          <w:tab w:leader="none" w:pos="8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Executive Employment Agreement, dated September 1, 2008, by and between Grand Canyon Education, Inc. and Kathy Player†</w:t>
      </w:r>
    </w:p>
    <w:p>
      <w:pPr>
        <w:spacing w:after="0" w:line="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2008 Equity Incentive Plan, as amended†</w:t>
      </w:r>
    </w:p>
    <w:p>
      <w:pPr>
        <w:spacing w:after="0" w:line="200" w:lineRule="exact"/>
        <w:rPr>
          <w:sz w:val="20"/>
          <w:szCs w:val="20"/>
          <w:color w:val="auto"/>
        </w:rPr>
      </w:pPr>
    </w:p>
    <w:p>
      <w:pPr>
        <w:spacing w:after="0" w:line="20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2008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40" w:hanging="836"/>
        <w:spacing w:after="0" w:line="268" w:lineRule="auto"/>
        <w:tabs>
          <w:tab w:leader="none" w:pos="8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Executive Employment Agreement, dated June 25, 2008, by and between Grand Canyon Education, Inc. and Daniel E. Bachus†</w:t>
      </w:r>
    </w:p>
    <w:p>
      <w:pPr>
        <w:spacing w:after="0" w:line="362" w:lineRule="exact"/>
        <w:rPr>
          <w:sz w:val="20"/>
          <w:szCs w:val="20"/>
          <w:color w:val="auto"/>
        </w:rPr>
      </w:pPr>
    </w:p>
    <w:p>
      <w:pPr>
        <w:ind w:left="840" w:hanging="836"/>
        <w:spacing w:after="0" w:line="268" w:lineRule="auto"/>
        <w:tabs>
          <w:tab w:leader="none" w:pos="8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Executive Employment Agreement, dated June 25, 2008, by and between Grand Canyon Education, Inc. and Brian E. Mueller†</w:t>
      </w:r>
    </w:p>
    <w:p>
      <w:pPr>
        <w:spacing w:after="0" w:line="362" w:lineRule="exact"/>
        <w:rPr>
          <w:sz w:val="20"/>
          <w:szCs w:val="20"/>
          <w:color w:val="auto"/>
        </w:rPr>
      </w:pPr>
    </w:p>
    <w:p>
      <w:pPr>
        <w:ind w:left="840" w:hanging="836"/>
        <w:spacing w:after="0" w:line="268" w:lineRule="auto"/>
        <w:tabs>
          <w:tab w:leader="none" w:pos="8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Executive Employment Agreement, dated June 25, 2008, by and between Grand Canyon Education, Inc. and W. Stan Meyer†</w:t>
      </w:r>
    </w:p>
    <w:p>
      <w:pPr>
        <w:spacing w:after="0" w:line="36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Form of Director and Officer Indemnity Agreement</w:t>
      </w: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br w:type="column"/>
      </w:r>
    </w:p>
    <w:p>
      <w:pPr>
        <w:ind w:right="120"/>
        <w:spacing w:after="0" w:line="259" w:lineRule="auto"/>
        <w:rPr>
          <w:sz w:val="20"/>
          <w:szCs w:val="20"/>
          <w:color w:val="auto"/>
        </w:rPr>
      </w:pPr>
      <w:r>
        <w:rPr>
          <w:rFonts w:ascii="Arial" w:cs="Arial" w:eastAsia="Arial" w:hAnsi="Arial"/>
          <w:sz w:val="18"/>
          <w:szCs w:val="18"/>
          <w:color w:val="auto"/>
        </w:rPr>
        <w:t>Incorporated by reference to Exhibit 10.1 to Amendment No. 2 to the University’s Registration Statement on Form S-1 filed with the SEC on September 29, 2008.</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Incorporated by reference to Exhibit 10.2 to Amendment No. 2 to the University’s Registration Statement on Form S-1 filed with the SEC on September 29, 2008.</w:t>
      </w:r>
    </w:p>
    <w:p>
      <w:pPr>
        <w:spacing w:after="0" w:line="154"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Incorporated by reference to Exhibit 10.1 to the University’s Current Report on Form 8-K filed with the SEC on March 25, 2009.</w:t>
      </w:r>
    </w:p>
    <w:p>
      <w:pPr>
        <w:spacing w:after="0" w:line="99"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Incorporated by reference to Exhibit 10.1 to the University’s Quarterly Report on Form 10-Q filed with the SEC on November 14, 2011</w:t>
      </w:r>
    </w:p>
    <w:p>
      <w:pPr>
        <w:spacing w:after="0" w:line="9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Incorporated by reference to Exhibit 10.5 to Amendment No. 2 to the University’s Registration Statement on Form S-1 filed with the SEC on September 29, 2008.</w:t>
      </w:r>
    </w:p>
    <w:p>
      <w:pPr>
        <w:spacing w:after="0" w:line="15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Incorporated by reference to Exhibit 10.19 to Amendment No. 1 to the University’s Registration Statement on Form S-1 filed with the SEC on August 13, 2008.</w:t>
      </w:r>
    </w:p>
    <w:p>
      <w:pPr>
        <w:spacing w:after="0" w:line="15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Incorporated by reference to Exhibit 10.20 to Amendment No. 1 to the University’s Registration Statement on Form S-1 filed with the SEC on August 13, 2008.</w:t>
      </w:r>
    </w:p>
    <w:p>
      <w:pPr>
        <w:spacing w:after="0" w:line="15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Incorporated by reference to Exhibit 10.21 to Amendment No. 1 to the University’s Registration Statement on Form S-1 filed with the SEC on August 13, 2008.</w:t>
      </w:r>
    </w:p>
    <w:p>
      <w:pPr>
        <w:spacing w:after="0" w:line="15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Incorporated by reference to Exhibit 10.21 to Amendment No. 2 to the University’s Registration Statement on Form S-1 filed with the SEC on September 29, 2008.</w:t>
      </w:r>
    </w:p>
    <w:p>
      <w:pPr>
        <w:sectPr>
          <w:pgSz w:w="11900" w:h="16838" w:orient="portrait"/>
          <w:cols w:equalWidth="0" w:num="2">
            <w:col w:w="6000" w:space="280"/>
            <w:col w:w="5140"/>
          </w:cols>
          <w:pgMar w:left="240" w:top="459" w:right="239" w:bottom="1440" w:gutter="0" w:footer="0" w:header="0"/>
          <w:type w:val="continuous"/>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8890</wp:posOffset>
            </wp:positionV>
            <wp:extent cx="33191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61" w:lineRule="exact"/>
        <w:rPr>
          <w:sz w:val="20"/>
          <w:szCs w:val="20"/>
          <w:color w:val="auto"/>
        </w:rPr>
      </w:pPr>
    </w:p>
    <w:p>
      <w:pPr>
        <w:ind w:left="840" w:hanging="836"/>
        <w:spacing w:after="0" w:line="259" w:lineRule="auto"/>
        <w:tabs>
          <w:tab w:leader="none" w:pos="8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Purchase and Sale Agreement, dated April 27, 2009, by and among Grand Canyon Education, Inc., Spirit Master Funding, LLC, and Spirit Management Company</w:t>
      </w:r>
    </w:p>
    <w:p>
      <w:pPr>
        <w:spacing w:after="0" w:line="154" w:lineRule="exact"/>
        <w:rPr>
          <w:sz w:val="20"/>
          <w:szCs w:val="20"/>
          <w:color w:val="auto"/>
        </w:rPr>
      </w:pPr>
    </w:p>
    <w:p>
      <w:pPr>
        <w:ind w:left="840" w:right="360" w:hanging="836"/>
        <w:spacing w:after="0" w:line="370" w:lineRule="auto"/>
        <w:tabs>
          <w:tab w:leader="none" w:pos="8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5"/>
          <w:szCs w:val="15"/>
          <w:color w:val="auto"/>
        </w:rPr>
        <w:t>Amended and Restated Loan Agreement, dated April 8, 2011, by and between Grand Canyon Education, Inc. and Bank of America, N.A.</w:t>
      </w:r>
    </w:p>
    <w:p>
      <w:pPr>
        <w:spacing w:after="0" w:line="76" w:lineRule="exact"/>
        <w:rPr>
          <w:sz w:val="20"/>
          <w:szCs w:val="20"/>
          <w:color w:val="auto"/>
        </w:rPr>
      </w:pPr>
    </w:p>
    <w:p>
      <w:pPr>
        <w:jc w:val="center"/>
        <w:ind w:right="380"/>
        <w:spacing w:after="0" w:line="268" w:lineRule="auto"/>
        <w:rPr>
          <w:sz w:val="20"/>
          <w:szCs w:val="20"/>
          <w:color w:val="auto"/>
        </w:rPr>
      </w:pPr>
      <w:r>
        <w:rPr>
          <w:rFonts w:ascii="Arial" w:cs="Arial" w:eastAsia="Arial" w:hAnsi="Arial"/>
          <w:sz w:val="18"/>
          <w:szCs w:val="18"/>
          <w:color w:val="auto"/>
        </w:rPr>
        <w:t>10.16     Employment Agreement, dated September 16, 2009, by and between Grand Canyon Education, Inc. and Joseph N. Mildenhall†</w:t>
      </w:r>
    </w:p>
    <w:p>
      <w:pPr>
        <w:spacing w:after="0" w:line="14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Subsidiaries of Grand Canyon Education, Inc.</w:t>
      </w:r>
    </w:p>
    <w:p>
      <w:pPr>
        <w:spacing w:after="0" w:line="1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w:t>
      </w:r>
    </w:p>
    <w:p>
      <w:pPr>
        <w:spacing w:after="0" w:line="185" w:lineRule="exact"/>
        <w:rPr>
          <w:sz w:val="20"/>
          <w:szCs w:val="20"/>
          <w:color w:val="auto"/>
        </w:rPr>
      </w:pPr>
    </w:p>
    <w:p>
      <w:pPr>
        <w:ind w:left="840" w:right="60" w:hanging="836"/>
        <w:spacing w:after="0" w:line="259" w:lineRule="auto"/>
        <w:tabs>
          <w:tab w:leader="none" w:pos="8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Chief Executive Officer Pursuant to Rule 13a-14(a) and 15d-14(a) as Adopted Pursuant to Section 302 of the Sarbanes-Oxley Act of 2002</w:t>
      </w:r>
    </w:p>
    <w:p>
      <w:pPr>
        <w:spacing w:after="0" w:line="1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2588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7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Incorporated by reference to Exhibit 10.1 to the University’s Quarterly Report on Form 10-Q filed with the SEC on May 9, 2011.</w:t>
      </w:r>
    </w:p>
    <w:p>
      <w:pPr>
        <w:spacing w:after="0" w:line="9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Incorporated by reference to Exhibit 10.2 to the University’s Quarterly Report on Form 10-Q filed with the SEC on August 3, 2009.</w:t>
      </w:r>
    </w:p>
    <w:p>
      <w:pPr>
        <w:spacing w:after="0" w:line="9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Incorporated by reference to Exhibit 10.1 to the University’s Quarterly Report on Form 10-Q filed with the SEC on November 4, 2009.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 (on signature page)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6060" w:space="220"/>
            <w:col w:w="4980"/>
          </w:cols>
          <w:pgMar w:left="240" w:top="459" w:right="3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60" w:type="dxa"/>
            <w:vAlign w:val="bottom"/>
          </w:tcPr>
          <w:p>
            <w:pPr>
              <w:spacing w:after="0"/>
              <w:rPr>
                <w:sz w:val="14"/>
                <w:szCs w:val="14"/>
                <w:color w:val="auto"/>
              </w:rPr>
            </w:pPr>
          </w:p>
        </w:tc>
        <w:tc>
          <w:tcPr>
            <w:tcW w:w="506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Description</w:t>
            </w:r>
          </w:p>
        </w:tc>
        <w:tc>
          <w:tcPr>
            <w:tcW w:w="340" w:type="dxa"/>
            <w:vAlign w:val="bottom"/>
          </w:tcPr>
          <w:p>
            <w:pPr>
              <w:spacing w:after="0"/>
              <w:rPr>
                <w:sz w:val="14"/>
                <w:szCs w:val="14"/>
                <w:color w:val="auto"/>
              </w:rPr>
            </w:pPr>
          </w:p>
        </w:tc>
        <w:tc>
          <w:tcPr>
            <w:tcW w:w="506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Method of Filing</w:t>
            </w:r>
          </w:p>
        </w:tc>
      </w:tr>
      <w:tr>
        <w:trPr>
          <w:trHeight w:val="370"/>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5520" w:type="dxa"/>
            <w:vAlign w:val="bottom"/>
            <w:gridSpan w:val="2"/>
          </w:tcPr>
          <w:p>
            <w:pPr>
              <w:ind w:left="460"/>
              <w:spacing w:after="0"/>
              <w:rPr>
                <w:sz w:val="20"/>
                <w:szCs w:val="20"/>
                <w:color w:val="auto"/>
              </w:rPr>
            </w:pPr>
            <w:r>
              <w:rPr>
                <w:rFonts w:ascii="Arial" w:cs="Arial" w:eastAsia="Arial" w:hAnsi="Arial"/>
                <w:sz w:val="18"/>
                <w:szCs w:val="18"/>
                <w:color w:val="auto"/>
                <w:w w:val="91"/>
              </w:rPr>
              <w:t>Certification of the Chief Financial Officer Pursuant to Rule 13a-14(a)</w:t>
            </w:r>
          </w:p>
        </w:tc>
        <w:tc>
          <w:tcPr>
            <w:tcW w:w="34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5520" w:type="dxa"/>
            <w:vAlign w:val="bottom"/>
            <w:gridSpan w:val="2"/>
          </w:tcPr>
          <w:p>
            <w:pPr>
              <w:ind w:left="460"/>
              <w:spacing w:after="0"/>
              <w:rPr>
                <w:sz w:val="20"/>
                <w:szCs w:val="20"/>
                <w:color w:val="auto"/>
              </w:rPr>
            </w:pPr>
            <w:r>
              <w:rPr>
                <w:rFonts w:ascii="Arial" w:cs="Arial" w:eastAsia="Arial" w:hAnsi="Arial"/>
                <w:sz w:val="18"/>
                <w:szCs w:val="18"/>
                <w:color w:val="auto"/>
                <w:w w:val="92"/>
              </w:rPr>
              <w:t>and 15d-14(a) as Adopted Pursuant to Section 302 of the Sarbanes-</w:t>
            </w:r>
          </w:p>
        </w:tc>
        <w:tc>
          <w:tcPr>
            <w:tcW w:w="34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5520" w:type="dxa"/>
            <w:vAlign w:val="bottom"/>
            <w:gridSpan w:val="2"/>
          </w:tcPr>
          <w:p>
            <w:pPr>
              <w:ind w:left="460"/>
              <w:spacing w:after="0"/>
              <w:rPr>
                <w:sz w:val="20"/>
                <w:szCs w:val="20"/>
                <w:color w:val="auto"/>
              </w:rPr>
            </w:pPr>
            <w:r>
              <w:rPr>
                <w:rFonts w:ascii="Arial" w:cs="Arial" w:eastAsia="Arial" w:hAnsi="Arial"/>
                <w:sz w:val="18"/>
                <w:szCs w:val="18"/>
                <w:color w:val="auto"/>
              </w:rPr>
              <w:t>Oxley Act of 2002</w:t>
            </w: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Filed herewith.</w:t>
            </w:r>
          </w:p>
        </w:tc>
      </w:tr>
      <w:tr>
        <w:trPr>
          <w:trHeight w:val="385"/>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5520" w:type="dxa"/>
            <w:vAlign w:val="bottom"/>
            <w:gridSpan w:val="2"/>
          </w:tcPr>
          <w:p>
            <w:pPr>
              <w:ind w:left="460"/>
              <w:spacing w:after="0"/>
              <w:rPr>
                <w:sz w:val="20"/>
                <w:szCs w:val="20"/>
                <w:color w:val="auto"/>
              </w:rPr>
            </w:pPr>
            <w:r>
              <w:rPr>
                <w:rFonts w:ascii="Arial" w:cs="Arial" w:eastAsia="Arial" w:hAnsi="Arial"/>
                <w:sz w:val="18"/>
                <w:szCs w:val="18"/>
                <w:color w:val="auto"/>
                <w:w w:val="91"/>
              </w:rPr>
              <w:t>Certification of Chief Executive Officer Pursuant to 18 U.S.C. Section</w:t>
            </w:r>
          </w:p>
        </w:tc>
        <w:tc>
          <w:tcPr>
            <w:tcW w:w="34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5520" w:type="dxa"/>
            <w:vAlign w:val="bottom"/>
            <w:gridSpan w:val="2"/>
          </w:tcPr>
          <w:p>
            <w:pPr>
              <w:ind w:left="460"/>
              <w:spacing w:after="0"/>
              <w:rPr>
                <w:sz w:val="20"/>
                <w:szCs w:val="20"/>
                <w:color w:val="auto"/>
              </w:rPr>
            </w:pPr>
            <w:r>
              <w:rPr>
                <w:rFonts w:ascii="Arial" w:cs="Arial" w:eastAsia="Arial" w:hAnsi="Arial"/>
                <w:sz w:val="18"/>
                <w:szCs w:val="18"/>
                <w:color w:val="auto"/>
                <w:w w:val="87"/>
              </w:rPr>
              <w:t>1350, as Adopted Pursuant to Section 906 of the Sarbanes-Oxley Act of</w:t>
            </w:r>
          </w:p>
        </w:tc>
        <w:tc>
          <w:tcPr>
            <w:tcW w:w="34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5520" w:type="dxa"/>
            <w:vAlign w:val="bottom"/>
            <w:gridSpan w:val="2"/>
          </w:tcPr>
          <w:p>
            <w:pPr>
              <w:ind w:left="460"/>
              <w:spacing w:after="0"/>
              <w:rPr>
                <w:sz w:val="20"/>
                <w:szCs w:val="20"/>
                <w:color w:val="auto"/>
              </w:rPr>
            </w:pPr>
            <w:r>
              <w:rPr>
                <w:rFonts w:ascii="Arial" w:cs="Arial" w:eastAsia="Arial" w:hAnsi="Arial"/>
                <w:sz w:val="18"/>
                <w:szCs w:val="18"/>
                <w:color w:val="auto"/>
              </w:rPr>
              <w:t>2002††</w:t>
            </w: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Filed herewith.</w:t>
            </w:r>
          </w:p>
        </w:tc>
      </w:tr>
      <w:tr>
        <w:trPr>
          <w:trHeight w:val="385"/>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5520" w:type="dxa"/>
            <w:vAlign w:val="bottom"/>
            <w:gridSpan w:val="2"/>
          </w:tcPr>
          <w:p>
            <w:pPr>
              <w:ind w:left="460"/>
              <w:spacing w:after="0"/>
              <w:rPr>
                <w:sz w:val="20"/>
                <w:szCs w:val="20"/>
                <w:color w:val="auto"/>
              </w:rPr>
            </w:pPr>
            <w:r>
              <w:rPr>
                <w:rFonts w:ascii="Arial" w:cs="Arial" w:eastAsia="Arial" w:hAnsi="Arial"/>
                <w:sz w:val="18"/>
                <w:szCs w:val="18"/>
                <w:color w:val="auto"/>
                <w:w w:val="92"/>
              </w:rPr>
              <w:t>Certification of Chief Financial Officer Pursuant to 18 U.S.C. Section</w:t>
            </w:r>
          </w:p>
        </w:tc>
        <w:tc>
          <w:tcPr>
            <w:tcW w:w="34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5520" w:type="dxa"/>
            <w:vAlign w:val="bottom"/>
            <w:gridSpan w:val="2"/>
          </w:tcPr>
          <w:p>
            <w:pPr>
              <w:ind w:left="460"/>
              <w:spacing w:after="0"/>
              <w:rPr>
                <w:sz w:val="20"/>
                <w:szCs w:val="20"/>
                <w:color w:val="auto"/>
              </w:rPr>
            </w:pPr>
            <w:r>
              <w:rPr>
                <w:rFonts w:ascii="Arial" w:cs="Arial" w:eastAsia="Arial" w:hAnsi="Arial"/>
                <w:sz w:val="18"/>
                <w:szCs w:val="18"/>
                <w:color w:val="auto"/>
                <w:w w:val="87"/>
              </w:rPr>
              <w:t>1350, as Adopted Pursuant to Section 906 of the Sarbanes-Oxley Act of</w:t>
            </w:r>
          </w:p>
        </w:tc>
        <w:tc>
          <w:tcPr>
            <w:tcW w:w="34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5520" w:type="dxa"/>
            <w:vAlign w:val="bottom"/>
            <w:gridSpan w:val="2"/>
          </w:tcPr>
          <w:p>
            <w:pPr>
              <w:ind w:left="460"/>
              <w:spacing w:after="0"/>
              <w:rPr>
                <w:sz w:val="20"/>
                <w:szCs w:val="20"/>
                <w:color w:val="auto"/>
              </w:rPr>
            </w:pPr>
            <w:r>
              <w:rPr>
                <w:rFonts w:ascii="Arial" w:cs="Arial" w:eastAsia="Arial" w:hAnsi="Arial"/>
                <w:sz w:val="18"/>
                <w:szCs w:val="18"/>
                <w:color w:val="auto"/>
              </w:rPr>
              <w:t>2002††</w:t>
            </w: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Significant Education, LLC is the predecessor to Significant Education, Inc., which is the former name of Grand Canyon Education, Inc.</w:t>
      </w:r>
    </w:p>
    <w:p>
      <w:pPr>
        <w:spacing w:after="0" w:line="158"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158" w:lineRule="exact"/>
        <w:rPr>
          <w:sz w:val="20"/>
          <w:szCs w:val="20"/>
          <w:color w:val="auto"/>
        </w:rPr>
      </w:pPr>
    </w:p>
    <w:p>
      <w:pPr>
        <w:ind w:left="460" w:right="20" w:hanging="452"/>
        <w:spacing w:after="0" w:line="259"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1700" w:type="dxa"/>
            <w:vAlign w:val="bottom"/>
            <w:gridSpan w:val="2"/>
          </w:tcPr>
          <w:p>
            <w:pPr>
              <w:ind w:left="900"/>
              <w:spacing w:after="0"/>
              <w:rPr>
                <w:sz w:val="20"/>
                <w:szCs w:val="20"/>
                <w:color w:val="auto"/>
              </w:rPr>
            </w:pPr>
            <w:r>
              <w:rPr>
                <w:rFonts w:ascii="Arial" w:cs="Arial" w:eastAsia="Arial" w:hAnsi="Arial"/>
                <w:sz w:val="18"/>
                <w:szCs w:val="18"/>
                <w:b w:val="1"/>
                <w:bCs w:val="1"/>
                <w:color w:val="auto"/>
                <w:w w:val="91"/>
              </w:rPr>
              <w:t>Exhibit 21</w:t>
            </w:r>
          </w:p>
        </w:tc>
        <w:tc>
          <w:tcPr>
            <w:tcW w:w="0" w:type="dxa"/>
            <w:vAlign w:val="bottom"/>
          </w:tcPr>
          <w:p>
            <w:pPr>
              <w:spacing w:after="0"/>
              <w:rPr>
                <w:sz w:val="1"/>
                <w:szCs w:val="1"/>
                <w:color w:val="auto"/>
              </w:rPr>
            </w:pPr>
          </w:p>
        </w:tc>
      </w:tr>
      <w:tr>
        <w:trPr>
          <w:trHeight w:val="347"/>
        </w:trPr>
        <w:tc>
          <w:tcPr>
            <w:tcW w:w="9740" w:type="dxa"/>
            <w:vAlign w:val="bottom"/>
            <w:gridSpan w:val="3"/>
          </w:tcPr>
          <w:p>
            <w:pPr>
              <w:spacing w:after="0"/>
              <w:rPr>
                <w:sz w:val="20"/>
                <w:szCs w:val="20"/>
                <w:color w:val="auto"/>
              </w:rPr>
            </w:pPr>
            <w:r>
              <w:rPr>
                <w:rFonts w:ascii="Arial" w:cs="Arial" w:eastAsia="Arial" w:hAnsi="Arial"/>
                <w:sz w:val="14"/>
                <w:szCs w:val="14"/>
                <w:b w:val="1"/>
                <w:bCs w:val="1"/>
                <w:color w:val="auto"/>
              </w:rPr>
              <w:t>Subsidiaries of Registrant</w:t>
            </w:r>
          </w:p>
        </w:tc>
        <w:tc>
          <w:tcPr>
            <w:tcW w:w="1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Jurisdiction of Incorporation</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816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Grand Canyon University, Inc.</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Tierra Vista Inversiones, LLC</w:t>
            </w:r>
          </w:p>
        </w:tc>
        <w:tc>
          <w:tcPr>
            <w:tcW w:w="168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Nueva Ventura, LLC</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tcPr>
          <w:p>
            <w:pPr>
              <w:ind w:left="420"/>
              <w:spacing w:after="0"/>
              <w:rPr>
                <w:sz w:val="20"/>
                <w:szCs w:val="20"/>
                <w:color w:val="auto"/>
              </w:rPr>
            </w:pPr>
            <w:r>
              <w:rPr>
                <w:rFonts w:ascii="Arial" w:cs="Arial" w:eastAsia="Arial" w:hAnsi="Arial"/>
                <w:sz w:val="18"/>
                <w:szCs w:val="18"/>
                <w:color w:val="auto"/>
              </w:rPr>
              <w:t>Casa de Amistad, LLC</w:t>
            </w:r>
          </w:p>
        </w:tc>
        <w:tc>
          <w:tcPr>
            <w:tcW w:w="168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Amigos de Torrejon, LLC</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tcPr>
          <w:p>
            <w:pPr>
              <w:ind w:left="420"/>
              <w:spacing w:after="0"/>
              <w:rPr>
                <w:sz w:val="20"/>
                <w:szCs w:val="20"/>
                <w:color w:val="auto"/>
              </w:rPr>
            </w:pPr>
            <w:r>
              <w:rPr>
                <w:rFonts w:ascii="Arial" w:cs="Arial" w:eastAsia="Arial" w:hAnsi="Arial"/>
                <w:sz w:val="18"/>
                <w:szCs w:val="18"/>
                <w:color w:val="auto"/>
              </w:rPr>
              <w:t>Piedras Bonitas Inversiones, LLC</w:t>
            </w:r>
          </w:p>
        </w:tc>
        <w:tc>
          <w:tcPr>
            <w:tcW w:w="168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 Sonrisa de Siena, LLC</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tcPr>
          <w:p>
            <w:pPr>
              <w:ind w:left="420"/>
              <w:spacing w:after="0"/>
              <w:rPr>
                <w:sz w:val="20"/>
                <w:szCs w:val="20"/>
                <w:color w:val="auto"/>
              </w:rPr>
            </w:pPr>
            <w:r>
              <w:rPr>
                <w:rFonts w:ascii="Arial" w:cs="Arial" w:eastAsia="Arial" w:hAnsi="Arial"/>
                <w:sz w:val="18"/>
                <w:szCs w:val="18"/>
                <w:color w:val="auto"/>
              </w:rPr>
              <w:t>Nuevo Comienzo, LLC</w:t>
            </w:r>
          </w:p>
        </w:tc>
        <w:tc>
          <w:tcPr>
            <w:tcW w:w="168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El Vecino de Amigos, LLC</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20" w:type="dxa"/>
            <w:vAlign w:val="bottom"/>
            <w:gridSpan w:val="2"/>
          </w:tcPr>
          <w:p>
            <w:pPr>
              <w:ind w:left="420"/>
              <w:spacing w:after="0"/>
              <w:rPr>
                <w:sz w:val="20"/>
                <w:szCs w:val="20"/>
                <w:color w:val="auto"/>
              </w:rPr>
            </w:pPr>
            <w:r>
              <w:rPr>
                <w:rFonts w:ascii="Arial" w:cs="Arial" w:eastAsia="Arial" w:hAnsi="Arial"/>
                <w:sz w:val="18"/>
                <w:szCs w:val="18"/>
                <w:color w:val="auto"/>
              </w:rPr>
              <w:t>La Fuente de la Comunidad, LLC</w:t>
            </w:r>
          </w:p>
        </w:tc>
        <w:tc>
          <w:tcPr>
            <w:tcW w:w="168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23.1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5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Statements on Form S-8 (Nos. 333-155973 and 333-165019) pertaining to the 2008 Equity Incentive Plan of Grand Canyon Education, Inc. of our reports dated February 21, 2012, with respect to the consolidated financial statements of Grand Canyon Education, Inc., and the effectiveness of internal control over financial reporting of Grand Canyon Education, Inc., included in this Annual Report (Form 10-K) for the year ended December 31, 2011.</w:t>
      </w:r>
    </w:p>
    <w:p>
      <w:pPr>
        <w:spacing w:after="0" w:line="1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2012</w:t>
      </w:r>
    </w:p>
    <w:p>
      <w:pPr>
        <w:sectPr>
          <w:pgSz w:w="11900" w:h="16838" w:orient="portrait"/>
          <w:cols w:equalWidth="0" w:num="1">
            <w:col w:w="11420"/>
          </w:cols>
          <w:pgMar w:left="240" w:top="125"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44" w:lineRule="exact"/>
        <w:rPr>
          <w:sz w:val="20"/>
          <w:szCs w:val="20"/>
          <w:color w:val="auto"/>
        </w:rPr>
      </w:pPr>
    </w:p>
    <w:p>
      <w:pPr>
        <w:ind w:left="640" w:hanging="17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ending December 31, 2011 of Grand Canyon Education, Inc.;</w:t>
      </w:r>
    </w:p>
    <w:p>
      <w:pPr>
        <w:spacing w:after="0" w:line="144"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5"/>
          <w:szCs w:val="15"/>
          <w:color w:val="auto"/>
        </w:rPr>
      </w:pPr>
    </w:p>
    <w:p>
      <w:pPr>
        <w:ind w:right="460" w:firstLine="464"/>
        <w:spacing w:after="0" w:line="332" w:lineRule="auto"/>
        <w:tabs>
          <w:tab w:leader="none" w:pos="632"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8"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right="80" w:firstLine="921"/>
        <w:spacing w:after="0" w:line="259" w:lineRule="auto"/>
        <w:tabs>
          <w:tab w:leader="none" w:pos="1093"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right="300" w:firstLine="921"/>
        <w:spacing w:after="0" w:line="259" w:lineRule="auto"/>
        <w:tabs>
          <w:tab w:leader="none" w:pos="1103"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right="860" w:firstLine="921"/>
        <w:spacing w:after="0" w:line="332" w:lineRule="auto"/>
        <w:tabs>
          <w:tab w:leader="none" w:pos="1093"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6"/>
          <w:szCs w:val="16"/>
          <w:color w:val="auto"/>
        </w:rPr>
      </w:pPr>
    </w:p>
    <w:p>
      <w:pPr>
        <w:ind w:right="340" w:firstLine="921"/>
        <w:spacing w:after="0" w:line="259" w:lineRule="auto"/>
        <w:tabs>
          <w:tab w:leader="none" w:pos="1103"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6"/>
          <w:szCs w:val="16"/>
          <w:color w:val="auto"/>
        </w:rPr>
      </w:pPr>
    </w:p>
    <w:p>
      <w:pPr>
        <w:ind w:right="260" w:firstLine="921"/>
        <w:spacing w:after="0" w:line="268" w:lineRule="auto"/>
        <w:tabs>
          <w:tab w:leader="none" w:pos="1093"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8"/>
          <w:szCs w:val="18"/>
          <w:color w:val="auto"/>
        </w:rPr>
      </w:pPr>
    </w:p>
    <w:p>
      <w:pPr>
        <w:ind w:right="220" w:firstLine="921"/>
        <w:spacing w:after="0" w:line="268" w:lineRule="auto"/>
        <w:tabs>
          <w:tab w:leader="none" w:pos="1103"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February 21, 2012</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Brian E. Mueller</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Brian E. Mueller</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44" w:lineRule="exact"/>
        <w:rPr>
          <w:sz w:val="20"/>
          <w:szCs w:val="20"/>
          <w:color w:val="auto"/>
        </w:rPr>
      </w:pPr>
    </w:p>
    <w:p>
      <w:pPr>
        <w:ind w:left="640" w:hanging="17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ending December 31, 2011 of Grand Canyon Education, Inc.;</w:t>
      </w:r>
    </w:p>
    <w:p>
      <w:pPr>
        <w:spacing w:after="0" w:line="144"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5"/>
          <w:szCs w:val="15"/>
          <w:color w:val="auto"/>
        </w:rPr>
      </w:pPr>
    </w:p>
    <w:p>
      <w:pPr>
        <w:ind w:right="460" w:firstLine="464"/>
        <w:spacing w:after="0" w:line="332" w:lineRule="auto"/>
        <w:tabs>
          <w:tab w:leader="none" w:pos="632"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8"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right="80" w:firstLine="921"/>
        <w:spacing w:after="0" w:line="259" w:lineRule="auto"/>
        <w:tabs>
          <w:tab w:leader="none" w:pos="1093"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right="300" w:firstLine="921"/>
        <w:spacing w:after="0" w:line="259" w:lineRule="auto"/>
        <w:tabs>
          <w:tab w:leader="none" w:pos="1103"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right="860" w:firstLine="921"/>
        <w:spacing w:after="0" w:line="332" w:lineRule="auto"/>
        <w:tabs>
          <w:tab w:leader="none" w:pos="1093"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6"/>
          <w:szCs w:val="16"/>
          <w:color w:val="auto"/>
        </w:rPr>
      </w:pPr>
    </w:p>
    <w:p>
      <w:pPr>
        <w:ind w:right="340" w:firstLine="921"/>
        <w:spacing w:after="0" w:line="259" w:lineRule="auto"/>
        <w:tabs>
          <w:tab w:leader="none" w:pos="1103"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6"/>
          <w:szCs w:val="16"/>
          <w:color w:val="auto"/>
        </w:rPr>
      </w:pPr>
    </w:p>
    <w:p>
      <w:pPr>
        <w:ind w:right="260" w:firstLine="921"/>
        <w:spacing w:after="0" w:line="268" w:lineRule="auto"/>
        <w:tabs>
          <w:tab w:leader="none" w:pos="1093"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8"/>
          <w:szCs w:val="18"/>
          <w:color w:val="auto"/>
        </w:rPr>
      </w:pPr>
    </w:p>
    <w:p>
      <w:pPr>
        <w:ind w:right="220" w:firstLine="921"/>
        <w:spacing w:after="0" w:line="268" w:lineRule="auto"/>
        <w:tabs>
          <w:tab w:leader="none" w:pos="1103"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February 21, 2012</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Daniel E. Bachus</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Daniel E. Bachus</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Officer and Principal Accounting Officer)</w:t>
            </w:r>
          </w:p>
        </w:tc>
      </w:tr>
    </w:tbl>
    <w:p>
      <w:pPr>
        <w:sectPr>
          <w:pgSz w:w="11900" w:h="16838" w:orient="portrait"/>
          <w:cols w:equalWidth="0" w:num="1">
            <w:col w:w="11420"/>
          </w:cols>
          <w:pgMar w:left="240" w:top="12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3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connection with the Annual Report on Form 10-K of Grand Canyon Education, Inc. (the “University”) for the year ending December 31, 2011 as filed with the Securities and Exchange Commission on the date hereof (the “Report”), I, Brian E. Mueller, Chief Executive Officer, of the University, certify, pursuant to § 906 of the Sarbanes-Oxley Act of 2002,18 U.S.C. § 1350, as adopted pursuant to Section 906 of the Sarbanes-Oxley Act of 2002, that to the best of my knowledge:</w:t>
      </w:r>
    </w:p>
    <w:p>
      <w:pPr>
        <w:spacing w:after="0" w:line="130"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 and</w:t>
      </w:r>
    </w:p>
    <w:p>
      <w:pPr>
        <w:spacing w:after="0" w:line="157" w:lineRule="exact"/>
        <w:rPr>
          <w:rFonts w:ascii="Arial" w:cs="Arial" w:eastAsia="Arial" w:hAnsi="Arial"/>
          <w:sz w:val="18"/>
          <w:szCs w:val="18"/>
          <w:color w:val="auto"/>
        </w:rPr>
      </w:pPr>
    </w:p>
    <w:p>
      <w:pPr>
        <w:ind w:right="720" w:firstLine="8"/>
        <w:spacing w:after="0" w:line="414" w:lineRule="auto"/>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University. Date: February 21, 2012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420"/>
          </w:cols>
          <w:pgMar w:left="240" w:top="125"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3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connection with the Annual Report on Form 10-K of Grand Canyon Education, Inc. (the “University”) for the year ending December 31, 2011 as filed with the Securities and Exchange Commission on the date hereof (the “Report”), I, Daniel E. Bachus, Chief Financial Officer, of the University, certify, pursuant to § 906 of the Sarbanes-Oxley Act of 2002,18 U.S.C. § 1350, as adopted pursuant to Section 906 of the Sarbanes-Oxley Act of 2002, that to the best of my knowledge:</w:t>
      </w:r>
    </w:p>
    <w:p>
      <w:pPr>
        <w:spacing w:after="0" w:line="130"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 and</w:t>
      </w:r>
    </w:p>
    <w:p>
      <w:pPr>
        <w:spacing w:after="0" w:line="157" w:lineRule="exact"/>
        <w:rPr>
          <w:rFonts w:ascii="Arial" w:cs="Arial" w:eastAsia="Arial" w:hAnsi="Arial"/>
          <w:sz w:val="18"/>
          <w:szCs w:val="18"/>
          <w:color w:val="auto"/>
        </w:rPr>
      </w:pPr>
    </w:p>
    <w:p>
      <w:pPr>
        <w:ind w:right="720" w:firstLine="8"/>
        <w:spacing w:after="0" w:line="425" w:lineRule="auto"/>
        <w:tabs>
          <w:tab w:leader="none" w:pos="446"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University. Date: February 21, 2012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and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1)"/>
      <w:numFmt w:val="decimal"/>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lvl w:ilvl="1">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lvl w:ilvl="1">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1)"/>
      <w:numFmt w:val="decimal"/>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1)"/>
      <w:numFmt w:val="lowerLetter"/>
      <w:start w:val="1"/>
    </w:lvl>
  </w:abstractNum>
  <w:abstractNum w:abstractNumId="39">
    <w:nsid w:val="75C6C33A"/>
    <w:multiLevelType w:val="hybridMultilevel"/>
    <w:lvl w:ilvl="0">
      <w:lvlJc w:val="left"/>
      <w:lvlText w:val="(%1)"/>
      <w:numFmt w:val="lowerLetter"/>
      <w:start w:val="5"/>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1)"/>
      <w:numFmt w:val="lowerRoman"/>
      <w:start w:val="3"/>
    </w:lvl>
  </w:abstractNum>
  <w:abstractNum w:abstractNumId="43">
    <w:nsid w:val="374A3FE6"/>
    <w:multiLevelType w:val="hybridMultilevel"/>
    <w:lvl w:ilvl="0">
      <w:lvlJc w:val="left"/>
      <w:lvlText w:val="(%1)"/>
      <w:numFmt w:val="decimal"/>
      <w:start w:val="1"/>
    </w:lvl>
  </w:abstractNum>
  <w:abstractNum w:abstractNumId="44">
    <w:nsid w:val="4F4EF005"/>
    <w:multiLevelType w:val="hybridMultilevel"/>
    <w:lvl w:ilvl="0">
      <w:lvlJc w:val="left"/>
      <w:lvlText w:val="(%1)"/>
      <w:numFmt w:val="decimal"/>
      <w:start w:val="1"/>
    </w:lvl>
  </w:abstractNum>
  <w:abstractNum w:abstractNumId="45">
    <w:nsid w:val="23F9C13C"/>
    <w:multiLevelType w:val="hybridMultilevel"/>
    <w:lvl w:ilvl="0">
      <w:lvlJc w:val="left"/>
      <w:lvlText w:val="(%1)"/>
      <w:numFmt w:val="decimal"/>
      <w:start w:val="2"/>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1)"/>
      <w:numFmt w:val="lowerRoman"/>
      <w:start w:val="2"/>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1)"/>
      <w:numFmt w:val="decimal"/>
      <w:start w:val="1"/>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1)"/>
      <w:numFmt w:val="decimal"/>
      <w:start w:val="1"/>
    </w:lvl>
  </w:abstractNum>
  <w:abstractNum w:abstractNumId="52">
    <w:nsid w:val="47398C89"/>
    <w:multiLevelType w:val="hybridMultilevel"/>
    <w:lvl w:ilvl="0">
      <w:lvlJc w:val="left"/>
      <w:lvlText w:val="(%1)"/>
      <w:numFmt w:val="lowerRoman"/>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1)"/>
      <w:numFmt w:val="lowerLetter"/>
      <w:start w:val="1"/>
    </w:lvl>
    <w:lvl w:ilvl="1">
      <w:lvlJc w:val="left"/>
      <w:lvlText w:val="%2."/>
      <w:numFmt w:val="decimal"/>
      <w:start w:val="1"/>
    </w:lvl>
  </w:abstractNum>
  <w:abstractNum w:abstractNumId="55">
    <w:nsid w:val="741226BB"/>
    <w:multiLevelType w:val="hybridMultilevel"/>
    <w:lvl w:ilvl="0">
      <w:lvlJc w:val="left"/>
      <w:lvlText w:val="%1."/>
      <w:numFmt w:val="decimal"/>
      <w:start w:val="3"/>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2019-12-09T19:46:59Z</dcterms:created>
  <dcterms:modified xsi:type="dcterms:W3CDTF">2019-12-09T19:46:59Z</dcterms:modified>
</cp:coreProperties>
</file>