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380"/>
        <w:spacing w:after="0"/>
        <w:tabs>
          <w:tab w:leader="none" w:pos="6700" w:val="left"/>
          <w:tab w:leader="none" w:pos="7960" w:val="left"/>
        </w:tabs>
        <w:rPr>
          <w:sz w:val="20"/>
          <w:szCs w:val="20"/>
          <w:color w:val="auto"/>
        </w:rPr>
      </w:pPr>
      <w:r>
        <w:rPr>
          <w:rFonts w:ascii="Arial" w:cs="Arial" w:eastAsia="Arial" w:hAnsi="Arial"/>
          <w:sz w:val="18"/>
          <w:szCs w:val="18"/>
          <w:b w:val="1"/>
          <w:bCs w:val="1"/>
          <w:color w:val="auto"/>
        </w:rPr>
        <w:t>For the transition period from [</w:t>
      </w:r>
      <w:r>
        <w:rPr>
          <w:sz w:val="20"/>
          <w:szCs w:val="20"/>
          <w:color w:val="auto"/>
        </w:rPr>
        <w:tab/>
      </w:r>
      <w:r>
        <w:rPr>
          <w:rFonts w:ascii="Arial" w:cs="Arial" w:eastAsia="Arial" w:hAnsi="Arial"/>
          <w:sz w:val="18"/>
          <w:szCs w:val="18"/>
          <w:b w:val="1"/>
          <w:bCs w:val="1"/>
          <w:color w:val="auto"/>
        </w:rPr>
        <w:t>] to [</w:t>
      </w:r>
      <w:r>
        <w:rPr>
          <w:sz w:val="20"/>
          <w:szCs w:val="20"/>
          <w:color w:val="auto"/>
        </w:rPr>
        <w:tab/>
      </w:r>
      <w:r>
        <w:rPr>
          <w:rFonts w:ascii="Arial" w:cs="Arial" w:eastAsia="Arial" w:hAnsi="Arial"/>
          <w:sz w:val="18"/>
          <w:szCs w:val="18"/>
          <w:b w:val="1"/>
          <w:bCs w:val="1"/>
          <w:color w:val="auto"/>
        </w:rPr>
        <w:t>]</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3300 W. CAMELBACK ROAD, PHOENIX, ARIZONA 85017</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Registrant’s telephone number, including area code: (602) 639-7500</w:t>
      </w:r>
    </w:p>
    <w:p>
      <w:pPr>
        <w:spacing w:after="0" w:line="225"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1700" w:type="dxa"/>
        <w:tblCellMar>
          <w:top w:w="0" w:type="dxa"/>
          <w:left w:w="0" w:type="dxa"/>
          <w:bottom w:w="0" w:type="dxa"/>
          <w:right w:w="0" w:type="dxa"/>
        </w:tblCellMar>
      </w:tblPr>
      <w:tr>
        <w:trPr>
          <w:trHeight w:val="185"/>
        </w:trPr>
        <w:tc>
          <w:tcPr>
            <w:tcW w:w="560" w:type="dxa"/>
            <w:vAlign w:val="bottom"/>
            <w:vMerge w:val="restart"/>
          </w:tcPr>
          <w:p>
            <w:pPr>
              <w:spacing w:after="0"/>
              <w:rPr>
                <w:sz w:val="20"/>
                <w:szCs w:val="20"/>
                <w:color w:val="auto"/>
              </w:rPr>
            </w:pPr>
            <w:r>
              <w:rPr>
                <w:rFonts w:ascii="Arial" w:cs="Arial" w:eastAsia="Arial" w:hAnsi="Arial"/>
                <w:sz w:val="18"/>
                <w:szCs w:val="18"/>
                <w:b w:val="1"/>
                <w:bCs w:val="1"/>
                <w:color w:val="auto"/>
              </w:rPr>
              <w:t>Grand</w:t>
            </w: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(Title of Each Class)</w:t>
            </w:r>
          </w:p>
        </w:tc>
        <w:tc>
          <w:tcPr>
            <w:tcW w:w="3680" w:type="dxa"/>
            <w:vAlign w:val="bottom"/>
          </w:tcPr>
          <w:p>
            <w:pPr>
              <w:spacing w:after="0"/>
              <w:rPr>
                <w:sz w:val="16"/>
                <w:szCs w:val="16"/>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494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Canyon Education, Inc.</w:t>
            </w:r>
          </w:p>
        </w:tc>
        <w:tc>
          <w:tcPr>
            <w:tcW w:w="290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6"/>
              </w:rPr>
              <w:t>The NASDAQ Global Market</w:t>
            </w:r>
          </w:p>
        </w:tc>
        <w:tc>
          <w:tcPr>
            <w:tcW w:w="0" w:type="dxa"/>
            <w:vAlign w:val="bottom"/>
          </w:tcPr>
          <w:p>
            <w:pPr>
              <w:spacing w:after="0"/>
              <w:rPr>
                <w:sz w:val="1"/>
                <w:szCs w:val="1"/>
                <w:color w:val="auto"/>
              </w:rPr>
            </w:pPr>
          </w:p>
        </w:tc>
      </w:tr>
      <w:tr>
        <w:trPr>
          <w:trHeight w:val="234"/>
        </w:trPr>
        <w:tc>
          <w:tcPr>
            <w:tcW w:w="550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Common stock, $.01 par value</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None</w:t>
      </w:r>
    </w:p>
    <w:p>
      <w:pPr>
        <w:spacing w:after="0" w:line="202"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bookmarkStart w:id="1" w:name="page2"/>
    <w:bookmarkEnd w:id="1"/>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9" w:lineRule="exact"/>
        <w:rPr>
          <w:sz w:val="20"/>
          <w:szCs w:val="20"/>
          <w:color w:val="auto"/>
        </w:rPr>
      </w:pPr>
    </w:p>
    <w:p>
      <w:pPr>
        <w:sectPr>
          <w:pgSz w:w="11900" w:h="16838" w:orient="portrait"/>
          <w:cols w:equalWidth="0" w:num="5">
            <w:col w:w="8920" w:space="160"/>
            <w:col w:w="280" w:space="80"/>
            <w:col w:w="160" w:space="180"/>
            <w:col w:w="220" w:space="100"/>
            <w:col w:w="1320"/>
          </w:cols>
          <w:pgMar w:left="240" w:top="91" w:right="239" w:bottom="1440" w:gutter="0" w:footer="0" w:header="0"/>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9060" w:space="180"/>
            <w:col w:w="260" w:space="100"/>
            <w:col w:w="160" w:space="180"/>
            <w:col w:w="220" w:space="80"/>
            <w:col w:w="1180"/>
          </w:cols>
          <w:pgMar w:left="240" w:top="91" w:right="239" w:bottom="1440" w:gutter="0" w:footer="0" w:header="0"/>
          <w:type w:val="continuous"/>
        </w:sectPr>
      </w:pPr>
    </w:p>
    <w:p>
      <w:pPr>
        <w:spacing w:after="0" w:line="37" w:lineRule="exact"/>
        <w:rPr>
          <w:sz w:val="20"/>
          <w:szCs w:val="20"/>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100"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91" w:right="23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91"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91"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9400" w:space="160"/>
            <w:col w:w="280" w:space="80"/>
            <w:col w:w="160" w:space="180"/>
            <w:col w:w="220" w:space="100"/>
            <w:col w:w="840"/>
          </w:cols>
          <w:pgMar w:left="240" w:top="91"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number of shares of common stock outstanding as of February 12, 2015 was 46,749,781.</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June 30, 2014, the last business day of the registrant’s most recently completed second fiscal quarter, the registrant’s common stock was listed on the NASDAQ Global Market. As of June 30, 2014, the aggregate market value of the registrant’s common stock held by non-affiliates was approximately $2.1 billion.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Certain portions of the registrant’s Definitive Proxy Statement for its 2015 Annual Meeting of Stockholders (which is expected to be filed with the Commission within 120 days after the end of the registrant’s 2014 fiscal year)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11"/>
          </w:tcPr>
          <w:p>
            <w:pPr>
              <w:jc w:val="center"/>
              <w:ind w:right="3500"/>
              <w:spacing w:after="0"/>
              <w:rPr>
                <w:sz w:val="20"/>
                <w:szCs w:val="20"/>
                <w:color w:val="auto"/>
              </w:rPr>
            </w:pPr>
            <w:r>
              <w:rPr>
                <w:rFonts w:ascii="Arial" w:cs="Arial" w:eastAsia="Arial" w:hAnsi="Arial"/>
                <w:sz w:val="18"/>
                <w:szCs w:val="18"/>
                <w:color w:val="auto"/>
                <w:w w:val="98"/>
              </w:rPr>
              <w:t>GRAND CANYON EDUCATION, INC.</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7"/>
          </w:tcPr>
          <w:p>
            <w:pPr>
              <w:jc w:val="center"/>
              <w:ind w:right="4820"/>
              <w:spacing w:after="0"/>
              <w:rPr>
                <w:sz w:val="20"/>
                <w:szCs w:val="20"/>
                <w:color w:val="auto"/>
              </w:rPr>
            </w:pPr>
            <w:r>
              <w:rPr>
                <w:rFonts w:ascii="Arial" w:cs="Arial" w:eastAsia="Arial" w:hAnsi="Arial"/>
                <w:sz w:val="18"/>
                <w:szCs w:val="18"/>
                <w:color w:val="auto"/>
                <w:w w:val="95"/>
              </w:rPr>
              <w:t>FORM 10-K</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6"/>
          </w:tcPr>
          <w:p>
            <w:pPr>
              <w:jc w:val="center"/>
              <w:ind w:right="5000"/>
              <w:spacing w:after="0"/>
              <w:rPr>
                <w:sz w:val="20"/>
                <w:szCs w:val="20"/>
                <w:color w:val="auto"/>
              </w:rPr>
            </w:pPr>
            <w:r>
              <w:rPr>
                <w:rFonts w:ascii="Arial" w:cs="Arial" w:eastAsia="Arial" w:hAnsi="Arial"/>
                <w:sz w:val="18"/>
                <w:szCs w:val="18"/>
                <w:color w:val="auto"/>
              </w:rPr>
              <w:t>INDEX</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0420" w:type="dxa"/>
            <w:vAlign w:val="bottom"/>
            <w:gridSpan w:val="26"/>
            <w:vMerge w:val="restart"/>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gridSpan w:val="2"/>
            <w:vMerge w:val="continue"/>
          </w:tcPr>
          <w:p>
            <w:pPr>
              <w:spacing w:after="0"/>
              <w:rPr>
                <w:sz w:val="13"/>
                <w:szCs w:val="13"/>
                <w:color w:val="auto"/>
              </w:rPr>
            </w:pPr>
          </w:p>
        </w:tc>
        <w:tc>
          <w:tcPr>
            <w:tcW w:w="10420" w:type="dxa"/>
            <w:vAlign w:val="bottom"/>
            <w:gridSpan w:val="26"/>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Special Note Regarding Forward-Looking Statements</w:t>
              </w:r>
            </w:hyperlink>
          </w:p>
        </w:tc>
        <w:tc>
          <w:tcPr>
            <w:tcW w:w="712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9060" w:type="dxa"/>
            <w:vAlign w:val="bottom"/>
            <w:gridSpan w:val="1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1B. Unresolved Staff Comments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7"/>
          </w:tcPr>
          <w:p>
            <w:pPr>
              <w:spacing w:after="0"/>
              <w:rPr>
                <w:sz w:val="24"/>
                <w:szCs w:val="24"/>
                <w:color w:val="auto"/>
              </w:rPr>
            </w:pPr>
          </w:p>
        </w:tc>
        <w:tc>
          <w:tcPr>
            <w:tcW w:w="794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9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3. Legal Proceedings</w:t>
              </w:r>
            </w:hyperlink>
          </w:p>
        </w:tc>
        <w:tc>
          <w:tcPr>
            <w:tcW w:w="876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3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Item 4. Mine Safety Disclosures</w:t>
              </w:r>
            </w:hyperlink>
          </w:p>
        </w:tc>
        <w:tc>
          <w:tcPr>
            <w:tcW w:w="83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1020" w:type="dxa"/>
            <w:vAlign w:val="bottom"/>
            <w:gridSpan w:val="28"/>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5. Market for Registrant’s Common Equity, Related Stockholder Matters and Issuer Purchases of Equity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8680" w:type="dxa"/>
            <w:vAlign w:val="bottom"/>
            <w:tcBorders>
              <w:top w:val="single" w:sz="8" w:color="0000EE"/>
            </w:tcBorders>
            <w:gridSpan w:val="2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6. Selected Consolidated Financial and Other Data</w:t>
              </w:r>
            </w:hyperlink>
          </w:p>
        </w:tc>
        <w:tc>
          <w:tcPr>
            <w:tcW w:w="1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7. 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06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24"/>
                <w:szCs w:val="24"/>
                <w:color w:val="auto"/>
              </w:rPr>
            </w:pPr>
          </w:p>
        </w:tc>
        <w:tc>
          <w:tcPr>
            <w:tcW w:w="364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8. Consolidated Financial Statements and Supplementary Data</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708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Item 9. Changes in and Disagreements With Accountants on Accounting and Financial Disclosure</w:t>
              </w:r>
            </w:hyperlink>
          </w:p>
        </w:tc>
        <w:tc>
          <w:tcPr>
            <w:tcW w:w="35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4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Item 9A. Controls and Procedures</w:t>
              </w:r>
            </w:hyperlink>
          </w:p>
        </w:tc>
        <w:tc>
          <w:tcPr>
            <w:tcW w:w="818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0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86">
              <w:r>
                <w:rPr>
                  <w:rFonts w:ascii="Arial" w:cs="Arial" w:eastAsia="Arial" w:hAnsi="Arial"/>
                  <w:sz w:val="18"/>
                  <w:szCs w:val="18"/>
                  <w:color w:val="0000EE"/>
                  <w:w w:val="93"/>
                </w:rPr>
                <w:t>Item 9B. Other Information</w:t>
              </w:r>
            </w:hyperlink>
          </w:p>
        </w:tc>
        <w:tc>
          <w:tcPr>
            <w:tcW w:w="866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III</w:t>
              </w:r>
            </w:hyperlink>
          </w:p>
        </w:tc>
        <w:tc>
          <w:tcPr>
            <w:tcW w:w="10280" w:type="dxa"/>
            <w:vAlign w:val="bottom"/>
            <w:gridSpan w:val="23"/>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10. Directors, Executive Officers and Corporate Governance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6"/>
          </w:tcPr>
          <w:p>
            <w:pPr>
              <w:spacing w:after="0"/>
              <w:rPr>
                <w:sz w:val="24"/>
                <w:szCs w:val="24"/>
                <w:color w:val="auto"/>
              </w:rPr>
            </w:pPr>
          </w:p>
        </w:tc>
        <w:tc>
          <w:tcPr>
            <w:tcW w:w="592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12. Security Ownership of Certain Beneficial Owners and Management and Related Stockholder Matters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7940" w:type="dxa"/>
            <w:vAlign w:val="bottom"/>
            <w:tcBorders>
              <w:top w:val="single" w:sz="8" w:color="0000EE"/>
            </w:tcBorders>
            <w:gridSpan w:val="2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13. Certain Relationships and Related Transactions, and Director Independence</w:t>
              </w:r>
            </w:hyperlink>
          </w:p>
        </w:tc>
        <w:tc>
          <w:tcPr>
            <w:tcW w:w="272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6100" w:type="dxa"/>
            <w:vAlign w:val="bottom"/>
            <w:tcBorders>
              <w:top w:val="single" w:sz="8" w:color="0000EE"/>
            </w:tcBorders>
            <w:gridSpan w:val="2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14. Principal Accounting Fees and Services</w:t>
              </w:r>
            </w:hyperlink>
          </w:p>
        </w:tc>
        <w:tc>
          <w:tcPr>
            <w:tcW w:w="45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780" w:type="dxa"/>
            <w:vAlign w:val="bottom"/>
            <w:gridSpan w:val="10"/>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28"/>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IV</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60" w:type="dxa"/>
            <w:vAlign w:val="bottom"/>
            <w:gridSpan w:val="14"/>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15. Exhibits and Consolidated Financial Statement Schedules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4060" w:type="dxa"/>
            <w:vAlign w:val="bottom"/>
            <w:gridSpan w:val="14"/>
            <w:shd w:val="clear" w:color="auto" w:fill="0000EE"/>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2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45"/>
        </w:trPr>
        <w:tc>
          <w:tcPr>
            <w:tcW w:w="11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Exhibit Index</w:t>
            </w:r>
          </w:p>
        </w:tc>
        <w:tc>
          <w:tcPr>
            <w:tcW w:w="9920" w:type="dxa"/>
            <w:vAlign w:val="bottom"/>
            <w:gridSpan w:val="22"/>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60" w:type="dxa"/>
            <w:vAlign w:val="bottom"/>
            <w:gridSpan w:val="23"/>
          </w:tcPr>
          <w:p>
            <w:pPr>
              <w:jc w:val="center"/>
              <w:ind w:left="4870"/>
              <w:spacing w:after="0"/>
              <w:rPr>
                <w:sz w:val="20"/>
                <w:szCs w:val="20"/>
                <w:color w:val="auto"/>
              </w:rPr>
            </w:pPr>
            <w:r>
              <w:rPr>
                <w:rFonts w:ascii="Arial" w:cs="Arial" w:eastAsia="Arial" w:hAnsi="Arial"/>
                <w:sz w:val="18"/>
                <w:szCs w:val="18"/>
                <w:color w:val="auto"/>
                <w:w w:val="99"/>
              </w:rPr>
              <w:t>2</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This Annual Report on Form 10-K, including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contains certain “forward-looking statements,” which include information relating to future events, future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9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1480" w:right="100" w:hanging="446"/>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1480" w:hanging="446"/>
        <w:spacing w:after="0" w:line="34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1480" w:right="54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1480" w:right="2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the expansion of our campus, potential acquisitions of, or investments in, new businesses, acquisitions of new properties, or the development of new campuses;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competition, including competition for qualified executives and other personnel;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1480" w:right="280" w:hanging="446"/>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a comprehensive regionally accredited university that offers over 160 graduate and undergraduate degree programs across eight colleges both online and on ground at our approximately 205 acre campus in Phoenix, Arizona, and at facilities we lease and at facilities owned by third party employers. Our undergraduate programs are designed to be innovative and meet the future needs of employers, while providing students with the needed critical thinking and effective communication skills developed through a Christian-oriented, liberal arts foundation. We are committed to providing an academically rigorous educational experience with a focus on professionally relevant programs that meet the objectives of our students. We utilize an integrated, innovative approach to marketing, recruiting, and retaining both traditional aged students attending on our campus in Phoenix, Arizona and working adult students attending on our campus or at off-site locations in cohorts (referred to by us as professional studies students) or online, which has enabled us to increase enrollment to approximately 67,800 students at December 31, 2014. At December 31, 2014, 81.2% of our students were enrolled in our online programs, and, of our working adult students (online and professional studies students), 46.0% were pursuing masters or doctoral degrees.</w:t>
      </w:r>
    </w:p>
    <w:p>
      <w:pPr>
        <w:spacing w:after="0" w:line="16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define working adults as students age 25 or older who are pursuing a degree while employed. As of December 31, 2014, approximately 87.6% of our online and professional studies students were age 25 or older. We believe that working adults are attracted to the convenience and flexibility of our online programs because they can study and interact with faculty and classmates during times that suit their schedules. We also believe that working adults, particularly those who have some college experience, represent an attractive student population because they are better able to finance their education, more readily recognize the benefits of a postsecondary degree, and have higher persistence and completion rates than students generally.</w:t>
      </w:r>
    </w:p>
    <w:p>
      <w:pPr>
        <w:spacing w:after="0" w:line="15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2014, we continued to increase the number of students in attendance at our expanding traditional ground campus. We believe our strong campus presence in Arizona is a key branding tool that is attractive to many students. We are able to provide traditional ground students an opportunity to earn an education at a private, Christian-oriented university at rates equivalent to those of a state funded university. We plan to increase enrollment growth for our traditional campus over the next few years, and seek to have 17,500 traditional ground students in attendance at the beginning of our 2016-2017 academic year. In November 2012, we accepted an invitation to become a member of the Division I Western Athletic Conference beginning with the 2013-2014 academic year, and in 2013 we began the four-year process to reclassify our NCAA membership from Division II to Division I. During the reclassification process we are considered a Division I university and are playing full conference schedules but are ineligible to compete for national championships which, for example, precludes us from playing in the end-of-year NCAA basketball tournament during that period of time.</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experienced significant growth in enrollment, net revenue, and operating income over the last several years. Our enrollment at December 31, 2014 was approximately 67,800, representing an increase of approximately 13.7% over our enrollment at December 31, 2013. Our net revenue and operating income for the year ended December 31, 2014 were $691.1 million and $180.8 million, respectively, representing increases of 15.5% and 26.2%, respectively, over the year ended December 31, 2013. Our net revenue and operating income for the year ended December 31, 2013 were $598.3 million and $143.3 million, respectively, representing increases of 17.0% and 25.6%, respectively, over the year ended December 31, 2012. We seek to achieve continued growth in a manner that reinforces our reputation for providing academically rigorous, professionally relevant educational programs that advance the educations and careers of our students.</w:t>
      </w:r>
    </w:p>
    <w:p>
      <w:pPr>
        <w:spacing w:after="0" w:line="18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have been regionally accredited by the Higher Learning Commission and its predecessor since 1968, and we were reaccredited in 2007 for the maximum term of ten years. We are regulated by the Department of Education as a result of our participation in the federal student financial aid programs authorized by Title IV of the Higher Education Act (hereafter, Title IV), and, at the state level, we are licensed to operate and offer our programs by the Arizona State Board for Private Postsecondary Education, the Arizona Department of Education for Institutional Recommendation Programs and the Arizona Board of Nursing. In addition, we have specialized accreditations for certain programs from the Accreditation Council for Business Schools and Programs, the Commission on Collegiate Nursing Education, and the Commission on Accreditation of Athletic Training Education. In addition, we are a candidate for accreditation by the National Council for Accreditation of Teacher Education (NCATE). We believe that our institution-wide state authorization and regional accreditation, together with these specialized accreditations, reflect the quality of our programs, enhance their marketability to students, and improve the employability of our graduates.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an interdenominational Christian university.</w:t>
      </w:r>
    </w:p>
    <w:p>
      <w:pPr>
        <w:sectPr>
          <w:pgSz w:w="11900" w:h="16838" w:orient="portrait"/>
          <w:cols w:equalWidth="0" w:num="1">
            <w:col w:w="11420"/>
          </w:cols>
          <w:pgMar w:left="240" w:top="459"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In late 2003, the school’s Board of Trustees initiated a process to evaluate alternatives as a result of the school’s poor financial condition and, in February 2004, a group of investors acquired the assets of the school and converted the school into a for-profit institution.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Academic Quality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 key elements that we focus on to promote a high level of academic quality include:</w:t>
      </w:r>
    </w:p>
    <w:p>
      <w:pPr>
        <w:spacing w:after="0" w:line="131" w:lineRule="exact"/>
        <w:rPr>
          <w:sz w:val="20"/>
          <w:szCs w:val="20"/>
          <w:color w:val="auto"/>
        </w:rPr>
      </w:pPr>
    </w:p>
    <w:p>
      <w:pPr>
        <w:ind w:left="1480" w:right="20" w:hanging="446"/>
        <w:spacing w:after="0" w:line="255"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Academically rigorous, professionally relevant curricula. </w:t>
      </w:r>
      <w:r>
        <w:rPr>
          <w:rFonts w:ascii="Arial" w:cs="Arial" w:eastAsia="Arial" w:hAnsi="Arial"/>
          <w:sz w:val="18"/>
          <w:szCs w:val="18"/>
          <w:color w:val="auto"/>
        </w:rPr>
        <w:t>We create academically rigorous curricula that are designed to enable all</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to gain the foundational knowledge, professional competencies, and demonstrable skills required to be successful in their chosen fields. Our curriculum is designed and delivered by faculty and industry-specific subject-matter experts who are committed to high quality, rigorous education and professional preparedness. We design our curricula to address specific objectives that pre-career and working-adult students need and are seeking. Through this combination, we believe that we produce graduates that can compete with integrity and become leaders in their chosen fields.</w:t>
      </w:r>
    </w:p>
    <w:p>
      <w:pPr>
        <w:spacing w:after="0" w:line="98" w:lineRule="exact"/>
        <w:rPr>
          <w:rFonts w:ascii="Arial" w:cs="Arial" w:eastAsia="Arial" w:hAnsi="Arial"/>
          <w:sz w:val="18"/>
          <w:szCs w:val="18"/>
          <w:color w:val="auto"/>
        </w:rPr>
      </w:pPr>
    </w:p>
    <w:p>
      <w:pPr>
        <w:ind w:left="1480" w:right="120" w:hanging="446"/>
        <w:spacing w:after="0" w:line="271"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Qualified faculty. </w:t>
      </w:r>
      <w:r>
        <w:rPr>
          <w:rFonts w:ascii="Arial" w:cs="Arial" w:eastAsia="Arial" w:hAnsi="Arial"/>
          <w:sz w:val="17"/>
          <w:szCs w:val="17"/>
          <w:color w:val="auto"/>
        </w:rPr>
        <w:t>We demonstrate our commitment to high quality education by hiring qualified faculty with relevant practical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Substantially all of our current faculty members hold at least a master’s degree in their respective fields and approximately 40% of our faculty members are doctorate prepared. Further, the University has implemented a full time faculty model for online course instruction. In 2014, almost all of the online first year courses were taught by an online, full time faculty member. We believe the presence of a full time faculty member in the classroom for the first year students results in increased student retention. We invest in the professional development of our faculty members by providing online and ground pedagogical training along with hosting events that encourage the development and sharing of best practices. Additionally, we also monitor and evaluate teaching effectiveness through assessment, peer reviews, and student evaluations.</w:t>
      </w:r>
    </w:p>
    <w:p>
      <w:pPr>
        <w:spacing w:after="0" w:line="84" w:lineRule="exact"/>
        <w:rPr>
          <w:rFonts w:ascii="Arial" w:cs="Arial" w:eastAsia="Arial" w:hAnsi="Arial"/>
          <w:sz w:val="17"/>
          <w:szCs w:val="17"/>
          <w:color w:val="auto"/>
        </w:rPr>
      </w:pPr>
    </w:p>
    <w:p>
      <w:pPr>
        <w:ind w:left="1480" w:right="20" w:hanging="446"/>
        <w:spacing w:after="0" w:line="25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Centralized program design and curriculum development. </w:t>
      </w:r>
      <w:r>
        <w:rPr>
          <w:rFonts w:ascii="Arial" w:cs="Arial" w:eastAsia="Arial" w:hAnsi="Arial"/>
          <w:sz w:val="18"/>
          <w:szCs w:val="18"/>
          <w:color w:val="auto"/>
        </w:rPr>
        <w:t>We employ a college driven highly collaboratively designed curriculum</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process to ensure a consistent learning experience. We thereafter continuously review our programs in an effort to ensure that they remain consistent, up-to-date, relevant, and effective in producing the desired learning outcomes. We also regularly review programmatic assessment results, mission based competency results, graduation rates, retention rates and constituency surveys to identify opportunities for course modifications and upgrades.</w:t>
      </w:r>
    </w:p>
    <w:p>
      <w:pPr>
        <w:spacing w:after="0" w:line="93" w:lineRule="exact"/>
        <w:rPr>
          <w:rFonts w:ascii="Arial" w:cs="Arial" w:eastAsia="Arial" w:hAnsi="Arial"/>
          <w:sz w:val="18"/>
          <w:szCs w:val="18"/>
          <w:color w:val="auto"/>
        </w:rPr>
      </w:pPr>
    </w:p>
    <w:p>
      <w:pPr>
        <w:ind w:left="1480" w:right="60" w:hanging="446"/>
        <w:spacing w:after="0" w:line="255"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Effective student services. </w:t>
      </w:r>
      <w:r>
        <w:rPr>
          <w:rFonts w:ascii="Arial" w:cs="Arial" w:eastAsia="Arial" w:hAnsi="Arial"/>
          <w:sz w:val="18"/>
          <w:szCs w:val="18"/>
          <w:color w:val="auto"/>
        </w:rPr>
        <w:t>We establish teams comprised of admissions and student services advisor personnel that act as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contact point for each of our students, beginning at the application stage and continuing through graduation. We also continually focus on improving the technology used to support student learning, including delivering a new online learning platform and further improving student services through the implementation of online interfaces. As a result, many of our support services, including academic, administrative, financial, library, and career services, are accessible online, generally allowing users to access these services at a time and in a manner that is convenient to them.</w:t>
      </w:r>
    </w:p>
    <w:p>
      <w:pPr>
        <w:spacing w:after="0" w:line="98" w:lineRule="exact"/>
        <w:rPr>
          <w:rFonts w:ascii="Arial" w:cs="Arial" w:eastAsia="Arial" w:hAnsi="Arial"/>
          <w:sz w:val="18"/>
          <w:szCs w:val="18"/>
          <w:color w:val="auto"/>
        </w:rPr>
      </w:pPr>
    </w:p>
    <w:p>
      <w:pPr>
        <w:ind w:left="1480" w:right="160" w:hanging="446"/>
        <w:spacing w:after="0" w:line="271"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Continual academic oversight. </w:t>
      </w:r>
      <w:r>
        <w:rPr>
          <w:rFonts w:ascii="Arial" w:cs="Arial" w:eastAsia="Arial" w:hAnsi="Arial"/>
          <w:sz w:val="17"/>
          <w:szCs w:val="17"/>
          <w:color w:val="auto"/>
        </w:rPr>
        <w:t>We have centralized the support functions of assessment for all of our programs through our Office of</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While each of our colleges continuously evaluates the desired learning outcomes for each of their programs, the Office of Assessment provides data collection and analysis support. We continuously assess outcomes data to determine whether our students graduate with the knowledge, competencies, and skills that are necessary to succeed in the workplace. The Office of Assessment also initiates and manages periodic examinations of the mission-based competencies in our curricula by full-time and adjunct reviewers to evaluate and verify mission-based competency attainment. Based on these processes and student feedback from both programmatic and mission-based assessment, we determine whether to modify or discontinue programs that do not meet our standards or market needs, or to create new programs.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offer the following features in an effort to enrich the academic experience of current and prospective students:</w:t>
      </w:r>
    </w:p>
    <w:p>
      <w:pPr>
        <w:spacing w:after="0" w:line="131" w:lineRule="exact"/>
        <w:rPr>
          <w:sz w:val="20"/>
          <w:szCs w:val="20"/>
          <w:color w:val="auto"/>
        </w:rPr>
      </w:pPr>
    </w:p>
    <w:p>
      <w:pPr>
        <w:ind w:left="1480" w:hanging="446"/>
        <w:spacing w:after="0" w:line="255"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Flexibility in program delivery. </w:t>
      </w:r>
      <w:r>
        <w:rPr>
          <w:rFonts w:ascii="Arial" w:cs="Arial" w:eastAsia="Arial" w:hAnsi="Arial"/>
          <w:sz w:val="18"/>
          <w:szCs w:val="18"/>
          <w:color w:val="auto"/>
        </w:rPr>
        <w:t>We seek to meet market demands by providing students with the flexibility to take courses exclusively</w:t>
      </w:r>
      <w:r>
        <w:rPr>
          <w:rFonts w:ascii="Arial" w:cs="Arial" w:eastAsia="Arial" w:hAnsi="Arial"/>
          <w:sz w:val="18"/>
          <w:szCs w:val="18"/>
          <w:i w:val="1"/>
          <w:iCs w:val="1"/>
          <w:color w:val="auto"/>
        </w:rPr>
        <w:t xml:space="preserve"> </w:t>
      </w:r>
      <w:r>
        <w:rPr>
          <w:rFonts w:ascii="Arial" w:cs="Arial" w:eastAsia="Arial" w:hAnsi="Arial"/>
          <w:sz w:val="18"/>
          <w:szCs w:val="18"/>
          <w:color w:val="auto"/>
        </w:rPr>
        <w:t>online or to combine online 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hanging="446"/>
        <w:spacing w:after="0" w:line="297"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Small class size. </w:t>
      </w:r>
      <w:r>
        <w:rPr>
          <w:rFonts w:ascii="Arial" w:cs="Arial" w:eastAsia="Arial" w:hAnsi="Arial"/>
          <w:sz w:val="16"/>
          <w:szCs w:val="16"/>
          <w:color w:val="auto"/>
        </w:rPr>
        <w:t>At December 31, 2014, 94.6% of our online and professional studies classes had 25 or fewer students. Our average class</w:t>
      </w:r>
      <w:r>
        <w:rPr>
          <w:rFonts w:ascii="Arial" w:cs="Arial" w:eastAsia="Arial" w:hAnsi="Arial"/>
          <w:sz w:val="16"/>
          <w:szCs w:val="16"/>
          <w:i w:val="1"/>
          <w:iCs w:val="1"/>
          <w:color w:val="auto"/>
        </w:rPr>
        <w:t xml:space="preserve"> </w:t>
      </w:r>
      <w:r>
        <w:rPr>
          <w:rFonts w:ascii="Arial" w:cs="Arial" w:eastAsia="Arial" w:hAnsi="Arial"/>
          <w:sz w:val="16"/>
          <w:szCs w:val="16"/>
          <w:color w:val="auto"/>
        </w:rPr>
        <w:t>size on our ground traditional campus is 28 students. 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 and Program Approvals</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believe that the quality of our academic programs is evidenced by our college- and program-specific accreditations and approvals. Grand Canyon University has been continuously accredited by the Higher Learning Commission and its predecessor since 1968, most recently obtaining reaccreditation in 2007 for the ten-year period through 2017. We are licensed in Arizona by the Arizona State Board for Private Postsecondary Education. In addition, we have obtained the following specialized accreditations and approvals for our core program offerings: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32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2"/>
              </w:rPr>
              <w:t>Specialized Accreditations and Program</w:t>
            </w:r>
          </w:p>
        </w:tc>
        <w:tc>
          <w:tcPr>
            <w:tcW w:w="2100" w:type="dxa"/>
            <w:vAlign w:val="bottom"/>
          </w:tcPr>
          <w:p>
            <w:pPr>
              <w:spacing w:after="0"/>
              <w:rPr>
                <w:sz w:val="14"/>
                <w:szCs w:val="14"/>
                <w:color w:val="auto"/>
              </w:rPr>
            </w:pPr>
          </w:p>
        </w:tc>
      </w:tr>
      <w:tr>
        <w:trPr>
          <w:trHeight w:val="185"/>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College</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60" w:type="dxa"/>
            <w:vAlign w:val="bottom"/>
            <w:gridSpan w:val="2"/>
          </w:tcPr>
          <w:p>
            <w:pPr>
              <w:jc w:val="center"/>
              <w:ind w:right="2380"/>
              <w:spacing w:after="0"/>
              <w:rPr>
                <w:sz w:val="20"/>
                <w:szCs w:val="20"/>
                <w:color w:val="auto"/>
              </w:rPr>
            </w:pPr>
            <w:r>
              <w:rPr>
                <w:rFonts w:ascii="Arial" w:cs="Arial" w:eastAsia="Arial" w:hAnsi="Arial"/>
                <w:sz w:val="14"/>
                <w:szCs w:val="14"/>
                <w:b w:val="1"/>
                <w:bCs w:val="1"/>
                <w:color w:val="auto"/>
                <w:w w:val="93"/>
              </w:rPr>
              <w:t>Approvals</w:t>
            </w:r>
          </w:p>
        </w:tc>
        <w:tc>
          <w:tcPr>
            <w:tcW w:w="2100" w:type="dxa"/>
            <w:vAlign w:val="bottom"/>
          </w:tcPr>
          <w:p>
            <w:pPr>
              <w:ind w:left="580"/>
              <w:spacing w:after="0"/>
              <w:rPr>
                <w:sz w:val="20"/>
                <w:szCs w:val="20"/>
                <w:color w:val="auto"/>
              </w:rPr>
            </w:pPr>
            <w:r>
              <w:rPr>
                <w:rFonts w:ascii="Arial" w:cs="Arial" w:eastAsia="Arial" w:hAnsi="Arial"/>
                <w:sz w:val="14"/>
                <w:szCs w:val="14"/>
                <w:b w:val="1"/>
                <w:bCs w:val="1"/>
                <w:color w:val="auto"/>
              </w:rPr>
              <w:t>Current Period</w:t>
            </w:r>
          </w:p>
        </w:tc>
      </w:tr>
      <w:tr>
        <w:trPr>
          <w:trHeight w:val="195"/>
        </w:trPr>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w w:val="72"/>
              </w:rPr>
              <w:t>College</w:t>
            </w:r>
          </w:p>
        </w:tc>
        <w:tc>
          <w:tcPr>
            <w:tcW w:w="3520" w:type="dxa"/>
            <w:vAlign w:val="bottom"/>
          </w:tcPr>
          <w:p>
            <w:pPr>
              <w:ind w:left="160"/>
              <w:spacing w:after="0" w:line="195" w:lineRule="exact"/>
              <w:rPr>
                <w:sz w:val="20"/>
                <w:szCs w:val="20"/>
                <w:color w:val="auto"/>
              </w:rPr>
            </w:pPr>
            <w:r>
              <w:rPr>
                <w:rFonts w:ascii="Arial" w:cs="Arial" w:eastAsia="Arial" w:hAnsi="Arial"/>
                <w:sz w:val="18"/>
                <w:szCs w:val="18"/>
                <w:i w:val="1"/>
                <w:iCs w:val="1"/>
                <w:color w:val="auto"/>
              </w:rPr>
              <w:t>of Nursing and Health Care Professions</w:t>
            </w: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880" w:type="dxa"/>
            <w:vAlign w:val="bottom"/>
            <w:tcBorders>
              <w:top w:val="single" w:sz="8" w:color="auto"/>
            </w:tcBorders>
            <w:gridSpan w:val="4"/>
          </w:tcPr>
          <w:p>
            <w:pPr>
              <w:ind w:left="20"/>
              <w:spacing w:after="0" w:line="195" w:lineRule="exact"/>
              <w:rPr>
                <w:sz w:val="20"/>
                <w:szCs w:val="20"/>
                <w:color w:val="auto"/>
              </w:rPr>
            </w:pPr>
            <w:r>
              <w:rPr>
                <w:rFonts w:ascii="Arial" w:cs="Arial" w:eastAsia="Arial" w:hAnsi="Arial"/>
                <w:sz w:val="18"/>
                <w:szCs w:val="18"/>
                <w:color w:val="auto"/>
                <w:w w:val="95"/>
              </w:rPr>
              <w:t>The Commission on Collegiate Nursing Education accredits our</w:t>
            </w:r>
          </w:p>
        </w:tc>
        <w:tc>
          <w:tcPr>
            <w:tcW w:w="100" w:type="dxa"/>
            <w:vAlign w:val="bottom"/>
          </w:tcPr>
          <w:p>
            <w:pPr>
              <w:spacing w:after="0"/>
              <w:rPr>
                <w:sz w:val="16"/>
                <w:szCs w:val="16"/>
                <w:color w:val="auto"/>
              </w:rPr>
            </w:pPr>
          </w:p>
        </w:tc>
        <w:tc>
          <w:tcPr>
            <w:tcW w:w="2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2006 – 2016 (B.S.)</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6"/>
              </w:rPr>
              <w:t>Bachelor of Science in Nursing and Master of Science in Nursing</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2011 – 2021 (M.S.)</w:t>
            </w: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degree programs.</w:t>
            </w:r>
          </w:p>
        </w:tc>
        <w:tc>
          <w:tcPr>
            <w:tcW w:w="2100" w:type="dxa"/>
            <w:vAlign w:val="bottom"/>
          </w:tcPr>
          <w:p>
            <w:pPr>
              <w:spacing w:after="0"/>
              <w:rPr>
                <w:sz w:val="20"/>
                <w:szCs w:val="20"/>
                <w:color w:val="auto"/>
              </w:rPr>
            </w:pPr>
          </w:p>
        </w:tc>
      </w:tr>
      <w:tr>
        <w:trPr>
          <w:trHeight w:val="310"/>
        </w:trPr>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20"/>
              <w:spacing w:after="0"/>
              <w:rPr>
                <w:sz w:val="20"/>
                <w:szCs w:val="20"/>
                <w:color w:val="auto"/>
              </w:rPr>
            </w:pPr>
            <w:r>
              <w:rPr>
                <w:rFonts w:ascii="Arial" w:cs="Arial" w:eastAsia="Arial" w:hAnsi="Arial"/>
                <w:sz w:val="18"/>
                <w:szCs w:val="18"/>
                <w:color w:val="auto"/>
              </w:rPr>
              <w:t>The Arizona State Board of Nursing approves our Bachelor of</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2006 – 2016 (B.S.)</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Science in Nursing and Master of Science in Nursing degree</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2011 – 2021 (M.S.)</w:t>
            </w: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programs.</w:t>
            </w:r>
          </w:p>
        </w:tc>
        <w:tc>
          <w:tcPr>
            <w:tcW w:w="2100" w:type="dxa"/>
            <w:vAlign w:val="bottom"/>
          </w:tcPr>
          <w:p>
            <w:pPr>
              <w:spacing w:after="0"/>
              <w:rPr>
                <w:sz w:val="20"/>
                <w:szCs w:val="20"/>
                <w:color w:val="auto"/>
              </w:rPr>
            </w:pPr>
          </w:p>
        </w:tc>
      </w:tr>
      <w:tr>
        <w:trPr>
          <w:trHeight w:val="310"/>
        </w:trPr>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20"/>
              <w:spacing w:after="0"/>
              <w:rPr>
                <w:sz w:val="20"/>
                <w:szCs w:val="20"/>
                <w:color w:val="auto"/>
              </w:rPr>
            </w:pPr>
            <w:r>
              <w:rPr>
                <w:rFonts w:ascii="Arial" w:cs="Arial" w:eastAsia="Arial" w:hAnsi="Arial"/>
                <w:sz w:val="18"/>
                <w:szCs w:val="18"/>
                <w:color w:val="auto"/>
                <w:w w:val="97"/>
              </w:rPr>
              <w:t>The Commission on Accreditation of Athletic Training Education</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2008 – 2018</w:t>
            </w: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accredits our Athletic Training Program.</w:t>
            </w:r>
          </w:p>
        </w:tc>
        <w:tc>
          <w:tcPr>
            <w:tcW w:w="2100" w:type="dxa"/>
            <w:vAlign w:val="bottom"/>
          </w:tcPr>
          <w:p>
            <w:pPr>
              <w:spacing w:after="0"/>
              <w:rPr>
                <w:sz w:val="20"/>
                <w:szCs w:val="20"/>
                <w:color w:val="auto"/>
              </w:rPr>
            </w:pPr>
          </w:p>
        </w:tc>
      </w:tr>
      <w:tr>
        <w:trPr>
          <w:trHeight w:val="310"/>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College of Education</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20"/>
              <w:spacing w:after="0"/>
              <w:rPr>
                <w:sz w:val="20"/>
                <w:szCs w:val="20"/>
                <w:color w:val="auto"/>
              </w:rPr>
            </w:pPr>
            <w:r>
              <w:rPr>
                <w:rFonts w:ascii="Arial" w:cs="Arial" w:eastAsia="Arial" w:hAnsi="Arial"/>
                <w:sz w:val="18"/>
                <w:szCs w:val="18"/>
                <w:color w:val="auto"/>
                <w:w w:val="99"/>
              </w:rPr>
              <w:t>The Arizona State Board of Education approves our College of</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2014 – 2016 (teacher)</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Education to offer Institutional Recommendations for the</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2014 – 2018 (principal)</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certification of elementary, secondary, and special education</w:t>
            </w:r>
          </w:p>
        </w:tc>
        <w:tc>
          <w:tcPr>
            <w:tcW w:w="21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teachers (B.S./M.Ed.) and school principals (M.Ed.).</w:t>
            </w:r>
          </w:p>
        </w:tc>
        <w:tc>
          <w:tcPr>
            <w:tcW w:w="2100" w:type="dxa"/>
            <w:vAlign w:val="bottom"/>
          </w:tcPr>
          <w:p>
            <w:pPr>
              <w:spacing w:after="0"/>
              <w:rPr>
                <w:sz w:val="20"/>
                <w:szCs w:val="20"/>
                <w:color w:val="auto"/>
              </w:rPr>
            </w:pPr>
          </w:p>
        </w:tc>
      </w:tr>
      <w:tr>
        <w:trPr>
          <w:trHeight w:val="310"/>
        </w:trPr>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20"/>
              <w:spacing w:after="0"/>
              <w:rPr>
                <w:sz w:val="20"/>
                <w:szCs w:val="20"/>
                <w:color w:val="auto"/>
              </w:rPr>
            </w:pPr>
            <w:r>
              <w:rPr>
                <w:rFonts w:ascii="Arial" w:cs="Arial" w:eastAsia="Arial" w:hAnsi="Arial"/>
                <w:sz w:val="18"/>
                <w:szCs w:val="18"/>
                <w:color w:val="auto"/>
                <w:w w:val="97"/>
              </w:rPr>
              <w:t>Our College of Education is a candidate for accreditation by the</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2011 – 2016</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4"/>
              </w:rPr>
              <w:t>National Council for Accreditation of Teacher Education (NCATE),</w:t>
            </w:r>
          </w:p>
        </w:tc>
        <w:tc>
          <w:tcPr>
            <w:tcW w:w="2100" w:type="dxa"/>
            <w:vAlign w:val="bottom"/>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980" w:type="dxa"/>
            <w:vAlign w:val="bottom"/>
            <w:gridSpan w:val="5"/>
          </w:tcPr>
          <w:p>
            <w:pPr>
              <w:spacing w:after="0" w:line="190" w:lineRule="exact"/>
              <w:rPr>
                <w:sz w:val="20"/>
                <w:szCs w:val="20"/>
                <w:color w:val="auto"/>
              </w:rPr>
            </w:pPr>
            <w:r>
              <w:rPr>
                <w:rFonts w:ascii="Arial" w:cs="Arial" w:eastAsia="Arial" w:hAnsi="Arial"/>
                <w:sz w:val="18"/>
                <w:szCs w:val="18"/>
                <w:color w:val="auto"/>
              </w:rPr>
              <w:t>www.ncate.org. Candidacy status means that the College of</w:t>
            </w:r>
          </w:p>
        </w:tc>
        <w:tc>
          <w:tcPr>
            <w:tcW w:w="210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Education has met preconditions for accreditation but is not</w:t>
            </w:r>
          </w:p>
        </w:tc>
        <w:tc>
          <w:tcPr>
            <w:tcW w:w="2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3"/>
              </w:rPr>
              <w:t>accredited. NCATE has merged with another accrediting body and</w:t>
            </w:r>
          </w:p>
        </w:tc>
        <w:tc>
          <w:tcPr>
            <w:tcW w:w="2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7"/>
              </w:rPr>
              <w:t>is now the Council for the Accreditation of Educator Preparation</w:t>
            </w:r>
          </w:p>
        </w:tc>
        <w:tc>
          <w:tcPr>
            <w:tcW w:w="2100" w:type="dxa"/>
            <w:vAlign w:val="bottom"/>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980" w:type="dxa"/>
            <w:vAlign w:val="bottom"/>
            <w:gridSpan w:val="5"/>
          </w:tcPr>
          <w:p>
            <w:pPr>
              <w:spacing w:after="0" w:line="190" w:lineRule="exact"/>
              <w:rPr>
                <w:sz w:val="20"/>
                <w:szCs w:val="20"/>
                <w:color w:val="auto"/>
              </w:rPr>
            </w:pPr>
            <w:r>
              <w:rPr>
                <w:rFonts w:ascii="Arial" w:cs="Arial" w:eastAsia="Arial" w:hAnsi="Arial"/>
                <w:sz w:val="18"/>
                <w:szCs w:val="18"/>
                <w:color w:val="auto"/>
              </w:rPr>
              <w:t>(CAEP), www.caepnet.org. We have maintained our NCATE</w:t>
            </w:r>
          </w:p>
        </w:tc>
        <w:tc>
          <w:tcPr>
            <w:tcW w:w="210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candidacy status and are proceeding through the CAEP</w:t>
            </w:r>
          </w:p>
        </w:tc>
        <w:tc>
          <w:tcPr>
            <w:tcW w:w="2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9"/>
              </w:rPr>
              <w:t>accreditation process. This candidacy covers our initial teacher</w:t>
            </w:r>
          </w:p>
        </w:tc>
        <w:tc>
          <w:tcPr>
            <w:tcW w:w="21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0"/>
              </w:rPr>
              <w:t>preparation programs and advanced educator preparation programs.</w:t>
            </w:r>
          </w:p>
        </w:tc>
        <w:tc>
          <w:tcPr>
            <w:tcW w:w="2100" w:type="dxa"/>
            <w:vAlign w:val="bottom"/>
          </w:tcPr>
          <w:p>
            <w:pPr>
              <w:spacing w:after="0"/>
              <w:rPr>
                <w:sz w:val="20"/>
                <w:szCs w:val="20"/>
                <w:color w:val="auto"/>
              </w:rPr>
            </w:pPr>
          </w:p>
        </w:tc>
      </w:tr>
      <w:tr>
        <w:trPr>
          <w:trHeight w:val="310"/>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Colangelo College of Business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20"/>
              <w:spacing w:after="0"/>
              <w:rPr>
                <w:sz w:val="20"/>
                <w:szCs w:val="20"/>
                <w:color w:val="auto"/>
              </w:rPr>
            </w:pPr>
            <w:r>
              <w:rPr>
                <w:rFonts w:ascii="Arial" w:cs="Arial" w:eastAsia="Arial" w:hAnsi="Arial"/>
                <w:sz w:val="18"/>
                <w:szCs w:val="18"/>
                <w:color w:val="auto"/>
                <w:w w:val="99"/>
              </w:rPr>
              <w:t>The Accreditation Council for Business Schools and Programs</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2007 – 2017</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4"/>
              </w:rPr>
              <w:t>accredits our Executive Master of Business Administration degree</w:t>
            </w:r>
          </w:p>
        </w:tc>
        <w:tc>
          <w:tcPr>
            <w:tcW w:w="2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4"/>
              </w:rPr>
              <w:t>program, Master of Business Administration degree program, and</w:t>
            </w:r>
          </w:p>
        </w:tc>
        <w:tc>
          <w:tcPr>
            <w:tcW w:w="2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3"/>
              </w:rPr>
              <w:t>our Bachelor of Science degree programs in Accounting, Business</w:t>
            </w:r>
          </w:p>
        </w:tc>
        <w:tc>
          <w:tcPr>
            <w:tcW w:w="2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Administration, Marketing, Finance and Economics,</w:t>
            </w:r>
          </w:p>
        </w:tc>
        <w:tc>
          <w:tcPr>
            <w:tcW w:w="21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Entrepreneurial Studies, and Sports Management.</w:t>
            </w:r>
          </w:p>
        </w:tc>
        <w:tc>
          <w:tcPr>
            <w:tcW w:w="2100" w:type="dxa"/>
            <w:vAlign w:val="bottom"/>
          </w:tcPr>
          <w:p>
            <w:pPr>
              <w:spacing w:after="0"/>
              <w:rPr>
                <w:sz w:val="20"/>
                <w:szCs w:val="20"/>
                <w:color w:val="auto"/>
              </w:rPr>
            </w:pPr>
          </w:p>
        </w:tc>
      </w:tr>
      <w:tr>
        <w:trPr>
          <w:trHeight w:val="310"/>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College of Fine Arts and Production</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20"/>
              <w:spacing w:after="0"/>
              <w:rPr>
                <w:sz w:val="20"/>
                <w:szCs w:val="20"/>
                <w:color w:val="auto"/>
              </w:rPr>
            </w:pPr>
            <w:r>
              <w:rPr>
                <w:rFonts w:ascii="Arial" w:cs="Arial" w:eastAsia="Arial" w:hAnsi="Arial"/>
                <w:sz w:val="18"/>
                <w:szCs w:val="18"/>
                <w:color w:val="auto"/>
                <w:w w:val="99"/>
              </w:rPr>
              <w:t>The Arizona State Board of Education approves the College of</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2014 – 2016</w:t>
            </w: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Fine Arts and Production to offer programs leading to initial</w:t>
            </w:r>
          </w:p>
        </w:tc>
        <w:tc>
          <w:tcPr>
            <w:tcW w:w="2100" w:type="dxa"/>
            <w:vAlign w:val="bottom"/>
          </w:tcPr>
          <w:p>
            <w:pPr>
              <w:spacing w:after="0"/>
              <w:rPr>
                <w:sz w:val="20"/>
                <w:szCs w:val="20"/>
                <w:color w:val="auto"/>
              </w:rPr>
            </w:pPr>
          </w:p>
        </w:tc>
      </w:tr>
    </w:tbl>
    <w:p>
      <w:pPr>
        <w:ind w:left="4340"/>
        <w:spacing w:after="0"/>
        <w:rPr>
          <w:sz w:val="20"/>
          <w:szCs w:val="20"/>
          <w:color w:val="auto"/>
        </w:rPr>
      </w:pPr>
      <w:r>
        <w:rPr>
          <w:rFonts w:ascii="Arial" w:cs="Arial" w:eastAsia="Arial" w:hAnsi="Arial"/>
          <w:sz w:val="18"/>
          <w:szCs w:val="18"/>
          <w:color w:val="auto"/>
        </w:rPr>
        <w:t>teacher licensure in the area of arts education for the elementary</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and secondary levels.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Curricula</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offer the degrees of Doctor of Education, Doctor of Business Administration, Doctor of Philosophy, Master of Arts, Master of Education, Master of Business Administration and Executive Master of Business Administration, Master of Public Administration, Master of Public Health, Master of Science, Bachelor of Arts, and Bachelor of Science and a variety of programs leading to each of these degrees. Many of our degree programs also offer a selection of emphases. We also offer certificate programs, which consist of a series of courses focused on a particular area of study, for students who seek to enhance their skills and knowledge or achieve additional licensure.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our 160 graduate and undergraduate degree programs through our eight distinct colleges:</w:t>
      </w:r>
    </w:p>
    <w:p>
      <w:pPr>
        <w:spacing w:after="0" w:line="131" w:lineRule="exact"/>
        <w:rPr>
          <w:sz w:val="20"/>
          <w:szCs w:val="20"/>
          <w:color w:val="auto"/>
        </w:rPr>
      </w:pPr>
    </w:p>
    <w:p>
      <w:pPr>
        <w:ind w:left="1480" w:right="140" w:hanging="446"/>
        <w:spacing w:after="0" w:line="259"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College of Nursing and Health Care Professions, which, as a result of, among other things, the strong pass rates of our Bachelor of Science in Nursing (pre-licensure) students on the National Council Licensure Examination (“NCLEX”), has a strong reputation within the Arizona nursing community and is the largest nursing program in Arizona when considering total college enrollment (bachelor and masters students);</w:t>
      </w:r>
    </w:p>
    <w:p>
      <w:pPr>
        <w:spacing w:after="0" w:line="92" w:lineRule="exact"/>
        <w:rPr>
          <w:rFonts w:ascii="Arial" w:cs="Arial" w:eastAsia="Arial" w:hAnsi="Arial"/>
          <w:sz w:val="18"/>
          <w:szCs w:val="18"/>
          <w:color w:val="auto"/>
        </w:rPr>
      </w:pPr>
    </w:p>
    <w:p>
      <w:pPr>
        <w:ind w:left="1480" w:right="600" w:hanging="446"/>
        <w:spacing w:after="0" w:line="308" w:lineRule="auto"/>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College of Doctoral Studies, which utilizes innovative technology, collaboration, and learning communities to develop expert practitioners and researchers who can become leaders in the disciplines and communities they serve;</w:t>
      </w:r>
    </w:p>
    <w:p>
      <w:pPr>
        <w:spacing w:after="0" w:line="51" w:lineRule="exact"/>
        <w:rPr>
          <w:rFonts w:ascii="Arial" w:cs="Arial" w:eastAsia="Arial" w:hAnsi="Arial"/>
          <w:sz w:val="17"/>
          <w:szCs w:val="17"/>
          <w:color w:val="auto"/>
        </w:rPr>
      </w:pPr>
    </w:p>
    <w:p>
      <w:pPr>
        <w:ind w:left="1480" w:right="160" w:hanging="446"/>
        <w:spacing w:after="0" w:line="308" w:lineRule="auto"/>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College of Humanities and Social Sciences, which develops and provides many of the general education course requirements in our other colleges and also serves as one of the vehicles through which we offer programs in additional targeted disciplines;</w:t>
      </w:r>
    </w:p>
    <w:p>
      <w:pPr>
        <w:spacing w:after="0" w:line="173" w:lineRule="exact"/>
        <w:rPr>
          <w:rFonts w:ascii="Arial" w:cs="Arial" w:eastAsia="Arial" w:hAnsi="Arial"/>
          <w:sz w:val="17"/>
          <w:szCs w:val="17"/>
          <w:color w:val="auto"/>
        </w:rPr>
      </w:pPr>
    </w:p>
    <w:p>
      <w:pPr>
        <w:ind w:left="1480" w:right="440" w:hanging="446"/>
        <w:spacing w:after="0" w:line="286" w:lineRule="auto"/>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College of Science, Engineering, and Technology, which with science, engineering, technology, and mathematics professions in extremely high demand, driving our economy, continuously evolving, and redefining modern day life is focused on preparing exceptionally competent graduates to enter the dynamic and highly competitive workforce of the 21</w:t>
      </w:r>
      <w:r>
        <w:rPr>
          <w:rFonts w:ascii="Arial" w:cs="Arial" w:eastAsia="Arial" w:hAnsi="Arial"/>
          <w:sz w:val="14"/>
          <w:szCs w:val="14"/>
          <w:color w:val="auto"/>
        </w:rPr>
        <w:t>st</w:t>
      </w:r>
      <w:r>
        <w:rPr>
          <w:rFonts w:ascii="Arial" w:cs="Arial" w:eastAsia="Arial" w:hAnsi="Arial"/>
          <w:sz w:val="17"/>
          <w:szCs w:val="17"/>
          <w:color w:val="auto"/>
        </w:rPr>
        <w:t xml:space="preserve"> century;</w:t>
      </w:r>
    </w:p>
    <w:p>
      <w:pPr>
        <w:spacing w:after="0" w:line="70" w:lineRule="exact"/>
        <w:rPr>
          <w:rFonts w:ascii="Arial" w:cs="Arial" w:eastAsia="Arial" w:hAnsi="Arial"/>
          <w:sz w:val="17"/>
          <w:szCs w:val="17"/>
          <w:color w:val="auto"/>
        </w:rPr>
      </w:pPr>
    </w:p>
    <w:p>
      <w:pPr>
        <w:ind w:left="1480" w:right="580" w:hanging="446"/>
        <w:spacing w:after="0" w:line="342"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College of Education, which has greater than a 60-year history as one of Arizona’s leading teacher’s colleges and consistently graduates teachers who meet or exceed state averages on the Arizona Educator Proficiency Assessment exams;</w:t>
      </w:r>
    </w:p>
    <w:p>
      <w:pPr>
        <w:spacing w:after="0" w:line="29" w:lineRule="exact"/>
        <w:rPr>
          <w:rFonts w:ascii="Arial" w:cs="Arial" w:eastAsia="Arial" w:hAnsi="Arial"/>
          <w:sz w:val="16"/>
          <w:szCs w:val="16"/>
          <w:color w:val="auto"/>
        </w:rPr>
      </w:pPr>
    </w:p>
    <w:p>
      <w:pPr>
        <w:ind w:left="1480" w:right="12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Colangelo College of Business, which has a well-known brand among our target student population, an advisory board that includes nationally recognized business leaders, and a reputation for offering professionally relevant degree programs;</w:t>
      </w:r>
    </w:p>
    <w:p>
      <w:pPr>
        <w:spacing w:after="0" w:line="75"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College of Fine Arts and Production, which continues the long and highly regarded tradition that the University has in the Fine Arts;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College of Theology, which serves as one of the many vehicles through which the University affirms its Christian heritage.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Under the overall leadership of our senior academic affairs personnel and the deans of the individual colleges, each of the colleges organizes its academic programs through various departments and schools.</w:t>
      </w:r>
    </w:p>
    <w:p>
      <w:pPr>
        <w:spacing w:after="0" w:line="170"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We have established relationships with community colleges, health-care systems, school districts, and other employers through which we offer programs to provide flexibility and convenience to students and their employers. For example, for our nursing programs, we offer clinical courses onsite at hospitals and other health-care centers with which we have partnerships, and also arrange to allow these students to complete their clinical work onsite.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offer our ground-based programs to traditional students through three 15-week semesters in a calendar year and to online students in five, seven, eight or sixteen week courses throughout the calendar year. Traditional students generally enroll in three or four courses per semester while online students typically concentrate on one course at a time. We require our online students to be actively engaged in their online student classroom at least three or four times each week, depending on the content and degree level of the class,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Program Development</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To aid us in the identification of potentially new degree programs or emphasis areas, we investigate market demand and review proposals developed by faculty, staff, students, alumni, college specific advisory boards comprised of leaders in their field or other partners. We then perform an analysis of the consistency of the proposed program or emphasis with our mission, long-term demand, and development costs. If, following this analysis, the University Development Committee decides to proceed with a new program, our college faculty and administrators approve subject-matter experts with whom our Curriculum Design and Development Team members, including instructional designers, curriculum developers, librarians, and editors, work to design the program competencies so that it is consistent with our academically rigorous, professionally oriented program standards. The program is then reviewed by the dean of the applicable college, the Program Standards and Evaluation Committee, the Academic Affairs Committee, and finally, our Provost and Chief Academic Officer. Upon accreditation and regulatory approval, the subject matter experts develop course syllabi, and our Marketing Department creates a marketing plan to publicize the new program. Our average program development process is six months from proposal to course introduction. The development process is typically longer if we are expanding into a new field or offering a new level of degree.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Office of Assessment serves as our central resource for measuring learning outcomes and student satisfaction and driving systematically engineered and data-driven continuous-improvement cycles for updating our curricula.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and provides feedback as to program effectiveness. Based on this data and the conclusions of the assessment team, we modify programs as necessary to meet our student satisfaction and educational development standards.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Faculty</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faculty includes full-time faculty, as well as adjunct faculty with relevant practical experience whom we employ to teach on a course-by-course basis for a specified fee. Our current faculty members hold at least a master’s degree in their respective fields and approximately 40% of our teaching faculty hold doctorate degrees.</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but not limited to, engaging our full-time faculty and other specialists to conduct peer reviews of our adjunct faculty, monitoring the amount of contact and the quality of feedback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among other things, assigning him or her a mentor or through other means. If the faculty member’s performance does not improve, we terminate the faculty member’s contract and employment.</w:t>
      </w:r>
    </w:p>
    <w:p>
      <w:pPr>
        <w:sectPr>
          <w:pgSz w:w="11900" w:h="16838" w:orient="portrait"/>
          <w:cols w:equalWidth="0" w:num="1">
            <w:col w:w="11400"/>
          </w:cols>
          <w:pgMar w:left="240" w:top="459"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Student Support Services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Encouraging students that enter Grand Canyon University to complete their degree programs is critical to our success. We focus on developing and providing resources that simplify the student enrollment process, acclimate students to our programs and our online environment, support the student educational experience,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173"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i w:val="1"/>
          <w:iCs w:val="1"/>
          <w:color w:val="auto"/>
        </w:rPr>
        <w:t xml:space="preserve">Academic services. </w:t>
      </w:r>
      <w:r>
        <w:rPr>
          <w:rFonts w:ascii="Arial" w:cs="Arial" w:eastAsia="Arial" w:hAnsi="Arial"/>
          <w:sz w:val="18"/>
          <w:szCs w:val="18"/>
          <w:color w:val="auto"/>
        </w:rPr>
        <w:t>We provide students with a variety of services designed to support their academic studies. Our Center for Learning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Advancement offers research services, writing services, and other tutoring services.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240" w:top="121"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Administrative services. </w:t>
      </w:r>
      <w:r>
        <w:rPr>
          <w:rFonts w:ascii="Arial" w:cs="Arial" w:eastAsia="Arial" w:hAnsi="Arial"/>
          <w:sz w:val="18"/>
          <w:szCs w:val="18"/>
          <w:color w:val="auto"/>
        </w:rPr>
        <w:t>We provide students with the ability to access a variety of administrative services both telephonically and via the Internet.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students can apply for financial aid, pay their tuition, order their transcripts online, and apply for graduation. We believe this online accessibility provides the convenience and self-service capabilities that our students value. Our student services advisors provide personalized online and telephonic support to our students.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Library services. </w:t>
      </w:r>
      <w:r>
        <w:rPr>
          <w:rFonts w:ascii="Arial" w:cs="Arial" w:eastAsia="Arial" w:hAnsi="Arial"/>
          <w:sz w:val="18"/>
          <w:szCs w:val="18"/>
          <w:color w:val="auto"/>
        </w:rPr>
        <w:t>We provide a mix of online and ground resources, services, and instruction to support the educational and research endeavors of all</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faculty, and staff, including ground and online libraries and a qualified library staff that is available to help faculty and students with research, teaching, and library resource instruction. Collectively, our library services meet, or exceed, the requirements set by relevant accrediting bodies for us to offer undergraduate, master’s, and doctoral programs.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Career services. </w:t>
      </w:r>
      <w:r>
        <w:rPr>
          <w:rFonts w:ascii="Arial" w:cs="Arial" w:eastAsia="Arial" w:hAnsi="Arial"/>
          <w:sz w:val="16"/>
          <w:szCs w:val="16"/>
          <w:color w:val="auto"/>
        </w:rPr>
        <w:t>For those students seeking to change careers or explore new career opportunities, we offer career services support, including resume</w:t>
      </w:r>
      <w:r>
        <w:rPr>
          <w:rFonts w:ascii="Arial" w:cs="Arial" w:eastAsia="Arial" w:hAnsi="Arial"/>
          <w:sz w:val="16"/>
          <w:szCs w:val="16"/>
          <w:i w:val="1"/>
          <w:iCs w:val="1"/>
          <w:color w:val="auto"/>
        </w:rPr>
        <w:t xml:space="preserve"> </w:t>
      </w:r>
      <w:r>
        <w:rPr>
          <w:rFonts w:ascii="Arial" w:cs="Arial" w:eastAsia="Arial" w:hAnsi="Arial"/>
          <w:sz w:val="16"/>
          <w:szCs w:val="16"/>
          <w:color w:val="auto"/>
        </w:rPr>
        <w:t>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154"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i w:val="1"/>
          <w:iCs w:val="1"/>
          <w:color w:val="auto"/>
        </w:rPr>
        <w:t xml:space="preserve">Technology support services. </w:t>
      </w:r>
      <w:r>
        <w:rPr>
          <w:rFonts w:ascii="Arial" w:cs="Arial" w:eastAsia="Arial" w:hAnsi="Arial"/>
          <w:sz w:val="18"/>
          <w:szCs w:val="18"/>
          <w:color w:val="auto"/>
        </w:rPr>
        <w:t>We provide online technical support 18 hours per day during the week and 17 hours per day on weekends to help our</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remedy technology-related issues. We also provide online tutorials and “Frequently Asked Questions” for students who are new to online coursework.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Recruitment, Admissions and Retention</w:t>
      </w:r>
    </w:p>
    <w:p>
      <w:pPr>
        <w:spacing w:after="0" w:line="12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i w:val="1"/>
          <w:iCs w:val="1"/>
          <w:color w:val="auto"/>
        </w:rPr>
        <w:t xml:space="preserve">Marketing. </w:t>
      </w:r>
      <w:r>
        <w:rPr>
          <w:rFonts w:ascii="Arial" w:cs="Arial" w:eastAsia="Arial" w:hAnsi="Arial"/>
          <w:sz w:val="17"/>
          <w:szCs w:val="17"/>
          <w:color w:val="auto"/>
        </w:rPr>
        <w:t>We engage in a range of marketing activities designed to position us as a provider of academically rigorous, professionally relevant</w:t>
      </w:r>
      <w:r>
        <w:rPr>
          <w:rFonts w:ascii="Arial" w:cs="Arial" w:eastAsia="Arial" w:hAnsi="Arial"/>
          <w:sz w:val="17"/>
          <w:szCs w:val="17"/>
          <w:i w:val="1"/>
          <w:iCs w:val="1"/>
          <w:color w:val="auto"/>
        </w:rPr>
        <w:t xml:space="preserve"> </w:t>
      </w:r>
      <w:r>
        <w:rPr>
          <w:rFonts w:ascii="Arial" w:cs="Arial" w:eastAsia="Arial" w:hAnsi="Arial"/>
          <w:sz w:val="17"/>
          <w:szCs w:val="17"/>
          <w:color w:val="auto"/>
        </w:rPr>
        <w:t>educational programs, build strong brand recognition in our core disciplines, differentiate us from other educational providers, raise awareness among prospective students, generate enrollment inquiries, and stimulate student and alumni referrals. We target our online programs to working adults focused on program quality, convenience, and career advancement goals. We target our ground programs to traditional college students, working adults seeking a high quality education in a traditional college setting, and working adults seeking to take classes with a cohort onsite at our leased facilities or at their employer’s facility. In marketing our programs to prospective students, we emphasize the value of the educational experience and the academic rigor and professional relevancy of the programs, as well as the cost of the program. We believe this approach reinforces the qualities that we want associated with our brand and also attracts students who tend to be more persistent in starting and finishing their programs.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Recruitment. </w:t>
      </w:r>
      <w:r>
        <w:rPr>
          <w:rFonts w:ascii="Arial" w:cs="Arial" w:eastAsia="Arial" w:hAnsi="Arial"/>
          <w:sz w:val="18"/>
          <w:szCs w:val="18"/>
          <w:color w:val="auto"/>
        </w:rPr>
        <w:t>Once a prospective student has indicated an interest in enrolling in one of our programs, our lead management system identifies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directs an admissions advisor to initiate immediate communication. The admissions advisor serves as the primary, direct contact for the prospective student and the advisor’s goal is to help that individual gain sufficient knowledge and understanding of our programs so that he or she can assess whether there is a good match between our offerings and the prospective student’s goals. Upon the prospective student’s submission of an application, the admissions advisor, together with our student services personnel, works with the applicant to gain acceptance, arrange financial aid, if needed, register for courses, and prepare for matriculation.</w:t>
      </w:r>
    </w:p>
    <w:p>
      <w:pPr>
        <w:spacing w:after="0" w:line="19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i w:val="1"/>
          <w:iCs w:val="1"/>
          <w:color w:val="auto"/>
        </w:rPr>
        <w:t xml:space="preserve">Admissions. </w:t>
      </w:r>
      <w:r>
        <w:rPr>
          <w:rFonts w:ascii="Arial" w:cs="Arial" w:eastAsia="Arial" w:hAnsi="Arial"/>
          <w:sz w:val="17"/>
          <w:szCs w:val="17"/>
          <w:color w:val="auto"/>
        </w:rPr>
        <w:t>Admission to Grand Canyon University is available to qualified students who are at least 16 years of age. Undergraduate applicants may</w:t>
      </w:r>
      <w:r>
        <w:rPr>
          <w:rFonts w:ascii="Arial" w:cs="Arial" w:eastAsia="Arial" w:hAnsi="Arial"/>
          <w:sz w:val="17"/>
          <w:szCs w:val="17"/>
          <w:i w:val="1"/>
          <w:iCs w:val="1"/>
          <w:color w:val="auto"/>
        </w:rPr>
        <w:t xml:space="preserve"> </w:t>
      </w:r>
      <w:r>
        <w:rPr>
          <w:rFonts w:ascii="Arial" w:cs="Arial" w:eastAsia="Arial" w:hAnsi="Arial"/>
          <w:sz w:val="17"/>
          <w:szCs w:val="17"/>
          <w:color w:val="auto"/>
        </w:rPr>
        <w:t>qualify in various ways, including by having a high school diploma, certain minimum grade point average levels, certain minimum composite scores on the Scholastic Aptitude Test or on the ACT test, or certain minimum scores on the General Education Development (GED) tests. Some of our programs require a higher grade point average and/or other criteria to qualify for admission. Applicants to our graduate programs must generally have an undergraduate degree from an accredited college, university, or program with a grade point average of 2.8 or greater, or a graduate degree from an accredited college, university, or program. In addition, some students who do not meet the qualifications for admission may be accepted with specification. A student being considered for such admission may be asked to submit additional information such as personal references and an essay addressing academic history. Students may also need to schedule an interview to help clarify academic goals and help us make an informed decision.</w:t>
      </w:r>
    </w:p>
    <w:p>
      <w:pPr>
        <w:spacing w:after="0" w:line="17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Retention. </w:t>
      </w:r>
      <w:r>
        <w:rPr>
          <w:rFonts w:ascii="Arial" w:cs="Arial" w:eastAsia="Arial" w:hAnsi="Arial"/>
          <w:sz w:val="16"/>
          <w:szCs w:val="16"/>
          <w:color w:val="auto"/>
        </w:rPr>
        <w:t>A key component in retaining our students is providing an outstanding learning experience. We feel that our team-based, proactive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to recruitment and enhanced student services results in increased retention due to our systematic approach to contacting students at key milestones during their enrollment, providing encouragement and highlighting their achievements. Our student services advisors proactively assist each student with the student’s selection of an appropriate payment option, and monitor the student’s progress and account balance to ensure a smooth financial aid experience and to help ensure our students are well prepared for the financial obligations they incur. These advisors also assist students with their academic schedules and regularly monitor “triggering events,” such as the failure to participate in the classroom or failure to matriculate in a timely manner, which signal that a student may be at-risk for dropping out. Upon identifying an at-risk student, these advisors proactively interact with the student to resolve any issues and encourage the student to continue with his or her program. We have found that personally involving our employees in the student educational process, and proactively seeking to resolve issues before they become larger problems, can significantly increase retention rates among students. These frequent interactions between student services advisors and students are a key component to our retention strategy.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Enrollment</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At December 31, 2014, we had 67,806 students enrolled in our courses, of which 55,060, or 81.2%, were enrolled in our online programs, and 12,746, or 18.8%, were enrolled in our ground programs. Of our students in online programs, which were geographically distributed throughout all 50 states of the United States, and Canada, and in professional studies programs, 87.6% were age 25 or older. Of our traditional on-campus students, 90.6% were under age 25 and, although we draw students from throughout the United States, a majority were from Arizona.</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is a summary of our student enrollment at December 31, 2014 and December 31, 2013 by degree type and by instructional delivery method: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74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December 31, 2014</w:t>
            </w:r>
            <w:r>
              <w:rPr>
                <w:rFonts w:ascii="Arial" w:cs="Arial" w:eastAsia="Arial" w:hAnsi="Arial"/>
                <w:sz w:val="12"/>
                <w:szCs w:val="12"/>
                <w:b w:val="1"/>
                <w:bCs w:val="1"/>
                <w:color w:val="auto"/>
              </w:rPr>
              <w:t>(1)</w:t>
            </w:r>
          </w:p>
        </w:tc>
        <w:tc>
          <w:tcPr>
            <w:tcW w:w="2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 2013</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6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7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of Total</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Graduate degree </w:t>
            </w:r>
            <w:r>
              <w:rPr>
                <w:rFonts w:ascii="Arial" w:cs="Arial" w:eastAsia="Arial" w:hAnsi="Arial"/>
                <w:sz w:val="15"/>
                <w:szCs w:val="15"/>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26,319</w:t>
            </w:r>
          </w:p>
        </w:tc>
        <w:tc>
          <w:tcPr>
            <w:tcW w:w="60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Undergraduate degree</w:t>
            </w:r>
          </w:p>
        </w:tc>
        <w:tc>
          <w:tcPr>
            <w:tcW w:w="780" w:type="dxa"/>
            <w:vAlign w:val="bottom"/>
          </w:tcPr>
          <w:p>
            <w:pPr>
              <w:jc w:val="right"/>
              <w:spacing w:after="0"/>
              <w:rPr>
                <w:sz w:val="20"/>
                <w:szCs w:val="20"/>
                <w:color w:val="auto"/>
              </w:rPr>
            </w:pPr>
            <w:r>
              <w:rPr>
                <w:rFonts w:ascii="Arial" w:cs="Arial" w:eastAsia="Arial" w:hAnsi="Arial"/>
                <w:sz w:val="18"/>
                <w:szCs w:val="18"/>
                <w:color w:val="auto"/>
              </w:rPr>
              <w:t>41,487</w:t>
            </w:r>
          </w:p>
        </w:tc>
        <w:tc>
          <w:tcPr>
            <w:tcW w:w="6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61.2%</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37,182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67,806</w:t>
            </w:r>
          </w:p>
        </w:tc>
        <w:tc>
          <w:tcPr>
            <w:tcW w:w="60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59,658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74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December 31, 2014</w:t>
            </w:r>
            <w:r>
              <w:rPr>
                <w:rFonts w:ascii="Arial" w:cs="Arial" w:eastAsia="Arial" w:hAnsi="Arial"/>
                <w:sz w:val="12"/>
                <w:szCs w:val="12"/>
                <w:b w:val="1"/>
                <w:bCs w:val="1"/>
                <w:color w:val="auto"/>
              </w:rPr>
              <w:t>(1)</w:t>
            </w:r>
          </w:p>
        </w:tc>
        <w:tc>
          <w:tcPr>
            <w:tcW w:w="2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 2013</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6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7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of Total</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55,060</w:t>
            </w:r>
          </w:p>
        </w:tc>
        <w:tc>
          <w:tcPr>
            <w:tcW w:w="60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Ground </w:t>
            </w:r>
            <w:r>
              <w:rPr>
                <w:rFonts w:ascii="Arial" w:cs="Arial" w:eastAsia="Arial" w:hAnsi="Arial"/>
                <w:sz w:val="15"/>
                <w:szCs w:val="15"/>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12,746</w:t>
            </w:r>
          </w:p>
        </w:tc>
        <w:tc>
          <w:tcPr>
            <w:tcW w:w="6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18.8%</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10,078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67,806</w:t>
            </w:r>
          </w:p>
        </w:tc>
        <w:tc>
          <w:tcPr>
            <w:tcW w:w="60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59,658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58"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Enrollment at December 31, 2014 and 2013 represents individual students who attended a course during the last two months of the calendar quarter. Includes 585 and 487 students pursuing non-degree certificates at December 31, 2014 and 2013, respectively.</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5,570 and 4,285 students pursuing doctoral degrees at December 31, 2014 and 2013, respectively.</w:t>
      </w:r>
    </w:p>
    <w:p>
      <w:pPr>
        <w:spacing w:after="0" w:line="9" w:lineRule="exact"/>
        <w:rPr>
          <w:rFonts w:ascii="Arial" w:cs="Arial" w:eastAsia="Arial" w:hAnsi="Arial"/>
          <w:sz w:val="15"/>
          <w:szCs w:val="15"/>
          <w:color w:val="auto"/>
        </w:rPr>
      </w:pPr>
    </w:p>
    <w:p>
      <w:pPr>
        <w:ind w:left="460" w:right="420" w:hanging="452"/>
        <w:spacing w:after="0" w:line="25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As of December 31, 2014 and 2013, 46.0% and 43.5%, respectively, of our working adult students (online and professional studies students) were pursuing graduate or doctoral degrees.</w:t>
      </w: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our traditional on-campus students, as well as our professional studies students.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Tuition and Fees</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For the 2013-14 and 2014-15 academic years (the academic year begins in May), our prices per credit hour range from $350 to $465 for undergraduate online and professional studies courses, $325 to $600 for graduate online courses, $630 for doctoral online programs, and $688 for undergraduate courses for ground students. For our active duty military and active reserve online and professional studies students, our prices per credit hour are $250 for undergraduate, $400 for graduate courses and $599 for doctoral courses.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w:t>
      </w:r>
    </w:p>
    <w:p>
      <w:pPr>
        <w:spacing w:after="0" w:line="5" w:lineRule="exact"/>
        <w:rPr>
          <w:sz w:val="20"/>
          <w:szCs w:val="20"/>
          <w:color w:val="auto"/>
        </w:rPr>
      </w:pPr>
    </w:p>
    <w:p>
      <w:pPr>
        <w:jc w:val="both"/>
        <w:ind w:firstLine="8"/>
        <w:spacing w:after="0" w:line="255"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w:t>
      </w:r>
    </w:p>
    <w:p>
      <w:pPr>
        <w:spacing w:after="0" w:line="1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Based on current tuition rates, tuition for a full program would generally equate to between $15,300 and $36,630 for an online master’s program, between $42,000 and $55,800 for a full four-year online bachelor’s program, $37,800 for a full doctoral program, and approximately $66,000 for a full four-year bachelor’s program taken on our ground campus. The tuition amounts referred to above assume no reductions for transfer credits or scholarships, which many of our students utilize to reduce their total program costs. For example, the average student on our ground traditional campus will pay less than $8,000 in tuition in the 2014-15 school year after scholarships. Thus, based on the number of transfer credits and the scholarships they receive it is likely that a student will pay less than $30,000 in tuition for a bachelor’s degree on our ground campus. For the years ended December 31, 2014, 2013 and 2012, our revenue was reduced by approximately $140.0 million, $111.8 million and $94.3 million, respectively, as a result of scholarships that we offered to our students. The increase in scholarships reflects our increasing use of academic scholarships, to attract high performing students to our ground traditional campus.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have established a refund policy for tuition and fees based upon individual course start dates. Under our policy, for courses offered through a working adult modality, generally if a student drops or withdraws from a course before the course begins, 100% of the charges for tuition and fees are refunded. If a student drops or withdraws from a course during the first week of the course, 75% of the charges for tuition are refunded. If a student drops or withdraws from a course during or after the second week of a course, tuition charges and fees are not refunded. Most fees, including materials fees, are non-refundable for non-traditional students after the start of a course. We will refund tuition and fees according to the above policy unless a student attending courses online is a resident of a state that requires us to comply with different, state specific guidelines. For traditional students attending 15-week courses, generally if a student withdraws before the course begins, 100% of the charges for tuition and fees are refunded. If a student withdraws during the first week of the course, 90% of the charges for tuition are refunded and instructional fees and ground campus-related fees are refunded. If a student drops or withdraws from a course during the second week of a course, 75% of the tuition charges are refunded but most fees are non-refundable. If a student drops during the third week of a course, 50% of the tuition charges are refunded and during or after the fourth week, there are no refunds for tuition charges. Fees charged by us include graduation fees as well as fees for access to certain educational resources such as online materials. This tuition and fees refund policy is different from, and applies in addition to, the return of Title IV funds policy we are required to follow as a condition of our participation in the Title IV programs.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Student Financing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students finance their education through a combination of methods, as follows: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Title IV programs. </w:t>
      </w:r>
      <w:r>
        <w:rPr>
          <w:rFonts w:ascii="Arial" w:cs="Arial" w:eastAsia="Arial" w:hAnsi="Arial"/>
          <w:sz w:val="18"/>
          <w:szCs w:val="18"/>
          <w:color w:val="auto"/>
        </w:rPr>
        <w:t>The federal government provides for grants and loans to students under the Title IV programs, and students can use those funds at</w:t>
      </w:r>
      <w:r>
        <w:rPr>
          <w:rFonts w:ascii="Arial" w:cs="Arial" w:eastAsia="Arial" w:hAnsi="Arial"/>
          <w:sz w:val="18"/>
          <w:szCs w:val="18"/>
          <w:i w:val="1"/>
          <w:iCs w:val="1"/>
          <w:color w:val="auto"/>
        </w:rPr>
        <w:t xml:space="preserve"> </w:t>
      </w:r>
      <w:r>
        <w:rPr>
          <w:rFonts w:ascii="Arial" w:cs="Arial" w:eastAsia="Arial" w:hAnsi="Arial"/>
          <w:sz w:val="18"/>
          <w:szCs w:val="18"/>
          <w:color w:val="auto"/>
        </w:rPr>
        <w:t>any institution that has been 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19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During fiscal 2014 and 2013, we derived approximately 76.5% and 78.5%, respectively, of our net revenues (calculated on a cash basis in accordance with Department of Education standards currently in effect) from tuition financed under the Title IV programs. The primary Title IV programs that our students receive funding from are the Federal Direct Loan program or FDL Program, and the Federal Pell Grant, or Pell, Program.</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Student loans administered through the FDL Program are currently the most significant source of U.S. federal student aid. There are two types of federal student loans: subsidized loans, which are based on the U.S. federal statutory calculation of student need, and unsubsidized loans, which are not need-based. Neither type of student loan is based on creditworthiness although annual and aggregate loan limits apply based on a student’s grade level. Students are not responsible for interest on subsidized loans while the student is enrolled in school. However, the interest subsidy was temporarily eliminated for those students who received a direct Stafford loan with a first disbursement made on or after July 1, 2012 and before July 1, 2014. The interest subsidy for subsidized loans was reinstated for direct Stafford loans with a first disbursement after July 1, 2014. Students are responsible for the interest on unsubsidized loans while enrolled in school, but have the option to defer payment while enrolled. Repayment on federal student loans begins six months after the date the student ceases to be enrolled. The loans are repayable over the course of 10 years and, in some cases, longer. Both graduate and undergraduate students are eligible for loans. During 2014, federal student loans (both subsidized and unsubsidized) represented approximately 84.8% of the gross Title IV funds that we received.</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Grants under the Pell Program (Pell Grants) are awarded based on need and only to undergraduate students who have not earned a bachelor’s or professional degree. Unlike loans, Pell Grants are not repayable. During fiscal year 2014, Pell Grants represented approximately 14.0% of the gross Title IV funds that we received. For the 2013-2014 award year, the maximum amount available under Pell Grants was $5,645 and the maximum income that makes an applicant for Title IV Program funds eligible for an automatic zero Expected Family Contribution was $24,000. For the 2014-15 award year, the maximum amount available under Pell Grants was increased to $5,730 and the maximum income that makes an applicant for Title IV Program funds eligible for an automatic zero Expected Family Contribution stayed the same as the 2013-14 amount.</w:t>
      </w:r>
    </w:p>
    <w:p>
      <w:pPr>
        <w:spacing w:after="0" w:line="178"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Our students also receive funding under other Title IV programs, including the Federal Perkins Loan Program, the Federal Supplemental Educational Opportunity Grant Program, the Federal Work-Study Program, and the Teacher Education Assistance for College and Higher Education Grant Program.</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i w:val="1"/>
          <w:iCs w:val="1"/>
          <w:color w:val="auto"/>
        </w:rPr>
        <w:t xml:space="preserve">Other financial aid programs. </w:t>
      </w:r>
      <w:r>
        <w:rPr>
          <w:rFonts w:ascii="Arial" w:cs="Arial" w:eastAsia="Arial" w:hAnsi="Arial"/>
          <w:sz w:val="16"/>
          <w:szCs w:val="16"/>
          <w:color w:val="auto"/>
        </w:rPr>
        <w:t>In addition to the Title IV programs listed above, eligible students may participate in several other financial aid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or receive support from other governmental sources. These include veterans educational benefits administered by the U.S. Department of Veterans Affairs and state financial aid programs. During fiscal 2014 and 2013, we derived an immaterial amount of our net revenue from tuition financed by such programs.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Private loans. </w:t>
      </w:r>
      <w:r>
        <w:rPr>
          <w:rFonts w:ascii="Arial" w:cs="Arial" w:eastAsia="Arial" w:hAnsi="Arial"/>
          <w:sz w:val="18"/>
          <w:szCs w:val="18"/>
          <w:color w:val="auto"/>
        </w:rPr>
        <w:t>Some of our students also use private loan programs to help finance their education. Students can apply to a number of different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private loans at current market interest rates. Private loans are intended to fund a portion of students’ cost of education not covered by the Title IV programs and other financial aid. During fiscal 2014 and 2013, payments derived from private loans constituted less than 1% of our net revenues for each year,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Other sources. </w:t>
      </w:r>
      <w:r>
        <w:rPr>
          <w:rFonts w:ascii="Arial" w:cs="Arial" w:eastAsia="Arial" w:hAnsi="Arial"/>
          <w:sz w:val="17"/>
          <w:szCs w:val="17"/>
          <w:color w:val="auto"/>
        </w:rPr>
        <w:t>We derived the remainder of our net revenue from tuition that is self-funded or attributable to employer tuition reimbursements.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Systems and Management</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believe that we have established secure, reliable, scalable technology systems that provide a high quality online educational environment and that give us the capability to substantially grow our online and traditional programs and enrollment.</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Online course delivery and management</w:t>
      </w:r>
      <w:r>
        <w:rPr>
          <w:rFonts w:ascii="Arial" w:cs="Arial" w:eastAsia="Arial" w:hAnsi="Arial"/>
          <w:sz w:val="18"/>
          <w:szCs w:val="18"/>
          <w:color w:val="auto"/>
        </w:rPr>
        <w:t>. In 2010, we entered into an agreement with an affiliated entity to develop a new learning management system</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use. Through this agreement, we prepaid perpetual license fees, acquired source code rights for the software developed, and prepaid maintenance and service fees for the first seven years of use, for an aggregate amount of $4.9 million. Through our modular implementation of this platform, called LoudCloud, we have a platform that can scale to support our growing student population. The platform provides in depth analytics that allows us to closely monitor student success and the quality of our instructional resources. All ground and online students receive online course delivery and resources through this learning management platform.</w:t>
      </w:r>
    </w:p>
    <w:p>
      <w:pPr>
        <w:spacing w:after="0" w:line="19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 xml:space="preserve">Internal administration. </w:t>
      </w:r>
      <w:r>
        <w:rPr>
          <w:rFonts w:ascii="Arial" w:cs="Arial" w:eastAsia="Arial" w:hAnsi="Arial"/>
          <w:sz w:val="18"/>
          <w:szCs w:val="18"/>
          <w:color w:val="auto"/>
        </w:rPr>
        <w:t>We utilize a commercial customer relations management software package to distribute, manage, track, and report on all</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Infrastructure. </w:t>
      </w:r>
      <w:r>
        <w:rPr>
          <w:rFonts w:ascii="Arial" w:cs="Arial" w:eastAsia="Arial" w:hAnsi="Arial"/>
          <w:sz w:val="18"/>
          <w:szCs w:val="18"/>
          <w:color w:val="auto"/>
        </w:rPr>
        <w:t>We operate two data centers, one at our campus and one at another Phoenix-area location. All of our servers are networked and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redundant data backup. We manage our technology environment internally. Our wide area network uses fully redundant SONET ring technology to ensure maximum uptime, bandwidth capacity and network performance while allowing the flexibility needed to bring on additional data centers and remote sites as needed. Student access is load balanced for maximum performance. Real-time monitoring provides current system status across server, network, and storage components.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Campus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own our ground campus, which is located on approximately 205 acres in the center of the Phoenix, Arizona metropolitan area, near downtown Phoenix. Our on-campus facilities currently consist of classroom buildings, lecture halls, a 300-seat theater, a newly renovated library, a media arts complex that provides communications students with audio and video equipment, a 55,000 square foot recreation center for both student-athletes and on-campus students, a 140,000 square foot/ 7,500 seat basketball and entertainment arena, a gymnasium, an activity center that contains a food court, a bowling alley and other student services, a student union which was recently remodeled and expanded, dormitories, apartments, campus pools, athletic facilities and parking garages. Additionally, we have several office buildings used for administration. In late 2014, in order to accommodate the continued growth of our traditional ground population, we started construction on four additional dormitories, an additional classroom building for our College of Science, Engineering and Technology and a third parking structure.</w:t>
      </w:r>
    </w:p>
    <w:p>
      <w:pPr>
        <w:spacing w:after="0" w:line="17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22 intercollegiate athletic teams that currently compete in Division I of the National Collegiate Athletic Association (“NCAA”). Our athletic facilities include the University Arena (a 7,500 seat venue for all men’s and women’s basketball games plus select other GCU athletic competitions, concerts, speakers and other events), and a competition/practice gymnasium, which accommodates basketball, volleyball, and wrestling competitive events. In addition, the University’s 55,000 square foot student recreation center has state of the art training facilities for our 400 student-athletes plus practice space and locker rooms for men’s and women’s basketball and wrestling. Our baseball, softball, track and field and soccer programs utilize on-campus practice and competition sites. Golf, tennis, cross-country and swimming programs utilize off-campus sites for practice and competition. The University won the 2012-13 and 2011-12 Learfield Sports Directors Cup as the top overall NCAA Division II intercollegiate athletic program based on the combined success in all of the sports in which we competed. We advanced 16 of 22 programs into NCAA Championship competition and gained top 10 finishes in nine separate sports. In November 2012, we accepted an invitation to be a member of the NCAA Division I Western Athletic Conference beginning with the 2013-14 academic year and in September 2013 we began playing full Division I schedules. We recently completed requirements for year 1 of the four year reclassification period and were passed on to “year two” in the membership process. In our first year in the Western Athletic Conference our Women’s Indoor Track and Field and Softball teams won conference titles, while our Baseball and Men’s Indoor Track and Field teams finished second, and both our Men’s and Women’s basketball teams finished third in the conference. Our home men’s basketball games are televised locally and we have averaged over 5,000 fans at these games.</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456"/>
        <w:spacing w:after="0" w:line="276" w:lineRule="auto"/>
        <w:rPr>
          <w:sz w:val="20"/>
          <w:szCs w:val="20"/>
          <w:color w:val="auto"/>
        </w:rPr>
      </w:pPr>
      <w:r>
        <w:rPr>
          <w:rFonts w:ascii="Arial" w:cs="Arial" w:eastAsia="Arial" w:hAnsi="Arial"/>
          <w:sz w:val="17"/>
          <w:szCs w:val="17"/>
          <w:color w:val="auto"/>
        </w:rPr>
        <w:t>We believe our ground-based programs and traditional campus not only offer our ground students, faculty, and staff an opportunity to participate in a traditional college experience, but also provide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the mix of our online program with our traditional ground-based program with a greater than 60-year history and heritage differentiates us from other for-profit postsecondary education providers.</w:t>
      </w:r>
    </w:p>
    <w:p>
      <w:pPr>
        <w:spacing w:after="0" w:line="17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intend to continue to expand the size and enhance the profile and reputation of our ground campus by, among other things, adding faculty, excelling in the performance areas such as athletics, theatre, music and dance, expanding upon our campus infrastructure and technological capabilities, and potentially adding additional locations in the Southwest United States. These activities will require significant capital expenditures.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our faculty, as of December 31, 2014, we employed over 3,600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600" w:firstLine="456"/>
        <w:spacing w:after="0" w:line="264" w:lineRule="auto"/>
        <w:rPr>
          <w:sz w:val="20"/>
          <w:szCs w:val="20"/>
          <w:color w:val="auto"/>
        </w:rPr>
      </w:pPr>
      <w:r>
        <w:rPr>
          <w:rFonts w:ascii="Arial" w:cs="Arial" w:eastAsia="Arial" w:hAnsi="Arial"/>
          <w:sz w:val="18"/>
          <w:szCs w:val="18"/>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ground program competes with Arizona State University, Northern Arizona University, and the University of Arizona, the in-state public universities, as well as two-year colleges within the state community college system. Our ground program also competes with geographically proximate universities with similar religious heritages, including Azusa Pacific University, Baylor University, and Pepperdine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w:t>
      </w:r>
    </w:p>
    <w:p>
      <w:pPr>
        <w:spacing w:after="0" w:line="17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competitive factors in the postsecondary education market include:</w:t>
      </w:r>
    </w:p>
    <w:p>
      <w:pPr>
        <w:spacing w:after="0" w:line="131" w:lineRule="exact"/>
        <w:rPr>
          <w:sz w:val="20"/>
          <w:szCs w:val="20"/>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professionally relevant and accredited program offerings;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types of degrees offered and the marketability of those degrees;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reputation, regulatory approvals, and compliance history of the school;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qualified and experienced faculty;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of the ground campus facilities;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of the program;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and selling effectiveness;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own or are licensed to use various intellectual property rights, including copyrights, trademarks, service marks, trade secrets and domain names. We license the right to utilize the name of Jerry Colangelo in connection with our Colangelo School of Sports Business that we operate within the business school, and we have spent significant resources in related branding efforts. While such intellectual property rights are important to us, we do not believe that the loss of any individual property right or group of related rights would have a material adverse effect on our overall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u w:val="single" w:color="auto"/>
          <w:color w:val="auto"/>
        </w:rPr>
        <w:t>www.gcu.edu</w:t>
      </w:r>
      <w:r>
        <w:rPr>
          <w:rFonts w:ascii="Arial" w:cs="Arial" w:eastAsia="Arial" w:hAnsi="Arial"/>
          <w:sz w:val="16"/>
          <w:szCs w:val="16"/>
          <w:color w:val="auto"/>
        </w:rPr>
        <w:t>. 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 to visiting our website, you may read and copy any document we file with the SEC at the SEC’s Public Reference Room at 100 F. Street NE, Washington, D.C. 20549 or at www.sec.gov. Please call the SEC at 1-800-SEC-0330 for information on the Public Reference Room.</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athletics and financial condition.</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As an institution of higher education that grants degrees and certificates, we are required to be authorized by appropriate state education authorities. These state education authorities also exercise regulatory oversight of our institution. In addition, in order to participate in the federal student financial aid programs,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operations are also subject to regulation by the Department of Education due to our participation in the federal student financial aid programs under Title IV of the Higher Education Act.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activities are planned and implemented to comply with the standards of these regulatory agencies. We employ a Vice President of Student Financial Aid Compliance who is knowledgeable about regulatory matters relevant to student financial aid programs and our Chief Financial Officer, Chief Risk Officer, Senior Vice President of Academic Affairs and General Counsel also provide oversight designed to ensure that we meet the requirements of our regulated operating environment.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Education Licensure and Regulation</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failure to comply with the requirements of the Arizona State Board for Private Postsecondary Education could result in us losing our authorization to offer our educational programs, which would cause us to lose our eligibility to participate in the Title IV programs and could force us to cease operations. Alternatively, the Arizona State Board for Private Postsecondary Education could restrict our ability to offer certain degree and non-degree programs.</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Most other states impose regulatory requirements on out-of-state educational institutions operating within their boundaries, such as those having a physical facility or conducting certain academic activities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 State regulatory requirements for online education vary among the states, are not well developed in many states, are imprecise or unclear in some states, and can change frequently.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8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currently enroll students in all 50 states and the District of Columbia. Although we are currently licensed or authorized in all jurisdictions in which we operate, if we fail to comply with state licensing or authorization requirements for a state, or fail to obtain licenses or authorizations when required, we could lose our state license or authorization by that state or be subject to other sanctions, including restrictions on our activities in, and fines and penalties imposed by, that state, as well as fines, penalties, and sanctions imposed by the Department of Education.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Professional Licensure</w:t>
      </w:r>
    </w:p>
    <w:p>
      <w:pPr>
        <w:spacing w:after="0" w:line="12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52" w:lineRule="exact"/>
        <w:rPr>
          <w:sz w:val="20"/>
          <w:szCs w:val="20"/>
          <w:color w:val="auto"/>
        </w:rPr>
      </w:pPr>
    </w:p>
    <w:p>
      <w:pPr>
        <w:ind w:left="1480" w:right="860" w:hanging="446"/>
        <w:spacing w:after="0" w:line="277"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program from which the student graduated meets all requirements for professional licensure in that state;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institution and the program are accredited and, if so, by what accrediting commissions;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institution’s degrees are recognized by other states in which a student may seek to work.</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17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College of Education is approved by the Arizona State Department of Education to offer Institutional Recommendations (credentials) for the certification of elementary, secondary, and special education teachers and school administrators. Our College of Nursing and Health Care Professions is approved by the Arizona State Board of Nursing for the Bachelor of Science in Nursing and Master of Science in Nursing degrees. Due to varying requirements for professional licensure and certification in states other than Arizona, we inform students of the risks associated with obtaining professional licensure or certification and that it is each student’s responsibility to determine what state, local or professional licensure and certification requirements are necessary in his or her individual state.</w:t>
      </w:r>
    </w:p>
    <w:p>
      <w:pPr>
        <w:spacing w:after="0" w:line="193"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In addition, the Department of Education convened a negotiated rulemaking to discuss, among other issues, teacher training requirements under the Higher Education Act generally and in connection with institutional applicability for the TEACH Grant. In April 2012, the negotiating committee ceased its work without reaching consensus. On December 3, 2014, the Department of Education published proposed new federal standards in the Federal Register related to teacher training programs and new standards applicable to the TEACH Grant. The comment period for that proposed regulation ended on February 2, 2015. As with other Department of Education proposals, the Department of Education may change the proposed rule for a number of reasons, including in light of comments received. We are still evaluating the proposed rule and will follow this issue.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been continuously accredited since 1968 by the Higher Learning Commission and its predecessor, each a regional accrediting commission recognized by the Department of Education. Our accreditation was reaffirmed in 2007 for a ten-year period, and the next scheduled comprehensive evaluation will be conducted in 2016-2017.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6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private non-profit, and proprietary colleges and universities in the states of Arizona, Arkansas, Colorado, Illinois, Indiana, Iowa, Kansas, Michigan, Minnesota, Missouri, Nebraska, New Mexico, North Dakota, Ohio, Oklahoma, South Dakota, West Virginia, Wisconsin, and Wyoming.</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193"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institutionally accredited by the Higher Learning Commission, we also have the following specialized accreditations:</w:t>
      </w:r>
    </w:p>
    <w:p>
      <w:pPr>
        <w:spacing w:after="0" w:line="77" w:lineRule="exact"/>
        <w:rPr>
          <w:sz w:val="20"/>
          <w:szCs w:val="20"/>
          <w:color w:val="auto"/>
        </w:rPr>
      </w:pPr>
    </w:p>
    <w:p>
      <w:pPr>
        <w:ind w:left="1480" w:right="420" w:hanging="446"/>
        <w:spacing w:after="0" w:line="264"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Accreditation Council for Business Schools and Programs accredits our Executive Master of Business Administration degree program, Master of Business Administration degree program and our Bachelor of Science degree programs in Accounting, Business Administration, Marketing, Sports Management and Entrepreneurship;</w:t>
      </w:r>
    </w:p>
    <w:p>
      <w:pPr>
        <w:spacing w:after="0" w:line="86" w:lineRule="exact"/>
        <w:rPr>
          <w:rFonts w:ascii="Arial" w:cs="Arial" w:eastAsia="Arial" w:hAnsi="Arial"/>
          <w:sz w:val="18"/>
          <w:szCs w:val="18"/>
          <w:color w:val="auto"/>
        </w:rPr>
      </w:pPr>
    </w:p>
    <w:p>
      <w:pPr>
        <w:ind w:left="1480" w:right="4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Commission on Collegiate Nursing Education accredits our Bachelor of Science in Nursing and Master of Science in Nursing degree programs;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Commission on Accreditation of Athletic Training Education accredits our Athletic Training Program;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National Addiction Studies Accreditation Commission accredits our Master of Science in Addiction Counseling Program.</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we fail to satisfy the standards of any of these specialized accrediting commissions, we could lose the specialized accreditation for the affected programs, which could result in materially reduced student enrollments in those programs and prevent our students from seeking and obtaining appropriate licensure in their fields.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(in our case, the Higher Learning Commission).</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and changes its interpretations of existing laws and regulations, we cannot predict with certainty how the Title IV program requirements will be applied in all circumstances.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regulations and other factors relating to the Title IV programs that could adversely affect us include the following:</w:t>
      </w:r>
    </w:p>
    <w:p>
      <w:pPr>
        <w:spacing w:after="0" w:line="22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 years, and the most recent</w:t>
      </w:r>
      <w:r>
        <w:rPr>
          <w:rFonts w:ascii="Arial" w:cs="Arial" w:eastAsia="Arial" w:hAnsi="Arial"/>
          <w:sz w:val="16"/>
          <w:szCs w:val="16"/>
          <w:i w:val="1"/>
          <w:iCs w:val="1"/>
          <w:color w:val="auto"/>
        </w:rPr>
        <w:t xml:space="preserve"> </w:t>
      </w:r>
      <w:r>
        <w:rPr>
          <w:rFonts w:ascii="Arial" w:cs="Arial" w:eastAsia="Arial" w:hAnsi="Arial"/>
          <w:sz w:val="16"/>
          <w:szCs w:val="16"/>
          <w:color w:val="auto"/>
        </w:rPr>
        <w:t>reauthorization occurred in August 2008. The reauthorized Higher Education Act reauthorized all of the Title IV programs in which we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our industry generally.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 xml:space="preserve">Regulatory changes. </w:t>
      </w:r>
      <w:r>
        <w:rPr>
          <w:rFonts w:ascii="Arial" w:cs="Arial" w:eastAsia="Arial" w:hAnsi="Arial"/>
          <w:sz w:val="18"/>
          <w:szCs w:val="18"/>
          <w:color w:val="auto"/>
        </w:rPr>
        <w:t>Since October 2010, the Department of Education promulgated new rules related to Title IV program integrity issues.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of these rules for our business are the following:</w:t>
      </w:r>
    </w:p>
    <w:p>
      <w:pPr>
        <w:spacing w:after="0" w:line="76" w:lineRule="exact"/>
        <w:rPr>
          <w:sz w:val="20"/>
          <w:szCs w:val="20"/>
          <w:color w:val="auto"/>
        </w:rPr>
      </w:pPr>
    </w:p>
    <w:p>
      <w:pPr>
        <w:ind w:left="1480" w:right="62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Modification of the standards relating to the prohibition on payment of incentive compensation to employees involved in student recruitment and enrollment;</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Implementation of standards for state authorization of institutions of higher education; and</w:t>
      </w:r>
    </w:p>
    <w:p>
      <w:pPr>
        <w:spacing w:after="0" w:line="130" w:lineRule="exact"/>
        <w:rPr>
          <w:rFonts w:ascii="Arial" w:cs="Arial" w:eastAsia="Arial" w:hAnsi="Arial"/>
          <w:sz w:val="18"/>
          <w:szCs w:val="18"/>
          <w:color w:val="auto"/>
        </w:rPr>
      </w:pPr>
    </w:p>
    <w:p>
      <w:pPr>
        <w:ind w:left="1480" w:right="220" w:hanging="446"/>
        <w:spacing w:after="0" w:line="259"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the definition of misrepresentation, relating to the Department of Education’s authority to suspend or terminate an institution’s participation in Title IV programs if the institution engages in substantial misrepresentation about the nature of its educational program, its financial charges, or the employability of its graduates, and expansion of the sanctions that the Department of Education may impose for engaging in a substantial misrepresentation.</w:t>
      </w:r>
    </w:p>
    <w:p>
      <w:pPr>
        <w:spacing w:after="0" w:line="18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Although most of the rules were effective in July 2011, parts of the rules, including those related to state authorization of online programs and parts of the rule on misrepresentation, were vacated as a result of a June 2012 decision of the U.S. Court of Appeals for the District of Columbia.</w:t>
      </w:r>
    </w:p>
    <w:p>
      <w:pPr>
        <w:spacing w:after="0" w:line="14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On October 20, 2014, the Department of Education published the final rules related to the implementation of the Section 304 of the Violence Against Women Act of 2013. These rules, which add additional compliance requirements related to the Clery Act, address issues related to campus crime, sexual assault, and various administrative requirements in support of maintaining a campus free of sexual discrimination. Although these requirement have added modest costs associated with compliance, management does not believe these costs have had a material effect on our business.</w:t>
      </w:r>
    </w:p>
    <w:p>
      <w:pPr>
        <w:spacing w:after="0" w:line="154"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 xml:space="preserve">On October 31, 2014, the Department of Education published the final gainful employment rule. This was a follow up to a 2011 effort by the Department to adopt a definition of what it means to provide a program leading to “gainful employment in a recognized profession,” which was largely overturned by a 2012 district court decision. For more information see </w:t>
      </w:r>
      <w:r>
        <w:rPr>
          <w:rFonts w:ascii="Arial" w:cs="Arial" w:eastAsia="Arial" w:hAnsi="Arial"/>
          <w:sz w:val="18"/>
          <w:szCs w:val="18"/>
          <w:i w:val="1"/>
          <w:iCs w:val="1"/>
          <w:color w:val="auto"/>
        </w:rPr>
        <w:t>Gainful Employment Rule</w:t>
      </w:r>
      <w:r>
        <w:rPr>
          <w:rFonts w:ascii="Arial" w:cs="Arial" w:eastAsia="Arial" w:hAnsi="Arial"/>
          <w:sz w:val="18"/>
          <w:szCs w:val="18"/>
          <w:color w:val="auto"/>
        </w:rPr>
        <w:t xml:space="preserve"> below.</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February, March and April 2014, the Department of Education conducted negotiated rulemaking sessions covering a variety of topics, the following of which may be impactful to us: the definition of adverse credit as it applies to Federal Direct PLUS loans, clock-to-credit hour conversion regulations and Title IV cash management. While the Department of Education published the rules related to adverse credit as it applies to Federal Direct PLUS loans, it has not, to our knowledge, published or proposed a rule on any of the other topics raised at these negotiations. We continue to monitor activities relative to the Department of Education’s negotiations and proposed rules for any impact to our business.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20, 2014, the Department announced the intent to create a negotiated rulemaking panel to discuss changes to the higher education regulations and sought nominations of potential negotiators for that purpose. The Department of Education stated that the negotiating committee will discuss the following topics (1) proposed regulations to establish a new Pay as You Earn repayment plan for those not covered by the existing Pay as You Earn Repayment Plan in the Federal Direct Loan Program, and (2) procedures for Federal Family Education Loan (FFEL) Program loan holders to use to identify U.S. military servicemembers who may be eligible for a lower interest rate on their FFEL Program loans under Section 527 of the Servicemembers Civil Relief Act (SCRA). Although it is not anticipated that these proposals will have an impact on the business, we will monitor the progress of the negotiations to assess any impact.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Eligibility and certification procedures. </w:t>
      </w:r>
      <w:r>
        <w:rPr>
          <w:rFonts w:ascii="Arial" w:cs="Arial" w:eastAsia="Arial" w:hAnsi="Arial"/>
          <w:sz w:val="17"/>
          <w:szCs w:val="17"/>
          <w:color w:val="auto"/>
        </w:rPr>
        <w:t>Each institution must apply periodically to the Department of Education for continued certification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18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Since 2004, we had been certified on a provisional basis to participate in the Title IV programs. In July 2013, we submitted our complete application for full certification and, on October 28, 2013, the University received a new program participation agreement with full certification from the Department of Education, which gives the University the ability to participate in the Title IV programs through September 30, 2017.</w:t>
      </w:r>
    </w:p>
    <w:p>
      <w:pPr>
        <w:spacing w:after="0" w:line="166"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i w:val="1"/>
          <w:iCs w:val="1"/>
          <w:color w:val="auto"/>
        </w:rPr>
        <w:t xml:space="preserve">Administrative capability. </w:t>
      </w:r>
      <w:r>
        <w:rPr>
          <w:rFonts w:ascii="Arial" w:cs="Arial" w:eastAsia="Arial" w:hAnsi="Arial"/>
          <w:sz w:val="16"/>
          <w:szCs w:val="16"/>
          <w:color w:val="auto"/>
        </w:rPr>
        <w:t>Department of Education regulations specify extensive criteria by which an institution must establish that it has the requisite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capability” to participate in the Title IV programs. To meet the administrative capability standards, an institution must, among other things:</w:t>
      </w:r>
    </w:p>
    <w:p>
      <w:pPr>
        <w:spacing w:after="0" w:line="29" w:lineRule="exact"/>
        <w:rPr>
          <w:sz w:val="20"/>
          <w:szCs w:val="20"/>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have various procedures in place for awarding, disbursing and safeguarding Title IV funds and for maintaining required records;</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administer the Title IV programs with adequate checks and balances in its system of internal controls;</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130" w:lineRule="exact"/>
        <w:rPr>
          <w:rFonts w:ascii="Arial" w:cs="Arial" w:eastAsia="Arial" w:hAnsi="Arial"/>
          <w:sz w:val="18"/>
          <w:szCs w:val="18"/>
          <w:color w:val="auto"/>
        </w:rPr>
      </w:pPr>
    </w:p>
    <w:p>
      <w:pPr>
        <w:ind w:left="1480" w:right="300" w:hanging="446"/>
        <w:spacing w:after="0" w:line="264"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 all required reports and consolidated financial statements in a timely manner;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 institution fails to satisfy any of these criteria, the Department of Education may:</w:t>
      </w:r>
    </w:p>
    <w:p>
      <w:pPr>
        <w:spacing w:after="0" w:line="131" w:lineRule="exact"/>
        <w:rPr>
          <w:sz w:val="20"/>
          <w:szCs w:val="20"/>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commence a proceeding to impose a fine or to limit, suspend or terminate the institution’s participation in the Title IV programs.</w:t>
      </w:r>
    </w:p>
    <w:p>
      <w:pPr>
        <w:spacing w:after="0" w:line="23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If we are found not to have satisfied the Department of Education’s administrative capability requirements, our students could lose, or be limited in their access to, Title IV program funding.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Financial responsibility. </w:t>
      </w:r>
      <w:r>
        <w:rPr>
          <w:rFonts w:ascii="Arial" w:cs="Arial" w:eastAsia="Arial" w:hAnsi="Arial"/>
          <w:sz w:val="18"/>
          <w:szCs w:val="18"/>
          <w:color w:val="auto"/>
        </w:rPr>
        <w:t>The Higher Education Act and Department of Education regulations establish extensive standards of financial responsibility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that institutions such as Grand Canyon University must satisfy in order to participate in the Title IV programs. The Department of Education evaluates institutions for compliance with these standards on an annual basis based on the institution’s annual audited consolidated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99"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ratio, which measures the institution’s capital resources, financial viability and ability to borrow;</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primary reserve ratio, which measures the institution’s ability to support current operations from expendable resources;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ratio, which measures the institution’s ability to operate at a profit or within its means.</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Department of Education oversight. Our composite scores for our fiscal years ended December 31, 2013, 2012 and 2011 were 3.0, 2.9 and 2.2, respectively, and, therefore, we are considered financially responsible for purposes of these regulations. We have not yet submitted our consolidated financial statements to the Department of Education for our 2014 fiscal year, but have calculated that our composite score for the 2014 fiscal year will be 3.0. We have modeled our composite score for future years using, among other estimates, our estimated ground campus capital expenditures and believe that our composite score will remain at a financially responsible level for the foreseeable future.</w:t>
      </w:r>
    </w:p>
    <w:p>
      <w:pPr>
        <w:spacing w:after="0" w:line="18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 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 of Education’s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18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program funds withdraws from school, the institution</w:t>
      </w:r>
      <w:r>
        <w:rPr>
          <w:rFonts w:ascii="Arial" w:cs="Arial" w:eastAsia="Arial" w:hAnsi="Arial"/>
          <w:sz w:val="16"/>
          <w:szCs w:val="16"/>
          <w:i w:val="1"/>
          <w:iCs w:val="1"/>
          <w:color w:val="auto"/>
        </w:rPr>
        <w:t xml:space="preserve"> </w:t>
      </w:r>
      <w:r>
        <w:rPr>
          <w:rFonts w:ascii="Arial" w:cs="Arial" w:eastAsia="Arial" w:hAnsi="Arial"/>
          <w:sz w:val="16"/>
          <w:szCs w:val="16"/>
          <w:color w:val="auto"/>
        </w:rPr>
        <w:t>must 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Department of Education program review. We did not exceed this 5% threshold in our annual Title IV compliance audits for 2013 (the most recent year for which we have completed a Title IV compliance audit), 2012 or 2011.</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The “90/10 Rule.” </w:t>
      </w:r>
      <w:r>
        <w:rPr>
          <w:rFonts w:ascii="Arial" w:cs="Arial" w:eastAsia="Arial" w:hAnsi="Arial"/>
          <w:sz w:val="18"/>
          <w:szCs w:val="18"/>
          <w:color w:val="auto"/>
        </w:rPr>
        <w:t>A requirement of the Higher Education Act, commonly referred to as the “90/10 Rule,” that is applicable only to for-profit,</w:t>
      </w:r>
      <w:r>
        <w:rPr>
          <w:rFonts w:ascii="Arial" w:cs="Arial" w:eastAsia="Arial" w:hAnsi="Arial"/>
          <w:sz w:val="18"/>
          <w:szCs w:val="18"/>
          <w:i w:val="1"/>
          <w:iCs w:val="1"/>
          <w:color w:val="auto"/>
        </w:rPr>
        <w:t xml:space="preserve"> </w:t>
      </w:r>
      <w:r>
        <w:rPr>
          <w:rFonts w:ascii="Arial" w:cs="Arial" w:eastAsia="Arial" w:hAnsi="Arial"/>
          <w:sz w:val="18"/>
          <w:szCs w:val="18"/>
          <w:color w:val="auto"/>
        </w:rPr>
        <w:t>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19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Using the Department of Education’s cash-basis, regulatory formula under the 90/10 Rule as currently in effect, for our 2014, 2013, and 2012 fiscal years, we derived approximately 76.5%, 78.5%, and 80.3%, respectively, of our 90/10 Rule revenue from Title IV program funds.</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a result of the continuing increase in the number of students attending our ground campus, who typically finance a greater percentage of their educational costs with non-Title IV sources of funds, we expect the percentage of our revenue that we receive from Title IV programs to remain stable or to continue to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 If we were to exceed the 90% threshold for two consecutive years such that we lost our eligibility to participate in the Title IV programs, or if Congress passed legislation changing how certain funds are counted under this rule, revising the percentage of income that proprietary schools must derive from non-federal sources, or both, it would have a material adverse effect on our business, prospects, financial condition, and results of operations.</w:t>
      </w:r>
    </w:p>
    <w:p>
      <w:pPr>
        <w:spacing w:after="0" w:line="16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 xml:space="preserve">Student loan defaults. </w:t>
      </w:r>
      <w:r>
        <w:rPr>
          <w:rFonts w:ascii="Arial" w:cs="Arial" w:eastAsia="Arial" w:hAnsi="Arial"/>
          <w:sz w:val="17"/>
          <w:szCs w:val="17"/>
          <w:color w:val="auto"/>
        </w:rPr>
        <w:t>Under the Higher Education Act, an educational institution may lose its eligibility to participate in some or all of the Title IV</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if defaults by its students on the repayment of their federal student loans exceed certain levels. For each federal fiscal year, the Department of Education calculates a rate of student defaults for each institution (known as a “cohort default rate”). An institution’s cohort default rate for a federal fiscal year historically has been calculated by determining the rate at which borrowers who became subject to their repayment obligation in one federal fiscal year default in that same year or by the end of the following federal fiscal year (the “two-year method”).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following federal fiscal year (the “three-year method”), a change which would be expected to increase cohort default rates for most if not all institutions. The Department of Education issued a final regulation indicating that it would implement this extended measurement period for the cohort default rates calculated for loans entering repayment in federal fiscal year 2009, which is the year that ended on September 30, 2009. The Department of Education included a transition period of three years during which it calculated two cohort default rates for each institution for each of federal fiscal years 2009, 2010 and 2011, with one such rate measured under the two-year method and the other such rate measured under the three-year method.</w:t>
      </w:r>
    </w:p>
    <w:p>
      <w:pPr>
        <w:spacing w:after="0" w:line="18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Department of Education applied different legal thresholds to measure an institution’s compliance under each set of rates. If the Department of Education notifies an institution that its cohort default rates exceeded 25%, as calculated under the two-year method, for each of its three most recent federal fiscal years, or exceeded 30%, as calculated under the three-year method,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the Department of Education that its most recent cohort default rate, as calculated under either the two-year method or the three-year method,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 fiscal years. If an institution’s cohort default rate for any single federal fiscal year equals or exceeds 25% under the two-year method, or 30% under the three-year method, the Department of Education may place the institution on provisional certification status.</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Beginning with the three year cohort default rate for the 2011 cohort published in September 2014, only the three year rates will be applied for purposes of measuring compliance. Our cohort default rates, under the three-year method, on federal student loans for the 2011, 2010 and 2009 federal fiscal years the only years for which such rates have been calculated, were 15.7%, 19.5% and 15.1%, respectively.</w:t>
      </w:r>
    </w:p>
    <w:p>
      <w:pPr>
        <w:spacing w:after="0" w:line="18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Incentive compensation rule. </w:t>
      </w:r>
      <w:r>
        <w:rPr>
          <w:rFonts w:ascii="Arial" w:cs="Arial" w:eastAsia="Arial" w:hAnsi="Arial"/>
          <w:sz w:val="18"/>
          <w:szCs w:val="18"/>
          <w:color w:val="auto"/>
        </w:rPr>
        <w:t>An institution that participates in the Title IV programs may not provide any commission, bonus, or other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based directly or indirectly on success in securing enrollments or financial aid to any person or entity engaged in any student recruitment, admissions, or financial aid awarding activity. Prior to July 1, 2011, Department of Education regulations included 12 “safe harbors” that described payments and arrangements that did not violate the incentive compensation rule. Under new rules effective July 1, 2011, the 12 safe harbors were eliminated. The restrictions of the incentive compensation rule, which extend to any third-party companies that an educational institution contracts with for student recruitment, admissions, or financial aid awarding services, increase the uncertainty about what constitutes incentive compensation and which employees are covered by the regulation. This makes the development of effective and compliant performance metrics more difficult to establish. As such, these changes limit our ability to compensate our employees based on their performance of their job responsibilities, which could make it more difficult to attract and retain highly-qualified employees.</w:t>
      </w:r>
    </w:p>
    <w:p>
      <w:pPr>
        <w:spacing w:after="0" w:line="19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 xml:space="preserve">Compliance reviews. </w:t>
      </w:r>
      <w:r>
        <w:rPr>
          <w:rFonts w:ascii="Arial" w:cs="Arial" w:eastAsia="Arial" w:hAnsi="Arial"/>
          <w:sz w:val="17"/>
          <w:szCs w:val="17"/>
          <w:color w:val="auto"/>
        </w:rPr>
        <w:t>We are subject to announced and unannounced compliance reviews and audits by various external agencies,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its Office of Inspector General, state licensing agencies,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On September 27, 2013, the University and the Department of Education entered into an agreement that fully resolved the findings in the preliminary program review report and closed the program review. A second program review, focused on the University’s administration of the Title IV programs in which it participates, its administration of the Clery Act and related regulations, and its compliance with the requirements of the Drug-Free Schools and Communities Act for the 2012-2013 and 2013-2014 award years, was initiated in April 2014. The final program review determination letter received in June 2014 set forth three findings, each of which involved individual student-specific information gathering and/or reporting errors and all of which the University promptly corrected to the Department of Education’s satisfaction. Accordingly, the final program review determination letter concluded that the University had taken all corrective actions necessary to resolve the findings and that the program review had been closed with no further action required. See “Management’s Discussion and Analysis of Financial Condition and Results of Operations.”</w:t>
      </w:r>
    </w:p>
    <w:p>
      <w:pPr>
        <w:spacing w:after="0" w:line="16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 xml:space="preserve">Privacy of student records. </w:t>
      </w:r>
      <w:r>
        <w:rPr>
          <w:rFonts w:ascii="Arial" w:cs="Arial" w:eastAsia="Arial" w:hAnsi="Arial"/>
          <w:sz w:val="17"/>
          <w:szCs w:val="17"/>
          <w:color w:val="auto"/>
        </w:rPr>
        <w:t>The Family Educational Rights and Privacy Act of 1974, or FERPA, and the Department of Education’s FERPA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FTC, and be subject to fines or penalties imposed by the FTC. For-profit educational institutions are also subject to the general deceptive practices jurisdiction of the FTC with respect to their collection, use, and disclosure of student information. The institution must also comply with the FTC Red Flags Rule, a section of the federal Fair Credit Reporting Act, that requires the establishment of guidelines and policies regarding identity theft related to student credit accounts.</w:t>
      </w:r>
    </w:p>
    <w:p>
      <w:pPr>
        <w:spacing w:after="0" w:line="18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Potential effect of regulatory violations. </w:t>
      </w:r>
      <w:r>
        <w:rPr>
          <w:rFonts w:ascii="Arial" w:cs="Arial" w:eastAsia="Arial" w:hAnsi="Arial"/>
          <w:sz w:val="16"/>
          <w:szCs w:val="16"/>
          <w:color w:val="auto"/>
        </w:rPr>
        <w:t>If we fail to comply with the regulatory standards governing the Title IV programs, the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 could impose one or more 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16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have a material adverse effect on our results of operations, even if we could arrange or provide alternative sources of revenue or student financial aid.</w:t>
      </w:r>
    </w:p>
    <w:p>
      <w:pPr>
        <w:spacing w:after="0" w:line="17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18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i w:val="1"/>
          <w:iCs w:val="1"/>
          <w:color w:val="auto"/>
        </w:rPr>
        <w:t>State authorization</w:t>
      </w:r>
      <w:r>
        <w:rPr>
          <w:rFonts w:ascii="Arial" w:cs="Arial" w:eastAsia="Arial" w:hAnsi="Arial"/>
          <w:sz w:val="18"/>
          <w:szCs w:val="18"/>
          <w:color w:val="auto"/>
        </w:rPr>
        <w:t>. States have the authority to assert jurisdiction, to the extent they so choose, over educational institutions that offer online degree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in a state but that otherwise have no physical location or other presence in that state. On November 20, 2013, the Department of Education announced its intent to establish a negotiated rulemaking committee to address state authorization of distance and correspondence learning programs. While these negotiated rulemaking sessions were held, the committee failed to reach consensus on all topics by the May 2014 conclusion of those sessions. The Department of Education has not yet published a notice of proposed rulemaking, so we do not yet know whether or how any such proposed rules would impact the University or when such rules may be published. The regulations proposed by the Department of Education prior to the May 2014 negotiating session, however, would impose significant new regulatory burdens on postsecondary institutions that provide distance education, regardless of educational sector.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addition to Arizona, we have determined that our activities in certain states constitute a presence requiring licensure or authorization under the requirements of the state education agency in those states, which we have obtained, while in other states we have determined that we are exempt under applicable state law from licensure or authorization requirements due to our regional accreditation or for other reasons. In still other states, we have obtained approvals to operate as we have determined necessary in connection with our marketing and recruiting activities. Although we have a process for evaluating the compliance of our online educational programs with state requirements regarding distance and 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If we fail to comply with licensing or authorization requirements for a particular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Approval of new programs. </w:t>
      </w:r>
      <w:r>
        <w:rPr>
          <w:rFonts w:ascii="Arial" w:cs="Arial" w:eastAsia="Arial" w:hAnsi="Arial"/>
          <w:sz w:val="18"/>
          <w:szCs w:val="18"/>
          <w:color w:val="auto"/>
        </w:rPr>
        <w:t>Department of Education rules effective July 1, 2011 imposed various requirements on an institution’s ability to add new</w:t>
      </w:r>
      <w:r>
        <w:rPr>
          <w:rFonts w:ascii="Arial" w:cs="Arial" w:eastAsia="Arial" w:hAnsi="Arial"/>
          <w:sz w:val="18"/>
          <w:szCs w:val="18"/>
          <w:i w:val="1"/>
          <w:iCs w:val="1"/>
          <w:color w:val="auto"/>
        </w:rPr>
        <w:t xml:space="preserve"> </w:t>
      </w:r>
      <w:r>
        <w:rPr>
          <w:rFonts w:ascii="Arial" w:cs="Arial" w:eastAsia="Arial" w:hAnsi="Arial"/>
          <w:sz w:val="18"/>
          <w:szCs w:val="18"/>
          <w:color w:val="auto"/>
        </w:rPr>
        <w:t>academic programs without prior approval of the Department of Education. While the U.S. District Court for the District of Columbia subsequently invalidated this requirement, we believe there remains some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qui tam lawsuits in which private plaintiffs assert that students improperly received Title IV aid while attending a program that has not been approved.</w:t>
      </w:r>
    </w:p>
    <w:p>
      <w:pPr>
        <w:spacing w:after="0" w:line="1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Gainful employment rules. </w:t>
      </w:r>
      <w:r>
        <w:rPr>
          <w:rFonts w:ascii="Arial" w:cs="Arial" w:eastAsia="Arial" w:hAnsi="Arial"/>
          <w:sz w:val="16"/>
          <w:szCs w:val="16"/>
          <w:color w:val="auto"/>
        </w:rPr>
        <w:t>Under the Higher Education Act, proprietary schools are eligible to participate in Title IV programs in respect of educational</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that lead to “gainful employment in a recognized occupation,” with the limited exception of qualified programs leading to a bachelor’s degree in liberal arts. Historically, this concept has not been defined in detail. On October 31, 2014, the Department of Education set forth the gainful employment rule, which will take effect on July 1, 2015. This rule establishes requirements related to the debt to earnings (DE) ratio of graduates of our programs, and sets additional disclosure requirements for students. This is a complicated rule and, although management will work to achieve compliance with this new rule, the continuing eligibility of our educational programs for Title IV funding is at risk due to factors measured by this rule and beyond our control, such as changes in the actual or deemed income level of our graduates, changes in student borrowing levels, increases in interest rates, changes in the federal poverty income level relevant for calculating discretionary income, and other factors. The exposure to these external factors could reduce our ability to confidently offer or continue certain types of programs for which there is market demand, and therefore would impact our ability to maintain or grow our business.</w:t>
      </w:r>
    </w:p>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Substantial misrepresentation</w:t>
      </w:r>
      <w:r>
        <w:rPr>
          <w:rFonts w:ascii="Arial" w:cs="Arial" w:eastAsia="Arial" w:hAnsi="Arial"/>
          <w:sz w:val="16"/>
          <w:szCs w:val="16"/>
          <w:color w:val="auto"/>
        </w:rPr>
        <w:t>. The Higher Education Act prohibits an institution that participates in Title IV programs from engaging in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misrepresentation” of the nature of its educational program, its financial charges, or the employability of its graduates. The Department of Education has defined a misrepresentation as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qui tam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regulations, we could be subject to sanctions and other liability, which could have a material adverse effect on our business.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121" w:lineRule="exact"/>
        <w:rPr>
          <w:sz w:val="20"/>
          <w:szCs w:val="20"/>
          <w:color w:val="auto"/>
        </w:rPr>
      </w:pPr>
    </w:p>
    <w:p>
      <w:pPr>
        <w:ind w:right="540" w:firstLine="456"/>
        <w:spacing w:after="0" w:line="286" w:lineRule="auto"/>
        <w:rPr>
          <w:sz w:val="20"/>
          <w:szCs w:val="20"/>
          <w:color w:val="auto"/>
        </w:rPr>
      </w:pPr>
      <w:r>
        <w:rPr>
          <w:rFonts w:ascii="Arial" w:cs="Arial" w:eastAsia="Arial" w:hAnsi="Arial"/>
          <w:sz w:val="17"/>
          <w:szCs w:val="17"/>
          <w:color w:val="auto"/>
        </w:rPr>
        <w:t>Many actions that we may wish to take in connection with expanding our operations or other changes are subject to review or approval by the applicable regulatory agencies. In addition to those matters described in detail below, most state education agencies impose regulatory requirements on educational institutions operating within their boundaries. See “State Educational Licensure and Authorization.”</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Adding teaching locations, implementing new educational programs, and increasing enrollment. </w:t>
      </w:r>
      <w:r>
        <w:rPr>
          <w:rFonts w:ascii="Arial" w:cs="Arial" w:eastAsia="Arial" w:hAnsi="Arial"/>
          <w:sz w:val="18"/>
          <w:szCs w:val="18"/>
          <w:color w:val="auto"/>
        </w:rPr>
        <w:t>The requirements and standards of state education</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pre-licensure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9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like Grand Canyon University, that is fully certified to participate in the Title IV programs is not required to obtain the Department of Education’s approval of additional programs that lead to an associate, bachelor’s, professional, or graduate degree at the same degree level as programs previously approved by the Department of Education, and, similarly,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w:t>
      </w:r>
    </w:p>
    <w:p>
      <w:pPr>
        <w:spacing w:after="0" w:line="16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Acquiring other schools. </w:t>
      </w:r>
      <w:r>
        <w:rPr>
          <w:rFonts w:ascii="Arial" w:cs="Arial" w:eastAsia="Arial" w:hAnsi="Arial"/>
          <w:sz w:val="16"/>
          <w:szCs w:val="16"/>
          <w:color w:val="auto"/>
        </w:rPr>
        <w:t>While we have not acquired any other schools in the past, we may seek to do so in the future. The Department of Education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and others only considering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Title IV program participation. </w:t>
      </w:r>
      <w:r>
        <w:rPr>
          <w:rFonts w:ascii="Arial" w:cs="Arial" w:eastAsia="Arial" w:hAnsi="Arial"/>
          <w:sz w:val="18"/>
          <w:szCs w:val="18"/>
          <w:color w:val="auto"/>
        </w:rPr>
        <w:t>Each institution must apply to the Department of Education for continued certification to participate in the Title IV</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at 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187"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or if a school undertakes another transaction that constitutes a change in control under Department of Education regulations, the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 Students attending provisionally certified institutions remain eligible to receive Title IV program funds.</w:t>
      </w:r>
    </w:p>
    <w:p>
      <w:pPr>
        <w:spacing w:after="0" w:line="178"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Since 2004 we had been provisionally certified to participate in the Title IV programs. In July 2013, we submitted our complete application for full certification and, on October 28, 2013, the University received a new program participation agreement with full certification from the Department of Education, which gives the University the ability to participate in the Title IV programs through September 30, 2017.</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i w:val="1"/>
          <w:iCs w:val="1"/>
          <w:color w:val="auto"/>
        </w:rPr>
        <w:t xml:space="preserve">Change in ownership resulting in a change in control. </w:t>
      </w:r>
      <w:r>
        <w:rPr>
          <w:rFonts w:ascii="Arial" w:cs="Arial" w:eastAsia="Arial" w:hAnsi="Arial"/>
          <w:sz w:val="17"/>
          <w:szCs w:val="17"/>
          <w:color w:val="auto"/>
        </w:rPr>
        <w:t>The Department of Education, as well as many accrediting commissions and states,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institutions of higher education to report or obtain approval of certain changes in control and changes in other aspects of institutional organization or control. With respect to publicly traded corporations, like us, Department of Education regulations provide that a change in control occurs if, among other things,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w:t>
      </w:r>
    </w:p>
    <w:p>
      <w:pPr>
        <w:spacing w:after="0" w:line="179"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Higher Learning Commission provides that an institution must obtain its approval in advance of a change in ownership, corporate control or structure in order for the institution to retain its accredited status. In June 2009, the Higher Learning Commission adopted new policies and standards for the review of transactions that may constitute such a change in control. One standard provides that a transaction may be considered a change in control if an individual, entity or group increases or decreases its control of shares to greater than or less than 25% of the total outstanding shares of the stock of a parent corporation that owns or controls the accredited institution. In addition, in the event of a change in control, the Higher Learning Commission requires the institution to obtain its approval in advance of the change, and in certain circumstances that process may require several weeks or several months or more to complete. In addition, following a change in control, the Higher Learning Commission will conduct an onsite evaluation within six months in order to continue the institution’s accreditation.</w:t>
      </w:r>
    </w:p>
    <w:p>
      <w:pPr>
        <w:spacing w:after="0" w:line="19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 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a change in control in order to maintain our authorization to operate in that state, and in some cases such states could require us to obtain advance approval of the change in control.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which would cause a significant decline in our student enrollment.</w:t>
      </w:r>
    </w:p>
    <w:p>
      <w:pPr>
        <w:spacing w:after="0" w:line="3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You should carefully consider the risks and uncertainties described below and all other information contained in this Annual Report on Form 10-K. In order to help assess the major risks in our business, we have identified many, but not all, of these risks. Due to the scope of our operations, a wide range of factors could materially affect future developments and performance.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If any of the following risks, or risks that we do not anticipate,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and Item 8,</w:t>
      </w:r>
      <w:r>
        <w:rPr>
          <w:rFonts w:ascii="Arial" w:cs="Arial" w:eastAsia="Arial" w:hAnsi="Arial"/>
          <w:sz w:val="18"/>
          <w:szCs w:val="18"/>
          <w:i w:val="1"/>
          <w:iCs w:val="1"/>
          <w:color w:val="auto"/>
        </w:rPr>
        <w:t xml:space="preserve"> Consolidated Financial Statements and Supplementary Data, </w:t>
      </w:r>
      <w:r>
        <w:rPr>
          <w:rFonts w:ascii="Arial" w:cs="Arial" w:eastAsia="Arial" w:hAnsi="Arial"/>
          <w:sz w:val="18"/>
          <w:szCs w:val="18"/>
          <w:color w:val="auto"/>
        </w:rPr>
        <w:t>including the related Notes to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r>
        <w:rPr>
          <w:rFonts w:ascii="Arial" w:cs="Arial" w:eastAsia="Arial" w:hAnsi="Arial"/>
          <w:sz w:val="18"/>
          <w:szCs w:val="18"/>
          <w:i w:val="1"/>
          <w:iCs w:val="1"/>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Extensive Regulation of Our Industry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 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ectPr>
          <w:pgSz w:w="11900" w:h="16838" w:orient="portrait"/>
          <w:cols w:equalWidth="0" w:num="1">
            <w:col w:w="11420"/>
          </w:cols>
          <w:pgMar w:left="240" w:top="459" w:right="239" w:bottom="1440" w:gutter="0" w:footer="0" w:header="0"/>
        </w:sectPr>
      </w:pP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17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Since 2004 we had been provisionally certified to participate in the Title IV programs. In July 2013, we submitted our complete application for full certification and on October 28, 2013, the University received a new program participation agreement with full certification from the Department of Education, which gives the University the ability to participate in the Title IV programs through September 30, 2017. See Item 1, </w:t>
      </w:r>
      <w:r>
        <w:rPr>
          <w:rFonts w:ascii="Arial" w:cs="Arial" w:eastAsia="Arial" w:hAnsi="Arial"/>
          <w:sz w:val="17"/>
          <w:szCs w:val="17"/>
          <w:i w:val="1"/>
          <w:iCs w:val="1"/>
          <w:color w:val="auto"/>
        </w:rPr>
        <w:t>Business — Regulation —</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 of Federal Student Financial Aid Programs — Eligibility and certification procedures</w:t>
      </w:r>
      <w:r>
        <w:rPr>
          <w:rFonts w:ascii="Arial" w:cs="Arial" w:eastAsia="Arial" w:hAnsi="Arial"/>
          <w:sz w:val="17"/>
          <w:szCs w:val="17"/>
          <w:color w:val="auto"/>
        </w:rPr>
        <w:t>. There can be no assurance that the Department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Education will recertify us at that time or that it will not impose conditions or other restrictions on us as a condition of approving our application with respect to any future recertification. See Item 1A, </w:t>
      </w:r>
      <w:r>
        <w:rPr>
          <w:rFonts w:ascii="Arial" w:cs="Arial" w:eastAsia="Arial" w:hAnsi="Arial"/>
          <w:sz w:val="17"/>
          <w:szCs w:val="17"/>
          <w:i w:val="1"/>
          <w:iCs w:val="1"/>
          <w:color w:val="auto"/>
        </w:rPr>
        <w:t>Risk Factors — If any of the education regulatory agencies that regulate us do not approve or delay their approval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any transaction involving us that constitutes a “change in control,” our ability to operate or participate in the Title IV programs may be impaired. </w:t>
      </w:r>
      <w:r>
        <w:rPr>
          <w:rFonts w:ascii="Arial" w:cs="Arial" w:eastAsia="Arial" w:hAnsi="Arial"/>
          <w:sz w:val="17"/>
          <w:szCs w:val="17"/>
          <w:color w:val="auto"/>
        </w:rPr>
        <w:t>If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does not renew or withdraws our certification to participate in the Title IV programs at any time, our students would no longer be able to receive Title IV program funds. Alternatively, the Department of Education could renew our certification, but restrict or delay our students’ receipt of Title IV funds, limit the number of students to whom we could disburse such funds, or place other restrictions on us, or it could delay our recertification after our program participation agreement expires on September 30, 2017, in which case our certification would continue on a month-to-month basis. Any of these outcomes could have a material adverse effect on our enrollments and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Rulemaking by the U.S. Department of Education could materially and adversely affect our business.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Over the past few years, the U.S. Department of Education has regularly promulgated new regulations that impact our business. See “Item 1. Business —Regulation.”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regulations have increased our operating costs and in some cases required us to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the proprietary sector, could further negatively impact our business.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Increased disclosure and recordkeeping requirements could result in lower enrollment or growth rates in a manner that materially and adversely affects our business.</w:t>
      </w:r>
    </w:p>
    <w:p>
      <w:pPr>
        <w:spacing w:after="0" w:line="17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Department of Education rules require that, for each program leading to “gainful employment” in a recognized occupation, institutions must provide prospective students with information concerning the occupation that the program prepares students to enter, the program’s on-time graduation rate, and the tuition and fees it charges a student for completing the program within normal time, as well as the costs of books, supplies, room, and board, and the median loan debt incurred by students who completed the program. Institutions must also provide the Department of Education with information that will allow determination of student debt levels and incomes after program completion. These reporting and disclosure requirements have caused increased administrative burden and costs and may have a negative effect on our growth and enrollments.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A reduction in funding or new restrictions on eligibility for the Federal Pell Grant Program, or the elimination of subsidized Stafford loans, could make college less affordable for certain students at our institution, which could negatively impact our enrollments, revenue and results of operations.</w:t>
      </w:r>
    </w:p>
    <w:p>
      <w:pPr>
        <w:spacing w:after="0" w:line="10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U.S. Congress must periodically reauthorize the Higher Education Act and annually determine the funding level for each Title IV program. In 2008, the Higher Education Act was reauthorized through September 30, 2013 by the Higher Education Opportunity Act. Changes to the Higher Education Act, including changes in eligibility and funding for Title IV programs, are likely to occur in subsequent reauthorizations, but we cannot predict the scope or substance of any such changes.</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recent years, there has been increased focus by Congress on the role that proprietary educational institutions play in higher education. See “Item 1. Business – Regulation – Regulation of Federal Student Financial Aid – Congressional action.”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continued scrutiny in Congress of the proprietary education sector and the federal budget deficit increases the likelihood of legislation that will adversely impact our business. Any action by Congress that significantly reduces Title IV program funding, whether through across-the-board funding reductions, sequestration or otherwise, or materially impacts the eligibility of our institutions or students to participate in Title IV programs would have a material adverse effect on our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Congress significantly reduced the amount of available Title IV program funding, we would attempt to arrange for alternative sources of financial aid for our students, which may include lending funds directly to our students, but private sources may not be able to provide as much funding to our students on as favorable terms as is currently provided by Title IV. In addition, private organizations could require us to guarantee all or part of this assistance and we might incur other additional costs. For these reasons, private, alternative sources of student financial aid would only partly offset, if at all, the impact on our business of reduced Title IV program funding.</w:t>
      </w:r>
    </w:p>
    <w:p>
      <w:pPr>
        <w:spacing w:after="0" w:line="188"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10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If, in the future, we fail to satisfy the Department of Education’s financial responsibility standards, we could experience increased regulatory compliance costs or delays in our receipt of Title IV program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16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12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the institution to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If we fail to satisfy any of these criteria, the Department of Education may assess financial penalties against us, restrict the manner in which we receive Title IV funds, require us to post a letter of credit, place us on provisional certification status, or limit or terminate our participation in the Title IV programs, any of which could materially adversely affect us.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17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institutional control, institutional integrity, educational quality, faculty, administrative capability, resources, and financial stability. We were reaccredited by the Higher Learning Commission in 2007, and the next scheduled comprehensive evaluation will be conducted in 2016-2017. If we fail to satisfy any of the Higher Learning Commission’s standards, we could lose our accreditation by the Higher Learning Commission, which would cause us to lose our eligibility to participate in the Title IV programs, could cause a significant decline in our total student enrollments, and could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finding that we violated the Department of Education’s substantial misrepresentation regulation could materially and adversely affect our business.</w:t>
      </w:r>
    </w:p>
    <w:p>
      <w:pPr>
        <w:spacing w:after="0" w:line="24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Higher Education Act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qui tam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regulations, we could be subject to sanctions and other liability, which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state authorization in Arizona, we may not operate or participate in the Title IV programs.</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With respect to publicly traded corporations, like us, they also may include cases where a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or other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ectPr>
          <w:pgSz w:w="11900" w:h="16838" w:orient="portrait"/>
          <w:cols w:equalWidth="0" w:num="1">
            <w:col w:w="11420"/>
          </w:cols>
          <w:pgMar w:left="240" w:top="459"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failure to comply with the regulatory requirements of states other than Arizona could result in actions taken by those states or the Department of Education that could have a material adverse effect on our enrollments.</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See Item 1. </w:t>
      </w:r>
      <w:r>
        <w:rPr>
          <w:rFonts w:ascii="Arial" w:cs="Arial" w:eastAsia="Arial" w:hAnsi="Arial"/>
          <w:sz w:val="17"/>
          <w:szCs w:val="17"/>
          <w:i w:val="1"/>
          <w:iCs w:val="1"/>
          <w:color w:val="auto"/>
        </w:rPr>
        <w:t>Business — Regulation — Regulation of Federal Student Financial Aid Programs — State</w:t>
      </w:r>
      <w:r>
        <w:rPr>
          <w:rFonts w:ascii="Arial" w:cs="Arial" w:eastAsia="Arial" w:hAnsi="Arial"/>
          <w:sz w:val="17"/>
          <w:szCs w:val="17"/>
          <w:color w:val="auto"/>
        </w:rPr>
        <w:t xml:space="preserve"> </w:t>
      </w:r>
      <w:r>
        <w:rPr>
          <w:rFonts w:ascii="Arial" w:cs="Arial" w:eastAsia="Arial" w:hAnsi="Arial"/>
          <w:sz w:val="17"/>
          <w:szCs w:val="17"/>
          <w:i w:val="1"/>
          <w:iCs w:val="1"/>
          <w:color w:val="auto"/>
        </w:rPr>
        <w:t>authorization</w:t>
      </w:r>
      <w:r>
        <w:rPr>
          <w:rFonts w:ascii="Arial" w:cs="Arial" w:eastAsia="Arial" w:hAnsi="Arial"/>
          <w:sz w:val="17"/>
          <w:szCs w:val="17"/>
          <w:color w:val="auto"/>
        </w:rPr>
        <w:t>. State regulatory requirements for online education vary among the states, are not well developed in many states, are imprecise or unclear in</w:t>
      </w:r>
      <w:r>
        <w:rPr>
          <w:rFonts w:ascii="Arial" w:cs="Arial" w:eastAsia="Arial" w:hAnsi="Arial"/>
          <w:sz w:val="17"/>
          <w:szCs w:val="17"/>
          <w:i w:val="1"/>
          <w:iCs w:val="1"/>
          <w:color w:val="auto"/>
        </w:rPr>
        <w:t xml:space="preserve"> </w:t>
      </w:r>
      <w:r>
        <w:rPr>
          <w:rFonts w:ascii="Arial" w:cs="Arial" w:eastAsia="Arial" w:hAnsi="Arial"/>
          <w:sz w:val="17"/>
          <w:szCs w:val="17"/>
          <w:color w:val="auto"/>
        </w:rPr>
        <w:t>some states, and can change frequently.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enroll students in all 50 states and the District of Columbia. Although we are currently licensed or authorized in all jurisdictions in which we operate,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and fines and penalties imposed by, that state, as well as fines, penalties, and sanctions imposed by the Department of Education.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17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18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online or in our core disciplines, could cause us to experience lower enrollment, which could negatively impact our future growth.</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Criticisms of the overall student lending and postsecondary education sectors may impact general public perceptions of educational institutions, including us, in a negative manner. Adverse media coverage regarding other educational institutions or regarding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such as the ones we make available to our students, could reduce student demand for our programs, adversely impact our revenues and operating profit or result in increased regulatory scrutiny.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our stock price may be negatively affected by adverse publicity or by the actions of other postsecondary educational institutions.</w:t>
      </w:r>
    </w:p>
    <w:p>
      <w:pPr>
        <w:spacing w:after="0" w:line="24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addition to the Congressional and regulatory activities focused on for-profit educational institutions beginning in 2010 and since, 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percentage of our revenue that is derived from the Title IV programs is too high, we may lose our eligibility to participate in those programs.</w:t>
      </w:r>
    </w:p>
    <w:p>
      <w:pPr>
        <w:spacing w:after="0" w:line="24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requirement of the Higher Education Act, commonly referred to as the “90/10 Rule,” that is applicable only to for-profit, 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16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Using the Department of Education’s cash-basis, regulatory formula under the 90/10 Rule as currently in effect, for our 2014, 2013, and 2012 fiscal years, we derived approximately 76.5%, 78.5%, and 80.3%, respectively, of our 90/10 Rule revenue from Title IV program funds.</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result of the continuing increase in the number of students attending our ground campus, who typically finance a greater percentage of their educational costs with non-Title IV sources of funds, we expect the percentage of our revenue that we receive from Title IV programs to remain stable or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 If we were to exceed the 90% threshold for two consecutive years such that we lost our eligibility to participate in the Title IV programs, or if Congress passed legislation changing how certain funds are counted under this rule, revising the percentage of income that proprietary schools must derive from non-federal sources, or both, it would have a material adverse effect on our business, prospects, financial condition, and results of operations.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eligibility to participate in the Title IV programs if our student loan default rates are too high.</w:t>
      </w:r>
    </w:p>
    <w:p>
      <w:pPr>
        <w:spacing w:after="0" w:line="225"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year. In addition, an institution may lose its eligibility to participate in some or all of the Title IV programs if the default rate of its students exceeds 40% for any single year. The August</w:t>
      </w:r>
    </w:p>
    <w:p>
      <w:pPr>
        <w:spacing w:after="0" w:line="285" w:lineRule="auto"/>
        <w:rPr>
          <w:sz w:val="20"/>
          <w:szCs w:val="20"/>
          <w:color w:val="auto"/>
        </w:rPr>
      </w:pPr>
      <w:r>
        <w:rPr>
          <w:rFonts w:ascii="Arial" w:cs="Arial" w:eastAsia="Arial" w:hAnsi="Arial"/>
          <w:sz w:val="16"/>
          <w:szCs w:val="16"/>
          <w:color w:val="auto"/>
        </w:rPr>
        <w:t>2008 reauthorization of the Higher Education Act extended by one year the period for which students’ defaults on their loans are included in the calculation of an institution’s default rate, a change that increased our cohort default rates. The new law also increased the threshold for an institution to lose its eligibility to participate in the relevant Title IV programs from 25% to 30% over three consecutive years, while leaving the threshold at 40% for a single year. These changes to the law took effect for institutions’ cohort default rates for federal fiscal year 2009, which were issued by the Department of Education in 2012. While our cohort default rates have historically been significantly below these levels, we cannot assure you that this will continue to be the case. For example, we believe our cohort default rates for the 2010 and 2011 federal fiscal year increased (although both remain below the Department of Education’s thresholds) due primarily to the impact of current economic conditions on our students and former students and our transition to a borrower-based, non-term financial aid system in the Fall of 2010. Beginning with the three year cohort default rate for the 2011 cohort published in September 2014, only the three year rates will be applied for purposes of measuring compliance. Our cohort default rates for the 2011, 2010 and 2009 federal fiscal years, the only years for which such rates have been calculated were 15.7%, 19.5% and 15.1%, respectively.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17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program funds that should have been returned for such students in the prior fiscal year, we may be liable for repayment of Title IV program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w:t>
      </w:r>
    </w:p>
    <w:p>
      <w:pPr>
        <w:spacing w:after="0" w:line="1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181"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In addition, if we were to determine erroneously that a new program did not need approval or that we had all required approvals, we could be liable for repayment of the Title IV program funds provided to students in that program or at that location.</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adversely affect our business, prospects, financial condition, and results of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the effectiveness of our marketing and advertising programs in recruiting new students.</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52"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reduced availability of, or higher interest rates and other costs associated with, Title IV loan funds or other sources of financial aid;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maintain institutional and specialized accreditations;</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schools’ initiation of new programs and modification of existing programs;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requirements of the education agencies that regulate us which restrict the ways schools can compensate their recruitment personnel;</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we do not have a physical presence;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that may be imposed on graduates of online programs that seek certification or licensure in certain states;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130" w:lineRule="exact"/>
        <w:rPr>
          <w:rFonts w:ascii="Arial" w:cs="Arial" w:eastAsia="Arial" w:hAnsi="Arial"/>
          <w:sz w:val="18"/>
          <w:szCs w:val="18"/>
          <w:color w:val="auto"/>
        </w:rPr>
      </w:pPr>
    </w:p>
    <w:p>
      <w:pPr>
        <w:ind w:left="1480" w:right="300" w:hanging="446"/>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our programs.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rules and regulations as a result of our membership with the National Collegiate Athletic Association (NCAA) and any violations of such rules or regulations could adversely affect our reputation and operations.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Strict observance of rules and regulations contribute to the success of our athletic program. It is the responsibility of the University administration and the Athletic Department to adhere to all regulations created for the governance of intercollegiate athletics as set forth by the Western Athletic Conference (“WAC”) Conference, NCAA, and Grand Canyon University. The move from Division II to Division I was effective July 1, 2013 and demonstrated our commitment to athletic excellence and has enhanced our visibility. Any violations of such rules and regulations could adversely affect our reputation and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economic conditions in the U.S. or abroad.</w:t>
      </w:r>
    </w:p>
    <w:p>
      <w:pPr>
        <w:spacing w:after="0" w:line="225"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The U.S. and many other industrialized countries are experiencing challenging economic circumstances, including high unemployment, uncertainty about financial markets and, in many cases, economic malaise or recession. We believe the economic circumstances in the U.S., in particular the continued high unemployment rate, has contributed to a portion of our increased enrollment growth as an increasing number of working adults seek to continue to advance their education to improve job security or new employment prospects. This effect cannot be quantified. However, to the extent that the economic circumstances and high unemployment have increased demands for our programs, an improving economy and increased employment may negate this effect and reduce such demand as fewer students seek to advance their education in favor of participating in the workforce. This decline could have a material adverse effect on our business, financial condition, results of operations and cash flows. Alternatively, a worsening of economic and employment conditions may reduce the ability of employers to sponsor educational opportunities for their employees, which could adversely impact our enrollment. In addition, continued deterioration in our economy and employment opportunities could adversely affect the ability of our former students to repay student loans, which could increase our bad debt expense and our student loan cohort default rate, which would require increased focus and attention to manage these defaults, which could have a material adverse effect on our business.</w:t>
      </w:r>
    </w:p>
    <w:p>
      <w:pPr>
        <w:sectPr>
          <w:pgSz w:w="11900" w:h="16838" w:orient="portrait"/>
          <w:cols w:equalWidth="0" w:num="1">
            <w:col w:w="11420"/>
          </w:cols>
          <w:pgMar w:left="240" w:top="459" w:right="2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students fail to pay their outstanding balances owed to us, our business may be harmed.</w:t>
      </w:r>
    </w:p>
    <w:p>
      <w:pPr>
        <w:spacing w:after="0" w:line="22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From time to time, students, including former students, may carry balances on portions of their education expense not covered by financial aid programs. These balances are unsecured and not guaranteed. We have historically been successful in collecting our accounts receivable, including those due from former students as a result of the return to Title IV requirement, because the amount owed by a particular student that is in excess of the amount of financial aid that the student earned and that we are entitled to retain is often quite small. Due primarily to the ongoing economic conditions, we believe that the level of motivation that former students have to pay off their balances due to us, based on such factors as being able to receive transcripts or protecting their credit, has lessened over time. If the United States continues to experience reduced economic activity and high unemployment, it could continue to have an adverse effect on the ability or willingness of our former students to repay amounts due to us. As a result, losses related to unpaid student balances in excess of our allowance for doubtful accounts, or the failure of students to repay their debt obligations,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competitors with greater resources could harm our business.</w:t>
      </w:r>
    </w:p>
    <w:p>
      <w:pPr>
        <w:spacing w:after="0" w:line="225"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postsecondary education market is highly fragmented and competitive. We compete for students primarily with traditional public and four-year degree-granting regionally accredited colleges and universities and other proprietary degree-granting regionally accredited schools. An increasing number of traditional colleges and universities and community colleges are offering distance learning and other online education programs, including programs that are geared toward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will face increasing competition for students from such institutions, including those with well-established reputations for excellence. In addition, it is likely that we will begin to face competition from various emerging nontraditional, credit-bearing and noncredit-bearing education programs, provided by both proprietary and not-for-profit providers, including massive open online courses (MOOCs) offered worldwide without charge by traditional educational institutions and other direct-to-consumer education services. Each of these competitors may develop platforms or other technologies, including technologies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may be able to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existing, and develop additional, relationships with employers, our future growth may be impaired.</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currently have relationships with large school districts and healthcare systems, primarily in Arizona, and also have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As a result of economic conditions,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effectively manage our growth could harm our business.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business continues to experience rapid growth. Growth and expansion of our operations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success to date has largely depended on, and will continue to depend on, the skills, efforts, and motivation of our executive officers, who generally have significant experience with our University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8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14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183"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particular, we license the right to utilize the name of Jerry Colangelo in connection with our business school and our Colangelo School of Sports Business that we operate within our business school, and we have spent significant resources in related branding efforts. Nevertheless, these license agreements may terminate or expire, or otherwise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16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 may restrict our operations and our ability to complete certain transactions.</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loan agreement, which we entered into in December 2012, imposes certain operating restrictions on us, including limitations on our ability to incur additional debt or make certain investments, and requires us to maintain compliance with certain applicable regulatory standards. In addition, the loan agreement requires us to maintain a maximum leverage ratio, a minimum fixed charge coverage ratio and a minimum tangible net worth, in each case as such terms are defined in the loan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comply with environmental laws and regulations governing our activities could result in financial penalties and other costs.</w:t>
      </w:r>
    </w:p>
    <w:p>
      <w:pPr>
        <w:spacing w:after="0" w:line="23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actions, errors, or instances of regulatory noncompliance of third party vendors upon which our institutions rely may negatively impact our business.</w:t>
      </w:r>
    </w:p>
    <w:p>
      <w:pPr>
        <w:spacing w:after="0" w:line="26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engage third party vendors to provide, among other services, marketing and recruiting activities. Although we require that the work done by such third parties maintains quality assurance and compliance with applicable regulations, we may be ultimately responsible for any errors on instances of regulatory noncompliance, some of which could adversely impact our reputation, business, prospects, financial condition, cash flows,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attract students.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8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have invested significant resources to develop and implement features that enhance the online classroom experience, such as delivering course content through streaming video, simulations, and other interactive enhancements.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18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doctoral programs,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193"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Technology Infrastructure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success and future growth depend on the continued growth in users seeking educational services on the Internet.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business relies in part on the Internet for its success. A number of factors could inhibit the continued acceptance of the Internet and adversely affect our profitability, including:</w:t>
      </w:r>
    </w:p>
    <w:p>
      <w:pPr>
        <w:spacing w:after="0" w:line="76" w:lineRule="exact"/>
        <w:rPr>
          <w:sz w:val="20"/>
          <w:szCs w:val="20"/>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inadequate Internet infrastructure;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and privacy concerns;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unavailability of cost-effective Internet service and other technological factors;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 regulation of Internet use.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number of potential students seeking educational services on the Internet does not continue to increase, our business may not grow as planned.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for the unauthorized duplication or distribution of class materials posted online for class discussions.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or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performance and reliability of the infrastructure of our computer networks and phone systems, including our online programs, is critical to our operations,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Higher Education Act, as reauthorized, and the regulations thereunder, will be impaired, perhaps materially. Any such impairment could materially and adversely affect our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17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Board of Directors has the authority, without action or vote of our stockholders, to issue all or any part of our authorized but unissued shares of common stock, including shares issuable upon the exercise of options or the grant of restricted stock,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common stock could fluctuate significantly for various reasons, which include:</w:t>
      </w:r>
    </w:p>
    <w:p>
      <w:pPr>
        <w:spacing w:after="0" w:line="131" w:lineRule="exact"/>
        <w:rPr>
          <w:sz w:val="20"/>
          <w:szCs w:val="20"/>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or annual earnings or earnings of other companies in our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research analysts who track our common stock or the stocks of other companies in our industry;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number of enrolled students;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or proposed laws or regulations or new or proposed interpretations of laws or regulations applicable to our business;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 variations in our student population;</w:t>
      </w:r>
    </w:p>
    <w:p>
      <w:pPr>
        <w:sectPr>
          <w:pgSz w:w="11900" w:h="16838" w:orient="portrait"/>
          <w:cols w:equalWidth="0" w:num="1">
            <w:col w:w="11420"/>
          </w:cols>
          <w:pgMar w:left="240" w:top="459" w:right="239" w:bottom="1054"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054"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20" w:hanging="446"/>
        <w:spacing w:after="0" w:line="277"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and cost of Title IV funds, other student financial aid, and private loans;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to maintain or keep in good standing our regulatory approvals and accreditations;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1480" w:right="300" w:hanging="446"/>
        <w:spacing w:after="0" w:line="277"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general conditions in the U.S. and global economies or financial markets, including those resulting from war, incidents of terrorism, or responses to such events;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litigation involving our University, or investigations or audits by regulators into the operations of our University or our competitors;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common stock by our directors, executive officers, and significant stockholders.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University, and these fluctuations could materially reduce our stock price.</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industry or financial analysts publish about us, our business and the for-profit education sector. In recent periods, a number of analysts have dropped coverage of the sector. If one or more of the analysts covering us downgrade their estimates or evaluations of our stock, the price of our stock could decline. If additional analysts cease coverage of us or our sector, we could lose visibility in the market for our stock, which in turn could cause our stock price to decline.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own our ground campus, which is located on approximately 205 acres in the center of the Phoenix, Arizona metropolitan area, near downtown Phoenix. Our on-campus facilities currently consist of classroom buildings, lecture halls, a 300-seat theater, a 155,000-volume newly renovated library, a media arts complex that provides communications students with audio and video equipment, a 55,000 square foot recreation center for both student-athletes and on-campus students, a 140,000 square foot/ 7,500 seat basketball and entertainment arena, a gymnasium, an activity center that contains a food court, a bowling alley and other student services, a student union which was recently remodeled and expanded, dormitories, apartments, campus pools, athletic facilities and parking garages. Additionally, we have several office buildings used for administration. In late 2014, in order to accommodate the continued growth of our traditional ground population, we started construction on four additional dormitories, an additional classroom building for our College of Science, Engineering and Technology and a new parking structure.</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lease three additional facilities for employees in Arizona, and six facilities in Arizona and one in New Mexico for classroom and labs for our nursing professional studies students. We lease apartments in an off-site apartment building in Phoenix, Arizona for traditional ground students. Additionally, we lease five office locations in California and one in Colorado. We may add additional space in Arizona and in other states in the southwest U.S. to accommodate our growth plans in 2015 and beyond.</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00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ind w:right="20" w:firstLine="456"/>
        <w:spacing w:after="0" w:line="259" w:lineRule="auto"/>
        <w:rPr>
          <w:sz w:val="20"/>
          <w:szCs w:val="20"/>
          <w:color w:val="auto"/>
        </w:rPr>
      </w:pPr>
      <w:r>
        <w:rPr>
          <w:rFonts w:ascii="Arial" w:cs="Arial" w:eastAsia="Arial" w:hAnsi="Arial"/>
          <w:sz w:val="18"/>
          <w:szCs w:val="18"/>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high and low sales prices for our common stock, as reported by the Nasdaq Global Market.</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4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2014</w:t>
            </w:r>
          </w:p>
        </w:tc>
        <w:tc>
          <w:tcPr>
            <w:tcW w:w="30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First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$51.12</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$41.71</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$47.89</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$41.63</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Third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$47.76</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$40.24</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$51.99</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$36.95</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$27.18</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$22.23</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Second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$34.07</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$23.09</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$40.80</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$32.33</w:t>
            </w:r>
          </w:p>
        </w:tc>
        <w:tc>
          <w:tcPr>
            <w:tcW w:w="100" w:type="dxa"/>
            <w:vAlign w:val="bottom"/>
            <w:shd w:val="clear" w:color="auto" w:fill="CCEEFF"/>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Fourth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$50.48</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$38.50</w:t>
            </w:r>
          </w:p>
        </w:tc>
        <w:tc>
          <w:tcPr>
            <w:tcW w:w="10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As of December 31, 2014, there were approximately 206 registered holders of record of common stock. A substantially greater number of holders of common stock are “street name” or beneficial holders, whose shares are held of record by banks, brokers and other financial institutions.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do not anticipate paying cash dividends on our common stock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 xml:space="preserve">The information required by Item 201(d) of Regulation S-K is provided under Item 12, </w:t>
      </w:r>
      <w:r>
        <w:rPr>
          <w:rFonts w:ascii="Arial" w:cs="Arial" w:eastAsia="Arial" w:hAnsi="Arial"/>
          <w:sz w:val="17"/>
          <w:szCs w:val="17"/>
          <w:i w:val="1"/>
          <w:iCs w:val="1"/>
          <w:color w:val="auto"/>
        </w:rPr>
        <w:t>Security Ownership of Certain Beneficial Owners and</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 and Related Stockholder Matters</w:t>
      </w:r>
      <w:r>
        <w:rPr>
          <w:rFonts w:ascii="Arial" w:cs="Arial" w:eastAsia="Arial" w:hAnsi="Arial"/>
          <w:sz w:val="17"/>
          <w:szCs w:val="17"/>
          <w:color w:val="auto"/>
        </w:rPr>
        <w:t>, “Equity Compensation Plan Information,” which is incorporated herein by reference.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Board of Directors has authorized the University to repurchase up to $75.0 million in aggregate of common stock, from time to time, depending on market conditions and other considerations. The current expiration date on the repurchase authorization by our Board of Directors is September 30, 2015.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the approval of our share repurchase plan, we have purchased 2.8 million shares of common stock at an aggregate cost of $49.1 million, which includes 37,900 shares of common stock at an aggregate cost of $1.7 million during the year ended December 31, 2014, which are recorded at cost in the accompanying December 31, 2014 consolidated balance sheet and statement of stockholders’ equity. At December 31, 2014, there remained $25.9 million available under our current share repurchase authorization. During the fourth quarter of 2014, we did not repurchase any shares of common stock.</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fourth quarter of fiscal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720" w:type="dxa"/>
            <w:vAlign w:val="bottom"/>
          </w:tcPr>
          <w:p>
            <w:pPr>
              <w:spacing w:after="0"/>
              <w:rPr>
                <w:sz w:val="12"/>
                <w:szCs w:val="12"/>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Average</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420" w:type="dxa"/>
            <w:vAlign w:val="bottom"/>
          </w:tcPr>
          <w:p>
            <w:pPr>
              <w:spacing w:after="0"/>
              <w:rPr>
                <w:sz w:val="12"/>
                <w:szCs w:val="12"/>
                <w:color w:val="auto"/>
              </w:rPr>
            </w:pPr>
          </w:p>
        </w:tc>
        <w:tc>
          <w:tcPr>
            <w:tcW w:w="14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42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18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7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Price Paid</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4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418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7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7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the Program</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2014 – October 31, 2014</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25,865,000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November 1, 2014 – November 30, 2014</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2014 – December 31, 2014</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25,865,000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Stock Performance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graph compares the cumulative total return of our common stock with the cumulative total returns of the S&amp;P 500 Index and our selected peer group of five companies that includes: Capella Education Company, American Public Education, Inc., Apollo Group Inc., Strayer Education Inc. and Bridgepoint Education, Inc. This chart assumes that an investment of $100 was made in our common stock, in the index, and in the peer group on December 31, 2009 and that all dividends paid by us and such companies were reinvested, and tracks the relative performance of such investments through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146050</wp:posOffset>
            </wp:positionV>
            <wp:extent cx="5831840" cy="46393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31840" cy="463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12/09</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12/10</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12/11</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12/12</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12/13</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12/14</w:t>
            </w:r>
          </w:p>
        </w:tc>
        <w:tc>
          <w:tcPr>
            <w:tcW w:w="100" w:type="dxa"/>
            <w:vAlign w:val="bottom"/>
            <w:tcBorders>
              <w:bottom w:val="single" w:sz="8" w:color="CCEEFF"/>
            </w:tcBorders>
          </w:tcPr>
          <w:p>
            <w:pPr>
              <w:spacing w:after="0"/>
              <w:rPr>
                <w:sz w:val="14"/>
                <w:szCs w:val="14"/>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100.00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103.05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123.46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229.35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245.45</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100.00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115.06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117.49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136.30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180.44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205.14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Peer Group</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100.00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73.75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81.99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38.77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51.35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Consolidated Financial and Other Data</w:t>
      </w:r>
    </w:p>
    <w:p>
      <w:pPr>
        <w:spacing w:after="0" w:line="121" w:lineRule="exact"/>
        <w:rPr>
          <w:sz w:val="20"/>
          <w:szCs w:val="20"/>
          <w:color w:val="auto"/>
        </w:rPr>
      </w:pPr>
    </w:p>
    <w:p>
      <w:pPr>
        <w:ind w:right="400" w:firstLine="456"/>
        <w:spacing w:after="0" w:line="271" w:lineRule="auto"/>
        <w:rPr>
          <w:sz w:val="20"/>
          <w:szCs w:val="20"/>
          <w:color w:val="auto"/>
        </w:rPr>
      </w:pPr>
      <w:r>
        <w:rPr>
          <w:rFonts w:ascii="Arial" w:cs="Arial" w:eastAsia="Arial" w:hAnsi="Arial"/>
          <w:sz w:val="17"/>
          <w:szCs w:val="17"/>
          <w:color w:val="auto"/>
        </w:rPr>
        <w:t xml:space="preserve">The following selected consolidated financial and other data should be read in conjunction with Item 8, </w:t>
      </w:r>
      <w:r>
        <w:rPr>
          <w:rFonts w:ascii="Arial" w:cs="Arial" w:eastAsia="Arial" w:hAnsi="Arial"/>
          <w:sz w:val="17"/>
          <w:szCs w:val="17"/>
          <w:i w:val="1"/>
          <w:iCs w:val="1"/>
          <w:color w:val="auto"/>
        </w:rPr>
        <w:t>Consolidated 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and Item 7,</w:t>
      </w:r>
      <w:r>
        <w:rPr>
          <w:rFonts w:ascii="Arial" w:cs="Arial" w:eastAsia="Arial" w:hAnsi="Arial"/>
          <w:sz w:val="17"/>
          <w:szCs w:val="17"/>
          <w:i w:val="1"/>
          <w:iCs w:val="1"/>
          <w:color w:val="auto"/>
        </w:rPr>
        <w:t xml:space="preserve"> Management’s Discussion and Analysis of Financial Condition and Results of Operations</w:t>
      </w:r>
      <w:r>
        <w:rPr>
          <w:rFonts w:ascii="Arial" w:cs="Arial" w:eastAsia="Arial" w:hAnsi="Arial"/>
          <w:sz w:val="17"/>
          <w:szCs w:val="17"/>
          <w:color w:val="auto"/>
        </w:rPr>
        <w:t>, to fully understand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presented below. The selected consolidated income statement data and other data, excluding period end enrollment, for the years ended December 31, 2014, 2013, and 2012, and the selected consolidated balance sheet data as of December 31, 2014, and 2013, have been derived from our audited consolidated financial statements for such years, which are included herein. The selected consolidated income statement data and other data, excluding period end enrollment, for the years ended December 31, 2011 and 2010, and the selected consolidated balance sheet data as of December 31, 2012, 2011, and 2010, have been derived from our audited consolidated financial statements for such years, which are not included herein. Our historical results are not necessarily indicative of our results for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8"/>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revenue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691,055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598,335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511,257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426,741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385,625</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Instructional costs and services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288,791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254,419</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220,403</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194,801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178,844</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Admissions advisory and related</w:t>
            </w:r>
            <w:r>
              <w:rPr>
                <w:rFonts w:ascii="Arial" w:cs="Arial" w:eastAsia="Arial" w:hAnsi="Arial"/>
                <w:sz w:val="15"/>
                <w:szCs w:val="15"/>
                <w:color w:val="auto"/>
              </w:rPr>
              <w:t>(1)</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108,567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97,077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74,243</w:t>
            </w: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Advertising</w:t>
            </w:r>
            <w:r>
              <w:rPr>
                <w:rFonts w:ascii="Arial" w:cs="Arial" w:eastAsia="Arial" w:hAnsi="Arial"/>
                <w:sz w:val="15"/>
                <w:szCs w:val="15"/>
                <w:color w:val="auto"/>
              </w:rPr>
              <w:t>(1)</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65,808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60,985</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51,023</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45,587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35,550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promotional</w:t>
            </w:r>
            <w:r>
              <w:rPr>
                <w:rFonts w:ascii="Arial" w:cs="Arial" w:eastAsia="Arial" w:hAnsi="Arial"/>
                <w:sz w:val="15"/>
                <w:szCs w:val="15"/>
                <w:color w:val="auto"/>
              </w:rPr>
              <w:t>(1)</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39,635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36,934</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35,502</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29,043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26,621</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termination costs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Contract termination fees to related party</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9,233</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Exit costs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r>
      <w:tr>
        <w:trPr>
          <w:trHeight w:val="230"/>
        </w:trPr>
        <w:tc>
          <w:tcPr>
            <w:tcW w:w="20" w:type="dxa"/>
            <w:vAlign w:val="bottom"/>
          </w:tcPr>
          <w:p>
            <w:pPr>
              <w:spacing w:after="0"/>
              <w:rPr>
                <w:sz w:val="20"/>
                <w:szCs w:val="20"/>
                <w:color w:val="auto"/>
              </w:rPr>
            </w:pPr>
          </w:p>
        </w:tc>
        <w:tc>
          <w:tcPr>
            <w:tcW w:w="4740" w:type="dxa"/>
            <w:vAlign w:val="bottom"/>
          </w:tcPr>
          <w:p>
            <w:pPr>
              <w:ind w:left="700"/>
              <w:spacing w:after="0"/>
              <w:rPr>
                <w:sz w:val="20"/>
                <w:szCs w:val="20"/>
                <w:color w:val="auto"/>
              </w:rPr>
            </w:pPr>
            <w:r>
              <w:rPr>
                <w:rFonts w:ascii="Arial" w:cs="Arial" w:eastAsia="Arial" w:hAnsi="Arial"/>
                <w:sz w:val="18"/>
                <w:szCs w:val="18"/>
                <w:color w:val="auto"/>
              </w:rPr>
              <w:t>Total costs and expenses</w:t>
            </w:r>
          </w:p>
        </w:tc>
        <w:tc>
          <w:tcPr>
            <w:tcW w:w="2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510,240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455,059</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397,205</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344,581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327,449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180,815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143,276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114,052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82,160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58,176</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(1,801)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179,698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144,895</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113,424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81,528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56,184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22,249</w:t>
            </w: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111,466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69,447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35,206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Shares used in computing earnings per common share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44,731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45,722</w:t>
            </w:r>
          </w:p>
        </w:tc>
      </w:tr>
      <w:tr>
        <w:trPr>
          <w:trHeight w:val="230"/>
        </w:trPr>
        <w:tc>
          <w:tcPr>
            <w:tcW w:w="20" w:type="dxa"/>
            <w:vAlign w:val="bottom"/>
          </w:tcPr>
          <w:p>
            <w:pPr>
              <w:spacing w:after="0"/>
              <w:rPr>
                <w:sz w:val="20"/>
                <w:szCs w:val="20"/>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47,006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46,131</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45,251</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45,105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46,396</w:t>
            </w:r>
          </w:p>
        </w:tc>
      </w:tr>
      <w:tr>
        <w:trPr>
          <w:trHeight w:val="350"/>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100" w:type="dxa"/>
            <w:vAlign w:val="bottom"/>
          </w:tcPr>
          <w:p>
            <w:pPr>
              <w:jc w:val="right"/>
              <w:ind w:right="97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left="413"/>
              <w:spacing w:after="0"/>
              <w:rPr>
                <w:sz w:val="20"/>
                <w:szCs w:val="20"/>
                <w:color w:val="auto"/>
              </w:rPr>
            </w:pPr>
            <w:r>
              <w:rPr>
                <w:rFonts w:ascii="Arial" w:cs="Arial" w:eastAsia="Arial" w:hAnsi="Arial"/>
                <w:sz w:val="14"/>
                <w:szCs w:val="14"/>
                <w:b w:val="1"/>
                <w:bCs w:val="1"/>
                <w:color w:val="auto"/>
                <w:w w:val="92"/>
              </w:rPr>
              <w:t>As of December 31,</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71"/>
              <w:spacing w:after="0" w:line="142"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168,646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93,490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104,876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80,545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62,627</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21,627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Adjusted EBITDA (unaudited)</w:t>
            </w:r>
            <w:r>
              <w:rPr>
                <w:rFonts w:ascii="Arial" w:cs="Arial" w:eastAsia="Arial" w:hAnsi="Arial"/>
                <w:sz w:val="15"/>
                <w:szCs w:val="15"/>
                <w:color w:val="auto"/>
              </w:rPr>
              <w:t>(2)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227,812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185,086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149,593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107,428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85,824</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Period end enrollment</w:t>
            </w:r>
            <w:r>
              <w:rPr>
                <w:rFonts w:ascii="Arial" w:cs="Arial" w:eastAsia="Arial" w:hAnsi="Arial"/>
                <w:sz w:val="15"/>
                <w:szCs w:val="15"/>
                <w:color w:val="auto"/>
              </w:rPr>
              <w:t>(3)</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Online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55,060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49,580</w:t>
            </w:r>
          </w:p>
        </w:tc>
        <w:tc>
          <w:tcPr>
            <w:tcW w:w="2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44,690</w:t>
            </w: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38,918</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37,734</w:t>
            </w: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Ground</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12,746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7,602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4,999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marketable securities and investments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166,022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164,244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6"/>
              </w:rPr>
              <w:t>105,111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Restricted cash, cash equivalents and investments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67,840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64,368</w:t>
            </w:r>
          </w:p>
        </w:tc>
        <w:tc>
          <w:tcPr>
            <w:tcW w:w="2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56,189</w:t>
            </w: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56,670</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52,938</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755,713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616,100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6"/>
              </w:rPr>
              <w:t>494,923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317,847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275,096</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Capital lease obligations (including short-term)</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586</w:t>
            </w:r>
          </w:p>
        </w:tc>
        <w:tc>
          <w:tcPr>
            <w:tcW w:w="2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674</w:t>
            </w: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1,144</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(including short-term)</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86,493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99,701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21,640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23,907</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476,232</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344,844</w:t>
            </w:r>
          </w:p>
        </w:tc>
        <w:tc>
          <w:tcPr>
            <w:tcW w:w="26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234,059</w:t>
            </w:r>
          </w:p>
        </w:tc>
        <w:tc>
          <w:tcPr>
            <w:tcW w:w="14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163,293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127,501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460" w:hanging="452"/>
        <w:spacing w:after="0" w:line="274"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the first quarter of 2013, the University made changes in its presentation of operating expenses and revised prior periods to conform to the current presentation. All years presented in the five year table were reclassified to conform to the current presentation.</w:t>
      </w:r>
    </w:p>
    <w:p>
      <w:pPr>
        <w:ind w:left="460" w:right="20" w:hanging="452"/>
        <w:spacing w:after="0" w:line="265"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Adjusted EBITDA is defined as net income plus interest expense net of interest income, plus income tax expense, and plus depreciation and amortization (EBITDA), as adjusted for (i) the amortization of prepaid royalty payments recorded in conjunction with a settlement of a dispute with our former owner (ii) contributions to Arizona school tuition organizations in lieu of the payment of state income taxes; (iii) share-based compensation and; (iv) one-time, unusual charges or gains, such as litigation and regulatory reserves, impairment charges and asset write-offs, exit or lease termination costs, contract termination fees, or the gain recognized on the settlement of a third party note receivable.</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Enrollment represents individual students who attended a course during the last two months of the calendar quarter.</w:t>
      </w:r>
    </w:p>
    <w:p>
      <w:pPr>
        <w:spacing w:after="0" w:line="21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to Arizona school tuition organizations in lieu of the payment of state income taxes, share-based compensation, one time unusual charges or gains, such as estimated litigation and regulatory reserves, exit costs, contract and lease termination fees, and the gain recognized on the settlement of notes receivable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7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net income, operating income, or any other performance measure derived in accordance with and reported under GAAP or as an alternative to cash flow from operating activities or as a measure of our liquidity. Some of these limitations are that it does not reflect:</w:t>
      </w:r>
    </w:p>
    <w:p>
      <w:pPr>
        <w:spacing w:after="0" w:line="78" w:lineRule="exact"/>
        <w:rPr>
          <w:sz w:val="20"/>
          <w:szCs w:val="20"/>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expense, or the cash required to replace assets that are being depreciated or amortized; and</w:t>
      </w:r>
    </w:p>
    <w:p>
      <w:pPr>
        <w:spacing w:after="0" w:line="130" w:lineRule="exact"/>
        <w:rPr>
          <w:rFonts w:ascii="Arial" w:cs="Arial" w:eastAsia="Arial" w:hAnsi="Arial"/>
          <w:sz w:val="18"/>
          <w:szCs w:val="18"/>
          <w:color w:val="auto"/>
        </w:rPr>
      </w:pPr>
    </w:p>
    <w:p>
      <w:pPr>
        <w:ind w:left="1480" w:right="360" w:hanging="446"/>
        <w:spacing w:after="0" w:line="277"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statements included elsewhere in this Annual Report on Form 10-K.</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Adjusted EBITDA to net income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680" w:type="dxa"/>
            <w:vAlign w:val="bottom"/>
            <w:gridSpan w:val="3"/>
            <w:vMerge w:val="continue"/>
          </w:tcPr>
          <w:p>
            <w:pPr>
              <w:spacing w:after="0"/>
              <w:rPr>
                <w:sz w:val="12"/>
                <w:szCs w:val="12"/>
                <w:color w:val="auto"/>
              </w:rPr>
            </w:pPr>
          </w:p>
        </w:tc>
        <w:tc>
          <w:tcPr>
            <w:tcW w:w="6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6"/>
              </w:rPr>
              <w:t>Net income</w:t>
            </w:r>
          </w:p>
        </w:tc>
        <w:tc>
          <w:tcPr>
            <w:tcW w:w="57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$ 111,466</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69,447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Plus: interest expense net of interest and other income</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68,232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43,977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Plus: depreciation and amortization</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29,177</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25,141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21,627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EBITDA</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209,992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172,063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135,679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9"/>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prepaid royalty impairment and other fixed asset impairments</w:t>
            </w:r>
            <w:r>
              <w:rPr>
                <w:rFonts w:ascii="Arial" w:cs="Arial" w:eastAsia="Arial" w:hAnsi="Arial"/>
                <w:sz w:val="15"/>
                <w:szCs w:val="15"/>
                <w:color w:val="auto"/>
              </w:rPr>
              <w:t>(b)</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Plus: contributions made in lieu of state income taxes</w:t>
            </w:r>
            <w:r>
              <w:rPr>
                <w:rFonts w:ascii="Arial" w:cs="Arial" w:eastAsia="Arial" w:hAnsi="Arial"/>
                <w:sz w:val="15"/>
                <w:szCs w:val="15"/>
                <w:color w:val="auto"/>
              </w:rPr>
              <w:t>(c)</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estimated litigation and regulatory reserves</w:t>
            </w:r>
            <w:r>
              <w:rPr>
                <w:rFonts w:ascii="Arial" w:cs="Arial" w:eastAsia="Arial" w:hAnsi="Arial"/>
                <w:sz w:val="15"/>
                <w:szCs w:val="15"/>
                <w:color w:val="auto"/>
              </w:rPr>
              <w:t>(d)</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Plus: lease termination costs</w:t>
            </w:r>
            <w:r>
              <w:rPr>
                <w:rFonts w:ascii="Arial" w:cs="Arial" w:eastAsia="Arial" w:hAnsi="Arial"/>
                <w:sz w:val="15"/>
                <w:szCs w:val="15"/>
                <w:color w:val="auto"/>
              </w:rPr>
              <w:t>(e)</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gain on proceeds received from notes receivable</w:t>
            </w:r>
            <w:r>
              <w:rPr>
                <w:rFonts w:ascii="Arial" w:cs="Arial" w:eastAsia="Arial" w:hAnsi="Arial"/>
                <w:sz w:val="15"/>
                <w:szCs w:val="15"/>
                <w:color w:val="auto"/>
              </w:rPr>
              <w:t>(f)</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5"/>
                <w:szCs w:val="15"/>
                <w:color w:val="auto"/>
              </w:rPr>
              <w:t>(g)</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9,945</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9,936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227,812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185,086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149,593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60" w:hanging="452"/>
        <w:spacing w:after="0" w:line="25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Represents the amortization of prepaid royalty payments, as discussed in Note 2 to our consolidated financial statements that are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left="460" w:right="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Represents the prepaid royalty impairment and other fixed asset impairments. The majority of this amount relates to the termination during 2014 of our use of the Ken Blanchard name for our College of Business, as discussed in Note 2 to our consolidated financial statements that are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Reflects contributions to various Arizona school tuition organizations to assist with funding for education. In connection with such contributions made we received a dollar-for-dollar state income tax credit, which resulted in a reduction in our effective income tax rate to 38.0%, 38.8% and 38.8% for the years ended December 31, 2014, 2013 and 2012, respectively. Had these contributions not been made, our effective tax rate would have been 38.9%, 39.8% and 39.8%, for 2014, 2013 and 2012, respectively. Such contributions are viewed by our management to be made in lieu of payments of state income taxes and are therefore excluded from evaluation of our core operating performance.</w:t>
      </w:r>
    </w:p>
    <w:p>
      <w:pPr>
        <w:spacing w:after="0" w:line="1" w:lineRule="exact"/>
        <w:rPr>
          <w:rFonts w:ascii="Arial" w:cs="Arial" w:eastAsia="Arial" w:hAnsi="Arial"/>
          <w:sz w:val="17"/>
          <w:szCs w:val="17"/>
          <w:color w:val="auto"/>
        </w:rPr>
      </w:pPr>
    </w:p>
    <w:p>
      <w:pPr>
        <w:ind w:left="460" w:right="160" w:hanging="452"/>
        <w:spacing w:after="0" w:line="265"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Reflects $3.9 million and $3.5 million for the program review reserve in 2013 and 2012, respectively, and $0.9 million and $0.3 million for estimated litigation reserves in 2014 and 2012, respectively. See Item 8, </w:t>
      </w:r>
      <w:r>
        <w:rPr>
          <w:rFonts w:ascii="Arial" w:cs="Arial" w:eastAsia="Arial" w:hAnsi="Arial"/>
          <w:sz w:val="17"/>
          <w:szCs w:val="17"/>
          <w:i w:val="1"/>
          <w:iCs w:val="1"/>
          <w:color w:val="auto"/>
        </w:rPr>
        <w:t>Consolidated Financial Statements and Supplementary Data</w:t>
      </w:r>
      <w:r>
        <w:rPr>
          <w:rFonts w:ascii="Arial" w:cs="Arial" w:eastAsia="Arial" w:hAnsi="Arial"/>
          <w:sz w:val="17"/>
          <w:szCs w:val="17"/>
          <w:color w:val="auto"/>
        </w:rPr>
        <w:t>.</w:t>
      </w:r>
    </w:p>
    <w:p>
      <w:pPr>
        <w:ind w:left="460" w:right="6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Represents lease termination costs incurred related to the early termination of leased space. See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w:t>
      </w:r>
    </w:p>
    <w:p>
      <w:pPr>
        <w:ind w:left="460" w:right="6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Represents gain on proceeds received from a note receivable purchased in December 2012. See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w:t>
      </w: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share-based compensation expense relating to restricted stock awards and option grants made to employees and directors.</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for the years ended December 31, 2014 and 2013 should be read in conjunction with our consolidated financial statements and related notes that appear in Item 8, </w:t>
      </w:r>
      <w:r>
        <w:rPr>
          <w:rFonts w:ascii="Arial" w:cs="Arial" w:eastAsia="Arial" w:hAnsi="Arial"/>
          <w:sz w:val="16"/>
          <w:szCs w:val="16"/>
          <w:i w:val="1"/>
          <w:iCs w:val="1"/>
          <w:color w:val="auto"/>
        </w:rPr>
        <w:t>Consolidated Financial Statements and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Data</w:t>
      </w:r>
      <w:r>
        <w:rPr>
          <w:rFonts w:ascii="Arial" w:cs="Arial" w:eastAsia="Arial" w:hAnsi="Arial"/>
          <w:sz w:val="16"/>
          <w:szCs w:val="16"/>
          <w:color w:val="auto"/>
        </w:rPr>
        <w:t>. In addition to historical information, the following discussion contains forward-looking statements that reflect our plans, estimates and beliefs.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actual results could differ materially from those discussed in the forward-looking statements. Factors that could cause or contribute to these differences include those discussed below and elsewhere in this Annual Report on Form 10-K, particularly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We are a comprehensive regionally accredited university that offers over 160 graduate and undergraduate degree programs across eight colleges both online and on ground at our approximately 205 acre campus in Phoenix, Arizona, and onsite at facilities we lease and at facilities owned by third party employers. Our undergraduate programs are designed to be innovative and meet the future needs of employers, while providing students with the needed critical thinking and effective communication skills developed through a Christian, liberal arts foundation. At December 31, 2014, we had approximately 67,800 students. At December 31, 2014, 81.2% of our students were enrolled in our online programs, and, of our working adult students (online and professional studies students), 46.0% were pursuing masters or doctoral degrees.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circumstances and trends present opportunities, challenges and risks.</w:t>
      </w:r>
    </w:p>
    <w:p>
      <w:pPr>
        <w:spacing w:after="0" w:line="221"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Evolving Postsecondary Education Market</w:t>
      </w:r>
      <w:r>
        <w:rPr>
          <w:rFonts w:ascii="Arial" w:cs="Arial" w:eastAsia="Arial" w:hAnsi="Arial"/>
          <w:sz w:val="16"/>
          <w:szCs w:val="16"/>
          <w:color w:val="auto"/>
        </w:rPr>
        <w:t>. We believe that there is a large number of traditional aged students looking for a residential experience at an</w:t>
      </w:r>
      <w:r>
        <w:rPr>
          <w:rFonts w:ascii="Arial" w:cs="Arial" w:eastAsia="Arial" w:hAnsi="Arial"/>
          <w:sz w:val="16"/>
          <w:szCs w:val="16"/>
          <w:b w:val="1"/>
          <w:bCs w:val="1"/>
          <w:color w:val="auto"/>
        </w:rPr>
        <w:t xml:space="preserve"> </w:t>
      </w:r>
      <w:r>
        <w:rPr>
          <w:rFonts w:ascii="Arial" w:cs="Arial" w:eastAsia="Arial" w:hAnsi="Arial"/>
          <w:sz w:val="16"/>
          <w:szCs w:val="16"/>
          <w:color w:val="auto"/>
        </w:rPr>
        <w:t>affordable, private, Christian university. As a result of state funding challenges, most state universities are receiving less state subsidies and therefore have been forced to increase tuition, decrease the number of students they can accept and/or make other changes that impact the student experience. Some private universities also are facing enrollment challenges as a result of their high tuition costs. We also believe the number of non-traditional students who work, are raising a family, or are doing both while trying to earn a college degree continues to grow. The continued economic environment in the U.S., however, has caused an increased number of potential students and/or their parents to consider the cost of education as a primary factor in choosing the school that they will attend. Given these trends, we believe that many individuals will be attracted to our high quality academic programs at affordable tuition rates. We also believe that competition for students continues to increase. We compete primarily with traditional public and four-year degree-granting regionally accredited colleges and universities and other proprietary degree-granting regionally accredited schools. An increasing number of traditional colleges, universities and community colleges are offering distance learning and other online education programs, including programs that are geared towards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face increasing competition for students from such institutions, including those with well-established reputations for excellence.</w:t>
      </w:r>
    </w:p>
    <w:p>
      <w:pPr>
        <w:spacing w:after="0" w:line="16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Regulation and Oversight. </w:t>
      </w:r>
      <w:r>
        <w:rPr>
          <w:rFonts w:ascii="Arial" w:cs="Arial" w:eastAsia="Arial" w:hAnsi="Arial"/>
          <w:sz w:val="17"/>
          <w:szCs w:val="17"/>
          <w:color w:val="auto"/>
        </w:rPr>
        <w:t>We are subject to extensive regulation by federal and state governmental agencies and accrediting bodies. In particular, the</w:t>
      </w:r>
      <w:r>
        <w:rPr>
          <w:rFonts w:ascii="Arial" w:cs="Arial" w:eastAsia="Arial" w:hAnsi="Arial"/>
          <w:sz w:val="17"/>
          <w:szCs w:val="17"/>
          <w:b w:val="1"/>
          <w:bCs w:val="1"/>
          <w:color w:val="auto"/>
        </w:rPr>
        <w:t xml:space="preserve"> </w:t>
      </w:r>
      <w:r>
        <w:rPr>
          <w:rFonts w:ascii="Arial" w:cs="Arial" w:eastAsia="Arial" w:hAnsi="Arial"/>
          <w:sz w:val="17"/>
          <w:szCs w:val="17"/>
          <w:color w:val="auto"/>
        </w:rPr>
        <w:t>Higher Education Act of 1965, as amended (the “Higher Education Act”), and the regulations promulgated thereunder by the Department of Education subject us to significant regulatory scrutiny on the basis of numerous standards that schools must satisfy in order to participate in the various federal student financial assistance programs under Title IV of the Higher Education Act. See Item 1. Business – Regulation. Recent regulations have imposed new reporting and disclosure requirements that have caused increased administrative burden and costs and may have a negative effect on our growth and enrollments. In addition, in recent years, there has been increased focus by Congress on the role that proprietary educational institutions play in higher education and various proposals to modify the laws to which proprietary educational institutions are subject. We cannot predict what legislation, if any, may result from these Congressional proposals or what impact any such legislation might have on the proprietary education sector generally or our business in particular.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2014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experienced the following significant events in 2014:</w:t>
      </w:r>
    </w:p>
    <w:p>
      <w:pPr>
        <w:spacing w:after="0" w:line="131" w:lineRule="exact"/>
        <w:rPr>
          <w:sz w:val="20"/>
          <w:szCs w:val="20"/>
          <w:color w:val="auto"/>
        </w:rPr>
      </w:pPr>
    </w:p>
    <w:p>
      <w:pPr>
        <w:ind w:left="1480" w:right="20" w:hanging="446"/>
        <w:spacing w:after="0" w:line="269" w:lineRule="auto"/>
        <w:tabs>
          <w:tab w:leader="none" w:pos="1480" w:val="left"/>
        </w:tabs>
        <w:numPr>
          <w:ilvl w:val="0"/>
          <w:numId w:val="25"/>
        </w:numPr>
        <w:rPr>
          <w:rFonts w:ascii="Arial" w:cs="Arial" w:eastAsia="Arial" w:hAnsi="Arial"/>
          <w:sz w:val="17"/>
          <w:szCs w:val="17"/>
          <w:color w:val="auto"/>
        </w:rPr>
      </w:pPr>
      <w:r>
        <w:rPr>
          <w:rFonts w:ascii="Arial" w:cs="Arial" w:eastAsia="Arial" w:hAnsi="Arial"/>
          <w:sz w:val="17"/>
          <w:szCs w:val="17"/>
          <w:i w:val="1"/>
          <w:iCs w:val="1"/>
          <w:u w:val="single" w:color="auto"/>
          <w:color w:val="auto"/>
        </w:rPr>
        <w:t>Enrollment, Net Revenue, Operating Income Growth with No Increase in Tuition Rates.</w:t>
      </w:r>
      <w:r>
        <w:rPr>
          <w:rFonts w:ascii="Arial" w:cs="Arial" w:eastAsia="Arial" w:hAnsi="Arial"/>
          <w:sz w:val="17"/>
          <w:szCs w:val="17"/>
          <w:i w:val="1"/>
          <w:iCs w:val="1"/>
          <w:color w:val="auto"/>
        </w:rPr>
        <w:t xml:space="preserve"> </w:t>
      </w:r>
      <w:r>
        <w:rPr>
          <w:rFonts w:ascii="Arial" w:cs="Arial" w:eastAsia="Arial" w:hAnsi="Arial"/>
          <w:sz w:val="17"/>
          <w:szCs w:val="17"/>
          <w:color w:val="auto"/>
        </w:rPr>
        <w:t>We achieved enrollment growth of 13.7%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fiscal year ended December 31, 2014, as ground enrollment increased 26.5% and online enrollment increased 11.1%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the public universities in the state of Arizona as an in-state student. Net revenues increased 15.5% over the prior year primarily due to the enrollment growth and due to an increase in ancillary revenues resulting from the increased traditional student enrollment (e.g. housing, food, etc.). We did not raise tuition in any of our programs for our 2014-2015 academic year and have not raised our tuition for our traditional ground programs in six years. Operating income was $180.8 million for the fiscal year ended December 31, 2014, an increase of 26.2% over the $143.3 million in operating income for 2013.</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hanging="446"/>
        <w:spacing w:after="0" w:line="273" w:lineRule="auto"/>
        <w:tabs>
          <w:tab w:leader="none" w:pos="1480" w:val="left"/>
        </w:tabs>
        <w:numPr>
          <w:ilvl w:val="0"/>
          <w:numId w:val="26"/>
        </w:numPr>
        <w:rPr>
          <w:rFonts w:ascii="Arial" w:cs="Arial" w:eastAsia="Arial" w:hAnsi="Arial"/>
          <w:sz w:val="17"/>
          <w:szCs w:val="17"/>
          <w:color w:val="auto"/>
        </w:rPr>
      </w:pPr>
      <w:r>
        <w:rPr>
          <w:rFonts w:ascii="Arial" w:cs="Arial" w:eastAsia="Arial" w:hAnsi="Arial"/>
          <w:sz w:val="17"/>
          <w:szCs w:val="17"/>
          <w:i w:val="1"/>
          <w:iCs w:val="1"/>
          <w:u w:val="single" w:color="auto"/>
          <w:color w:val="auto"/>
        </w:rPr>
        <w:t>Increased Brand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2014, Jerry Colangelo agreed to have the University honor him as the namesake of its Colangelo</w:t>
      </w:r>
      <w:r>
        <w:rPr>
          <w:rFonts w:ascii="Arial" w:cs="Arial" w:eastAsia="Arial" w:hAnsi="Arial"/>
          <w:sz w:val="17"/>
          <w:szCs w:val="17"/>
          <w:i w:val="1"/>
          <w:iCs w:val="1"/>
          <w:color w:val="auto"/>
        </w:rPr>
        <w:t xml:space="preserve"> </w:t>
      </w:r>
      <w:r>
        <w:rPr>
          <w:rFonts w:ascii="Arial" w:cs="Arial" w:eastAsia="Arial" w:hAnsi="Arial"/>
          <w:sz w:val="17"/>
          <w:szCs w:val="17"/>
          <w:color w:val="auto"/>
        </w:rPr>
        <w:t>College of Business in addition to our sports management program. Mr. Colangelo has a long history of success in business and is a well-known fixture in the sports business industry. The University commenced its first year in NCAA Division I competition in the 2013/2014 school year by winning two Western Athletic Conference (“WAC”) championships (regular-season softball, indoor track and field) and, finishing third in the WAC in both men’s and women’s basketball. In the 2014/2015 school year, with the expansion of our sports arena, we have had sell out games at maximum capacity of 7,500 at a number of our men’s basketball games.</w:t>
      </w:r>
    </w:p>
    <w:p>
      <w:pPr>
        <w:spacing w:after="0" w:line="83" w:lineRule="exact"/>
        <w:rPr>
          <w:rFonts w:ascii="Arial" w:cs="Arial" w:eastAsia="Arial" w:hAnsi="Arial"/>
          <w:sz w:val="17"/>
          <w:szCs w:val="17"/>
          <w:color w:val="auto"/>
        </w:rPr>
      </w:pPr>
    </w:p>
    <w:p>
      <w:pPr>
        <w:ind w:left="1480" w:hanging="446"/>
        <w:spacing w:after="0" w:line="293" w:lineRule="auto"/>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i w:val="1"/>
          <w:iCs w:val="1"/>
          <w:u w:val="single" w:color="auto"/>
          <w:color w:val="auto"/>
        </w:rPr>
        <w:t>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Our capital expenditures in 2014 of $168.7 million were primarily related to the expansion of our 205 acre physical</w:t>
      </w:r>
      <w:r>
        <w:rPr>
          <w:rFonts w:ascii="Arial" w:cs="Arial" w:eastAsia="Arial" w:hAnsi="Arial"/>
          <w:sz w:val="16"/>
          <w:szCs w:val="16"/>
          <w:i w:val="1"/>
          <w:iCs w:val="1"/>
          <w:color w:val="auto"/>
        </w:rPr>
        <w:t xml:space="preserve"> </w:t>
      </w:r>
      <w:r>
        <w:rPr>
          <w:rFonts w:ascii="Arial" w:cs="Arial" w:eastAsia="Arial" w:hAnsi="Arial"/>
          <w:sz w:val="16"/>
          <w:szCs w:val="16"/>
          <w:color w:val="auto"/>
        </w:rPr>
        <w:t>campus in Phoenix, Arizona and significant investments in technology innovation to support our students and staff. In 2014, we completed three new dormitories, another classroom building, a second parking garage along with two more campus eateries and a 3,000 seat upper deck Arena expansion. In addition in late 2014, we commenced construction on a classroom building for engineering and the center for Worship Arts, four more student dormitories that should house 3,200 students in the Fall of 2015 and another parking garage. These investments are intended to support our growing on-campus student population as well as enhance the brand of the University.</w:t>
      </w:r>
    </w:p>
    <w:p>
      <w:pPr>
        <w:spacing w:after="0" w:line="70" w:lineRule="exact"/>
        <w:rPr>
          <w:rFonts w:ascii="Arial" w:cs="Arial" w:eastAsia="Arial" w:hAnsi="Arial"/>
          <w:sz w:val="16"/>
          <w:szCs w:val="16"/>
          <w:color w:val="auto"/>
        </w:rPr>
      </w:pPr>
    </w:p>
    <w:p>
      <w:pPr>
        <w:ind w:left="1480" w:hanging="446"/>
        <w:spacing w:after="0" w:line="287" w:lineRule="auto"/>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i w:val="1"/>
          <w:iCs w:val="1"/>
          <w:u w:val="single" w:color="auto"/>
          <w:color w:val="auto"/>
        </w:rPr>
        <w:t>Community Involvement and the Public Good</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2014, the University announced a five-point plan to restore west Phoenix through a) a</w:t>
      </w:r>
      <w:r>
        <w:rPr>
          <w:rFonts w:ascii="Arial" w:cs="Arial" w:eastAsia="Arial" w:hAnsi="Arial"/>
          <w:sz w:val="16"/>
          <w:szCs w:val="16"/>
          <w:i w:val="1"/>
          <w:iCs w:val="1"/>
          <w:color w:val="auto"/>
        </w:rPr>
        <w:t xml:space="preserve"> </w:t>
      </w:r>
      <w:r>
        <w:rPr>
          <w:rFonts w:ascii="Arial" w:cs="Arial" w:eastAsia="Arial" w:hAnsi="Arial"/>
          <w:sz w:val="16"/>
          <w:szCs w:val="16"/>
          <w:color w:val="auto"/>
        </w:rPr>
        <w:t>unique partnership with Habitat for Humanity to repair hundreds of homes in the University’s neighborhood; b) an ongoing initiative with the Phoenix Police Department to improve public safety; c) the creation of jobs and commerce on the main campus and along the Camelback Road corridor in West Phoenix; d) the development of a trained workforce in the areas of science, technology, engineering and mathematics; and e) the continued support of K-12 students at neighborhood schools via our Outreach Program. Our students are serving as tutors and mentors to these high school students and the results thus far have been extremely positive. The University continues to be involved in more than 120 community events and projects throughout the year, helping organizations such as the Phoenix Dream Center, Feed My Starving Children, Hopefest, Arizona Foster Care, Phoenix Rescue Mission, Boy/Girl Scouts, Goodwill Arizona, Muscular Dystrophy Association, Young Life and Elevate Phoenix. The University also puts on a Fall festival in October that draws more than 5,000 people to campus, and popular gift drives at Christmas and Easter help brighten those seasons for many underprivileged families. Our faculty, staff and students also go out into our surrounding neighborhoods to participate in University sponsored programs such as Serve the City, Canyon Kids, 12 Months of Service and the Run to Fight Children’s Cancer.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Enrollment</w:t>
      </w:r>
    </w:p>
    <w:p>
      <w:pPr>
        <w:spacing w:after="0" w:line="121"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Net revenue consists principally of tuition, room and board charges attributable to students residing on our ground campus, application and graduation fees, and fees from educational resources such as access to online materials or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timing of our ground traditional campus semesters; (vi) the amount of the scholarships that we offer; and (vii) the number of students housed in, and the rent charged for, our on-campus student apartments and dormitories.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define enrollment as individual students who attended a course during the last two months of the calendar quarter. We offer three 15-week semesters in a calendar year with one start available per semester for our traditional ground students. Online and professional studies students have more frequent class starts in five-, seven, eight and sixteen-week courses through the calendar year.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19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our brand strength and price point;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student enrollment at December 31, 2014, 2013, and 2012 by degree type and by instructional delivery method: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r>
              <w:rPr>
                <w:rFonts w:ascii="Arial" w:cs="Arial" w:eastAsia="Arial" w:hAnsi="Arial"/>
                <w:sz w:val="12"/>
                <w:szCs w:val="12"/>
                <w:b w:val="1"/>
                <w:bCs w:val="1"/>
                <w:color w:val="auto"/>
              </w:rPr>
              <w:t>(1)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4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 of Total</w:t>
            </w:r>
          </w:p>
        </w:tc>
        <w:tc>
          <w:tcPr>
            <w:tcW w:w="5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4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5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Graduate degree</w:t>
            </w:r>
            <w:r>
              <w:rPr>
                <w:rFonts w:ascii="Arial" w:cs="Arial" w:eastAsia="Arial" w:hAnsi="Arial"/>
                <w:sz w:val="15"/>
                <w:szCs w:val="15"/>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26,319</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Undergraduate degree</w:t>
            </w:r>
          </w:p>
        </w:tc>
        <w:tc>
          <w:tcPr>
            <w:tcW w:w="760" w:type="dxa"/>
            <w:vAlign w:val="bottom"/>
          </w:tcPr>
          <w:p>
            <w:pPr>
              <w:jc w:val="right"/>
              <w:spacing w:after="0"/>
              <w:rPr>
                <w:sz w:val="20"/>
                <w:szCs w:val="20"/>
                <w:color w:val="auto"/>
              </w:rPr>
            </w:pPr>
            <w:r>
              <w:rPr>
                <w:rFonts w:ascii="Arial" w:cs="Arial" w:eastAsia="Arial" w:hAnsi="Arial"/>
                <w:sz w:val="18"/>
                <w:szCs w:val="18"/>
                <w:color w:val="auto"/>
              </w:rPr>
              <w:t>41,487</w:t>
            </w:r>
          </w:p>
        </w:tc>
        <w:tc>
          <w:tcPr>
            <w:tcW w:w="4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61.2%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37,182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62.3%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32,897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67,806</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59,658</w:t>
            </w: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6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6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4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 of Total</w:t>
            </w:r>
          </w:p>
        </w:tc>
        <w:tc>
          <w:tcPr>
            <w:tcW w:w="5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of Students</w:t>
            </w:r>
          </w:p>
        </w:tc>
        <w:tc>
          <w:tcPr>
            <w:tcW w:w="4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5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3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55,060</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49,580</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44,690</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760" w:type="dxa"/>
            <w:vAlign w:val="bottom"/>
          </w:tcPr>
          <w:p>
            <w:pPr>
              <w:jc w:val="right"/>
              <w:spacing w:after="0"/>
              <w:rPr>
                <w:sz w:val="20"/>
                <w:szCs w:val="20"/>
                <w:color w:val="auto"/>
              </w:rPr>
            </w:pPr>
            <w:r>
              <w:rPr>
                <w:rFonts w:ascii="Arial" w:cs="Arial" w:eastAsia="Arial" w:hAnsi="Arial"/>
                <w:sz w:val="18"/>
                <w:szCs w:val="18"/>
                <w:color w:val="auto"/>
              </w:rPr>
              <w:t>12,746</w:t>
            </w:r>
          </w:p>
        </w:tc>
        <w:tc>
          <w:tcPr>
            <w:tcW w:w="4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18.8%</w:t>
            </w:r>
          </w:p>
        </w:tc>
        <w:tc>
          <w:tcPr>
            <w:tcW w:w="760" w:type="dxa"/>
            <w:vAlign w:val="bottom"/>
          </w:tcPr>
          <w:p>
            <w:pPr>
              <w:jc w:val="right"/>
              <w:spacing w:after="0"/>
              <w:rPr>
                <w:sz w:val="20"/>
                <w:szCs w:val="20"/>
                <w:color w:val="auto"/>
              </w:rPr>
            </w:pPr>
            <w:r>
              <w:rPr>
                <w:rFonts w:ascii="Arial" w:cs="Arial" w:eastAsia="Arial" w:hAnsi="Arial"/>
                <w:sz w:val="18"/>
                <w:szCs w:val="18"/>
                <w:color w:val="auto"/>
              </w:rPr>
              <w:t>10,078</w:t>
            </w:r>
          </w:p>
        </w:tc>
        <w:tc>
          <w:tcPr>
            <w:tcW w:w="4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16.9%</w:t>
            </w:r>
          </w:p>
        </w:tc>
        <w:tc>
          <w:tcPr>
            <w:tcW w:w="800" w:type="dxa"/>
            <w:vAlign w:val="bottom"/>
          </w:tcPr>
          <w:p>
            <w:pPr>
              <w:jc w:val="right"/>
              <w:spacing w:after="0"/>
              <w:rPr>
                <w:sz w:val="20"/>
                <w:szCs w:val="20"/>
                <w:color w:val="auto"/>
              </w:rPr>
            </w:pPr>
            <w:r>
              <w:rPr>
                <w:rFonts w:ascii="Arial" w:cs="Arial" w:eastAsia="Arial" w:hAnsi="Arial"/>
                <w:sz w:val="18"/>
                <w:szCs w:val="18"/>
                <w:color w:val="auto"/>
              </w:rPr>
              <w:t>7,602</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67,806</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59,658</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52,292</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56"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Enrollment represents individual students who attended a course during the last two months of the calendar quarter. Included in enrollment at December 31, 2014, 2013 and 2012 are students pursuing non-degree certificates of 585, 487, and 440, respectively. The 2012 amounts also included high school dual credit students of 229. We are no longer including these students in our enrollment.</w:t>
      </w: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Includes 5,570, 4,285 and 3,065 students pursuing doctoral degrees at December 31, 2014, 2013 and 2012, respectively.</w:t>
      </w:r>
    </w:p>
    <w:p>
      <w:pPr>
        <w:spacing w:after="0" w:line="9" w:lineRule="exact"/>
        <w:rPr>
          <w:rFonts w:ascii="Arial" w:cs="Arial" w:eastAsia="Arial" w:hAnsi="Arial"/>
          <w:sz w:val="15"/>
          <w:szCs w:val="15"/>
          <w:color w:val="auto"/>
        </w:rPr>
      </w:pPr>
    </w:p>
    <w:p>
      <w:pPr>
        <w:ind w:left="460" w:right="540" w:hanging="452"/>
        <w:spacing w:after="0" w:line="250"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As of December 31, 2014, 2013 and 2012, 46.0%, 43.5% and 41.9%, respectively, of our working adult students (online and professional studies students) were pursuing graduate or doctoral degrees.</w:t>
      </w: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Includes our traditional on-campus students, as well as our professional studies students.</w:t>
      </w:r>
    </w:p>
    <w:p>
      <w:pPr>
        <w:spacing w:after="0" w:line="21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For the 2013-14 and 2014-15 academic years (the academic year begins in May), our prices per credit hour range from $350 to $465 for undergraduate online and professional studies courses, $325 to $600 for graduate online courses, $630 for doctoral online programs, and $688 for undergraduate courses for ground students. For our active duty and active reserve online and professional studies students, our prices per credit hour are $250 for undergraduate, $400 for graduate courses and $599 for doctoral courses.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w:t>
      </w:r>
    </w:p>
    <w:p>
      <w:pPr>
        <w:spacing w:after="0" w:line="182"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Based on current tuition rates, tuition for a full program would generally equate to between $15,300 and $36,630 for an online master’s program, between $42,000 and $55,800 for a full four-year online bachelor’s program, $37,800 for a full doctoral program, and approximately $66,000 for a full four-year bachelor’s program taken on our ground campus. The tuition amounts referred to above assume no reductions for transfer credits or scholarships, which many of our students utilize to reduce their total program costs. For example, the average student on our ground traditional campus will pay less than $8,000 in tuition in the 2014-15 school year after scholarships. Thus, based on the number of transfer credits and the scholarships they receive it is likely that a student will pay less than $30,000 in tuition for a bachelor’s degree on our ground campus. For the years ended December 31, 2014, 2013 and 2012, our revenue was reduced by approximately $140.0 million, $111.8 million and $94.3 million, respectively, as a result of scholarships that we offered to our students. The increase in scholarships reflects our increased revenues and our resulting increased use of scholarships (especially academic scholarships), to attract high performing students to our ground traditional campus.</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Revenue per student for the year ended December 31, 2014 increased over 2013 as a result of improved retention and the increase in traditional ground students as a percentage of our total enrollment. Revenue per student for our ground traditional students is higher than our working adult students due to room and board and other fees. We did not raise tuition in any of our programs for our 2013-2014 or 2014-15 academic years and have not raised our tuition for our traditional ground program in six years. This reflects a concerted effort to control tuition pricing for students so that debt levels assumed by our students are reasonable. Tuition increases have not historically been, and may not in the future be, consistent across our programs due to market conditions and differences in operating costs of individual programs.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We derive a majority of our net revenues from tuition financed by the Title IV programs. For the years ended December 31, 2014, 2013 and 2012, we derived cash receipts equal to approximately 76.5%, 78.5%, and 80.3%, respectively, of our net revenues from Title IV programs. Our students also may rely on scholarships, personal savings, private loans, and employer tuition reimbursements to pay a portion of their tuition and related expenses.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6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consolidated financial statements: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 Net revenues consist primarily of tuition and fees derived from courses taught by us online, at our approximately 205-acre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campus in Phoenix, Arizona, and at facilities we lease or those of employers, as well as from related educational resources such as access to online materials. Tuition revenue and most fees and related educational resources are recognized pro-rata over the applicable period of instruction, net of scholarships awarded by us. Generally, we will refund all or a portion of tuition already paid pursuant to our refund policy, dependent upon length of course and modality and subject to certain state specific refund requirements.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to Title IV is required as a result of his or her withdrawal, the University recognizes revenue after a student withdraws only at the time of cash collection. Sales tax collected from students is excluded from net revenues. We also charge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statement of operations and are reflected as current liabilities in the accompanying balance sheet. Our educational programs have starting and ending dates that differ from our quarters. Therefore, at the end of each fiscal quarter, a portion of revenue from these programs is not yet earned. Other revenues may be recognized as sales occur or services are performed.</w:t>
      </w:r>
    </w:p>
    <w:p>
      <w:pPr>
        <w:spacing w:after="0" w:line="17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Allowance for doubtful accounts</w:t>
      </w:r>
      <w:r>
        <w:rPr>
          <w:rFonts w:ascii="Arial" w:cs="Arial" w:eastAsia="Arial" w:hAnsi="Arial"/>
          <w:sz w:val="16"/>
          <w:szCs w:val="16"/>
          <w:color w:val="auto"/>
        </w:rPr>
        <w:t>. We record an allowance for doubtful accounts for estimated losses resulting from the inability, failure or refusal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students to make required payments, which includes the recovery of financial aid funds advanced to a student for amounts in excess of the student’s cost of tuition and related fees. We determine the adequacy of our allowance for doubtful accounts based on an analysis of our historical bad debt experience, current economic trends, and the aging of the accounts receivable and student status. We apply a reserve to our receivables based upon an estimate of the risk presented by the age of the receivables and student status. We write off accounts receivable balances of active students at the earlier of the time the balance is deemed uncollectible, or one year after the revenue is generated. We reserve for receivables due from inactive students on a more accelerated basis than those due from active students and write off inactive student accounts at 150 days, as amounts due from inactive students are much more difficult to collect than amounts due from active students. We monitor our collections and write-off experience to assess whether adjustments to the estimated reserve are necessary.</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b w:val="1"/>
          <w:bCs w:val="1"/>
          <w:i w:val="1"/>
          <w:iCs w:val="1"/>
          <w:color w:val="auto"/>
        </w:rPr>
        <w:t>Long-Lived Assets (other than goodwill)</w:t>
      </w:r>
      <w:r>
        <w:rPr>
          <w:rFonts w:ascii="Arial" w:cs="Arial" w:eastAsia="Arial" w:hAnsi="Arial"/>
          <w:sz w:val="16"/>
          <w:szCs w:val="16"/>
          <w:color w:val="auto"/>
        </w:rPr>
        <w:t>. We evaluate the recoverability of our long-lived assets for impairment whenever events or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54"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We recognize the amount of taxes payable or refundable for the current year and deferred tax assets and liabilities for future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consequences of events that have been recognized in our consolidated financial statements or tax returns. Deferred tax assets and liabilities are measured using enacted tax rates in effect for the year in which the temporary differences are expect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w:t>
      </w:r>
    </w:p>
    <w:p>
      <w:pPr>
        <w:sectPr>
          <w:pgSz w:w="11900" w:h="16838" w:orient="portrait"/>
          <w:cols w:equalWidth="0" w:num="1">
            <w:col w:w="11420"/>
          </w:cols>
          <w:pgMar w:left="240" w:top="459" w:right="2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statements of operations data as a percentage of net revenue for each of the periods indicated: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204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100.0%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Costs and expenses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Instructional costs and services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w:t>
            </w: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Admissions advisory and related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5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Marketing and promotional</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r>
      <w:tr>
        <w:trPr>
          <w:trHeight w:val="230"/>
        </w:trPr>
        <w:tc>
          <w:tcPr>
            <w:tcW w:w="692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5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20"/>
                <w:szCs w:val="20"/>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23.9</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(0.3)</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5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9"/>
                <w:szCs w:val="19"/>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5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1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year ended December 31, 2014 was $691.1 million, an increase of $92.8 million, or 15.5%, as compared to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of $598.3 million for the year ended December 31, 2013. This increase was primarily due to an increase in ground and online enrollment and, to a lesser extent, an increase in room and board and other student fees, partially offset by an increase in institutional scholarships. We did not raise tuition in any of our programs for our 2013-2014 or 2014-15 academic years and have not raised our tuition for our traditional ground program in six years. End-of-period enrollment increased 13.7% between December 31, 2014 and 2013, as ground enrollment increased 26.5% and online enrollment increased 11.1% over the prior year. The majority of the ground enrollment growth between years was residential students at our ground traditional campus in Phoenix, Arizona.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the public universities in the state of Arizona as an in-state student.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2014 were $288.8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$34.4 million, or 13.5%, as compared to instructional costs and services expenses of $254.4 million for the year ended December 31, 2013. This increase was primarily due to increases in instructional compensation and related expenses including share-based compensation, faculty compensation, occupancy and depreciation and amortization, dues, fees, subscriptions and other instructional supplies, and other miscellaneous instructional costs and services of $10.4 million, $8.6 million, $8.1 million, $6.7 million, and $5.5 million. These increases were partially offset by a decrease in bad debt expense of $4.9 million which resulted primarily from improved student retention and improved collection efforts. The increase in employee compensation and related expenses and faculty compensation are primarily due to the increase in the number of staff to support the increasing number of students attending the University. In addition, we continue to increase our online full-time faculty between years. The increase in occupancy, depreciation and amortization is the result of us placing into service additional buildings to support the growing number of ground traditional students.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 decreased by 0.7% to 41.8% for the year ended December 31, 2014, as compared to 42.5% for the year ended December 31, 2013 as bad debt expense decreased to 2.2% of net revenues for the year ended December 31, 2014 from 3.3% of net revenues for the year ended December 31, 2013 as well as our ability to leverage our instructional costs and services across an increasing revenue base, partially offset by an increase in dues, fees, subscriptions and other instructional supplies as a percentage of revenue due to the low profit margin derived on food sales.</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Admissions advisory and related expenses</w:t>
      </w:r>
      <w:r>
        <w:rPr>
          <w:rFonts w:ascii="Arial" w:cs="Arial" w:eastAsia="Arial" w:hAnsi="Arial"/>
          <w:sz w:val="16"/>
          <w:szCs w:val="16"/>
          <w:color w:val="auto"/>
        </w:rPr>
        <w:t>. Our admissions advisory and related expenses for the year ended December 31, 2014 were $108.6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$11.5 million, or 11.8%, as compared to admissions advisory and related expenses of $97.1 million for the year ended December 31, 2013. This increase was primarily due to increases in employee compensation and related expenses, and other admissions advisory expenses of $10.2 million and $1.3 million, respectively. Employee compensation and related expenses increased as a result of increasing the number of enrollment counselors between years. Our admissions advisory and related expenses as a percentage of net revenue decreased by 0.5% to 15.7% for the year ended December 31, 2014, from 16.2% for the year ended December 31, 2013 primarily due to our ability to leverage our admissions advisory personnel across an increasing revenue base.</w:t>
      </w:r>
    </w:p>
    <w:p>
      <w:pPr>
        <w:spacing w:after="0" w:line="16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i w:val="1"/>
          <w:iCs w:val="1"/>
          <w:color w:val="auto"/>
        </w:rPr>
        <w:t>Advertising expenses</w:t>
      </w:r>
      <w:r>
        <w:rPr>
          <w:rFonts w:ascii="Arial" w:cs="Arial" w:eastAsia="Arial" w:hAnsi="Arial"/>
          <w:sz w:val="17"/>
          <w:szCs w:val="17"/>
          <w:color w:val="auto"/>
        </w:rPr>
        <w:t>. Our advertising expenses for the year ended December 31, 2014 were $65.8 million, an increase of $4.8 million, or 7.9%,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advertising expenses of $61.0 million for the year ended December 31, 2013. This increase was primarily due to increased brand advertising focused on the southwestern United States region. Our advertising expenses as a percentage of net revenue decreased by 0.7% to 9.5% for the year ended December 31, 2014, from 10.2% for the year ended December 31, 2013. We spend less on advertising for ground traditional students than for online students and our ground traditional campus enrollment is growing faster than our online student enrollment.</w:t>
      </w:r>
    </w:p>
    <w:p>
      <w:pPr>
        <w:spacing w:after="0" w:line="173"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Marketing and promotional expenses</w:t>
      </w:r>
      <w:r>
        <w:rPr>
          <w:rFonts w:ascii="Arial" w:cs="Arial" w:eastAsia="Arial" w:hAnsi="Arial"/>
          <w:sz w:val="16"/>
          <w:szCs w:val="16"/>
          <w:color w:val="auto"/>
        </w:rPr>
        <w:t>. Our marketing and promotional expenses for the year ended December 31, 2014 were $7.4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$1.8 million, or 31.8%, as compared to marketing and promotional expenses of $5.6 million for the year ended December 31, 2013. This increase was primarily the result of increases in employee compensation and related expenses of $1.8 million. Our marketing and promotional expenses as a percentage of net revenue increased slightly by 0.2% to 1.1% for the year ended December 31, 2014, from 0.9% for the year ended December 31, 2013.</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2014 were $39.6 million, an increase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$2.7 million, or 7.3%, as compared to general and administrative expenses of $36.9 million for the year ended December 31, 2013. This increase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an increase in legal and insurance costs and other general and administrative costs including charitable contributions of $0.6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 million, respectively. During 2014 we increased our contributions to school tuition organizations in lieu of state income taxes to $2.8 million from $2.5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in 2013, and we continue to contribute to charities, our community and city and state public-private partnerships. Our general and administrative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as a percentage of net revenue decreased by 0.5% to 5.7% for the year ended December 31, 2014, from 6.2% for the year ended December 31,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our ability to leverage our general and administrative expenses across an increasing revenue base.</w:t>
      </w:r>
    </w:p>
    <w:p>
      <w:pPr>
        <w:spacing w:after="0" w:line="21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2014 was $1.8 million, a decrease of $0.4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$2.2 million for the year ended December 31, 2013. This decrease was primarily due to a decrease in the average balance of our credit facility between periods due to scheduled monthly principal payments. Our interest expense decreased as a percentage of net revenue by 0.1% to 0.3% for the year ended December 31, 2014, from 0.4% for the year ended December 31, 2013.</w:t>
      </w:r>
    </w:p>
    <w:p>
      <w:pPr>
        <w:spacing w:after="0" w:line="18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Our interest and other income for the year ended December 31, 2014 was $0.7 million, a decrease of $3.2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interest and other income of $3.9 million for the year ended December 31, 2013. The decrease was primarily due to late penalty income and default interest earned on a settlement of a note receivable in 2013.</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2014 was $68.2 million, an increase of $12.0 million from $56.2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2013. This increase was primarily attributable to increased income before income taxes. Our effective tax rate was 38.0% and 38.8% for the year ended December 31, 2014 and 2013, respectively. Our effective tax rate in 2014 is lower than the prior year due primarily to state tax rate changes that began a gradual phase-in process during the first quarter of 2014.</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2014 was $111.5 million, an increase of $22.8 million, as compared to $88.7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2013, due to the factors discussed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year ended December 31, 2013 was $598.3 million, an increase of $87.0 million, or 17.0%, as compared to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of $511.3 million for the year ended December 31, 2012. This increase was primarily due to an increase in ground and online enrollment and, to a lesser extent, an increase in room and board and other student fees, partially offset by an increase in institutional scholarships. We did not raise tuition in any of our programs for our 2013-14 academic year and have not raised our tuition for our traditional ground program in five years. End-of-period enrollment increased 14.1% between December 31, 2013 and 2012, as ground enrollment increased 32.6% and online enrollment increased 10.9%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the public universities in the state of Arizona as an in-state student. As the proportion of traditional colleges and universities providing alternative learning modalities increases, we will face increasing competition for working adult students from such institutions, including those with well-established reputations for excellence.</w:t>
      </w:r>
    </w:p>
    <w:p>
      <w:pPr>
        <w:spacing w:after="0" w:line="1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2013 were $254.4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$34.0 million, or 15.4%, as compared to instructional costs and services expenses of $220.4 million for the year ended December 31, 2012. This increase was primarily due to increases in instructional compensation and related expenses including share-based compensation, faculty compensation, dues, fees, subscriptions and other instructional supplies, depreciation and amortization, bad debt expense, and other miscellaneous instructional costs and services of $10.5 million, $8.0 million, $5.7 million, $4.1 million, $1.9 million, and $3.8 million. The increase in employee compensation and related expenses and faculty compensation are primarily due to the increase in the number of staff to support the increasing number of students attending the University. In addition, we continue to increase our online full-time faculty and have incurred an increase in benefit costs between years. We also incurred an increase in dues, fees, subscriptions and other instructional supplies due to increased licensing fees related to educational resources and increased food costs associated with a higher number of residential students. The increase in depreciation and amortization is the result of us placing into service two additional dormitories, an Arts and Sciences classroom building, and a parking garage for our ground traditional campus in the Fall of 2012 and two additional dormitories and the renovated student union in the Fall of 2013. Our instructional costs and services expenses as a percentage of net revenue decreased by 0.6% to 42.5% for the year ended December 31, 2013, as compared to 43.1% for the year ended December 31, 2012 as bad debt expense decreased to 3.3% of net revenues for the year ended December 31, 2013 from 3.5% of net revenues for the year ended December 31, 2012 as well as our ability to leverage our instructional costs and services across an increasing revenue base.</w:t>
      </w:r>
    </w:p>
    <w:p>
      <w:pPr>
        <w:spacing w:after="0" w:line="17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Admissions advisory and related expenses</w:t>
      </w:r>
      <w:r>
        <w:rPr>
          <w:rFonts w:ascii="Arial" w:cs="Arial" w:eastAsia="Arial" w:hAnsi="Arial"/>
          <w:sz w:val="16"/>
          <w:szCs w:val="16"/>
          <w:color w:val="auto"/>
        </w:rPr>
        <w:t>. Our admissions advisory and related expenses for the year ended December 31, 2013 were $97.1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$11.2 million, or 13.0%, as compared to admissions advisory and related expenses of $85.9 million for the year ended December 31, 2012. This increase was primarily due to increases in employee compensation and related expenses, revenue share, and other admissions advisory expenses of $8.6 million, $1.2 million and $1.4 million, respectively. Employee compensation and related expenses increased as a result of increasing the number of ground traditional enrollment counselors between years as well as increases in benefit expenses between years. Our admissions advisory and related expenses as a percentage of net revenue decreased by 0.6% to 16.2% for the year ended December 31, 2013, from 16.8% for the year ended December 31, 2012 primarily due to our ability to leverage our admissions advisory personnel across an increasing revenue base.</w:t>
      </w:r>
    </w:p>
    <w:p>
      <w:pPr>
        <w:spacing w:after="0" w:line="16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year ended December 31, 2013 were $61.0 million, an increase of $10.0 million, or 19.5%,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$51.0 million for the year ended December 31, 2012. This increase was primarily due to increased brand advertising focused on the southwestern United States region. Our advertising expenses as a percentage of net revenue increased by 0.2% to 10.2% for the year ended December 31, 2013, from 10.0% for the year ended December 31, 2012.</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Marketing and promotional expenses</w:t>
      </w:r>
      <w:r>
        <w:rPr>
          <w:rFonts w:ascii="Arial" w:cs="Arial" w:eastAsia="Arial" w:hAnsi="Arial"/>
          <w:sz w:val="17"/>
          <w:szCs w:val="17"/>
          <w:color w:val="auto"/>
        </w:rPr>
        <w:t>. Our marketing and promotional expenses for the year ended December 31, 2013 were $5.6 million,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$1.2 million, or 29.5%, as compared to marketing and promotional expenses of $4.4 million for the year ended December 31, 2012. This increase was primarily the result of increases in employee compensation and related expenses of $1.1 million. Our marketing and promotional expenses as a percentage of net revenue stayed flat at 0.9% for both of the years ended December 31, 2013 and 2012.</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for the year ended December 31, 2013 were $36.9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$1.4 million, or 4.0%, as compared to general and administrative expenses of $35.5 million for the year ended December 31, 2012. This increase was primarily due to an increase in employee compensation and related expenses including share-based compensation of $1.6 million due primarily to increased headcount to support our increasing number of students and an increase in benefit costs between years, partially offset by a decrease in legal costs between years. Our general and administrative expenses as a percentage of net revenue decreased by 0.7% to 6.2% for the year ended December 31, 2013, from 6.9% for the year ended December 31, 2012.</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2013 was $2.2 million, an increase of $1.5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$0.7 million for the year ended December 31, 2012. This increase was primarily due to the expansion of our credit facility in December 2012. Our interest expense increased as a percentage of net revenue by 0.3% to 0.4% for the year ended December 31, 2013, from 0.1% for the year ended December 31, 2012.</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Our interest and other income for the year ended December 31, 2013 was $3.9 million, an increase of $3.8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interest and other income of $0.1 million for the year ended December 31, 2012. The increase was primarily due to late penalty income and default interest earned on a settlement of a note receivable purchased in 2012.</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2013 was $56.2 million, an increase of $12.2 million from $44.0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2012. This increase was primarily attributable to increased income before income taxes. Our effective tax rate was 38.8% for both the year ended December 31, 2013 and 2012.</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2013 was $88.7 million, an increase of $19.3 million, as compared to $69.4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2012,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the past few years, this summer effect lessened. However, during the past year we increased, and over the next few years we intend to continue to increase, the relative proportion of our students that are ground traditional students.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During 2014, we financed our operating activities and capital expenditures primarily through cash provided by operating activities. Our</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cash, cash equivalents and investments were $166.0 million at December 31, 2014 and our restricted cash, cash equivalents and investments were $67.8 million. In December 2012, we entered into a new credit agreement, which increased our term loan to $100 million with a maturity date of December 2019. Additionally, this facility provides a revolving line of credit in the amount of $50 million through December 2017 to be utilized for working capital, capital expenditures, share repurchases and other general corporate purposes. Indebtedness under the credit facility is secured by our assets and is guaranteed by certain of our subsidiaries. No amounts were drawn on the revolver as of December 31, 2014.</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2014, we completed construction of an additional classroom building, additional residence halls that accommodate another 1,600 students and land purchases adjacent to our Phoenix campus to support our growing traditional student enrollment as well as purchases of computer equipment, other internal use software projects and furniture and equipment to support our increasing employee headcount. Also in late fall 2014 we commenced construction on an additional classroom building for our College of Science, Technology and Engineering, started four additional dormitories that will house 3,200 students beginning in the Fall of 2015 and a new parking garage to increase our capacity on the Phoenix, Arizona campus. We anticipate capital expenditures in 2015 for the campus projects described above as well as for technology enhancements and equipment for our growing employee base will be approximately $195.0 million.</w:t>
      </w:r>
    </w:p>
    <w:p>
      <w:pPr>
        <w:spacing w:after="0" w:line="18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$75 million in aggregate of common stock, from time to time, depending on market conditions and other considerations. The current expiration date on the repurchase authorization by our Board of Directors is September 30, 2015. Repurchases occur at our discretion.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the approval of the initial share repurchase plan, the University has purchased 2.8 million shares of common stock at an aggregate cost of $49.1 million which includes 37,900 shares of common stock at an aggregate cost of $1.7 million during the year ended December 31, 2014. At December 31, 2014, there remains $25.9 million available under our current share repurchase authorization.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years ended December 31, 2014, 2013 and 2012 was $167.0 million, $118.4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$144.2 million, respectively. Cash provided by operations in 2014, 2013 and 2012 resulted from our net income plus non-cash charges for provision for bad debts, depreciation and amortization, timing of income tax and employee related payments and student deposits and changes in our working capital.</w:t>
      </w:r>
    </w:p>
    <w:p>
      <w:pPr>
        <w:spacing w:after="0" w:line="1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$161.0 million, $172.5 million, and $131.5 million for the years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2014, 2013, and 2012, respectively. Our cash used in investing activities is primarily related to the purchase of short-term investments and property and equipment, partially offset by proceeds from the sale or maturity of short-term investments and in 2013 proceeds received from the settlement of a note receivable. Proceeds from investment, net of purchases of short-term investments, was $7.6 million during the year ended December 31, 2014. Purchases of short-term investments, net of proceeds of these investments, was $108.4 million during the year ended December 31, 2013. Capital expenditures were $168.7 million, $78.9 million and $97.7 million for the years ended December 31, 2014, 2013, and 2012, respectively. In 2014, capital expenditures primarily consisted of ground campus building projects such as the construction of an additional classroom building and parking garage, additional residence halls that accommodate another 1,600 students and land purchases adjacent to our Phoenix campus to support our growing traditional student enrollment as well as purchases of computer equipment, other internal use software projects and furniture and equipment to support our increasing employee headcount. Also, in late 2014 we commenced construction on an additional classroom building for our College of Science, Technology and Engineering, started four additional dormitories that will house 3,200 students beginning in the Fall of 2015 and a new parking garage to increase our capacity on the Phoenix, Arizona campus. In 2013, capital expenditures primarily consisted of ground campus building projects including the construction costs for two additional dormitories and an expansion of our student union, which includes additional food services and library space to support our growing traditional student enrollment as well as purchases of computer equipment, other internal use software projects and furniture and equipment to support our increasing employee headcount. In addition, during 2013 and 2012 we spent $14.5 million and $7.2 million, respectively, to purchase and refurbish a building that is located less than two miles from our Phoenix, Arizona campus and is being used as office space for our employees. In 2012, capital expenditures primarily consisted of construction costs associated with two additional dormitories, an Arts and Science classroom building, a remodel of our student union, and a parking garage to support our increasing traditional student enrollment as well as purchases of computer equipment, internal use software projects and furniture and equipment. Also in 2012, we purchased an on campus dormitory that was previously leased.</w:t>
      </w:r>
    </w:p>
    <w:p>
      <w:pPr>
        <w:spacing w:after="0" w:line="3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 Net cash provided by financing activities was $3.4 million, $4.8 million, and $71.3 million for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2014, 2013, and 2012, respectively. During 2014, proceeds from the exercise of stock options of $7.8 million and excess tax benefits from share-based compensation of $7.6 million were partially offset by $5.3 million used to purchase treasury stock in accordance with the University’s share repurchase program and principal payments on notes payable and capital leases totaling $6.7 million. During 2013, proceeds from the exercise of stock options of $16.3 million and excess tax benefits from share-based compensation of $4.5 million were partially offset by $9.3 million used to purchase treasury stock in accordance with the University’s share repurchase program and principal payments on notes payable and capital leases totaling $6.7 million. During 2012, we received $99.2 million from our new credit facility, $8.0 million from the exercise of stock options partially offset by $15.2 million utilized to repurchase our common stock and $21.7 million used for payments on notes payable and capital lease obligations.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sets forth, as of December 31, 2014,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60" w:type="dxa"/>
            <w:vAlign w:val="bottom"/>
            <w:gridSpan w:val="3"/>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r>
              <w:rPr>
                <w:rFonts w:ascii="Arial" w:cs="Arial" w:eastAsia="Arial" w:hAnsi="Arial"/>
                <w:sz w:val="15"/>
                <w:szCs w:val="15"/>
                <w:color w:val="auto"/>
              </w:rPr>
              <w:t>(1)</w:t>
            </w:r>
          </w:p>
        </w:tc>
        <w:tc>
          <w:tcPr>
            <w:tcW w:w="2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5"/>
                <w:szCs w:val="15"/>
                <w:color w:val="auto"/>
              </w:rPr>
              <w:t>(2)</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(3)</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121.9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(4)</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236.6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20" w:hanging="452"/>
        <w:spacing w:after="0" w:line="25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See Note 7, “Notes Payable and Other Noncurrent Liabilities,” to our consolidated financial statements, included in Item 8,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 for a discussion of our long term notes payable and other obligations.</w:t>
      </w:r>
    </w:p>
    <w:p>
      <w:pPr>
        <w:spacing w:after="0" w:line="1" w:lineRule="exact"/>
        <w:rPr>
          <w:rFonts w:ascii="Arial" w:cs="Arial" w:eastAsia="Arial" w:hAnsi="Arial"/>
          <w:sz w:val="18"/>
          <w:szCs w:val="18"/>
          <w:color w:val="auto"/>
        </w:rPr>
      </w:pPr>
    </w:p>
    <w:p>
      <w:pPr>
        <w:ind w:left="460" w:right="74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See Note 8, “Capital Lease Obligations,” to our consolidated financial statements, included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capital lease obligations.</w:t>
      </w:r>
    </w:p>
    <w:p>
      <w:pPr>
        <w:ind w:left="46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unconditional purchase obligations and other obligations. Amount consists primarily of construction agreements for construction in progress on our ground traditional campus.</w:t>
      </w:r>
    </w:p>
    <w:p>
      <w:pPr>
        <w:ind w:left="460" w:right="220" w:hanging="452"/>
        <w:spacing w:after="0" w:line="26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See Note 9, “Commitments and Contingencies,” to our consolidated financial statements, included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operating lease obligations.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 See Item 6, </w:t>
      </w:r>
      <w:r>
        <w:rPr>
          <w:rFonts w:ascii="Arial" w:cs="Arial" w:eastAsia="Arial" w:hAnsi="Arial"/>
          <w:sz w:val="18"/>
          <w:szCs w:val="18"/>
          <w:i w:val="1"/>
          <w:iCs w:val="1"/>
          <w:color w:val="auto"/>
        </w:rPr>
        <w:t>Selected Consolidated Financial and Other Data,</w:t>
      </w:r>
      <w:r>
        <w:rPr>
          <w:rFonts w:ascii="Arial" w:cs="Arial" w:eastAsia="Arial" w:hAnsi="Arial"/>
          <w:sz w:val="18"/>
          <w:szCs w:val="18"/>
          <w:color w:val="auto"/>
        </w:rPr>
        <w:t xml:space="preserve"> for a discussion of our Adjusted EBITDA computation and reconciliation.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Note 2, Summary of Significant Accounting Policies, in Item 8, </w:t>
      </w:r>
      <w:r>
        <w:rPr>
          <w:rFonts w:ascii="Arial" w:cs="Arial" w:eastAsia="Arial" w:hAnsi="Arial"/>
          <w:sz w:val="18"/>
          <w:szCs w:val="18"/>
          <w:i w:val="1"/>
          <w:iCs w:val="1"/>
          <w:color w:val="auto"/>
        </w:rPr>
        <w:t>Consolidated Financial Statements and Supplementary Data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years ended December 31, 2014, 2013,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 There can be no assurance that future inflation will not have an adverse impact on our operating results and financial condition.</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30-day LIBOR interest exposure from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matures in December 2019. The corridor instrument, which hedges variable interest rate risk starting March 1, 2013 through December 20, 2019 with a notional amount of $86.7 million as of December 31, 2014, permits us to hedge our interest rate risk at several thresholds. Under this arrangement, in addition to the credit spread, we will pay variable interest rates based on the 30-day LIBOR rates monthly until that index reaches 1.5%. If 30-day LIBOR is equal to 1.5% through 3.0%, we will continue to pay 1.5%. If the 30-day LIBOR exceeds 3.0%, we will pay actual 30-day LIBOR less 1.5%.</w:t>
      </w:r>
    </w:p>
    <w:p>
      <w:pPr>
        <w:spacing w:after="0" w:line="15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municipal bond portfolios, or municipal mutual funds at multiple financial institutions.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through the instruments noted above and by investing excess funds in cash equivalents, A rated</w:t>
      </w:r>
      <w:r>
        <w:rPr>
          <w:rFonts w:ascii="Arial" w:cs="Arial" w:eastAsia="Arial" w:hAnsi="Arial"/>
          <w:sz w:val="18"/>
          <w:szCs w:val="18"/>
          <w:i w:val="1"/>
          <w:iCs w:val="1"/>
          <w:color w:val="auto"/>
        </w:rPr>
        <w:t xml:space="preserve"> </w:t>
      </w:r>
      <w:r>
        <w:rPr>
          <w:rFonts w:ascii="Arial" w:cs="Arial" w:eastAsia="Arial" w:hAnsi="Arial"/>
          <w:sz w:val="18"/>
          <w:szCs w:val="18"/>
          <w:color w:val="auto"/>
        </w:rPr>
        <w:t>municipal bonds and municipal mutual funds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2014, a 10% increase or decrease in interest rates would not have a material impact on our future earnings, fair values, or cash flows. For information regarding our variable rate notes payable, see “Market risk” above.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8"/>
          </w:tcPr>
          <w:p>
            <w:pPr>
              <w:ind w:left="240"/>
              <w:spacing w:after="0"/>
              <w:rPr>
                <w:sz w:val="20"/>
                <w:szCs w:val="20"/>
                <w:color w:val="auto"/>
              </w:rPr>
            </w:pPr>
            <w:r>
              <w:rPr>
                <w:rFonts w:ascii="Arial" w:cs="Arial" w:eastAsia="Arial" w:hAnsi="Arial"/>
                <w:sz w:val="18"/>
                <w:szCs w:val="18"/>
                <w:b w:val="1"/>
                <w:bCs w:val="1"/>
                <w:i w:val="1"/>
                <w:iCs w:val="1"/>
                <w:color w:val="auto"/>
              </w:rPr>
              <w:t>Consolidated Financial Statements and Supplementary Data</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20" w:type="dxa"/>
            <w:vAlign w:val="bottom"/>
            <w:gridSpan w:val="9"/>
            <w:vMerge w:val="restart"/>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Public Accounting Firm</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9"/>
            <w:vMerge w:val="continue"/>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Consolidated Balance Sheets as of December 31, 2014 and 2013</w:t>
              </w:r>
            </w:hyperlink>
          </w:p>
        </w:tc>
        <w:tc>
          <w:tcPr>
            <w:tcW w:w="63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64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Income Statements for the years ended December 31, 2014, 2013 and 2012</w:t>
              </w:r>
            </w:hyperlink>
          </w:p>
        </w:tc>
        <w:tc>
          <w:tcPr>
            <w:tcW w:w="46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11020" w:type="dxa"/>
            <w:vAlign w:val="bottom"/>
            <w:gridSpan w:val="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Comprehensive Income for the years ended December 31, 2014, 2013 and 2012</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7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Statements of Stockholders’ Equity for the years ended December 31, 2014, 2013 and 2012</w:t>
              </w:r>
            </w:hyperlink>
          </w:p>
        </w:tc>
        <w:tc>
          <w:tcPr>
            <w:tcW w:w="1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69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Cash Flows for the years ended December 31, 2014, 2013 and 2012</w:t>
              </w:r>
            </w:hyperlink>
          </w:p>
        </w:tc>
        <w:tc>
          <w:tcPr>
            <w:tcW w:w="41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Notes to Consolidated Financial Statements</w:t>
              </w:r>
            </w:hyperlink>
          </w:p>
        </w:tc>
        <w:tc>
          <w:tcPr>
            <w:tcW w:w="786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4"/>
                <w:szCs w:val="24"/>
                <w:color w:val="auto"/>
              </w:rPr>
            </w:pPr>
          </w:p>
        </w:tc>
        <w:tc>
          <w:tcPr>
            <w:tcW w:w="5620" w:type="dxa"/>
            <w:vAlign w:val="bottom"/>
            <w:gridSpan w:val="4"/>
          </w:tcPr>
          <w:p>
            <w:pPr>
              <w:jc w:val="right"/>
              <w:ind w:right="620"/>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audited the accompanying consolidated balance sheets of Grand Canyon Education, Inc. and subsidiaries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and 2013, and the related consolidated statements of income, comprehensive income, stockholders’ equity, and cash flows for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in the three-year period ended December 31, 2014. These consolidated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consolidated financial statements based on our audits.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Grand Canyon Education, Inc. and subsidiaries as of December 31, 2014 and 2013, and the results of their operations and their cash flows for each of the years in the three-year period ended December 31, 2014, in conformity with U.S. generally accepted accounting principles.</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Grand Canyon Education, Inc.’s internal control over financial reporting as of December 31, 2014, based on criteria established in </w:t>
      </w:r>
      <w:r>
        <w:rPr>
          <w:rFonts w:ascii="Arial" w:cs="Arial" w:eastAsia="Arial" w:hAnsi="Arial"/>
          <w:sz w:val="16"/>
          <w:szCs w:val="16"/>
          <w:i w:val="1"/>
          <w:iCs w:val="1"/>
          <w:color w:val="auto"/>
        </w:rPr>
        <w:t>Internal Control — Integrated Framework</w:t>
      </w:r>
    </w:p>
    <w:p>
      <w:pPr>
        <w:ind w:right="60"/>
        <w:spacing w:after="0" w:line="261" w:lineRule="auto"/>
        <w:rPr>
          <w:sz w:val="20"/>
          <w:szCs w:val="20"/>
          <w:color w:val="auto"/>
        </w:rPr>
      </w:pPr>
      <w:r>
        <w:rPr>
          <w:rFonts w:ascii="Arial" w:cs="Arial" w:eastAsia="Arial" w:hAnsi="Arial"/>
          <w:sz w:val="18"/>
          <w:szCs w:val="18"/>
          <w:i w:val="1"/>
          <w:iCs w:val="1"/>
          <w:color w:val="auto"/>
        </w:rPr>
        <w:t xml:space="preserve">(1992) </w:t>
      </w:r>
      <w:r>
        <w:rPr>
          <w:rFonts w:ascii="Arial" w:cs="Arial" w:eastAsia="Arial" w:hAnsi="Arial"/>
          <w:sz w:val="18"/>
          <w:szCs w:val="18"/>
          <w:color w:val="auto"/>
        </w:rPr>
        <w:t>issued by the Committee of Sponsoring Organizations of the Treadway Commission, and our report dated February 18, 2015 expressed an unqualified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on the effectiveness of the Company’s internal control over financial reporting.</w:t>
      </w:r>
    </w:p>
    <w:p>
      <w:pPr>
        <w:spacing w:after="0" w:line="184"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7640" w:type="dxa"/>
            <w:vAlign w:val="bottom"/>
            <w:tcBorders>
              <w:top w:val="single" w:sz="8" w:color="CCEEFF"/>
            </w:tcBorders>
            <w:shd w:val="clear" w:color="auto" w:fill="CCEEFF"/>
          </w:tcPr>
          <w:p>
            <w:pPr>
              <w:jc w:val="center"/>
              <w:ind w:right="190"/>
              <w:spacing w:after="0" w:line="196" w:lineRule="exact"/>
              <w:rPr>
                <w:sz w:val="20"/>
                <w:szCs w:val="20"/>
                <w:color w:val="auto"/>
              </w:rPr>
            </w:pPr>
            <w:r>
              <w:rPr>
                <w:rFonts w:ascii="Arial" w:cs="Arial" w:eastAsia="Arial" w:hAnsi="Arial"/>
                <w:sz w:val="18"/>
                <w:szCs w:val="18"/>
                <w:b w:val="1"/>
                <w:bCs w:val="1"/>
                <w:color w:val="auto"/>
                <w:w w:val="92"/>
              </w:rPr>
              <w:t>ASSETS: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Restricted cash, cash equivalents and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67,840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19,116</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267,045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263,703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478,170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755,713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4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22,715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13,533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Student deposits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69,584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Due to related parties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178,711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15,974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79,877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86,493</w:t>
            </w:r>
          </w:p>
        </w:tc>
        <w:tc>
          <w:tcPr>
            <w:tcW w:w="0" w:type="dxa"/>
            <w:vAlign w:val="bottom"/>
          </w:tcPr>
          <w:p>
            <w:pPr>
              <w:spacing w:after="0"/>
              <w:rPr>
                <w:sz w:val="1"/>
                <w:szCs w:val="1"/>
                <w:color w:val="auto"/>
              </w:rPr>
            </w:pPr>
          </w:p>
        </w:tc>
      </w:tr>
      <w:tr>
        <w:trPr>
          <w:trHeight w:val="230"/>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279,481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271,256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Preferred stock, $0.01 par value, 10,000 shares authorized; 0 shares issued and outstanding at December 31, 2014 and 2013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stock, $0.01 par value, 100,000 shares authorized; 49,746 and 48,890 shares issued and 46,744 and 46,045 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0" w:type="dxa"/>
            <w:vAlign w:val="bottom"/>
            <w:gridSpan w:val="2"/>
          </w:tcPr>
          <w:p>
            <w:pPr>
              <w:ind w:left="160"/>
              <w:spacing w:after="0"/>
              <w:rPr>
                <w:sz w:val="20"/>
                <w:szCs w:val="20"/>
                <w:color w:val="auto"/>
              </w:rPr>
            </w:pPr>
            <w:r>
              <w:rPr>
                <w:rFonts w:ascii="Arial" w:cs="Arial" w:eastAsia="Arial" w:hAnsi="Arial"/>
                <w:sz w:val="18"/>
                <w:szCs w:val="18"/>
                <w:color w:val="auto"/>
              </w:rPr>
              <w:t>outstanding at December 31, 2014 and 2013, 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 3,002 and 2,845 shares of common stock at December 31, 2014 and 2013, respectively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(53,770)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158,549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370,991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259,525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476,232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344,844</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755,713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616,100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4"/>
                <w:szCs w:val="14"/>
                <w:color w:val="auto"/>
              </w:rPr>
            </w:pPr>
          </w:p>
        </w:tc>
        <w:tc>
          <w:tcPr>
            <w:tcW w:w="272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6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691,055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598,335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511,257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288,791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254,419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220,403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Admissions advisory and related, including $2,974 in 2014; $3,412 in 2013; and $2,313 in 2012, respectively,</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gridSpan w:val="2"/>
          </w:tcPr>
          <w:p>
            <w:pPr>
              <w:ind w:left="520"/>
              <w:spacing w:after="0"/>
              <w:rPr>
                <w:sz w:val="20"/>
                <w:szCs w:val="20"/>
                <w:color w:val="auto"/>
              </w:rPr>
            </w:pPr>
            <w:r>
              <w:rPr>
                <w:rFonts w:ascii="Arial" w:cs="Arial" w:eastAsia="Arial" w:hAnsi="Arial"/>
                <w:sz w:val="18"/>
                <w:szCs w:val="18"/>
                <w:color w:val="auto"/>
              </w:rPr>
              <w:t>to related parties</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108,567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97,077</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60,985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Marketing and promotional</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35,502</w:t>
            </w:r>
          </w:p>
        </w:tc>
        <w:tc>
          <w:tcPr>
            <w:tcW w:w="0" w:type="dxa"/>
            <w:vAlign w:val="bottom"/>
          </w:tcPr>
          <w:p>
            <w:pPr>
              <w:spacing w:after="0"/>
              <w:rPr>
                <w:sz w:val="1"/>
                <w:szCs w:val="1"/>
                <w:color w:val="auto"/>
              </w:rPr>
            </w:pPr>
          </w:p>
        </w:tc>
      </w:tr>
      <w:tr>
        <w:trPr>
          <w:trHeight w:val="23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Total costs and expenses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510,240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455,059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397,205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180,815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143,276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179,698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144,895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43,977</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111,466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Basic income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44,731</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46,131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20" w:type="dxa"/>
            <w:vAlign w:val="bottom"/>
            <w:gridSpan w:val="3"/>
            <w:vMerge w:val="continue"/>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79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$111,466</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$88,711</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Unrealized (losses) gains on hedging derivatives, net of taxes of $186, $382, and $104 for the years ended</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December 31, 2014, 2013 and 2012, respectively</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Unrealized (losses) gains on available for sale securities, net of taxes of $60 and $11 for the years ended</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520"/>
              <w:spacing w:after="0"/>
              <w:rPr>
                <w:sz w:val="20"/>
                <w:szCs w:val="20"/>
                <w:color w:val="auto"/>
              </w:rPr>
            </w:pPr>
            <w:r>
              <w:rPr>
                <w:rFonts w:ascii="Arial" w:cs="Arial" w:eastAsia="Arial" w:hAnsi="Arial"/>
                <w:sz w:val="18"/>
                <w:szCs w:val="18"/>
                <w:color w:val="auto"/>
              </w:rPr>
              <w:t>December 31, 2014 and 2013, respectively</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111,073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89,292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620" w:type="dxa"/>
            <w:vAlign w:val="bottom"/>
            <w:gridSpan w:val="6"/>
          </w:tcPr>
          <w:p>
            <w:pPr>
              <w:ind w:left="200"/>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4"/>
          </w:tcPr>
          <w:p>
            <w:pPr>
              <w:ind w:left="2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2"/>
                <w:szCs w:val="12"/>
                <w:color w:val="auto"/>
              </w:rPr>
            </w:pPr>
          </w:p>
        </w:tc>
        <w:tc>
          <w:tcPr>
            <w:tcW w:w="7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126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45,955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460</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1,657</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$(23,894)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$101,367</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$163,293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137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69,447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753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(15,242)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570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7,805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611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8,044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47,136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471</w:t>
            </w:r>
          </w:p>
        </w:tc>
        <w:tc>
          <w:tcPr>
            <w:tcW w:w="280" w:type="dxa"/>
            <w:vAlign w:val="bottom"/>
          </w:tcPr>
          <w:p>
            <w:pPr>
              <w:spacing w:after="0"/>
              <w:rPr>
                <w:sz w:val="19"/>
                <w:szCs w:val="19"/>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4"/>
              </w:rPr>
              <w:t>2,420</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(39,136)</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102,133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170,814</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581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88,711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Common stock purchased for treasury</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340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594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Excess tax benefits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4,588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48,890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489</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2,845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(48,432)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132,904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358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259,525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(393)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111,466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317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9,941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539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7,820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Balance at December 31, 2014</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49,746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497</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3,002</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(53,770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158,549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370,991</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476,232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gridSpan w:val="3"/>
            <w:vMerge w:val="continue"/>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0"/>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w w:val="95"/>
              </w:rPr>
              <w:t>111,466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88,711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(7,637)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Amortization of notes payable issuance costs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bad debts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15,045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19,897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29,473</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25,437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note receivable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Loss on asset disposal and fixed asset impairments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Prepaid royalty impairment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700"/>
              <w:spacing w:after="0"/>
              <w:rPr>
                <w:sz w:val="20"/>
                <w:szCs w:val="20"/>
                <w:color w:val="auto"/>
              </w:rPr>
            </w:pPr>
            <w:r>
              <w:rPr>
                <w:rFonts w:ascii="Arial" w:cs="Arial" w:eastAsia="Arial" w:hAnsi="Arial"/>
                <w:sz w:val="18"/>
                <w:szCs w:val="18"/>
                <w:color w:val="auto"/>
              </w:rPr>
              <w:t>Restricted cash, cash equivalents and investments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8"/>
              <w:spacing w:after="0"/>
              <w:rPr>
                <w:sz w:val="20"/>
                <w:szCs w:val="20"/>
                <w:color w:val="auto"/>
              </w:rPr>
            </w:pPr>
            <w:r>
              <w:rPr>
                <w:rFonts w:ascii="Arial" w:cs="Arial" w:eastAsia="Arial" w:hAnsi="Arial"/>
                <w:sz w:val="18"/>
                <w:szCs w:val="18"/>
                <w:color w:val="auto"/>
              </w:rPr>
              <w:t>(3,472)</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(8,404)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(15,433)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700"/>
              <w:spacing w:after="0"/>
              <w:rPr>
                <w:sz w:val="20"/>
                <w:szCs w:val="20"/>
                <w:color w:val="auto"/>
              </w:rPr>
            </w:pPr>
            <w:r>
              <w:rPr>
                <w:rFonts w:ascii="Arial" w:cs="Arial" w:eastAsia="Arial" w:hAnsi="Arial"/>
                <w:sz w:val="18"/>
                <w:szCs w:val="18"/>
                <w:color w:val="auto"/>
              </w:rPr>
              <w:t>Prepaid expenses and other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(7,316)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Due to/from related parties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8"/>
              <w:spacing w:after="0"/>
              <w:rPr>
                <w:sz w:val="20"/>
                <w:szCs w:val="20"/>
                <w:color w:val="auto"/>
              </w:rPr>
            </w:pPr>
            <w:r>
              <w:rPr>
                <w:rFonts w:ascii="Arial" w:cs="Arial" w:eastAsia="Arial" w:hAnsi="Arial"/>
                <w:sz w:val="18"/>
                <w:szCs w:val="18"/>
                <w:color w:val="auto"/>
              </w:rPr>
              <w:t>(2,448)</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8,563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700"/>
              <w:spacing w:after="0"/>
              <w:rPr>
                <w:sz w:val="20"/>
                <w:szCs w:val="20"/>
                <w:color w:val="auto"/>
              </w:rPr>
            </w:pPr>
            <w:r>
              <w:rPr>
                <w:rFonts w:ascii="Arial" w:cs="Arial" w:eastAsia="Arial" w:hAnsi="Arial"/>
                <w:sz w:val="18"/>
                <w:szCs w:val="18"/>
                <w:color w:val="auto"/>
              </w:rPr>
              <w:t>Income taxes receivable/payable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16,378</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(2,298)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700"/>
              <w:spacing w:after="0"/>
              <w:rPr>
                <w:sz w:val="20"/>
                <w:szCs w:val="20"/>
                <w:color w:val="auto"/>
              </w:rPr>
            </w:pPr>
            <w:r>
              <w:rPr>
                <w:rFonts w:ascii="Arial" w:cs="Arial" w:eastAsia="Arial" w:hAnsi="Arial"/>
                <w:sz w:val="18"/>
                <w:szCs w:val="18"/>
                <w:color w:val="auto"/>
              </w:rPr>
              <w:t>Deferred revenue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4,202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Student deposits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716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166,996</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118,449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8"/>
              <w:spacing w:after="0"/>
              <w:rPr>
                <w:sz w:val="20"/>
                <w:szCs w:val="20"/>
                <w:color w:val="auto"/>
              </w:rPr>
            </w:pPr>
            <w:r>
              <w:rPr>
                <w:rFonts w:ascii="Arial" w:cs="Arial" w:eastAsia="Arial" w:hAnsi="Arial"/>
                <w:sz w:val="18"/>
                <w:szCs w:val="18"/>
                <w:color w:val="auto"/>
                <w:w w:val="88"/>
              </w:rPr>
              <w:t>(168,646)</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(78,948)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 of land and building related to off-site development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Investment in note receivable secured by real estate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29,187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Restricted funds held for derivative collateral and legal matter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8"/>
              </w:rPr>
              <w:t>(114,919)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(168,953)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122,555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60,533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8"/>
              </w:rPr>
              <w:t>(161,010)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(172,498)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(131,546)</w:t>
            </w:r>
          </w:p>
        </w:tc>
        <w:tc>
          <w:tcPr>
            <w:tcW w:w="0" w:type="dxa"/>
            <w:vAlign w:val="bottom"/>
          </w:tcPr>
          <w:p>
            <w:pPr>
              <w:spacing w:after="0"/>
              <w:rPr>
                <w:sz w:val="1"/>
                <w:szCs w:val="1"/>
                <w:color w:val="auto"/>
              </w:rPr>
            </w:pPr>
          </w:p>
        </w:tc>
      </w:tr>
      <w:tr>
        <w:trPr>
          <w:trHeight w:val="223"/>
        </w:trPr>
        <w:tc>
          <w:tcPr>
            <w:tcW w:w="7160" w:type="dxa"/>
            <w:vAlign w:val="bottom"/>
            <w:gridSpan w:val="3"/>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(6,696)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Proceeds from notes payable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payable modification costs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Repurchase of common shares including share withheld in lieu of income taxes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8"/>
              <w:spacing w:after="0"/>
              <w:rPr>
                <w:sz w:val="20"/>
                <w:szCs w:val="20"/>
                <w:color w:val="auto"/>
              </w:rPr>
            </w:pPr>
            <w:r>
              <w:rPr>
                <w:rFonts w:ascii="Arial" w:cs="Arial" w:eastAsia="Arial" w:hAnsi="Arial"/>
                <w:sz w:val="18"/>
                <w:szCs w:val="18"/>
                <w:color w:val="auto"/>
              </w:rPr>
              <w:t>(5,338)</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(9,296)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16,278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71,272</w:t>
            </w:r>
          </w:p>
        </w:tc>
        <w:tc>
          <w:tcPr>
            <w:tcW w:w="0" w:type="dxa"/>
            <w:vAlign w:val="bottom"/>
          </w:tcPr>
          <w:p>
            <w:pPr>
              <w:spacing w:after="0"/>
              <w:rPr>
                <w:sz w:val="1"/>
                <w:szCs w:val="1"/>
                <w:color w:val="auto"/>
              </w:rPr>
            </w:pPr>
          </w:p>
        </w:tc>
      </w:tr>
      <w:tr>
        <w:trPr>
          <w:trHeight w:val="223"/>
        </w:trPr>
        <w:tc>
          <w:tcPr>
            <w:tcW w:w="7160" w:type="dxa"/>
            <w:vAlign w:val="bottom"/>
            <w:gridSpan w:val="3"/>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9,414</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(49,287)</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55,824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105,111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21,189</w:t>
            </w:r>
          </w:p>
        </w:tc>
        <w:tc>
          <w:tcPr>
            <w:tcW w:w="0" w:type="dxa"/>
            <w:vAlign w:val="bottom"/>
          </w:tcPr>
          <w:p>
            <w:pPr>
              <w:spacing w:after="0"/>
              <w:rPr>
                <w:sz w:val="1"/>
                <w:szCs w:val="1"/>
                <w:color w:val="auto"/>
              </w:rPr>
            </w:pPr>
          </w:p>
        </w:tc>
      </w:tr>
      <w:tr>
        <w:trPr>
          <w:trHeight w:val="223"/>
        </w:trPr>
        <w:tc>
          <w:tcPr>
            <w:tcW w:w="716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65,238</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55,824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Cash paid during the year for interest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1,793</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2,176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during the year for income taxes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48,835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59,892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Cash received for income tax refunds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385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5,845</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1,494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260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Grand Canyon Education, Inc. (together with its subsidiaries, the “University”) was formed in Delaware in November 2003 as a limited liability company, under the name Significant Education, LLC, for the purpose of acquiring the assets of Grand Canyon University from a non-profit foundation on February 2, 2004. On August 24, 2005, the University converted from a limited liability company to a corporation and changed its name to Significant Education, Inc. On May 9, 2008, the University changed its name to Grand Canyon Education, Inc.</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University is a comprehensive regionally accredited university that offers over 160 graduate and undergraduate degree programs across eight colleges both online and on ground at our approximately 205 acre campus in Phoenix, Arizona, and at facilities we lease and at facilities owned by third party employers. Our undergraduate programs are designed to be innovative and to meet the future needs of employers, while providing students with the needed critical thinking and effective communication skills developed through a Christian, liberal arts foundation. The University is accredited by the Higher Learning Commission. The University’s wholly owned subsidiaries are primarily used to facilitate expansion of the University campus.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Grand Canyon Education, Inc. and its wholly 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University invests a portion of its cash in excess of current operating requirements in short term certificates of deposit and money market instruments. The University considers all highly liquid investments with maturities of three months or less at the time of purchase to be cash equivalents.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Cash Equivalents and Investments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cash equivalents and investments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cash equivalents and investments. The majority of these funds remain as restricted for an average of 60 to 90 days from the date of receipt.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University considers its investments in municipal bond, mutual funds and municipal securities as available-for-sale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w:t>
      </w:r>
    </w:p>
    <w:p>
      <w:pPr>
        <w:spacing w:after="0" w:line="117"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The University purchased a note receivable from a financial institution at fair market value in the fourth quarter of 2012 for $27,000. The note bore interest at 11%, which represented the 6% rate of the loan plus the 5% default rate. The principal and most of the interest due on the note was paid in March 2013, resulting in the full return on investment of the note receivable and an additional gain in interest income and other income of $2,187 on the</w:t>
      </w:r>
    </w:p>
    <w:p>
      <w:pPr>
        <w:spacing w:after="0" w:line="268" w:lineRule="auto"/>
        <w:rPr>
          <w:sz w:val="20"/>
          <w:szCs w:val="20"/>
          <w:color w:val="auto"/>
        </w:rPr>
      </w:pPr>
      <w:r>
        <w:rPr>
          <w:rFonts w:ascii="Arial" w:cs="Arial" w:eastAsia="Arial" w:hAnsi="Arial"/>
          <w:sz w:val="17"/>
          <w:szCs w:val="17"/>
          <w:color w:val="auto"/>
        </w:rPr>
        <w:t>loan. However, the borrower has disputed certain amounts remaining due under the note agreement, including default interest in the amount of $432, a late payment penalty in the amount of $1,392, and a statutory trustee’s fee in the amount of $139. The funds disputed by the borrower, plus interest thereon, were deposited into an escrow account with the clerk of the Maricopa County Superior Court pending resolution of the disputed issues. In the third quarter of 2013, the court ruled in favor of the University with respect to the late penalty and default interest accrued thereon. Accordingly, the University recorded interest and other income of $1,459 for the year ended December 31, 2013. The court ordered the late penalty funds and interest thereon to be released to the University on October 28, 2013 unless prior to said date, borrower filed with the court a formal notice of appeal and simultaneously deposited an additional $344 into escrow with the clerk of the court representing continued interest accruing on the late penalty pending an appeal. On October 28, 2013 borrower deposited with the clerk of the court the required cash bond in the amount of $344 and filed its formal notice of appeal. The briefing phase of the appeal has been completed and the matter will be scheduled for oral argument at a date and time to be determined by the appellate court. On January 29, 2015, the court ruled in favor of the University with respect to the remaining default interest and interest thereon.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Internally developed software represents qualifying salary and consulting costs for time spent on developing internal use software and is included in construction in progress until its completion. The University capitalizes interest using its interest rates on the specific borrowings used to finance the improvements, which approximated 1.9% in 2014, 1.9% in 2013, and 2.2% in 2012. Interest cost capitalized and incurred in the years ended December 31, 2014, 2013, and 2012 are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incurred</w:t>
            </w:r>
          </w:p>
        </w:tc>
        <w:tc>
          <w:tcPr>
            <w:tcW w:w="2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$2,180</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1,064</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Interest capitalized</w:t>
            </w:r>
          </w:p>
        </w:tc>
        <w:tc>
          <w:tcPr>
            <w:tcW w:w="28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379</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r>
      <w:tr>
        <w:trPr>
          <w:trHeight w:val="27"/>
        </w:trPr>
        <w:tc>
          <w:tcPr>
            <w:tcW w:w="4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1,801</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r>
      <w:tr>
        <w:trPr>
          <w:trHeight w:val="20"/>
        </w:trPr>
        <w:tc>
          <w:tcPr>
            <w:tcW w:w="4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University enters into various lease agreements in conducting its business. At the inception of each lease, the University evaluates the lease agreement to determine whether the lease is an operating or capital lease. In addition, many of the lease agreements contain renewal options and tenant improvement allowances. When such items are included in a lease agreement, the University records a deferred liability on the balance sheet and records the rent expense evenly over the term of the lease. Leasehold improvements are included as investing activities and are included as additions to property, plant and equipment. For leases with renewal options, the University records rent expense and amortizes the leasehold improvement on a straight-line basis over the initial non-cancelable lease term unless it intends to exercise the renewal option. Once it extends the renewal option, the University amortizes any tenant improvement allowances over the extended lease period as well as the leasehold improvement asset (unless the extended lease term is longer than the economic life of the asset). The University expenses any additional payments under its operating leases for taxes, insurance or other operating expenses as incurred.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During 2010, the University entered into an agreement with an affiliated entity to develop a new learning management system for use by the University. Through this agreement, the University prepaid perpetual license fees, acquired source code rights for the software developed, and prepaid maintenance and service fees for the first seven years of use for an aggregate amount of $4,900, which was paid in full as of December 31, 2011. The University commenced utilization of this software in October 2011. Included in current other assets is the amount that will be amortized in the next twelve month cycle for maintenance and service fees and included in property and equipment is the amount that will be amortized over fifteen years for the perpetual licenses.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University evaluates the recoverability of its long-lived assets for impairment, other than goodwill,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Royalties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connection with the February 2004 acquisition of the assets of Grand Canyon University from a non-profit foundation, the University entered into a royalty fee arrangement with the former owner in which the University agreed to pay a stated percentage of cash revenue generated by its online programs. The University settled all future royalty obligations with the former owner in April 2008 when it finalized an agreement to pay $22,500 to the former owner. Of this payment $5,920 was considered as settlement of the future royalty payment obligation and is included in the accompanying balance sheet as a component of “Prepaid Royalty” and is being amortized over a period of 20 years.</w:t>
      </w:r>
    </w:p>
    <w:p>
      <w:pPr>
        <w:spacing w:after="0" w:line="188"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In addition, in June 2004, the University entered into a license agreement relating to the University’s use of the Ken Blanchard name for its College of Business. Under the terms of that agreement the University agreed to pay Blanchard a royalty generated on net tuition from certain programs in the University’s College of Business and to issue Blanchard shares of common stock with the actual number of shares issued to be contingent upon the University’s achievement of stated enrollment levels in its College of Business during the term of the agreement. The fair value of the shares issued to Blanchard as part of the license agreement of $3,394 was determined at the date it became probable that shares would then be earned and then adjusted until the date the shares were earned. During 2014, the University reached an agreement to cease the use of the Ken Blanchard name for its College of Business when it renamed the school the Colangelo School of Business; accordingly the remaining balance of the prepaid royalty was expensed as an impaired asset during the year ended December 31,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Goodwill represents the excess of the cost over the fair market value of net assets acquired, including identified intangible assets. Goodwill is tested annually or more frequently if circumstances indicate potential impairment. The Financial Accounting Standards Board (“FASB”) has issued guidance that permits an entity to first assess qualitative factors to determine whether it is necessary to perform the two-step quantitative goodwill impairment test. The University performed its annual goodwill impairment test, by performing a qualitative assessment. Following this assessment, the University determined that it is more likely than not that its fair value exceeds its carrying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University measures and recognizes compensation expense for share-based payment awards made to employees, consultants and directors, including employee stock options and restricted stock awards. The University calculates the fair value of share-based awards on the date of grant. The University calculates the fair value of share-based awards to consultants on the date of vesting. The University amortizes the share-based compensation expense over the period that the awards are expected to vest, net of estimated forfeiture rates. If the actual forfeitures differ from management estimates, adjustments to compensation expense are recorded. The University reports cash flows resulting from tax deductions in excess of the compensation cost realized for those options (excess tax benefits) as financing cash flows. The University reports cash flows resulting from tax deductions that are less than the compensation cost realized for those option (tax shortfalls) as a noncash transaction in the consolidated statement of cash flows.</w:t>
      </w:r>
    </w:p>
    <w:p>
      <w:pPr>
        <w:spacing w:after="0" w:line="16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For stock options, the University uses the Black-Scholes-Merton option pricing model to estimate fair value. The option pricing model requires the University to estimate certain key assumptions such as expected life, volatility, risk free interest rates, and dividend yield to determine the fair value of share-based awards, based on historical information and management judgment. The assumptions used in calculating the fair value of stock-based awards represent the University’s best estimates, but these estimates involve inherent uncertainties and the application of management judgment. The fair value of the University’s restricted stock awards is based on the market price of its common stock on the date of grant.</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54"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carrying value of cash and cash equivalents, accounts receivable, note receivable, accounts payable, accrued compensation and benefits and accrued liabilities approximate their fair value based on the liquidity or the short-term maturities of these instruments. The carrying value of notes payable approximate fair value based on its variable rate index. The carrying value of other notes payable and capital lease obligations approximate fair value based upon market interest rates available to the University for debt of similar risk and maturities.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 See Note 10, Derivative Instruments.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fair value of investments, primarily municipal securities, including municipal bond portfolios, were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 Because these securities are held by the University as investments, assessment of non-performance risk is not applicable as such considerations are only applicable in evaluating the fair value measurements for liabilities.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fair value of the prepaid royalty asset relating to the settlement of future royalty payment obligations to the former owner was determined using an income approach, based on management’s forecasts of revenue to be generated through its online education program using Level 3 of the hierarchy of valuation inputs. The rate utilized to discount net cash flows to their present values was 35%. This discount rate was determined after consideration of the University’s weighted average cost of capital giving effect to estimates of the University’s risk-free rate, beta coefficient, equity risk premium, small size risk premium, and company-specific risk premium.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University accounts for income taxes payable or refundable for the current year and deferred tax assets and liabilities for future tax consequences of events that have been recognized in the University’s consolidated financial statements or tax returns. Deferred tax assets and liabilities are measured using enacted tax rates in effect for the year in which the temporary differences are expected to be realized.</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University applies a more-likely-than-not threshold for financial statement recognition and measurement of an uncertain tax position taken or expected to be taken in a tax return. The University recognizes interest and penalties related to uncertain tax positions in income tax expense. The University did not record any reserves for uncertain tax positions including interest and penalties as of December 31, 2014 and 2013.</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University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University accrues for a contingent obligation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at its approximately 205 acre campus in Phoenix, Arizona, and at facilities it leases or those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years ended December 31, 2014, 2013 and 2012, the University’s revenue was reduced by approximately $139,962, $111,789 and $94,283,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to Title IV is required as a result of his or her withdrawal, the University recognizes revenue after a student withdraws only at the time of cash collection. Sales tax collected from students is excluded from net revenues. Collected but unremitted sales tax is included as an accrued liability in our consolidated balance sheet.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sheets.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and the aging of the accounts receivable and student status. The University applies reserves to its receivables based upon an estimate of the risk presented by the age of the receivables and student status. The University writes off accounts receivable balances of active students at the earlier of the time the balances were deemed uncollectible, or one year after the revenue is generated. The University accelerates the write off of inactive student accounts such that the accounts are written off by day 150. The University continues to reflect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General and administrative expenses include salaries, and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University is a party to a revenue sharing arrangement (the Collaboration Agreement) with Mind Streams L.L.C. (Mind Streams), a related party, under which the University, in accordance with applicable Department of Education guidance, pays a percentage of net revenue that it receives from applicants recruited by Mind Streams that matriculate at the University. The University terminated the agreement in 2014 and the University is not accepting any new applicants recruited by Mind Streams. The expenses incurred in conjunction with the Collaboration Agreement are included in admissions advisory and related expenses on our Consolidated Income Statement.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University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University’s loss exposure related to self-insurance is limited by stop loss coverage on a per occurrence and aggregate basis. Expected loss accruals are based on estimates, and while the University believes the amounts accrued are adequate, the ultimate loss may differ from the amounts provided.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University believes the credit risk related to cash equivalents and investments is limited due to its adherence to an investment policy that required investments to have a minimum AAA to A rating, depending on the type of security, by one major rating agency at the time of purchase. All of the University’s cash equivalents and investments as of December 31, 2014 and 2013 consist of investments rated A or higher by at least one rating agency. Additionally, the University utilizes more than one financial institution to conduct initial and ongoing credit analysis on its investment portfolio to monitor and lower the potential impact of market risk associated with its cash equivalents and investment portfolio.</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majority of the University’s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University’s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University.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May 2014, the Financial Accounting Standards Board (“FASB”) issued “Revenue from Contracts with Customers.”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standard is effective for fiscal years, and interim periods within those years, beginning after December 15, 2016, and early adoption is not permitted. Accordingly, the standard is effective for us on January 1, 2017. The University is currently evaluating the impact that the standard will have on our financial condition, results of operations and disclosures.</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University has determined that no other recent accounting pronouncements apply to its operations or would otherwise have a material impact on its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following is a summary of amounts included in restricted investments of $67,840 as of December 3, 2014 and unrestricted investments as of December 31, 2014 and 2013. In 2014, the University recorded a non-cash transaction to reflect the restriction of $67,840 of investments. The University considered all investments as available for sale.</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3"/>
              </w:rPr>
              <w:t>As of December 31, 2014</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Adjusted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5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(Losses)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7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$ 83,364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83,238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85,386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85,386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and unrestricted investments</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168,750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11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94"/>
              </w:rPr>
              <w:t>As of December 31, 2013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Unrealized</w:t>
            </w:r>
          </w:p>
        </w:tc>
        <w:tc>
          <w:tcPr>
            <w:tcW w:w="5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Cost</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3"/>
              </w:rPr>
              <w:t>(Losses)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$ 83,368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83,395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25,025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25,025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unrestricted investments</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108,393</w:t>
            </w: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1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cash flows of municipal securities are backed by the issuing municipality’s credit worthiness. All municipal securities are due in one year or less as of December 31, 2014. For the years ended December 31, 2014 and 2013, the net unrealized (losses) or gains on available-for-sale securities were ($93) and $16, net of taxes,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Valuation and Qualifying Accounts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Balance at</w:t>
            </w: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9"/>
              </w:rPr>
              <w:t>Charged to</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 of</w:t>
            </w:r>
          </w:p>
        </w:tc>
        <w:tc>
          <w:tcPr>
            <w:tcW w:w="124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7"/>
              </w:rPr>
              <w:t>Deductions</w:t>
            </w:r>
            <w:r>
              <w:rPr>
                <w:rFonts w:ascii="Arial" w:cs="Arial" w:eastAsia="Arial" w:hAnsi="Arial"/>
                <w:sz w:val="12"/>
                <w:szCs w:val="12"/>
                <w:b w:val="1"/>
                <w:bCs w:val="1"/>
                <w:color w:val="auto"/>
                <w:w w:val="87"/>
              </w:rPr>
              <w:t>(1)</w:t>
            </w:r>
          </w:p>
        </w:tc>
        <w:tc>
          <w:tcPr>
            <w:tcW w:w="12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Year</w:t>
            </w: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1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9,678</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15,045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(18,251)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15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8,657</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19,897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Year ended December 31, 2012</w:t>
            </w: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11,706</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18,012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(21,061)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Land improvements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298,124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Building and leasehold improvements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45,855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Computer equipment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75,990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591,383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424,479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(113,213)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(84,883)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478,170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339,596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Depreciation and amortization expense associated with property and equipment, including assets under capital lease, totaled $28,529, $24,546, and $21,264 for the years ended December 31, 2014, 2013, and 2012,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Payable and Other Noncurrent Liabilities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December 2012, the University entered into a credit agreement with Bank of America, N.A. as Administrative Agent and other lenders (the “Agreement”). The Agreement provides the University a note payable and a revolving line of credit in the amount of $50,000 through December 2017 to be utilized for working capital, capital expenditures, share repurchases and other general corporate purposes. The Agreement contains standard covenants, that, among other things, restrict the University’s ability to incur additional debt or make certain investments, require the University to maintain compliance with certain applicable regulatory standards, and require the University to achieve certain financial ratios and maintain a certain financial condition. Indebtedness under the Agreement is secured by the University’s assets and is guaranteed by certain of the University’s subsidiaries. As of December 31, 2014, the University is in compliance with its debt covenants. Under the loan covenant computation as of December 31, 2014, $50,000 is available to be borrowed on the revolving line of credit although none has been drawn as of December 31, 2014.</w:t>
      </w:r>
    </w:p>
    <w:p>
      <w:pPr>
        <w:spacing w:after="0" w:line="19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Notes Payable</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w w:val="96"/>
              </w:rPr>
              <w:t>Note payable, monthly payment of $556; interest at 30 day LIBOR plus 1.75% (1.92% at</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December 31, 2014) through December 31, 2019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$86,049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$92,573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4"/>
              </w:rPr>
              <w:t>Various Gift Annuities; quarterly payments of $34 extending through 2019; interest at 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86,493</w:t>
            </w:r>
          </w:p>
        </w:tc>
        <w:tc>
          <w:tcPr>
            <w:tcW w:w="4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79,877</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424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71" w:name="page72"/>
    <w:bookmarkEnd w:id="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1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tcPr>
          <w:p>
            <w:pPr>
              <w:jc w:val="center"/>
              <w:ind w:left="1350"/>
              <w:spacing w:after="0"/>
              <w:rPr>
                <w:sz w:val="20"/>
                <w:szCs w:val="20"/>
                <w:color w:val="auto"/>
              </w:rPr>
            </w:pPr>
            <w:r>
              <w:rPr>
                <w:rFonts w:ascii="Arial" w:cs="Arial" w:eastAsia="Arial" w:hAnsi="Arial"/>
                <w:sz w:val="18"/>
                <w:szCs w:val="18"/>
                <w:b w:val="1"/>
                <w:bCs w:val="1"/>
                <w:color w:val="auto"/>
                <w:w w:val="92"/>
              </w:rPr>
              <w:t>Grand Canyon Education,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00" w:type="dxa"/>
            <w:vAlign w:val="bottom"/>
          </w:tcPr>
          <w:p>
            <w:pPr>
              <w:jc w:val="center"/>
              <w:ind w:left="135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300" w:type="dxa"/>
            <w:vAlign w:val="bottom"/>
          </w:tcPr>
          <w:p>
            <w:pPr>
              <w:jc w:val="center"/>
              <w:ind w:left="13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140" w:type="dxa"/>
            <w:vAlign w:val="bottom"/>
            <w:gridSpan w:val="3"/>
          </w:tcPr>
          <w:p>
            <w:pPr>
              <w:ind w:left="460"/>
              <w:spacing w:after="0"/>
              <w:rPr>
                <w:sz w:val="20"/>
                <w:szCs w:val="20"/>
                <w:color w:val="auto"/>
              </w:rPr>
            </w:pPr>
            <w:r>
              <w:rPr>
                <w:rFonts w:ascii="Arial" w:cs="Arial" w:eastAsia="Arial" w:hAnsi="Arial"/>
                <w:sz w:val="18"/>
                <w:szCs w:val="18"/>
                <w:color w:val="auto"/>
              </w:rPr>
              <w:t>Payments due under the notes payable obligations are as follows as of December 31, 2014: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2016</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86,493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deferred rent included in other noncurrent liabilities as of December 31, 2014 and 2013 was $4,513 and $6,811,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Lease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lease obligations consist of the following:</w:t>
      </w:r>
    </w:p>
    <w:p>
      <w:pPr>
        <w:spacing w:after="0" w:line="244"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As of</w:t>
      </w:r>
    </w:p>
    <w:p>
      <w:pPr>
        <w:jc w:val="center"/>
        <w:ind w:left="73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Lease Obligations</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w w:val="98"/>
              </w:rPr>
              <w:t>Capital lease for equipment, monthly payments totaling $8; interest rate at 2.2%, through 2016</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497</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capital lease obligations</w:t>
            </w:r>
          </w:p>
        </w:tc>
        <w:tc>
          <w:tcPr>
            <w:tcW w:w="2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4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406</w:t>
            </w:r>
          </w:p>
        </w:tc>
        <w:tc>
          <w:tcPr>
            <w:tcW w:w="4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497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due under future minimum lease payments under the capital lease obligations are as follows as of December 31, 2014:</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2016</w:t>
            </w:r>
          </w:p>
        </w:tc>
        <w:tc>
          <w:tcPr>
            <w:tcW w:w="21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Less: Portion representing interest</w:t>
            </w:r>
          </w:p>
        </w:tc>
        <w:tc>
          <w:tcPr>
            <w:tcW w:w="21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2021. Future minimum lease payments under operating leases due each year are as follows at December 31, 2014:</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2016</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2018</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Thereafter</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27,726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years ended December 31, 2014, 2013 and 2012 was $8,409, $7,074, and $7,635, respectively.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46"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From time to time, the University is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December 31, 2014 and 2013, the University has reserved approximately $659 and $729 for tax matters where its ultimate exposure is considered probable and the potential loss can be reasonably estimated.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June 30, 2009 and February 27, 2013, respectively, the University entered into an interest rate swap and an interest rate corridor to manage its 30 Day LIBOR interest exposure related to its variable rate debt. Neither of these instruments contained financing elements. The contractual terms of the University’s derivative instruments have not been structured such that net payments made by one party in the earlier periods are to be subsequently returned by the counterparty in later periods of the derivative’s term. Neither of the University’s derivative instruments have been amended or modified since their inception. The fair value of the interest rate corridor instrument as of December 31, 2014 and 2013 was $1,332 and $1,917, respectively, which is included in other assets. The fair value of the interest rate swap was a liability of $111 as of December 31, 2013, which is included in accrued liabilities but was terminated upon its expiration date in April 2014. The fair values of each derivative instrument were determined using a hypothetical derivative transaction and Level 2 of the hierarchy of valuation inputs. These derivative instruments were originally designated as cash flow hedges of variable rate debt obligations. The adjustments of $486, $947, and $241 for the years ended December 31, 2014, 2013 and 2012, respectively, for the effective portion of the gain/loss on the derivatives is included as a component of other comprehensive income, net of taxes.</w:t>
      </w:r>
    </w:p>
    <w:p>
      <w:pPr>
        <w:spacing w:after="0" w:line="178"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The interest rate corridor instrument reduces variable interest rate risk starting March 1, 2013 through December 20, 2019 with a notional amount of $86,667 as of December 31, 2014. The corridor instrument’s terms permit the University to hedge its interest rate risk at several thresholds; the University pays variable interest monthly based on the 30-day LIBOR rates until that index reaches 1.5%. If 30-day LIBOR is equal to 1.5% through 3.0%, the University pays 1.5%. If 30-day LIBOR exceeds 3.0%, the University pays actual 30-day LIBOR less 1.5%. Therefore, the University has hedged its exposure to future variable rate cash flows through December 20, 2019.</w:t>
      </w:r>
    </w:p>
    <w:p>
      <w:pPr>
        <w:spacing w:after="0" w:line="188"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As of December 31, 2014 no derivative ineffectiveness was identified. Any ineffectiveness in the University’s derivative instruments designated as hedges would be reported in interest expense in the income statement. As of December 31, 2014, $13 of credit default risk interest income was recorded in interest expense in the income statement. At December 31, 2014, the University does not expect to reclassify any gains or losses on derivative instruments from accumulated other comprehensive income (loss) into earnings during the next 12 months.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24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71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Basic common shares outstanding</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45,538</w:t>
            </w:r>
          </w:p>
        </w:tc>
        <w:tc>
          <w:tcPr>
            <w:tcW w:w="3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44,731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44,332</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color w:val="auto"/>
              </w:rPr>
              <w:t>Diluted common shares outstanding</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47,006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46,131</w:t>
            </w: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45,251</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Diluted weighted average shares outstanding exclude the incremental effect of shares that would be issued upon the assumed exercise of stock options and vesting of restricted stock. For each of the years ended December 31, 2014, 2013 and 2012, approximately 174, 134 and 1,599, respectively, of the University’s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of December 31, 2014 and 2013, the University had 10,000 shares of authorized but unissued and undesignated preferred stock. The University’s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Board of Directors has authorized the University to repurchase up to $75,000 in aggregate of common stock, from time to time, depending on market conditions and other considerations. On September 23, 2014, our Board of Directors extended the expiration date on the repurchase authorization to September 30, 2015.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2,787 shares of common stock at an aggregate cost of $49,135, which includes 38 shares of common stock at an aggregate cost of $1,676 during the year ended December 31, 2014, which are recorded at cost in the accompanying December 31, 2014 consolidated balance sheet and statement of stockholders’ equity. At December 31, 2014, there remained $25,865 available under its current share repurchase authorization.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University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University will realize the benefits of these deductible differences. The University has no valuation allowance at December 31, 2014 and 2013.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Federal</w:t>
            </w:r>
          </w:p>
        </w:tc>
        <w:tc>
          <w:tcPr>
            <w:tcW w:w="3520" w:type="dxa"/>
            <w:vAlign w:val="bottom"/>
            <w:gridSpan w:val="3"/>
          </w:tcPr>
          <w:p>
            <w:pPr>
              <w:jc w:val="right"/>
              <w:ind w:right="460"/>
              <w:spacing w:after="0"/>
              <w:rPr>
                <w:sz w:val="20"/>
                <w:szCs w:val="20"/>
                <w:color w:val="auto"/>
              </w:rPr>
            </w:pPr>
            <w:r>
              <w:rPr>
                <w:rFonts w:ascii="Arial" w:cs="Arial" w:eastAsia="Arial" w:hAnsi="Arial"/>
                <w:sz w:val="18"/>
                <w:szCs w:val="18"/>
                <w:color w:val="auto"/>
              </w:rPr>
              <w:t>$50,980</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$40,949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$36,367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6,216</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5,540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57,196</w:t>
            </w:r>
          </w:p>
        </w:tc>
        <w:tc>
          <w:tcPr>
            <w:tcW w:w="4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46,489</w:t>
            </w:r>
          </w:p>
        </w:tc>
        <w:tc>
          <w:tcPr>
            <w:tcW w:w="4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Federal</w:t>
            </w:r>
          </w:p>
        </w:tc>
        <w:tc>
          <w:tcPr>
            <w:tcW w:w="3520" w:type="dxa"/>
            <w:vAlign w:val="bottom"/>
            <w:gridSpan w:val="3"/>
          </w:tcPr>
          <w:p>
            <w:pPr>
              <w:jc w:val="right"/>
              <w:ind w:right="460"/>
              <w:spacing w:after="0"/>
              <w:rPr>
                <w:sz w:val="20"/>
                <w:szCs w:val="20"/>
                <w:color w:val="auto"/>
              </w:rPr>
            </w:pPr>
            <w:r>
              <w:rPr>
                <w:rFonts w:ascii="Arial" w:cs="Arial" w:eastAsia="Arial" w:hAnsi="Arial"/>
                <w:sz w:val="18"/>
                <w:szCs w:val="18"/>
                <w:color w:val="auto"/>
              </w:rPr>
              <w:t>2,734</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4,209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418</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w:t>
            </w:r>
          </w:p>
        </w:tc>
        <w:tc>
          <w:tcPr>
            <w:tcW w:w="4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5,107</w:t>
            </w:r>
          </w:p>
        </w:tc>
        <w:tc>
          <w:tcPr>
            <w:tcW w:w="4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7"/>
              </w:rPr>
              <w:t>Tax expense recorded as an increase of paid-in capital</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7,884</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4,588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68,232</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56,184</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80" w:type="dxa"/>
            <w:vAlign w:val="bottom"/>
            <w:vMerge w:val="restart"/>
          </w:tcPr>
          <w:p>
            <w:pPr>
              <w:jc w:val="right"/>
              <w:ind w:right="1810"/>
              <w:spacing w:after="0"/>
              <w:rPr>
                <w:sz w:val="20"/>
                <w:szCs w:val="20"/>
                <w:color w:val="auto"/>
              </w:rPr>
            </w:pPr>
            <w:r>
              <w:rPr>
                <w:rFonts w:ascii="Arial" w:cs="Arial" w:eastAsia="Arial" w:hAnsi="Arial"/>
                <w:sz w:val="18"/>
                <w:szCs w:val="18"/>
                <w:color w:val="auto"/>
              </w:rPr>
              <w:t>72</w:t>
            </w: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700" w:top="125" w:right="11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income tax computed at the U.S. statutory rate to the effective income tax rate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313"/>
              <w:spacing w:after="0"/>
              <w:rPr>
                <w:sz w:val="20"/>
                <w:szCs w:val="20"/>
                <w:color w:val="auto"/>
              </w:rPr>
            </w:pPr>
            <w:r>
              <w:rPr>
                <w:rFonts w:ascii="Arial" w:cs="Arial" w:eastAsia="Arial" w:hAnsi="Arial"/>
                <w:sz w:val="18"/>
                <w:szCs w:val="18"/>
                <w:color w:val="auto"/>
              </w:rPr>
              <w:t>35.0%</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35.0%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State income taxes, net of federal tax benefit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4.3</w:t>
            </w:r>
          </w:p>
        </w:tc>
        <w:tc>
          <w:tcPr>
            <w:tcW w:w="2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tax credits, net of federal effect</w:t>
            </w:r>
          </w:p>
        </w:tc>
        <w:tc>
          <w:tcPr>
            <w:tcW w:w="7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Nondeductible expenses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0.1</w:t>
            </w:r>
          </w:p>
        </w:tc>
        <w:tc>
          <w:tcPr>
            <w:tcW w:w="2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0.1</w:t>
            </w:r>
          </w:p>
        </w:tc>
        <w:tc>
          <w:tcPr>
            <w:tcW w:w="2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7160" w:type="dxa"/>
            <w:vAlign w:val="bottom"/>
            <w:gridSpan w:val="2"/>
            <w:vMerge w:val="continue"/>
          </w:tcPr>
          <w:p>
            <w:pPr>
              <w:spacing w:after="0"/>
              <w:rPr>
                <w:sz w:val="19"/>
                <w:szCs w:val="19"/>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19"/>
                <w:szCs w:val="19"/>
                <w:color w:val="auto"/>
              </w:rPr>
            </w:pPr>
          </w:p>
        </w:tc>
        <w:tc>
          <w:tcPr>
            <w:tcW w:w="940" w:type="dxa"/>
            <w:vAlign w:val="bottom"/>
            <w:gridSpan w:val="4"/>
          </w:tcPr>
          <w:p>
            <w:pPr>
              <w:jc w:val="right"/>
              <w:ind w:right="313"/>
              <w:spacing w:after="0"/>
              <w:rPr>
                <w:sz w:val="20"/>
                <w:szCs w:val="20"/>
                <w:color w:val="auto"/>
              </w:rPr>
            </w:pPr>
            <w:r>
              <w:rPr>
                <w:rFonts w:ascii="Arial" w:cs="Arial" w:eastAsia="Arial" w:hAnsi="Arial"/>
                <w:sz w:val="18"/>
                <w:szCs w:val="18"/>
                <w:color w:val="auto"/>
              </w:rPr>
              <w:t>38.8%</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38.8%</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w w:val="97"/>
              </w:rPr>
              <w:t>Significant components of the University’s deferred income tax assets and liabilities are as follows: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233"/>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2,654</w:t>
            </w:r>
          </w:p>
        </w:tc>
        <w:tc>
          <w:tcPr>
            <w:tcW w:w="2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8,487</w:t>
            </w:r>
          </w:p>
        </w:tc>
        <w:tc>
          <w:tcPr>
            <w:tcW w:w="2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3,312</w:t>
            </w:r>
          </w:p>
        </w:tc>
        <w:tc>
          <w:tcPr>
            <w:tcW w:w="2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4,440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 assets</w:t>
            </w: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20,183</w:t>
            </w:r>
          </w:p>
        </w:tc>
        <w:tc>
          <w:tcPr>
            <w:tcW w:w="2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19,832</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160" w:type="dxa"/>
            <w:vAlign w:val="bottom"/>
            <w:gridSpan w:val="2"/>
          </w:tcPr>
          <w:p>
            <w:pPr>
              <w:ind w:left="460"/>
              <w:spacing w:after="0"/>
              <w:rPr>
                <w:sz w:val="20"/>
                <w:szCs w:val="20"/>
                <w:color w:val="auto"/>
              </w:rPr>
            </w:pPr>
            <w:r>
              <w:rPr>
                <w:rFonts w:ascii="Arial" w:cs="Arial" w:eastAsia="Arial" w:hAnsi="Arial"/>
                <w:sz w:val="18"/>
                <w:szCs w:val="18"/>
                <w:color w:val="auto"/>
              </w:rPr>
              <w:t>Deferred tax liability:</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(28,203)</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(24,952)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(1,805)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4"/>
              </w:rPr>
              <w:t>(1,553)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liability</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(30,008)</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(26,505)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Net deferred tax liability</w:t>
            </w: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(9,825</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(6,673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w w:val="96"/>
              </w:rPr>
              <w:t>The deferred tax amounts above have been classified in the University’s balance sheets as follows:</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233"/>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current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6,149</w:t>
            </w:r>
          </w:p>
        </w:tc>
        <w:tc>
          <w:tcPr>
            <w:tcW w:w="2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(15,974)</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(11,832)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(9,825)</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(6,673)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University recognizes the impact of a tax position in its financial statements if that position is more-likely-than-not to be sustained on audit, based on the technical merits of the position. The University discloses all unrecognized tax benefits, which includes the reserves recorded for uncertain tax positions on filed tax returns and the unrecognized portion of affirmative claims. The University recognizes interest and penalties related to uncertain tax positions in income tax expense.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were no unrecognized tax benefits at December 31, 2014 or 2013. During the year ended December 31, 2012, the University recognized approximately $87 in interest and penalties. At December 31, 2014 and 2013, the University had no accrued interest or penalties. It is reasonably possible that the unrecognized tax benefits will change during the next 12 months, however management does not expect the potential amount to have a material effect on the results of operations or financial position.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University is subject to taxation in the United States, in states with an income tax and in several local jurisdictions. During the second quarter ended June 30, 2014, the Internal Revenue Service (“IRS”) commenced an examination of the University’s 2011 income tax return. The IRS concluded its audit of the University’s 2011 income tax return with no changes to our reported tax or tax liability. As of December 31, 2014, the earliest tax year still subject to examination for federal and state purposes is 2011 and 2005,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Regulatory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December 31, 2014, management believes the University is in compliance with the applicable regulations in all material respects.</w:t>
      </w:r>
    </w:p>
    <w:p>
      <w:pPr>
        <w:spacing w:after="0" w:line="193"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5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the University covering the 2008-2009 and 2009-2010 award years. On September 27, 2013, the University and the Department of Education entered into an agreement that fully resolved the findings in the preliminary program review report and closed the program review. In connection with this closure, the University paid a total of $7,387, the majority of which consisted of returns of Title IV funds to the lenders of our students, related to the inadequate procedures related to non-passing grade finding. Although when the University makes a return to Title IV the applicable student is obligated to repay the University for the amounts returned, the University agreed that it would not seek reimbursement from these students.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 second program review, focused on the University’s administration of the Title IV programs in which it participates, its administration of the Clery Act and related regulations, and its compliance with the requirements of the Drug-Free Schools and Communities Act for the 2012-2013 and 2013-2014 award years, was initiated in April 2014. The final program review determination letter received in June 2014 set forth three findings, each of which involved individual student-specific information gathering and/or reporting errors and all of which the University promptly corrected to the Department of Education’s satisfaction. Accordingly, the final program review determination letter concluded that the University had taken all corrective actions necessary to resolve the findings and that the program review had been closed with no further action required.</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Since 2004 we had been certified on a provisional basis to participate in the Title IV programs. In July 2013 we submitted our complete application for full certification and on October 28, 2013, the University received a new program participation agreement with full certification from the Department of Education, which gives the University the ability to participate in the Title IV programs through September 30,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90/10 Disclosure</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University derives a substantial portion of its revenues from student financial aid received by its students under the Title IV programs administered by the Department of Education pursuant to the Higher Education Act. To continue to participate in the student financial aid programs the University must comply with the regulations promulgated under the Higher Education Act. The regulations restrict the proportion of cash receipts for tuition and fees from eligible programs to not more than 90 percent from Title IV programs (the “90/10 revenue test”). If an institution fails to satisfy the test for one year, its participation status becomes provisional for two consecutive fiscal years. If the test is not satisfied for two consecutive years, eligibility to participate in Title IV programs is lost for at least two fiscal years. Using the Department of Education’s cash-basis, regulatory formula under the 90/10 Rule as currently in effect, for its 2014, 2013, and 2012 fiscal years, the University derived 76.5%, 78.5%, and 80.3%, respectively, for its 90/10 revenue from Title IV program funds.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Equity Plans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increased by 2.5% of the number of shares of common stock issued and outstanding on December 31, raising the total number of shares of common stock authorized for issuance under the Incentive Plan to 12,167 shares effective January 1, 2015. Although the ESPP has not yet been implemented, a total of 1,050 shares of the University’s common stock have been authorized for sale under the ESPP.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fiscal year 2014, 2013 and 2012, the University granted 308, 575 and 552 shares of common stock, respectively, with a service vesting condition to certain of its executives, officers, faculty and employees. The restricted shares have voting rights and vest evenly at 20% over each of the next five years. Upon vesting, shares will be held in lieu of taxes equivalent to the minimum statutory tax withholding required to be paid when the restricted stock vests. In 2014, 2013, and 2012 the University granted 9, 11, and 11 shares of common stock, respectively, to certain of the non-employee members of the University’s board of directors. The restricted shares have voting rights and vest within one year of the date of grant. In addition, in 2013 the University granted 8 shares of common stock to a consultant. The restricted shares have voting rights and vest evenly at a rate of 20% per year over each of the next five years.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563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594</w:t>
            </w: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As of December 31, 2014, there was approximately $23,344 of total unrecognized share-based compensation cost, net of estimated forfeitures, related to unvested restricted stock awards. These costs are expected to be recognized over a weighted average period of 2.22 years.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80"/>
          </w:cols>
          <w:pgMar w:left="240" w:top="459" w:right="3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No options were granted in 2014 and 2012. During 2013, the University granted time vested options to purchase shares of common stock with an exercise price equal to the fair market value on the date of grant to an employee. The time vested options vest ratably over a period of four years and expire ten years from the date of grant. Prior to 2012, the University granted time vested options to purchase shares of common stock with an exercise price equal to the fair market value on the date of grant to employees. These time vested options vest ratably over a period of five years and expire ten years from the date of grant. A summary of the activity related to stock options granted under the University’s Incentive Plan is as follows: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3"/>
              </w:rPr>
              <w:t>Summary of Stock Options Outstanding</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per</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Shares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Share</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Term (Years)</w:t>
            </w:r>
          </w:p>
        </w:tc>
        <w:tc>
          <w:tcPr>
            <w:tcW w:w="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14.47</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13.16</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17.63</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14.57</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vMerge w:val="restart"/>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color w:val="auto"/>
              </w:rPr>
              <w:t>24.97</w:t>
            </w: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14.03</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17.22</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14.80</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spacing w:after="0" w:line="20" w:lineRule="exact"/>
              <w:rPr>
                <w:sz w:val="1"/>
                <w:szCs w:val="1"/>
                <w:color w:val="auto"/>
              </w:rPr>
            </w:pPr>
          </w:p>
        </w:tc>
        <w:tc>
          <w:tcPr>
            <w:tcW w:w="500" w:type="dxa"/>
            <w:vAlign w:val="bottom"/>
            <w:gridSpan w:val="2"/>
            <w:vMerge w:val="restart"/>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14.51</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16.93</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14.83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78,045</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December 31, 2014</w:t>
            </w: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vMerge w:val="restart"/>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color w:val="auto"/>
              </w:rPr>
              <w:t>14.19</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4.53</w:t>
            </w:r>
          </w:p>
        </w:tc>
        <w:tc>
          <w:tcPr>
            <w:tcW w:w="120" w:type="dxa"/>
            <w:vAlign w:val="bottom"/>
            <w:gridSpan w:val="2"/>
            <w:vMerge w:val="restart"/>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61,608</w:t>
            </w: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December 31, 2014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34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December 31, 2014 ($46.66) in excess of the exercise price multiplied by the number of options outstanding or exercisable.</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of December 31, 2014, there was approximately $2,069 of total unrecognized share-based compensation cost, net of estimated forfeitures, related to unvested stock options. These costs are expected to be recognized over a weighted average period of 0.96 years.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related to stock options exercised for years ended December 31, 2014, 2013 and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Amounts related to options exercised:</w:t>
            </w: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Intrinsic value realized by optionee</w:t>
            </w:r>
          </w:p>
        </w:tc>
        <w:tc>
          <w:tcPr>
            <w:tcW w:w="106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$27,499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20,364</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$4,683</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Actual tax benefit realized by the University for tax deductions</w:t>
            </w:r>
          </w:p>
        </w:tc>
        <w:tc>
          <w:tcPr>
            <w:tcW w:w="10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$11,000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8,145</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$1,873</w:t>
            </w:r>
          </w:p>
        </w:tc>
      </w:tr>
    </w:tbl>
    <w:p>
      <w:pPr>
        <w:spacing w:after="0" w:line="202" w:lineRule="exact"/>
        <w:rPr>
          <w:sz w:val="20"/>
          <w:szCs w:val="20"/>
          <w:color w:val="auto"/>
        </w:rPr>
      </w:pPr>
    </w:p>
    <w:p>
      <w:pPr>
        <w:jc w:val="center"/>
        <w:ind w:left="340" w:right="360"/>
        <w:spacing w:after="0" w:line="449" w:lineRule="auto"/>
        <w:rPr>
          <w:sz w:val="20"/>
          <w:szCs w:val="20"/>
          <w:color w:val="auto"/>
        </w:rPr>
      </w:pPr>
      <w:r>
        <w:rPr>
          <w:rFonts w:ascii="Arial" w:cs="Arial" w:eastAsia="Arial" w:hAnsi="Arial"/>
          <w:sz w:val="18"/>
          <w:szCs w:val="18"/>
          <w:color w:val="auto"/>
        </w:rPr>
        <w:t>Cash received from stock option exercises during fiscal year 2014, 2013 and 2012 totaled approximately $7,825, $16,278 and $8,049, respectively. 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Expense Assumptions – Restricted Stock Awards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University measures and recognizes compensation expense for share-based payment awards made to employees, consultants and directors. The University calculates the fair value of share-based awards on the date of grant for employees and directors. The University calculates the fair value of share-based awards to consultants on the date of vesting. Stock-based compensation expense related to restricted stock grants is expensed over the vesting period using the straight-line method for University employees, the University’s board of directors and the consultant, net of estimated forfeitures. The restricted shares have voting rights.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Expense Assumptions – 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University granted stock options in 2013. No stock options were granted in 2014 or 2012.</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 xml:space="preserve">Fair Value. </w:t>
      </w:r>
      <w:r>
        <w:rPr>
          <w:rFonts w:ascii="Arial" w:cs="Arial" w:eastAsia="Arial" w:hAnsi="Arial"/>
          <w:sz w:val="18"/>
          <w:szCs w:val="18"/>
          <w:color w:val="auto"/>
        </w:rPr>
        <w:t>The University uses the Black-Scholes-Merton option pricing model to estimate the fair value of the University’s options as of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dates using the following weighted average assumptions: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6"/>
                <w:szCs w:val="16"/>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Weighted average fair</w:t>
            </w: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w:t>
            </w:r>
          </w:p>
        </w:tc>
        <w:tc>
          <w:tcPr>
            <w:tcW w:w="2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$ 8.20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220" w:type="dxa"/>
            <w:vAlign w:val="bottom"/>
            <w:gridSpan w:val="3"/>
          </w:tcPr>
          <w:p>
            <w:pPr>
              <w:jc w:val="right"/>
              <w:ind w:right="60"/>
              <w:spacing w:after="0"/>
              <w:rPr>
                <w:sz w:val="20"/>
                <w:szCs w:val="20"/>
                <w:color w:val="auto"/>
              </w:rPr>
            </w:pPr>
            <w:r>
              <w:rPr>
                <w:rFonts w:ascii="Arial" w:cs="Arial" w:eastAsia="Arial" w:hAnsi="Arial"/>
                <w:sz w:val="18"/>
                <w:szCs w:val="18"/>
                <w:color w:val="auto"/>
              </w:rPr>
              <w:t>39.86%</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220" w:type="dxa"/>
            <w:vAlign w:val="bottom"/>
            <w:gridSpan w:val="3"/>
          </w:tcPr>
          <w:p>
            <w:pPr>
              <w:jc w:val="right"/>
              <w:ind w:right="60"/>
              <w:spacing w:after="0"/>
              <w:rPr>
                <w:sz w:val="20"/>
                <w:szCs w:val="20"/>
                <w:color w:val="auto"/>
              </w:rPr>
            </w:pPr>
            <w:r>
              <w:rPr>
                <w:rFonts w:ascii="Arial" w:cs="Arial" w:eastAsia="Arial" w:hAnsi="Arial"/>
                <w:sz w:val="18"/>
                <w:szCs w:val="18"/>
                <w:color w:val="auto"/>
              </w:rPr>
              <w:t>0.65%</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University believes that the use of Grand Canyon Education, Inc.’s historical stock price provides an accurate estimate of</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volatility. Therefore, the expected volatility assumption for the year ended December 31, 2013 is based upon the University’s historical stock price.</w:t>
      </w:r>
    </w:p>
    <w:p>
      <w:pPr>
        <w:spacing w:after="0" w:line="124"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i w:val="1"/>
          <w:iCs w:val="1"/>
          <w:color w:val="auto"/>
        </w:rPr>
        <w:t xml:space="preserve">Expected Life (years). </w:t>
      </w:r>
      <w:r>
        <w:rPr>
          <w:rFonts w:ascii="Arial" w:cs="Arial" w:eastAsia="Arial" w:hAnsi="Arial"/>
          <w:sz w:val="16"/>
          <w:szCs w:val="16"/>
          <w:color w:val="auto"/>
        </w:rPr>
        <w:t>In 2013, the University determined it now has enough historical option exercise information to be able to accurately estimate an</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term, and as such, its computation of expected term was calculated using its own historical data. Prior to 2013, the University used the simplified method to estimate the expected term of stock options under certain circumstances. The simplified method for estimating expected term is to use the mid-point between the vesting term and the contractual term of the share option. The University previously analyzed the circumstances in which the use of the simplified method was allowed. The University elected to use the simplified method for options granted prior to 2013 because the University did not have historical exercise data to estimate expected term due to the limited time period its shares had been publicly traded.</w:t>
      </w:r>
    </w:p>
    <w:p>
      <w:pPr>
        <w:spacing w:after="0" w:line="16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assumption is based upon the U.S. constant maturity treasury rates as the risk-free rate interpolated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years commensurate with the expected life of the options.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dividend yield assumption is zero since the University does not expect to declare or pay dividends in the foreseeable future.</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Forfeitures are estimated at the time of grant based on historical retention of employees. If necessary, management estimates are adjusted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each reporting period if actual forfeitures differ from those estimates.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Expected Vesting Period. </w:t>
      </w:r>
      <w:r>
        <w:rPr>
          <w:rFonts w:ascii="Arial" w:cs="Arial" w:eastAsia="Arial" w:hAnsi="Arial"/>
          <w:sz w:val="18"/>
          <w:szCs w:val="18"/>
          <w:color w:val="auto"/>
        </w:rPr>
        <w:t>The University amortizes the share-based compensation expense, net of forfeitures, over the expected vesting period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method.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fiscal years ended December 31, 2014, 2013 and 2012 related to restricted stock and stock options granted: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8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$ 5,921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$ 5,246</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$ 3,809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Admissions advisory and related</w:t>
            </w: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166</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134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3,638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4,327</w:t>
            </w: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3,609</w:t>
            </w:r>
          </w:p>
        </w:tc>
      </w:tr>
      <w:tr>
        <w:trPr>
          <w:trHeight w:val="27"/>
        </w:trPr>
        <w:tc>
          <w:tcPr>
            <w:tcW w:w="6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7,811</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8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(3,978)</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(3,974)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(3,124)</w:t>
            </w:r>
          </w:p>
        </w:tc>
      </w:tr>
      <w:tr>
        <w:trPr>
          <w:trHeight w:val="27"/>
        </w:trPr>
        <w:tc>
          <w:tcPr>
            <w:tcW w:w="6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$ 5,967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$ 5,962</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$ 4,687</w:t>
            </w:r>
          </w:p>
        </w:tc>
      </w:tr>
      <w:tr>
        <w:trPr>
          <w:trHeight w:val="20"/>
        </w:trPr>
        <w:tc>
          <w:tcPr>
            <w:tcW w:w="6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University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University to make discretionary matching contributions. The University plans to make a matching contribution to the Plan of approximately $1,600 for the year ended December 31, 2014. The University made discretionary matching contributions to the Plan of $1,298 and $1,080 for the years ended December 31, 2013 and 2012,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Related party transactions include transactions between the University and certain of its affiliates. The following transactions were in the normal course of operations and were measured at the exchange amount, which is the amount of consideration established and agreed to by the parties.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and for the years ended December 31, 2014, 2013, and 2012, related party transactions consisted of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color w:val="auto"/>
        </w:rPr>
        <w:t xml:space="preserve">Mind Streams, LLC (“Mind Streams”) — </w:t>
      </w:r>
      <w:r>
        <w:rPr>
          <w:rFonts w:ascii="Arial" w:cs="Arial" w:eastAsia="Arial" w:hAnsi="Arial"/>
          <w:sz w:val="18"/>
          <w:szCs w:val="18"/>
          <w:color w:val="auto"/>
        </w:rPr>
        <w:t>Mind Streams is owned and operated, in part, by the father of the University’s Executive Chairman.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further discussion in Note 2, Summary of Significant Accounting Policies </w:t>
      </w:r>
      <w:r>
        <w:rPr>
          <w:rFonts w:ascii="Arial" w:cs="Arial" w:eastAsia="Arial" w:hAnsi="Arial"/>
          <w:sz w:val="18"/>
          <w:szCs w:val="18"/>
          <w:i w:val="1"/>
          <w:iCs w:val="1"/>
          <w:color w:val="auto"/>
        </w:rPr>
        <w:t>—</w:t>
      </w:r>
      <w:r>
        <w:rPr>
          <w:rFonts w:ascii="Arial" w:cs="Arial" w:eastAsia="Arial" w:hAnsi="Arial"/>
          <w:sz w:val="18"/>
          <w:szCs w:val="18"/>
          <w:color w:val="auto"/>
        </w:rPr>
        <w:t xml:space="preserve"> Related party expenses.</w:t>
      </w:r>
    </w:p>
    <w:p>
      <w:pPr>
        <w:spacing w:after="0" w:line="170" w:lineRule="exact"/>
        <w:rPr>
          <w:sz w:val="20"/>
          <w:szCs w:val="20"/>
          <w:color w:val="auto"/>
        </w:rPr>
      </w:pPr>
    </w:p>
    <w:p>
      <w:pPr>
        <w:ind w:right="420" w:firstLine="456"/>
        <w:spacing w:after="0" w:line="302" w:lineRule="auto"/>
        <w:rPr>
          <w:sz w:val="20"/>
          <w:szCs w:val="20"/>
          <w:color w:val="auto"/>
        </w:rPr>
      </w:pPr>
      <w:r>
        <w:rPr>
          <w:rFonts w:ascii="Arial" w:cs="Arial" w:eastAsia="Arial" w:hAnsi="Arial"/>
          <w:sz w:val="16"/>
          <w:szCs w:val="16"/>
          <w:i w:val="1"/>
          <w:iCs w:val="1"/>
          <w:color w:val="auto"/>
        </w:rPr>
        <w:t xml:space="preserve">Grand Canyon University Foundation (“GCUF”) — </w:t>
      </w:r>
      <w:r>
        <w:rPr>
          <w:rFonts w:ascii="Arial" w:cs="Arial" w:eastAsia="Arial" w:hAnsi="Arial"/>
          <w:sz w:val="16"/>
          <w:szCs w:val="16"/>
          <w:color w:val="auto"/>
        </w:rPr>
        <w:t>GCUF was formed in 2010 to support public charities. The University’s President, CEO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serves as the president of GCUF. All of the board seats are taken by University executives and employees. The University is not the primary beneficiary of GCUF, and accordingly, the University does not consolidate GCUF’s statement of activities with its financial results. The University contributed $200 for the year ended December 31, 2012, of which no amounts were owed at December 31, 2014 and 2013, respectively.</w:t>
      </w:r>
    </w:p>
    <w:p>
      <w:pPr>
        <w:spacing w:after="0" w:line="15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 xml:space="preserve">LOPE Kingdom Fund (“LKF”) — </w:t>
      </w:r>
      <w:r>
        <w:rPr>
          <w:rFonts w:ascii="Arial" w:cs="Arial" w:eastAsia="Arial" w:hAnsi="Arial"/>
          <w:sz w:val="17"/>
          <w:szCs w:val="17"/>
          <w:color w:val="auto"/>
        </w:rPr>
        <w:t>LKF was formed in 2014 to provide seed funding for entrepreneurial ventures initiated by the University’s students.</w:t>
      </w:r>
      <w:r>
        <w:rPr>
          <w:rFonts w:ascii="Arial" w:cs="Arial" w:eastAsia="Arial" w:hAnsi="Arial"/>
          <w:sz w:val="17"/>
          <w:szCs w:val="17"/>
          <w:i w:val="1"/>
          <w:iCs w:val="1"/>
          <w:color w:val="auto"/>
        </w:rPr>
        <w:t xml:space="preserve"> </w:t>
      </w:r>
      <w:r>
        <w:rPr>
          <w:rFonts w:ascii="Arial" w:cs="Arial" w:eastAsia="Arial" w:hAnsi="Arial"/>
          <w:sz w:val="17"/>
          <w:szCs w:val="17"/>
          <w:color w:val="auto"/>
        </w:rPr>
        <w:t>The University’s President, CEO and Director serves as the president of LKF. All of the board seats are taken by University executives. The University is not the primary beneficiary of LKF, and accordingly, the University does not consolidate LKF’s statement of activities with its financial results. The University contributed $500 for the year ended December 31, 2014, of which no amounts were owed at December 31, 2014.</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Results of Operations (Unaudited)</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summarizes the unaudited quarterly results of operations for 2014 and 2013 and should be read in conjunction with other information included in the accompanying consolidated financial statements.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First Quarter</w:t>
            </w: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Second Quarter</w:t>
            </w:r>
          </w:p>
        </w:tc>
        <w:tc>
          <w:tcPr>
            <w:tcW w:w="54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Fourth Quarter</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167,432</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158,594</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175,056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189,973</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70,678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67,847</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71,714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26,261</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26,208</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27,324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16,712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15,751</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1,791</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1,907</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8,554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8,994</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10,447</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123,996</w:t>
            </w:r>
          </w:p>
        </w:tc>
        <w:tc>
          <w:tcPr>
            <w:tcW w:w="6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120,707</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136,437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43,436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37,887</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45,956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43,050</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37,728</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53,497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16,762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14,659</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16,407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20,404</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26,288</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23,069</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0.64</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0.49</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45,205</w:t>
            </w:r>
          </w:p>
        </w:tc>
        <w:tc>
          <w:tcPr>
            <w:tcW w:w="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45,598</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46,841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46,990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47,051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First Quarter</w:t>
            </w: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Second Quarter</w:t>
            </w:r>
          </w:p>
        </w:tc>
        <w:tc>
          <w:tcPr>
            <w:tcW w:w="48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Third Quarter</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Fourth Quarter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142,030</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141,463</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152,399</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59,997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61,747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64,704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22,993</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23,346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24,578</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15,929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14,520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15,498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1,435</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1,383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8,051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9,035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10,870</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108,405</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109,974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115,114</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33,625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31,489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37,285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2,195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35,152</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38,259</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14,207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15,714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14,215</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20,945</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22,545</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0.42</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44,242</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44,963</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45,449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45,929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46,424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w:t>
      </w:r>
    </w:p>
    <w:p>
      <w:pPr>
        <w:sectPr>
          <w:pgSz w:w="11900" w:h="16838" w:orient="portrait"/>
          <w:cols w:equalWidth="0" w:num="1">
            <w:col w:w="10960"/>
          </w:cols>
          <w:pgMar w:left="240" w:top="459" w:right="699" w:bottom="1440" w:gutter="0" w:footer="0" w:header="0"/>
        </w:sectPr>
      </w:pP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960"/>
          </w:cols>
          <w:pgMar w:left="240" w:top="459" w:right="69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0" w:firstLine="456"/>
        <w:spacing w:after="0" w:line="297"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5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2014.</w:t>
      </w:r>
    </w:p>
    <w:p>
      <w:pPr>
        <w:spacing w:after="0" w:line="188"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Attached as exhibits to this Annual Report on Form 10-K are certifications of our Chief Executive Office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3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42" w:lineRule="exact"/>
        <w:rPr>
          <w:rFonts w:ascii="Arial" w:cs="Arial" w:eastAsia="Arial" w:hAnsi="Arial"/>
          <w:sz w:val="17"/>
          <w:szCs w:val="17"/>
          <w:color w:val="auto"/>
        </w:rPr>
      </w:pPr>
    </w:p>
    <w:p>
      <w:pPr>
        <w:ind w:left="900" w:right="80" w:hanging="446"/>
        <w:spacing w:after="0" w:line="381"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spacing w:after="0" w:line="6" w:lineRule="exact"/>
        <w:rPr>
          <w:rFonts w:ascii="Arial" w:cs="Arial" w:eastAsia="Arial" w:hAnsi="Arial"/>
          <w:sz w:val="15"/>
          <w:szCs w:val="15"/>
          <w:color w:val="auto"/>
        </w:rPr>
      </w:pPr>
    </w:p>
    <w:p>
      <w:pPr>
        <w:ind w:left="900" w:right="3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2014, utilizing the criteria described in the “Internal Control-Integrated Framework (1992)” issued by the Committee of Sponsoring Organizations of the Treadway Commission. The objective of this assessment was to determine whether our internal control over financial reporting was effective as of December 31, 2014. Based on its assessment, management believes that, as of December 31, 2014, the Company’s internal control over financial reporting is effective.</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and for the year ended December 31, 2014 has been audited by KPMG LLP, an independent registered public accounting firm, as stated in their audit report which is included 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03"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 xml:space="preserve">We have audited Grand Canyon Education, Inc.’s internal control over financial reporting as of December 31, 2014, based on criteria established in </w:t>
      </w:r>
      <w:r>
        <w:rPr>
          <w:rFonts w:ascii="Arial" w:cs="Arial" w:eastAsia="Arial" w:hAnsi="Arial"/>
          <w:sz w:val="17"/>
          <w:szCs w:val="17"/>
          <w:i w:val="1"/>
          <w:iCs w:val="1"/>
          <w:color w:val="auto"/>
        </w:rPr>
        <w:t xml:space="preserve">Internal Control — Integrated Framework (1992) </w:t>
      </w:r>
      <w:r>
        <w:rPr>
          <w:rFonts w:ascii="Arial" w:cs="Arial" w:eastAsia="Arial" w:hAnsi="Arial"/>
          <w:sz w:val="17"/>
          <w:szCs w:val="17"/>
          <w:color w:val="auto"/>
        </w:rPr>
        <w:t>issued by the Committee of Sponsoring Organizations of the Treadway Commission (COSO). Grand</w:t>
      </w:r>
      <w:r>
        <w:rPr>
          <w:rFonts w:ascii="Arial" w:cs="Arial" w:eastAsia="Arial" w:hAnsi="Arial"/>
          <w:sz w:val="17"/>
          <w:szCs w:val="17"/>
          <w:i w:val="1"/>
          <w:iCs w:val="1"/>
          <w:color w:val="auto"/>
        </w:rPr>
        <w:t xml:space="preserve"> </w:t>
      </w:r>
      <w:r>
        <w:rPr>
          <w:rFonts w:ascii="Arial" w:cs="Arial" w:eastAsia="Arial" w:hAnsi="Arial"/>
          <w:sz w:val="17"/>
          <w:szCs w:val="17"/>
          <w:color w:val="auto"/>
        </w:rPr>
        <w:t>Canyon Education,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260" w:firstLine="456"/>
        <w:spacing w:after="0" w:line="28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spacing w:after="0" w:line="5" w:lineRule="exact"/>
        <w:rPr>
          <w:sz w:val="20"/>
          <w:szCs w:val="20"/>
          <w:color w:val="auto"/>
        </w:rPr>
      </w:pPr>
    </w:p>
    <w:p>
      <w:pPr>
        <w:ind w:right="140" w:firstLine="8"/>
        <w:spacing w:after="0" w:line="261"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8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our opinion, Grand Canyon Education, Inc.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accompanying consolidated balance sheets of Grand Canyon Education, Inc. and subsidiaries as of December 31, 2014 and 2013, and the related consolidated statements of income, comprehensive income, stockholders’ equity, and cash flows for each of the years in the three-year period ended December 31, 2014, and our report dated February 18, 2015, expressed an unqualified opinion on those consolidated financial statements.</w:t>
      </w:r>
    </w:p>
    <w:p>
      <w:pPr>
        <w:spacing w:after="0" w:line="171"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year ended December 31, 2014, that materially affected, or are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a policy governing transactions in our securities by directors, officers, employees and others which permits these individuals to enter into trading plans complying with Rule 10b5-1 under the Securities Exchange Act of 1934, as amended.</w:t>
      </w:r>
    </w:p>
    <w:p>
      <w:pPr>
        <w:spacing w:after="0" w:line="170"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the sections entitled “Corporate Governance and Board Matters” and “Proposal No. 1: Election of Directors” in our 2015 proxy statement, to be filed within 120 days of our fiscal year end (December 31, 2014) and such information is incorporated herein by reference.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www.gcu.edu/ Investor Relations/Corporate Governance.</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charters of our Audit Committee, Compensation Committee, and Nominating and Corporate Governance Committee are also available in the Corporate Governance section our website located at www.gcu.edu/Investor Relations/Corporate Governance.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Information relating to this item appears in the section entitled “Executive Compensation” in our 2015 proxy statement, to be filed within 120 days of our fiscal year end (December 31, 2014) and such information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Information relating to this item appears in the sections entitled “Executive Compensation” and “Beneficial Ownership of Common Stock” in our 2015 proxy statement, to be filed within 120 days of our fiscal year end (December 31, 2014) and such information is incorporated herein by reference.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Information relating to this item appears in the sections entitled “Corporate Governance and Board Matters — Director Independence” and “Certain Relationships and Related Party Transactions” in our 2015 proxy statement, to be filed within 120 days of our fiscal year end (December 31, 2014) and such information is incorporated herein by reference.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Information relating to this item appears in the section entitled “Ratification of Independent Registered Public Accounting Firm — Fees” in our 2015 our proxy statement, to be filed within 120 days of our fiscal year end (December 31, 2014) and such information is incorporated herein by reference.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60" w:type="dxa"/>
            <w:vAlign w:val="bottom"/>
            <w:gridSpan w:val="5"/>
          </w:tcPr>
          <w:p>
            <w:pPr>
              <w:ind w:left="70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0"/>
                <w:szCs w:val="20"/>
                <w:color w:val="auto"/>
              </w:rPr>
            </w:pPr>
          </w:p>
        </w:tc>
      </w:tr>
      <w:tr>
        <w:trPr>
          <w:trHeight w:val="459"/>
        </w:trPr>
        <w:tc>
          <w:tcPr>
            <w:tcW w:w="7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10260" w:type="dxa"/>
            <w:vAlign w:val="bottom"/>
            <w:gridSpan w:val="9"/>
          </w:tcPr>
          <w:p>
            <w:pPr>
              <w:ind w:left="280"/>
              <w:spacing w:after="0"/>
              <w:rPr>
                <w:sz w:val="20"/>
                <w:szCs w:val="20"/>
                <w:color w:val="auto"/>
              </w:rPr>
            </w:pPr>
            <w:r>
              <w:rPr>
                <w:rFonts w:ascii="Arial" w:cs="Arial" w:eastAsia="Arial" w:hAnsi="Arial"/>
                <w:sz w:val="18"/>
                <w:szCs w:val="18"/>
                <w:b w:val="1"/>
                <w:bCs w:val="1"/>
                <w:i w:val="1"/>
                <w:iCs w:val="1"/>
                <w:color w:val="auto"/>
              </w:rPr>
              <w:t>Exhibits and Consolidated Financial Statement Schedules</w:t>
            </w:r>
          </w:p>
        </w:tc>
        <w:tc>
          <w:tcPr>
            <w:tcW w:w="300" w:type="dxa"/>
            <w:vAlign w:val="bottom"/>
          </w:tcPr>
          <w:p>
            <w:pPr>
              <w:spacing w:after="0"/>
              <w:rPr>
                <w:sz w:val="24"/>
                <w:szCs w:val="24"/>
                <w:color w:val="auto"/>
              </w:rPr>
            </w:pPr>
          </w:p>
        </w:tc>
      </w:tr>
      <w:tr>
        <w:trPr>
          <w:trHeight w:val="324"/>
        </w:trPr>
        <w:tc>
          <w:tcPr>
            <w:tcW w:w="11020" w:type="dxa"/>
            <w:vAlign w:val="bottom"/>
            <w:gridSpan w:val="10"/>
          </w:tcPr>
          <w:p>
            <w:pPr>
              <w:spacing w:after="0"/>
              <w:rPr>
                <w:sz w:val="20"/>
                <w:szCs w:val="20"/>
                <w:color w:val="auto"/>
              </w:rPr>
            </w:pPr>
            <w:r>
              <w:rPr>
                <w:rFonts w:ascii="Arial" w:cs="Arial" w:eastAsia="Arial" w:hAnsi="Arial"/>
                <w:sz w:val="18"/>
                <w:szCs w:val="18"/>
                <w:b w:val="1"/>
                <w:bCs w:val="1"/>
                <w:color w:val="auto"/>
              </w:rPr>
              <w:t>(a) The following documents are filed as part of this Annual Report on Form 10-K:</w:t>
            </w:r>
          </w:p>
        </w:tc>
        <w:tc>
          <w:tcPr>
            <w:tcW w:w="300" w:type="dxa"/>
            <w:vAlign w:val="bottom"/>
          </w:tcPr>
          <w:p>
            <w:pPr>
              <w:spacing w:after="0"/>
              <w:rPr>
                <w:sz w:val="24"/>
                <w:szCs w:val="24"/>
                <w:color w:val="auto"/>
              </w:rPr>
            </w:pPr>
          </w:p>
        </w:tc>
      </w:tr>
      <w:tr>
        <w:trPr>
          <w:trHeight w:val="338"/>
        </w:trPr>
        <w:tc>
          <w:tcPr>
            <w:tcW w:w="760" w:type="dxa"/>
            <w:vAlign w:val="bottom"/>
          </w:tcPr>
          <w:p>
            <w:pPr>
              <w:ind w:left="460"/>
              <w:spacing w:after="0"/>
              <w:rPr>
                <w:sz w:val="20"/>
                <w:szCs w:val="20"/>
                <w:color w:val="auto"/>
              </w:rPr>
            </w:pPr>
            <w:r>
              <w:rPr>
                <w:rFonts w:ascii="Arial" w:cs="Arial" w:eastAsia="Arial" w:hAnsi="Arial"/>
                <w:sz w:val="18"/>
                <w:szCs w:val="18"/>
                <w:color w:val="auto"/>
              </w:rPr>
              <w:t>1.</w:t>
            </w:r>
          </w:p>
        </w:tc>
        <w:tc>
          <w:tcPr>
            <w:tcW w:w="10260" w:type="dxa"/>
            <w:vAlign w:val="bottom"/>
            <w:gridSpan w:val="9"/>
          </w:tcPr>
          <w:p>
            <w:pPr>
              <w:ind w:left="140"/>
              <w:spacing w:after="0"/>
              <w:rPr>
                <w:sz w:val="20"/>
                <w:szCs w:val="20"/>
                <w:color w:val="auto"/>
              </w:rPr>
            </w:pPr>
            <w:r>
              <w:rPr>
                <w:rFonts w:ascii="Arial" w:cs="Arial" w:eastAsia="Arial" w:hAnsi="Arial"/>
                <w:sz w:val="18"/>
                <w:szCs w:val="18"/>
                <w:i w:val="1"/>
                <w:iCs w:val="1"/>
                <w:color w:val="auto"/>
              </w:rPr>
              <w:t>Consolidated Financial Statements filed as part of this report</w:t>
            </w:r>
          </w:p>
        </w:tc>
        <w:tc>
          <w:tcPr>
            <w:tcW w:w="300" w:type="dxa"/>
            <w:vAlign w:val="bottom"/>
          </w:tcPr>
          <w:p>
            <w:pPr>
              <w:spacing w:after="0"/>
              <w:rPr>
                <w:sz w:val="24"/>
                <w:szCs w:val="24"/>
                <w:color w:val="auto"/>
              </w:rPr>
            </w:pPr>
          </w:p>
        </w:tc>
      </w:tr>
      <w:tr>
        <w:trPr>
          <w:trHeight w:val="405"/>
        </w:trPr>
        <w:tc>
          <w:tcPr>
            <w:tcW w:w="11020" w:type="dxa"/>
            <w:vAlign w:val="bottom"/>
            <w:gridSpan w:val="10"/>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26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156"/>
        </w:trPr>
        <w:tc>
          <w:tcPr>
            <w:tcW w:w="11020" w:type="dxa"/>
            <w:vAlign w:val="bottom"/>
            <w:gridSpan w:val="10"/>
          </w:tcPr>
          <w:p>
            <w:pPr>
              <w:spacing w:after="0" w:line="142" w:lineRule="exact"/>
              <w:rPr>
                <w:rFonts w:ascii="Arial" w:cs="Arial" w:eastAsia="Arial" w:hAnsi="Arial"/>
                <w:sz w:val="16"/>
                <w:szCs w:val="16"/>
                <w:color w:val="0000EE"/>
              </w:rPr>
            </w:pPr>
            <w:hyperlink w:anchor="page58">
              <w:r>
                <w:rPr>
                  <w:rFonts w:ascii="Arial" w:cs="Arial" w:eastAsia="Arial" w:hAnsi="Arial"/>
                  <w:sz w:val="16"/>
                  <w:szCs w:val="16"/>
                  <w:color w:val="0000EE"/>
                </w:rPr>
                <w:t>Report of Independent Registered Public Accounting Firm</w:t>
              </w:r>
            </w:hyperlink>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56</w:t>
            </w: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Consolidated Balance Sheets as of December 31, 2014 and 2013</w:t>
              </w:r>
            </w:hyperlink>
          </w:p>
        </w:tc>
        <w:tc>
          <w:tcPr>
            <w:tcW w:w="6360" w:type="dxa"/>
            <w:vAlign w:val="bottom"/>
            <w:gridSpan w:val="5"/>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96"/>
        </w:trPr>
        <w:tc>
          <w:tcPr>
            <w:tcW w:w="64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Income Statements for the years ended December 31, 2014, 2013 and 2012</w:t>
              </w:r>
            </w:hyperlink>
          </w:p>
        </w:tc>
        <w:tc>
          <w:tcPr>
            <w:tcW w:w="46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1020" w:type="dxa"/>
            <w:vAlign w:val="bottom"/>
            <w:gridSpan w:val="1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Comprehensive Income for the years ended December 31, 2014, 2013 and 2012</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7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Statements of Stockholders’ Equity for the years ended December 31, 2014, 2013 and 2012</w:t>
              </w:r>
            </w:hyperlink>
          </w:p>
        </w:tc>
        <w:tc>
          <w:tcPr>
            <w:tcW w:w="180" w:type="dxa"/>
            <w:vAlign w:val="bottom"/>
            <w:tcBorders>
              <w:top w:val="single" w:sz="8" w:color="0000EE"/>
            </w:tcBorders>
          </w:tcPr>
          <w:p>
            <w:pPr>
              <w:spacing w:after="0"/>
              <w:rPr>
                <w:sz w:val="17"/>
                <w:szCs w:val="17"/>
                <w:color w:val="auto"/>
              </w:rPr>
            </w:pPr>
          </w:p>
        </w:tc>
        <w:tc>
          <w:tcPr>
            <w:tcW w:w="32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6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Cash Flows for the years ended December 31, 2014, 2013 and 2012</w:t>
              </w:r>
            </w:hyperlink>
          </w:p>
        </w:tc>
        <w:tc>
          <w:tcPr>
            <w:tcW w:w="41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Notes to Consolidated Financial Statements</w:t>
              </w:r>
            </w:hyperlink>
          </w:p>
        </w:tc>
        <w:tc>
          <w:tcPr>
            <w:tcW w:w="78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358"/>
        </w:trPr>
        <w:tc>
          <w:tcPr>
            <w:tcW w:w="760" w:type="dxa"/>
            <w:vAlign w:val="bottom"/>
          </w:tcPr>
          <w:p>
            <w:pPr>
              <w:ind w:left="460"/>
              <w:spacing w:after="0"/>
              <w:rPr>
                <w:sz w:val="20"/>
                <w:szCs w:val="20"/>
                <w:color w:val="auto"/>
              </w:rPr>
            </w:pPr>
            <w:r>
              <w:rPr>
                <w:rFonts w:ascii="Arial" w:cs="Arial" w:eastAsia="Arial" w:hAnsi="Arial"/>
                <w:sz w:val="18"/>
                <w:szCs w:val="18"/>
                <w:color w:val="auto"/>
              </w:rPr>
              <w:t>2.</w:t>
            </w:r>
          </w:p>
        </w:tc>
        <w:tc>
          <w:tcPr>
            <w:tcW w:w="10260" w:type="dxa"/>
            <w:vAlign w:val="bottom"/>
            <w:gridSpan w:val="9"/>
          </w:tcPr>
          <w:p>
            <w:pPr>
              <w:ind w:left="140"/>
              <w:spacing w:after="0"/>
              <w:rPr>
                <w:sz w:val="20"/>
                <w:szCs w:val="20"/>
                <w:color w:val="auto"/>
              </w:rPr>
            </w:pPr>
            <w:r>
              <w:rPr>
                <w:rFonts w:ascii="Arial" w:cs="Arial" w:eastAsia="Arial" w:hAnsi="Arial"/>
                <w:sz w:val="18"/>
                <w:szCs w:val="18"/>
                <w:i w:val="1"/>
                <w:iCs w:val="1"/>
                <w:color w:val="auto"/>
              </w:rPr>
              <w:t>Consolidated Financial Statement Schedules</w:t>
            </w:r>
            <w:r>
              <w:rPr>
                <w:rFonts w:ascii="Arial" w:cs="Arial" w:eastAsia="Arial" w:hAnsi="Arial"/>
                <w:sz w:val="18"/>
                <w:szCs w:val="18"/>
                <w:color w:val="auto"/>
              </w:rPr>
              <w:t>:</w:t>
            </w:r>
          </w:p>
        </w:tc>
        <w:tc>
          <w:tcPr>
            <w:tcW w:w="300" w:type="dxa"/>
            <w:vAlign w:val="bottom"/>
          </w:tcPr>
          <w:p>
            <w:pPr>
              <w:spacing w:after="0"/>
              <w:rPr>
                <w:sz w:val="24"/>
                <w:szCs w:val="24"/>
                <w:color w:val="auto"/>
              </w:rPr>
            </w:pPr>
          </w:p>
        </w:tc>
      </w:tr>
    </w:tbl>
    <w:p>
      <w:pPr>
        <w:spacing w:after="0" w:line="9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Schedules are omitted because they are not required, or because the information required is included in the Consolidated Financial Statements and Notes thereto.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20"/>
          </w:cols>
          <w:pgMar w:left="24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6"/>
                <w:szCs w:val="16"/>
                <w:color w:val="auto"/>
              </w:rPr>
            </w:pPr>
          </w:p>
        </w:tc>
        <w:tc>
          <w:tcPr>
            <w:tcW w:w="524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Amended and Restated Executive Employment Agreement, dated</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September 10, 2008, by and between Grand Canyon Education, Inc. and</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Brent Richardson†</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2008 Equity Incentive Plan, as amended†</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2008 Employee Stock Purchase Plan†</w:t>
            </w:r>
          </w:p>
        </w:tc>
      </w:tr>
      <w:tr>
        <w:trPr>
          <w:trHeight w:val="742"/>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30, 2012, by and between Grand Canyon Education, Inc. and Brian E.</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Mueller†</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30, 2012, by and between Grand Canyon Education, Inc. and W. Stan</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Meyer†</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30, 2012, by and between Grand Canyon Education, Inc. and Daniel E.</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Bachus†</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0"/>
              </w:rPr>
              <w:t>30, 2012, by and between Grand Canyon Education, Inc. and Joseph N.</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Mildenhall†</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Form of Director and Officer Indemnity Agreement</w:t>
            </w:r>
          </w:p>
        </w:tc>
      </w:tr>
      <w:tr>
        <w:trPr>
          <w:trHeight w:val="742"/>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6"/>
              </w:rPr>
              <w:t>Credit Agreement, dated December 21, 2012, by and among Grand</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5"/>
              </w:rPr>
              <w:t>Canyon Education, Inc., Bank of America, N.A., and the other parties</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named therein.</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4"/>
              </w:rPr>
              <w:t>Executive Employment Agreement, dated September 7, 2012, by and</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between Grand Canyon Education, Inc. and Brian M. Roberts†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Subsidiaries of Grand Canyon Education, Inc.</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8"/>
              </w:rPr>
              <w:t>Consent of KPMG LLP, Independent Registered Public Accounting</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Firm</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Power of Attorney</w:t>
            </w:r>
          </w:p>
        </w:tc>
      </w:tr>
      <w:tr>
        <w:trPr>
          <w:trHeight w:val="365"/>
        </w:trPr>
        <w:tc>
          <w:tcPr>
            <w:tcW w:w="520" w:type="dxa"/>
            <w:vAlign w:val="bottom"/>
          </w:tcPr>
          <w:p>
            <w:pPr>
              <w:spacing w:after="0"/>
              <w:rPr>
                <w:sz w:val="24"/>
                <w:szCs w:val="24"/>
                <w:color w:val="auto"/>
              </w:rPr>
            </w:pPr>
          </w:p>
        </w:tc>
        <w:tc>
          <w:tcPr>
            <w:tcW w:w="5560" w:type="dxa"/>
            <w:vAlign w:val="bottom"/>
            <w:gridSpan w:val="2"/>
          </w:tcPr>
          <w:p>
            <w:pPr>
              <w:jc w:val="right"/>
              <w:ind w:right="191"/>
              <w:spacing w:after="0"/>
              <w:rPr>
                <w:sz w:val="20"/>
                <w:szCs w:val="20"/>
                <w:color w:val="auto"/>
              </w:rPr>
            </w:pPr>
            <w:r>
              <w:rPr>
                <w:rFonts w:ascii="Arial" w:cs="Arial" w:eastAsia="Arial" w:hAnsi="Arial"/>
                <w:sz w:val="18"/>
                <w:szCs w:val="18"/>
                <w:color w:val="auto"/>
              </w:rPr>
              <w:t>85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2588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10.1 to Amendment No. 2 to the University’s Registration Statement on Form S-1 filed with the SEC on September 29, 2008.</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November 14, 2011.</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10.5 to Amendment No. 2 to the University’s Registration Statement on Form S-1 filed with the SEC on September 29, 2008.</w:t>
      </w:r>
    </w:p>
    <w:p>
      <w:pPr>
        <w:spacing w:after="0" w:line="28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August 6, 2012.</w:t>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10.2 to the University’s Quarterly Report on Form 10-Q filed with the SEC on August 6, 2012.</w:t>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10.3 to the University’s Quarterly Report on Form 10-Q filed with the SEC on August 6, 2012.</w:t>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10.4 to the University’s Quarterly Report on Form 10-Q filed with the SEC on August 6, 2012.</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10.21 to Amendment No. 2 to the University’s Registration Statement on Form S-1 filed with the SEC on September 29, 2008.</w:t>
      </w:r>
    </w:p>
    <w:p>
      <w:pPr>
        <w:spacing w:after="0" w:line="28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Incorporated by reference to Exhibit 10.10 to the University’s Annual Report on Form 10-K filed with the SEC on February 19, 2013.</w:t>
      </w:r>
    </w:p>
    <w:p>
      <w:pPr>
        <w:spacing w:after="0" w:line="1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May 7,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(on signature page)</w:t>
      </w:r>
    </w:p>
    <w:p>
      <w:pPr>
        <w:sectPr>
          <w:pgSz w:w="11900" w:h="16838" w:orient="portrait"/>
          <w:cols w:equalWidth="0" w:num="2">
            <w:col w:w="6080" w:space="200"/>
            <w:col w:w="514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6"/>
                <w:szCs w:val="16"/>
                <w:color w:val="auto"/>
              </w:rPr>
            </w:pPr>
          </w:p>
        </w:tc>
        <w:tc>
          <w:tcPr>
            <w:tcW w:w="506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6"/>
                <w:szCs w:val="16"/>
                <w:color w:val="auto"/>
              </w:rPr>
            </w:pPr>
          </w:p>
        </w:tc>
        <w:tc>
          <w:tcPr>
            <w:tcW w:w="506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Method of Filing</w:t>
            </w: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8"/>
              </w:rPr>
              <w:t>Certification of Principal Executive Officer Pursuant to Rule 13a-</w:t>
            </w:r>
          </w:p>
        </w:tc>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14(a) and 15d-14(a) as Adopted Pursuant to Section 302 of the</w:t>
            </w:r>
          </w:p>
        </w:tc>
        <w:tc>
          <w:tcPr>
            <w:tcW w:w="34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Sarbanes-Oxley Act of 2002</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Filed herewith.</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9"/>
              </w:rPr>
              <w:t>Certification of Principal Financial Officer Pursuant to Rule 13a-</w:t>
            </w:r>
          </w:p>
        </w:tc>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14(a) and 15d-14(a) as Adopted Pursuant to Section 302 of the</w:t>
            </w:r>
          </w:p>
        </w:tc>
        <w:tc>
          <w:tcPr>
            <w:tcW w:w="34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Sarbanes-Oxley Act of 2002</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Filed herewith.</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8"/>
              </w:rPr>
              <w:t>Certification of Principal Executive Officer Pursuant to 18 U.S.C.</w:t>
            </w:r>
          </w:p>
        </w:tc>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3"/>
              </w:rPr>
              <w:t>Section 1350, as Adopted Pursuant to Section 906 of the Sarbanes-</w:t>
            </w:r>
          </w:p>
        </w:tc>
        <w:tc>
          <w:tcPr>
            <w:tcW w:w="34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Oxley Act of 2002††</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Filed herewith.</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9"/>
              </w:rPr>
              <w:t>Certification of Principal Financial Officer Pursuant to 18 U.S.C.</w:t>
            </w:r>
          </w:p>
        </w:tc>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3"/>
              </w:rPr>
              <w:t>Section 1350, as Adopted Pursuant to Section 906 of the Sarbanes-</w:t>
            </w:r>
          </w:p>
        </w:tc>
        <w:tc>
          <w:tcPr>
            <w:tcW w:w="34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Oxley Act of 2002††</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460" w:right="420" w:hanging="452"/>
        <w:spacing w:after="0" w:line="25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E. Mueller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Dated: February 18, 2015</w:t>
      </w:r>
    </w:p>
    <w:p>
      <w:pPr>
        <w:spacing w:after="0" w:line="21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Brian E. Mueller, Daniel E. Bachus, and Brian M. Roberts,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304"/>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E. Mueller</w:t>
            </w:r>
          </w:p>
        </w:tc>
        <w:tc>
          <w:tcPr>
            <w:tcW w:w="100" w:type="dxa"/>
            <w:vAlign w:val="bottom"/>
          </w:tcPr>
          <w:p>
            <w:pPr>
              <w:spacing w:after="0"/>
              <w:rPr>
                <w:sz w:val="24"/>
                <w:szCs w:val="24"/>
                <w:color w:val="auto"/>
              </w:rPr>
            </w:pPr>
          </w:p>
        </w:tc>
        <w:tc>
          <w:tcPr>
            <w:tcW w:w="5300" w:type="dxa"/>
            <w:vAlign w:val="bottom"/>
            <w:gridSpan w:val="2"/>
          </w:tcPr>
          <w:p>
            <w:pPr>
              <w:ind w:left="1640"/>
              <w:spacing w:after="0"/>
              <w:rPr>
                <w:sz w:val="20"/>
                <w:szCs w:val="20"/>
                <w:color w:val="auto"/>
              </w:rPr>
            </w:pPr>
            <w:r>
              <w:rPr>
                <w:rFonts w:ascii="Arial" w:cs="Arial" w:eastAsia="Arial" w:hAnsi="Arial"/>
                <w:sz w:val="18"/>
                <w:szCs w:val="18"/>
                <w:color w:val="auto"/>
                <w:w w:val="97"/>
              </w:rPr>
              <w:t>President, Chief Executive Officer and Director</w:t>
            </w:r>
          </w:p>
        </w:tc>
        <w:tc>
          <w:tcPr>
            <w:tcW w:w="1740" w:type="dxa"/>
            <w:vAlign w:val="bottom"/>
          </w:tcPr>
          <w:p>
            <w:pPr>
              <w:ind w:left="420"/>
              <w:spacing w:after="0"/>
              <w:rPr>
                <w:sz w:val="20"/>
                <w:szCs w:val="20"/>
                <w:color w:val="auto"/>
              </w:rPr>
            </w:pPr>
            <w:r>
              <w:rPr>
                <w:rFonts w:ascii="Arial" w:cs="Arial" w:eastAsia="Arial" w:hAnsi="Arial"/>
                <w:sz w:val="18"/>
                <w:szCs w:val="18"/>
                <w:color w:val="auto"/>
                <w:w w:val="88"/>
              </w:rPr>
              <w:t>February 18,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100" w:type="dxa"/>
            <w:vAlign w:val="bottom"/>
          </w:tcPr>
          <w:p>
            <w:pPr>
              <w:spacing w:after="0"/>
              <w:rPr>
                <w:sz w:val="19"/>
                <w:szCs w:val="19"/>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E. Bachus</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18, 2015</w:t>
            </w:r>
          </w:p>
        </w:tc>
      </w:tr>
      <w:tr>
        <w:trPr>
          <w:trHeight w:val="182"/>
        </w:trPr>
        <w:tc>
          <w:tcPr>
            <w:tcW w:w="4280" w:type="dxa"/>
            <w:vAlign w:val="bottom"/>
            <w:gridSpan w:val="2"/>
          </w:tcPr>
          <w:p>
            <w:pPr>
              <w:spacing w:after="0" w:line="182" w:lineRule="exact"/>
              <w:rPr>
                <w:sz w:val="20"/>
                <w:szCs w:val="20"/>
                <w:color w:val="auto"/>
              </w:rPr>
            </w:pPr>
            <w:r>
              <w:rPr>
                <w:rFonts w:ascii="Arial" w:cs="Arial" w:eastAsia="Arial" w:hAnsi="Arial"/>
                <w:sz w:val="18"/>
                <w:szCs w:val="18"/>
                <w:color w:val="auto"/>
              </w:rPr>
              <w:t>Daniel E. Bachus</w:t>
            </w:r>
          </w:p>
        </w:tc>
        <w:tc>
          <w:tcPr>
            <w:tcW w:w="100" w:type="dxa"/>
            <w:vAlign w:val="bottom"/>
          </w:tcPr>
          <w:p>
            <w:pPr>
              <w:spacing w:after="0"/>
              <w:rPr>
                <w:sz w:val="15"/>
                <w:szCs w:val="15"/>
                <w:color w:val="auto"/>
              </w:rPr>
            </w:pPr>
          </w:p>
        </w:tc>
        <w:tc>
          <w:tcPr>
            <w:tcW w:w="5300" w:type="dxa"/>
            <w:vAlign w:val="bottom"/>
            <w:gridSpan w:val="2"/>
          </w:tcPr>
          <w:p>
            <w:pPr>
              <w:jc w:val="center"/>
              <w:ind w:right="220"/>
              <w:spacing w:after="0" w:line="182" w:lineRule="exact"/>
              <w:rPr>
                <w:sz w:val="20"/>
                <w:szCs w:val="20"/>
                <w:color w:val="auto"/>
              </w:rPr>
            </w:pPr>
            <w:r>
              <w:rPr>
                <w:rFonts w:ascii="Arial" w:cs="Arial" w:eastAsia="Arial" w:hAnsi="Arial"/>
                <w:sz w:val="18"/>
                <w:szCs w:val="18"/>
                <w:color w:val="auto"/>
                <w:w w:val="94"/>
              </w:rPr>
              <w:t>(Principal Financial Officer and Principal</w:t>
            </w:r>
          </w:p>
        </w:tc>
        <w:tc>
          <w:tcPr>
            <w:tcW w:w="1740" w:type="dxa"/>
            <w:vAlign w:val="bottom"/>
          </w:tcPr>
          <w:p>
            <w:pPr>
              <w:spacing w:after="0"/>
              <w:rPr>
                <w:sz w:val="15"/>
                <w:szCs w:val="15"/>
                <w:color w:val="auto"/>
              </w:rPr>
            </w:pPr>
          </w:p>
        </w:tc>
      </w:tr>
      <w:tr>
        <w:trPr>
          <w:trHeight w:val="230"/>
        </w:trPr>
        <w:tc>
          <w:tcPr>
            <w:tcW w:w="6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Accounting Officer)</w:t>
            </w:r>
          </w:p>
        </w:tc>
        <w:tc>
          <w:tcPr>
            <w:tcW w:w="1740" w:type="dxa"/>
            <w:vAlign w:val="bottom"/>
          </w:tcPr>
          <w:p>
            <w:pPr>
              <w:spacing w:after="0"/>
              <w:rPr>
                <w:sz w:val="20"/>
                <w:szCs w:val="20"/>
                <w:color w:val="auto"/>
              </w:rPr>
            </w:pPr>
          </w:p>
        </w:tc>
      </w:tr>
      <w:tr>
        <w:trPr>
          <w:trHeight w:val="33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Brent D. Richardson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Executive Chairman</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18,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Brent D. Richardson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J. Johnson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18,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David J. Johnson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 A. Henry</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18,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Bradley A. Casper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18,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Bradley A. Casper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F. Warren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18,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Kevin F. Warren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Sara R. Dial</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18,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Sara R. Dial</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0"/>
        </w:trPr>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80" w:type="dxa"/>
            <w:vAlign w:val="bottom"/>
            <w:gridSpan w:val="2"/>
          </w:tcPr>
          <w:p>
            <w:pPr>
              <w:jc w:val="right"/>
              <w:ind w:right="3571"/>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Subsidiaries of Registrant</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Jurisdiction of Incorporation</w:t>
            </w:r>
          </w:p>
        </w:tc>
      </w:tr>
      <w:tr>
        <w:trPr>
          <w:trHeight w:val="296"/>
        </w:trPr>
        <w:tc>
          <w:tcPr>
            <w:tcW w:w="6060" w:type="dxa"/>
            <w:vAlign w:val="bottom"/>
            <w:gridSpan w:val="2"/>
          </w:tcPr>
          <w:p>
            <w:pPr>
              <w:spacing w:after="0"/>
              <w:rPr>
                <w:sz w:val="20"/>
                <w:szCs w:val="20"/>
                <w:color w:val="auto"/>
              </w:rPr>
            </w:pPr>
            <w:r>
              <w:rPr>
                <w:rFonts w:ascii="Arial" w:cs="Arial" w:eastAsia="Arial" w:hAnsi="Arial"/>
                <w:sz w:val="18"/>
                <w:szCs w:val="18"/>
                <w:color w:val="auto"/>
              </w:rPr>
              <w:t>Grand Canyon University, Inc.</w:t>
            </w:r>
          </w:p>
        </w:tc>
        <w:tc>
          <w:tcPr>
            <w:tcW w:w="536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Canyon Golf, LLC</w:t>
            </w:r>
          </w:p>
        </w:tc>
        <w:tc>
          <w:tcPr>
            <w:tcW w:w="536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Canyon Hospitality, LLC</w:t>
            </w:r>
          </w:p>
        </w:tc>
        <w:tc>
          <w:tcPr>
            <w:tcW w:w="536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Tierra Vista Inversiones,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Nueva Ventura,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Casa de Amistad,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Amigos de Torrejon,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Piedras Bonitas Inversiones,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La Sonrisa de Siena,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Nuevo Comienzo,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El Vecino de Amigos,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La Fuente de la Comunidad,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Rentwise Properties, LLC</w:t>
            </w:r>
          </w:p>
        </w:tc>
        <w:tc>
          <w:tcPr>
            <w:tcW w:w="536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30"/>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Mid-state Rental Properties, LLC</w:t>
            </w:r>
          </w:p>
        </w:tc>
        <w:tc>
          <w:tcPr>
            <w:tcW w:w="5360" w:type="dxa"/>
            <w:vAlign w:val="bottom"/>
          </w:tcPr>
          <w:p>
            <w:pPr>
              <w:jc w:val="center"/>
              <w:spacing w:after="0"/>
              <w:rPr>
                <w:sz w:val="20"/>
                <w:szCs w:val="20"/>
                <w:color w:val="auto"/>
              </w:rPr>
            </w:pPr>
            <w:r>
              <w:rPr>
                <w:rFonts w:ascii="Arial" w:cs="Arial" w:eastAsia="Arial" w:hAnsi="Arial"/>
                <w:sz w:val="18"/>
                <w:szCs w:val="18"/>
                <w:color w:val="auto"/>
              </w:rPr>
              <w:t>AZ</w:t>
            </w:r>
          </w:p>
        </w:tc>
      </w:tr>
    </w:tbl>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(Nos. 333-155973, 333-165019, and 333-179611) on Form S-8 of Grand Canyon Education, Inc. of our reports dated February 18, 2015, with respect to the consolidated balance sheets of Grand Canyon Education, Inc. and subsidiaries as of December 31, 2014 and 2013, and the related consolidated statements of income, comprehensive income, stockholders’ equity, and cash flows for each of the years in the three-year period ended December 31, 2014, and the effectiveness of internal control over financial reporting as of December 31, 2014, which reports appear in the December 31, 2014 annual report on Form 10-K of Grand Canyon Education, Inc.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2015</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2014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464"/>
        <w:spacing w:after="0" w:line="308"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260" w:firstLine="464"/>
        <w:spacing w:after="0" w:line="264" w:lineRule="auto"/>
        <w:tabs>
          <w:tab w:leader="none" w:pos="6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18, 2015</w:t>
      </w:r>
      <w:r>
        <w:rPr>
          <w:sz w:val="20"/>
          <w:szCs w:val="20"/>
          <w:color w:val="auto"/>
        </w:rPr>
        <w:tab/>
      </w:r>
      <w:r>
        <w:rPr>
          <w:rFonts w:ascii="Arial" w:cs="Arial" w:eastAsia="Arial" w:hAnsi="Arial"/>
          <w:sz w:val="17"/>
          <w:szCs w:val="17"/>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2014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464"/>
        <w:spacing w:after="0" w:line="308" w:lineRule="auto"/>
        <w:tabs>
          <w:tab w:leader="none" w:pos="6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260" w:firstLine="464"/>
        <w:spacing w:after="0" w:line="264"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18, 2015</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2014 as filed with the Securities and Exchange Commission on the date hereof (the “Report”), I, Brian E. Mueller, Chief Executive Officer, of the University, certify, pursuant to § 906 of the Sarbanes-Oxley Act of 2002,18 U.S.C. § 1350, as adopted pursuant to Section 906 of the Sarbanes-Oxley Act of 2002, that to the best of my knowledge:</w:t>
      </w:r>
    </w:p>
    <w:p>
      <w:pPr>
        <w:spacing w:after="0" w:line="9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or 78o);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2014 as filed with the Securities and Exchange Commission on the date hereof (the “Report”), I, Daniel E. Bachus, Chief Financial Officer, of the University, certify, pursuant to § 906 of the Sarbanes-Oxley Act of 2002,18 U.S.C. § 1350, as adopted pursuant to Section 906 of the Sarbanes-Oxley Act of 2002, that to the best of my knowledge:</w:t>
      </w:r>
    </w:p>
    <w:p>
      <w:pPr>
        <w:spacing w:after="0" w:line="9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or 78o);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8"/>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Roman"/>
      <w:start w:val="1"/>
    </w:lvl>
  </w:abstractNum>
  <w:abstractNum w:abstractNumId="33">
    <w:nsid w:val="7724C67E"/>
    <w:multiLevelType w:val="hybridMultilevel"/>
    <w:lvl w:ilvl="0">
      <w:lvlJc w:val="left"/>
      <w:lvlText w:val="(%1)"/>
      <w:numFmt w:val="decimal"/>
      <w:start w:val="3"/>
    </w:lvl>
  </w:abstractNum>
  <w:abstractNum w:abstractNumId="34">
    <w:nsid w:val="5C482A97"/>
    <w:multiLevelType w:val="hybridMultilevel"/>
    <w:lvl w:ilvl="0">
      <w:lvlJc w:val="left"/>
      <w:lvlText w:val="%1."/>
      <w:numFmt w:val="decimal"/>
      <w:start w:val="3"/>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2019-12-29T18:46:58Z</dcterms:created>
  <dcterms:modified xsi:type="dcterms:W3CDTF">2019-12-29T18:46:58Z</dcterms:modified>
</cp:coreProperties>
</file>