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SCHEDULE 14A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60"/>
        <w:spacing w:after="0" w:line="242" w:lineRule="exact"/>
        <w:rPr>
          <w:sz w:val="20"/>
          <w:szCs w:val="20"/>
          <w:color w:val="auto"/>
        </w:rPr>
      </w:pPr>
      <w:r>
        <w:rPr>
          <w:rFonts w:ascii="Arial" w:cs="Arial" w:eastAsia="Arial" w:hAnsi="Arial"/>
          <w:sz w:val="18"/>
          <w:szCs w:val="18"/>
          <w:color w:val="auto"/>
        </w:rPr>
        <w:t xml:space="preserve">Filed by the Registrant </w:t>
      </w:r>
      <w:r>
        <w:rPr>
          <w:rFonts w:ascii="Arial Unicode MS" w:cs="Arial Unicode MS" w:eastAsia="Arial Unicode MS" w:hAnsi="Arial Unicode MS"/>
          <w:sz w:val="18"/>
          <w:szCs w:val="18"/>
          <w:color w:val="auto"/>
        </w:rPr>
        <w:t>⌧</w:t>
      </w:r>
    </w:p>
    <w:p>
      <w:pPr>
        <w:spacing w:after="0" w:line="96" w:lineRule="exact"/>
        <w:rPr>
          <w:sz w:val="24"/>
          <w:szCs w:val="24"/>
          <w:color w:val="auto"/>
        </w:rPr>
      </w:pPr>
    </w:p>
    <w:p>
      <w:pPr>
        <w:ind w:left="60"/>
        <w:spacing w:after="0" w:line="242" w:lineRule="exact"/>
        <w:rPr>
          <w:sz w:val="20"/>
          <w:szCs w:val="20"/>
          <w:color w:val="auto"/>
        </w:rPr>
      </w:pPr>
      <w:r>
        <w:rPr>
          <w:rFonts w:ascii="Arial" w:cs="Arial" w:eastAsia="Arial" w:hAnsi="Arial"/>
          <w:sz w:val="18"/>
          <w:szCs w:val="18"/>
          <w:color w:val="auto"/>
        </w:rPr>
        <w:t xml:space="preserve">Filed by a Party other than the Registrant </w:t>
      </w:r>
      <w:r>
        <w:rPr>
          <w:rFonts w:ascii="Arial Unicode MS" w:cs="Arial Unicode MS" w:eastAsia="Arial Unicode MS" w:hAnsi="Arial Unicode MS"/>
          <w:sz w:val="18"/>
          <w:szCs w:val="18"/>
          <w:color w:val="auto"/>
        </w:rPr>
        <w:t>☐</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18"/>
          <w:szCs w:val="18"/>
          <w:color w:val="auto"/>
        </w:rPr>
        <w:t>Check the appropriate box:</w:t>
      </w:r>
    </w:p>
    <w:p>
      <w:pPr>
        <w:spacing w:after="0" w:line="12" w:lineRule="exact"/>
        <w:rPr>
          <w:sz w:val="24"/>
          <w:szCs w:val="24"/>
          <w:color w:val="auto"/>
        </w:rPr>
      </w:pPr>
    </w:p>
    <w:p>
      <w:pPr>
        <w:ind w:left="500" w:hanging="45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500" w:hanging="450"/>
        <w:spacing w:after="0" w:line="21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Arial" w:cs="Arial" w:eastAsia="Arial" w:hAnsi="Arial"/>
          <w:sz w:val="18"/>
          <w:szCs w:val="18"/>
          <w:color w:val="auto"/>
        </w:rPr>
      </w:pPr>
    </w:p>
    <w:p>
      <w:pPr>
        <w:ind w:left="60"/>
        <w:spacing w:after="0" w:line="230" w:lineRule="exact"/>
        <w:rPr>
          <w:rFonts w:ascii="Arial" w:cs="Arial" w:eastAsia="Arial" w:hAnsi="Arial"/>
          <w:sz w:val="18"/>
          <w:szCs w:val="18"/>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Definitive Proxy Statement</w:t>
      </w:r>
    </w:p>
    <w:p>
      <w:pPr>
        <w:ind w:left="500" w:hanging="450"/>
        <w:spacing w:after="0" w:line="21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5" w:lineRule="exact"/>
        <w:rPr>
          <w:rFonts w:ascii="Arial" w:cs="Arial" w:eastAsia="Arial" w:hAnsi="Arial"/>
          <w:sz w:val="18"/>
          <w:szCs w:val="18"/>
          <w:color w:val="auto"/>
        </w:rPr>
      </w:pPr>
    </w:p>
    <w:p>
      <w:pPr>
        <w:ind w:left="500" w:hanging="450"/>
        <w:spacing w:after="0" w:line="21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56489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8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28" w:lineRule="exact"/>
        <w:rPr>
          <w:sz w:val="24"/>
          <w:szCs w:val="24"/>
          <w:color w:val="auto"/>
        </w:rPr>
      </w:pPr>
    </w:p>
    <w:p>
      <w:pPr>
        <w:ind w:left="60"/>
        <w:spacing w:after="0"/>
        <w:rPr>
          <w:sz w:val="20"/>
          <w:szCs w:val="20"/>
          <w:color w:val="auto"/>
        </w:rPr>
      </w:pPr>
      <w:r>
        <w:rPr>
          <w:rFonts w:ascii="Arial" w:cs="Arial" w:eastAsia="Arial" w:hAnsi="Arial"/>
          <w:sz w:val="18"/>
          <w:szCs w:val="18"/>
          <w:color w:val="auto"/>
        </w:rPr>
        <w:t>Payment of Filing Fee (Check the appropriate box):</w:t>
      </w:r>
    </w:p>
    <w:p>
      <w:pPr>
        <w:ind w:left="500" w:hanging="450"/>
        <w:spacing w:after="0" w:line="23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0" w:lineRule="exact"/>
        <w:rPr>
          <w:sz w:val="24"/>
          <w:szCs w:val="24"/>
          <w:color w:val="auto"/>
        </w:rPr>
      </w:pPr>
    </w:p>
    <w:p>
      <w:pPr>
        <w:ind w:left="500" w:hanging="45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20"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880" w:right="139" w:hanging="384"/>
        <w:spacing w:after="0" w:line="277"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81" w:lineRule="exact"/>
        <w:rPr>
          <w:rFonts w:ascii="Arial" w:cs="Arial" w:eastAsia="Arial" w:hAnsi="Arial"/>
          <w:sz w:val="18"/>
          <w:szCs w:val="18"/>
          <w:color w:val="auto"/>
        </w:rPr>
      </w:pPr>
    </w:p>
    <w:p>
      <w:pPr>
        <w:ind w:left="500" w:hanging="45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w:t>
      </w:r>
    </w:p>
    <w:p>
      <w:pPr>
        <w:spacing w:after="0" w:line="120" w:lineRule="exact"/>
        <w:rPr>
          <w:rFonts w:ascii="Arial" w:cs="Arial" w:eastAsia="Arial" w:hAnsi="Arial"/>
          <w:sz w:val="18"/>
          <w:szCs w:val="18"/>
          <w:color w:val="auto"/>
        </w:rPr>
      </w:pPr>
    </w:p>
    <w:p>
      <w:pPr>
        <w:jc w:val="both"/>
        <w:ind w:left="500" w:right="419" w:hanging="450"/>
        <w:spacing w:after="0" w:line="24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3"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880" w:hanging="384"/>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640715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100330</wp:posOffset>
            </wp:positionV>
            <wp:extent cx="512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-130175</wp:posOffset>
            </wp:positionV>
            <wp:extent cx="5126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2635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-361950</wp:posOffset>
            </wp:positionV>
            <wp:extent cx="5126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-593090</wp:posOffset>
            </wp:positionV>
            <wp:extent cx="5126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2635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-1544955</wp:posOffset>
            </wp:positionV>
            <wp:extent cx="5117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1746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-1776095</wp:posOffset>
            </wp:positionV>
            <wp:extent cx="511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1746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-2007870</wp:posOffset>
            </wp:positionV>
            <wp:extent cx="5117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1746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-2376170</wp:posOffset>
            </wp:positionV>
            <wp:extent cx="511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746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-2607945</wp:posOffset>
            </wp:positionV>
            <wp:extent cx="5117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17465"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263525</wp:posOffset>
            </wp:positionV>
            <wp:extent cx="5657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546090" cy="840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60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2600 W. Camelback Road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(602) 247-4400</w:t>
      </w:r>
    </w:p>
    <w:p>
      <w:pPr>
        <w:spacing w:after="0" w:line="1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April 29,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You are cordially invited to attend the 2021 Annual Meeting of Stockholders (the “Annual Meeting”) of Grand Canyon Education, Inc. (the “Company” or “GCE”) to be held at the offices of GCE located at 2600 W. Camelback Road, Phoenix, Arizona 85017, commencing at 9:00 a.m., Arizona time, on Wednesday, June 16, 2021.</w:t>
      </w:r>
    </w:p>
    <w:p>
      <w:pPr>
        <w:spacing w:after="0" w:line="5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22, 2021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8" w:lineRule="exact"/>
        <w:rPr>
          <w:sz w:val="20"/>
          <w:szCs w:val="20"/>
          <w:color w:val="auto"/>
        </w:rPr>
      </w:pPr>
    </w:p>
    <w:p>
      <w:pPr>
        <w:ind w:left="60" w:right="319" w:firstLine="648"/>
        <w:spacing w:after="0" w:line="255"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hope that you will be able to attend the Annual Meeting in person and we look forward to seeing you.</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i w:val="1"/>
          <w:iCs w:val="1"/>
          <w:color w:val="auto"/>
        </w:rPr>
        <w:t>This proxy statement is dated April 29, 2021 and is first being sent or made available to stockholders on or about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460375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74295</wp:posOffset>
            </wp:positionV>
            <wp:extent cx="28289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70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Wednesday, June 16, 2021, at 9:00 a.m., Arizona time</w:t>
      </w:r>
    </w:p>
    <w:p>
      <w:pPr>
        <w:spacing w:after="0" w:line="225" w:lineRule="exact"/>
        <w:rPr>
          <w:sz w:val="20"/>
          <w:szCs w:val="20"/>
          <w:color w:val="auto"/>
        </w:rPr>
      </w:pPr>
    </w:p>
    <w:p>
      <w:pPr>
        <w:ind w:left="60"/>
        <w:spacing w:after="0"/>
        <w:tabs>
          <w:tab w:leader="none" w:pos="17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Grand Canyon Education, Inc. at 2600 W. Camelback Road, Phoenix, Arizona 85017.</w:t>
      </w:r>
    </w:p>
    <w:p>
      <w:pPr>
        <w:spacing w:after="0" w:line="225" w:lineRule="exact"/>
        <w:rPr>
          <w:sz w:val="20"/>
          <w:szCs w:val="20"/>
          <w:color w:val="auto"/>
        </w:rPr>
      </w:pPr>
    </w:p>
    <w:p>
      <w:pPr>
        <w:ind w:left="1720" w:right="259" w:hanging="1673"/>
        <w:spacing w:after="0" w:line="263" w:lineRule="auto"/>
        <w:tabs>
          <w:tab w:leader="none" w:pos="170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At the Annual Meeting, holders of our common stock will be asked to consider and vote upon the following proposals, all of which are discussed in greater detail in the accompanying proxy statement:</w:t>
      </w:r>
    </w:p>
    <w:p>
      <w:pPr>
        <w:spacing w:after="0" w:line="188" w:lineRule="exact"/>
        <w:rPr>
          <w:sz w:val="20"/>
          <w:szCs w:val="20"/>
          <w:color w:val="auto"/>
        </w:rPr>
      </w:pPr>
    </w:p>
    <w:p>
      <w:pPr>
        <w:ind w:left="2240" w:right="79" w:hanging="316"/>
        <w:spacing w:after="0" w:line="255" w:lineRule="auto"/>
        <w:tabs>
          <w:tab w:leader="none" w:pos="2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 Board of Directors of five directors, each to serve until the 2022 annual meeting of stockholders or until his or her successor has been duly elected and qualified or until his or her earlier resignation or removal;</w:t>
      </w:r>
    </w:p>
    <w:p>
      <w:pPr>
        <w:spacing w:after="0" w:line="2" w:lineRule="exact"/>
        <w:rPr>
          <w:rFonts w:ascii="Arial" w:cs="Arial" w:eastAsia="Arial" w:hAnsi="Arial"/>
          <w:sz w:val="18"/>
          <w:szCs w:val="18"/>
          <w:color w:val="auto"/>
        </w:rPr>
      </w:pPr>
    </w:p>
    <w:p>
      <w:pPr>
        <w:ind w:left="2240" w:right="539" w:hanging="316"/>
        <w:spacing w:after="0" w:line="250" w:lineRule="auto"/>
        <w:tabs>
          <w:tab w:leader="none" w:pos="2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ind w:left="2240" w:right="339" w:hanging="316"/>
        <w:spacing w:after="0" w:line="250" w:lineRule="auto"/>
        <w:tabs>
          <w:tab w:leader="none" w:pos="2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2021; and</w:t>
      </w:r>
    </w:p>
    <w:p>
      <w:pPr>
        <w:ind w:left="2240" w:right="639" w:hanging="316"/>
        <w:spacing w:after="0" w:line="260" w:lineRule="auto"/>
        <w:tabs>
          <w:tab w:leader="none" w:pos="22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adjournments or postponements thereof.</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Record Date:</w:t>
            </w: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7"/>
              </w:rPr>
              <w:t>Only stockholders of record at the close of business on April 22, 2021, the record date for the</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Annual Meeting, will be entitled to notice of and to vote at the Annual Meeting and any</w:t>
            </w:r>
          </w:p>
        </w:tc>
      </w:tr>
      <w:tr>
        <w:trPr>
          <w:trHeight w:val="230"/>
        </w:trPr>
        <w:tc>
          <w:tcPr>
            <w:tcW w:w="15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adjournments or postponements thereof.</w:t>
            </w:r>
          </w:p>
        </w:tc>
      </w:tr>
      <w:tr>
        <w:trPr>
          <w:trHeight w:val="414"/>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Delivery of Proxy</w:t>
            </w: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3"/>
              </w:rPr>
              <w:t>Beginning on May 4, 2021, we began mailing a Notice of Internet Availability of Proxy Materials to</w:t>
            </w:r>
          </w:p>
        </w:tc>
      </w:tr>
      <w:tr>
        <w:trPr>
          <w:trHeight w:val="220"/>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Materials:</w:t>
            </w: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our stockholders rather than a full paper set of the proxy materials. The Notice of Internet</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3"/>
              </w:rPr>
              <w:t>Availability of Proxy Materials contains instructions on how to access our proxy materials over the</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Internet, as well as instructions on how stockholders may obtain a paper copy of our proxy</w:t>
            </w:r>
          </w:p>
        </w:tc>
      </w:tr>
      <w:tr>
        <w:trPr>
          <w:trHeight w:val="230"/>
        </w:trPr>
        <w:tc>
          <w:tcPr>
            <w:tcW w:w="15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materials.</w:t>
            </w:r>
          </w:p>
        </w:tc>
      </w:tr>
      <w:tr>
        <w:trPr>
          <w:trHeight w:val="414"/>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Internet</w:t>
            </w:r>
          </w:p>
        </w:tc>
        <w:tc>
          <w:tcPr>
            <w:tcW w:w="7400" w:type="dxa"/>
            <w:vAlign w:val="bottom"/>
            <w:gridSpan w:val="2"/>
          </w:tcPr>
          <w:p>
            <w:pPr>
              <w:ind w:left="160"/>
              <w:spacing w:after="0"/>
              <w:rPr>
                <w:sz w:val="20"/>
                <w:szCs w:val="20"/>
                <w:color w:val="auto"/>
              </w:rPr>
            </w:pPr>
            <w:r>
              <w:rPr>
                <w:rFonts w:ascii="Arial" w:cs="Arial" w:eastAsia="Arial" w:hAnsi="Arial"/>
                <w:sz w:val="18"/>
                <w:szCs w:val="18"/>
                <w:b w:val="1"/>
                <w:bCs w:val="1"/>
                <w:color w:val="auto"/>
                <w:w w:val="96"/>
              </w:rPr>
              <w:t>Important Notice Regarding the Availability of Proxy Materials for the Annual Meeting of</w:t>
            </w:r>
          </w:p>
        </w:tc>
      </w:tr>
      <w:tr>
        <w:trPr>
          <w:trHeight w:val="216"/>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Availability of</w:t>
            </w:r>
          </w:p>
        </w:tc>
        <w:tc>
          <w:tcPr>
            <w:tcW w:w="7400" w:type="dxa"/>
            <w:vAlign w:val="bottom"/>
            <w:gridSpan w:val="2"/>
          </w:tcPr>
          <w:p>
            <w:pPr>
              <w:ind w:left="160"/>
              <w:spacing w:after="0"/>
              <w:rPr>
                <w:sz w:val="20"/>
                <w:szCs w:val="20"/>
                <w:color w:val="auto"/>
              </w:rPr>
            </w:pPr>
            <w:r>
              <w:rPr>
                <w:rFonts w:ascii="Arial" w:cs="Arial" w:eastAsia="Arial" w:hAnsi="Arial"/>
                <w:sz w:val="18"/>
                <w:szCs w:val="18"/>
                <w:b w:val="1"/>
                <w:bCs w:val="1"/>
                <w:color w:val="auto"/>
                <w:w w:val="91"/>
              </w:rPr>
              <w:t>Stockholders to be Held on June 16, 2021</w:t>
            </w:r>
            <w:r>
              <w:rPr>
                <w:rFonts w:ascii="Arial" w:cs="Arial" w:eastAsia="Arial" w:hAnsi="Arial"/>
                <w:sz w:val="18"/>
                <w:szCs w:val="18"/>
                <w:color w:val="auto"/>
                <w:w w:val="91"/>
              </w:rPr>
              <w:t>. Our Proxy Statement is attached. Financial and other</w:t>
            </w:r>
          </w:p>
        </w:tc>
      </w:tr>
      <w:tr>
        <w:trPr>
          <w:trHeight w:val="220"/>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Proxy Materials:</w:t>
            </w: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information concerning Grand Canyon Education, Inc. is contained in our Annual Report to</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7"/>
              </w:rPr>
              <w:t>Stockholders for the fiscal year ended December 31, 2020. A complete set of proxy materials</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1"/>
              </w:rPr>
              <w:t>relating to our Annual Meeting is available on the Internet. These materials, consisting of the Notice</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2"/>
              </w:rPr>
              <w:t>of Annual Meeting, Proxy Statement, Proxy Card and Annual Report to Stockholders, are available</w:t>
            </w:r>
          </w:p>
        </w:tc>
      </w:tr>
      <w:tr>
        <w:trPr>
          <w:trHeight w:val="230"/>
        </w:trPr>
        <w:tc>
          <w:tcPr>
            <w:tcW w:w="15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 xml:space="preserve">and may be viewed at </w:t>
            </w:r>
            <w:r>
              <w:rPr>
                <w:rFonts w:ascii="Arial" w:cs="Arial" w:eastAsia="Arial" w:hAnsi="Arial"/>
                <w:sz w:val="18"/>
                <w:szCs w:val="18"/>
                <w:i w:val="1"/>
                <w:iCs w:val="1"/>
                <w:color w:val="auto"/>
              </w:rPr>
              <w:t>www.edocumentview.com/LOPE</w:t>
            </w:r>
            <w:r>
              <w:rPr>
                <w:rFonts w:ascii="Arial" w:cs="Arial" w:eastAsia="Arial" w:hAnsi="Arial"/>
                <w:sz w:val="18"/>
                <w:szCs w:val="18"/>
                <w:color w:val="auto"/>
              </w:rPr>
              <w:t>.</w:t>
            </w:r>
          </w:p>
        </w:tc>
      </w:tr>
      <w:tr>
        <w:trPr>
          <w:trHeight w:val="418"/>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Voting:</w:t>
            </w: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3"/>
              </w:rPr>
              <w:t>To make it easier for you to vote, Internet and telephone voting are available. The instructions on</w:t>
            </w:r>
          </w:p>
        </w:tc>
      </w:tr>
      <w:tr>
        <w:trPr>
          <w:trHeight w:val="216"/>
        </w:trPr>
        <w:tc>
          <w:tcPr>
            <w:tcW w:w="1520" w:type="dxa"/>
            <w:vAlign w:val="bottom"/>
          </w:tcPr>
          <w:p>
            <w:pPr>
              <w:spacing w:after="0"/>
              <w:rPr>
                <w:sz w:val="18"/>
                <w:szCs w:val="18"/>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w w:val="94"/>
              </w:rPr>
              <w:t>the Notice of Internet Availability of Proxy Materials or, if you received a paper copy of the proxy</w:t>
            </w:r>
          </w:p>
        </w:tc>
      </w:tr>
      <w:tr>
        <w:trPr>
          <w:trHeight w:val="230"/>
        </w:trPr>
        <w:tc>
          <w:tcPr>
            <w:tcW w:w="1520" w:type="dxa"/>
            <w:vAlign w:val="bottom"/>
          </w:tcPr>
          <w:p>
            <w:pPr>
              <w:spacing w:after="0"/>
              <w:rPr>
                <w:sz w:val="20"/>
                <w:szCs w:val="20"/>
                <w:color w:val="auto"/>
              </w:rPr>
            </w:pPr>
          </w:p>
        </w:tc>
        <w:tc>
          <w:tcPr>
            <w:tcW w:w="7400" w:type="dxa"/>
            <w:vAlign w:val="bottom"/>
            <w:gridSpan w:val="2"/>
          </w:tcPr>
          <w:p>
            <w:pPr>
              <w:ind w:left="160"/>
              <w:spacing w:after="0"/>
              <w:rPr>
                <w:sz w:val="20"/>
                <w:szCs w:val="20"/>
                <w:color w:val="auto"/>
              </w:rPr>
            </w:pPr>
            <w:r>
              <w:rPr>
                <w:rFonts w:ascii="Arial" w:cs="Arial" w:eastAsia="Arial" w:hAnsi="Arial"/>
                <w:sz w:val="18"/>
                <w:szCs w:val="18"/>
                <w:color w:val="auto"/>
              </w:rPr>
              <w:t>materials, the proxy card describe how to use these convenient services.</w:t>
            </w:r>
          </w:p>
        </w:tc>
      </w:tr>
      <w:tr>
        <w:trPr>
          <w:trHeight w:val="432"/>
        </w:trPr>
        <w:tc>
          <w:tcPr>
            <w:tcW w:w="1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45"/>
        </w:trPr>
        <w:tc>
          <w:tcPr>
            <w:tcW w:w="1520" w:type="dxa"/>
            <w:vAlign w:val="bottom"/>
          </w:tcPr>
          <w:p>
            <w:pPr>
              <w:ind w:left="20"/>
              <w:spacing w:after="0"/>
              <w:rPr>
                <w:sz w:val="20"/>
                <w:szCs w:val="20"/>
                <w:color w:val="auto"/>
              </w:rPr>
            </w:pPr>
            <w:r>
              <w:rPr>
                <w:rFonts w:ascii="Arial" w:cs="Arial" w:eastAsia="Arial" w:hAnsi="Arial"/>
                <w:sz w:val="18"/>
                <w:szCs w:val="18"/>
                <w:color w:val="auto"/>
              </w:rPr>
              <w:t>Phoenix, Arizona</w:t>
            </w:r>
          </w:p>
        </w:tc>
        <w:tc>
          <w:tcPr>
            <w:tcW w:w="296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1520" w:type="dxa"/>
            <w:vAlign w:val="bottom"/>
          </w:tcPr>
          <w:p>
            <w:pPr>
              <w:ind w:left="220"/>
              <w:spacing w:after="0" w:line="195" w:lineRule="exact"/>
              <w:rPr>
                <w:sz w:val="20"/>
                <w:szCs w:val="20"/>
                <w:color w:val="auto"/>
              </w:rPr>
            </w:pPr>
            <w:r>
              <w:rPr>
                <w:rFonts w:ascii="Arial" w:cs="Arial" w:eastAsia="Arial" w:hAnsi="Arial"/>
                <w:sz w:val="18"/>
                <w:szCs w:val="18"/>
                <w:color w:val="auto"/>
              </w:rPr>
              <w:t>April 29, 2021</w:t>
            </w:r>
          </w:p>
        </w:tc>
        <w:tc>
          <w:tcPr>
            <w:tcW w:w="29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15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1006"/>
        </w:trPr>
        <w:tc>
          <w:tcPr>
            <w:tcW w:w="1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GENERAL INFORMATION</w:t>
              </w:r>
            </w:hyperlink>
          </w:p>
        </w:tc>
        <w:tc>
          <w:tcPr>
            <w:tcW w:w="6240" w:type="dxa"/>
            <w:vAlign w:val="bottom"/>
            <w:gridSpan w:val="31"/>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9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40" w:type="dxa"/>
            <w:vAlign w:val="bottom"/>
            <w:gridSpan w:val="3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Notice of Internet Availability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Record Date and Quorum</w:t>
              </w:r>
            </w:hyperlink>
          </w:p>
        </w:tc>
        <w:tc>
          <w:tcPr>
            <w:tcW w:w="568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Submission of Proxies; Revocation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Deadlines for Stockholder Proposals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Quorum</w:t>
              </w:r>
            </w:hyperlink>
          </w:p>
        </w:tc>
        <w:tc>
          <w:tcPr>
            <w:tcW w:w="2020" w:type="dxa"/>
            <w:vAlign w:val="bottom"/>
            <w:tcBorders>
              <w:top w:val="single" w:sz="8" w:color="0000EE"/>
            </w:tcBorders>
            <w:gridSpan w:val="20"/>
          </w:tcPr>
          <w:p>
            <w:pPr>
              <w:spacing w:after="0"/>
              <w:rPr>
                <w:sz w:val="17"/>
                <w:szCs w:val="17"/>
                <w:color w:val="auto"/>
              </w:rPr>
            </w:pPr>
          </w:p>
        </w:tc>
        <w:tc>
          <w:tcPr>
            <w:tcW w:w="522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Vote Required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Adjournment or Postponement of Meeting</w:t>
              </w:r>
            </w:hyperlink>
          </w:p>
        </w:tc>
        <w:tc>
          <w:tcPr>
            <w:tcW w:w="478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Expenses of Soliciting Proxies</w:t>
              </w:r>
            </w:hyperlink>
          </w:p>
        </w:tc>
        <w:tc>
          <w:tcPr>
            <w:tcW w:w="564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98"/>
        </w:trPr>
        <w:tc>
          <w:tcPr>
            <w:tcW w:w="20" w:type="dxa"/>
            <w:vAlign w:val="bottom"/>
          </w:tcPr>
          <w:p>
            <w:pPr>
              <w:spacing w:after="0"/>
              <w:rPr>
                <w:sz w:val="24"/>
                <w:szCs w:val="24"/>
                <w:color w:val="auto"/>
              </w:rPr>
            </w:pPr>
          </w:p>
        </w:tc>
        <w:tc>
          <w:tcPr>
            <w:tcW w:w="8360" w:type="dxa"/>
            <w:vAlign w:val="bottom"/>
            <w:gridSpan w:val="4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 AND BOARD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8"/>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780" w:type="dxa"/>
            <w:vAlign w:val="bottom"/>
            <w:tcBorders>
              <w:top w:val="single" w:sz="8" w:color="0000EE"/>
            </w:tcBorders>
            <w:gridSpan w:val="3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 Philosophy</w:t>
              </w:r>
            </w:hyperlink>
          </w:p>
        </w:tc>
        <w:tc>
          <w:tcPr>
            <w:tcW w:w="406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Changes to the Board of Directors During 2020</w:t>
              </w:r>
            </w:hyperlink>
          </w:p>
        </w:tc>
        <w:tc>
          <w:tcPr>
            <w:tcW w:w="442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of Directors Meetings and Attendance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Director Independence</w:t>
              </w:r>
            </w:hyperlink>
          </w:p>
        </w:tc>
        <w:tc>
          <w:tcPr>
            <w:tcW w:w="1580" w:type="dxa"/>
            <w:vAlign w:val="bottom"/>
            <w:tcBorders>
              <w:top w:val="single" w:sz="8" w:color="0000EE"/>
            </w:tcBorders>
            <w:gridSpan w:val="20"/>
          </w:tcPr>
          <w:p>
            <w:pPr>
              <w:spacing w:after="0"/>
              <w:rPr>
                <w:sz w:val="17"/>
                <w:szCs w:val="17"/>
                <w:color w:val="auto"/>
              </w:rPr>
            </w:pPr>
          </w:p>
        </w:tc>
        <w:tc>
          <w:tcPr>
            <w:tcW w:w="462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4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Committees of Our Board of Directors During 2020</w:t>
              </w:r>
            </w:hyperlink>
          </w:p>
        </w:tc>
        <w:tc>
          <w:tcPr>
            <w:tcW w:w="41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Code of Conduct</w:t>
              </w:r>
            </w:hyperlink>
          </w:p>
        </w:tc>
        <w:tc>
          <w:tcPr>
            <w:tcW w:w="6600" w:type="dxa"/>
            <w:vAlign w:val="bottom"/>
            <w:gridSpan w:val="3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Risk Oversight</w:t>
              </w:r>
            </w:hyperlink>
          </w:p>
        </w:tc>
        <w:tc>
          <w:tcPr>
            <w:tcW w:w="6760" w:type="dxa"/>
            <w:vAlign w:val="bottom"/>
            <w:gridSpan w:val="3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Director Nomination Process</w:t>
              </w:r>
            </w:hyperlink>
          </w:p>
        </w:tc>
        <w:tc>
          <w:tcPr>
            <w:tcW w:w="5740" w:type="dxa"/>
            <w:vAlign w:val="bottom"/>
            <w:gridSpan w:val="2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Annual Elections of Directors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Policy on Majority Voting</w:t>
              </w:r>
            </w:hyperlink>
          </w:p>
        </w:tc>
        <w:tc>
          <w:tcPr>
            <w:tcW w:w="260" w:type="dxa"/>
            <w:vAlign w:val="bottom"/>
            <w:tcBorders>
              <w:top w:val="single" w:sz="8" w:color="0000EE"/>
            </w:tcBorders>
            <w:gridSpan w:val="4"/>
          </w:tcPr>
          <w:p>
            <w:pPr>
              <w:spacing w:after="0"/>
              <w:rPr>
                <w:sz w:val="17"/>
                <w:szCs w:val="17"/>
                <w:color w:val="auto"/>
              </w:rPr>
            </w:pPr>
          </w:p>
        </w:tc>
        <w:tc>
          <w:tcPr>
            <w:tcW w:w="5700" w:type="dxa"/>
            <w:vAlign w:val="bottom"/>
            <w:gridSpan w:val="2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Compensation Committee Interlocks and Insider Participation</w:t>
              </w:r>
            </w:hyperlink>
          </w:p>
        </w:tc>
        <w:tc>
          <w:tcPr>
            <w:tcW w:w="338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Stockholder Communications with the Board of Directors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Stock Ownership Policy</w:t>
              </w:r>
            </w:hyperlink>
          </w:p>
        </w:tc>
        <w:tc>
          <w:tcPr>
            <w:tcW w:w="368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Anti-Hedging and Anti-Pledging Policy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of Directors</w:t>
              </w:r>
            </w:hyperlink>
          </w:p>
        </w:tc>
        <w:tc>
          <w:tcPr>
            <w:tcW w:w="49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2020 Director Compensation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360" w:type="dxa"/>
            <w:vAlign w:val="bottom"/>
            <w:gridSpan w:val="4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PROPOSAL NO. 1 ELECTION OF DIRECTORS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9"/>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Composition of our Board of Directors</w:t>
              </w:r>
            </w:hyperlink>
          </w:p>
        </w:tc>
        <w:tc>
          <w:tcPr>
            <w:tcW w:w="320" w:type="dxa"/>
            <w:vAlign w:val="bottom"/>
            <w:tcBorders>
              <w:top w:val="single" w:sz="8" w:color="0000EE"/>
            </w:tcBorders>
            <w:gridSpan w:val="4"/>
          </w:tcPr>
          <w:p>
            <w:pPr>
              <w:spacing w:after="0"/>
              <w:rPr>
                <w:sz w:val="24"/>
                <w:szCs w:val="24"/>
                <w:color w:val="auto"/>
              </w:rPr>
            </w:pPr>
          </w:p>
        </w:tc>
        <w:tc>
          <w:tcPr>
            <w:tcW w:w="472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Directors and Director Nominees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020" w:type="dxa"/>
            <w:vAlign w:val="bottom"/>
            <w:tcBorders>
              <w:bottom w:val="single" w:sz="8" w:color="0000EE"/>
            </w:tcBorders>
            <w:gridSpan w:val="39"/>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PROPOSAL NO. 2 ADVISORY VOTE TO APPROVE NAMED EXECUTIVE OFFICER COMPENSATION</w:t>
              </w:r>
            </w:hyperlink>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9"/>
        </w:trPr>
        <w:tc>
          <w:tcPr>
            <w:tcW w:w="2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EXECUTIVE OFFICERS</w:t>
              </w:r>
            </w:hyperlink>
          </w:p>
        </w:tc>
        <w:tc>
          <w:tcPr>
            <w:tcW w:w="6460" w:type="dxa"/>
            <w:vAlign w:val="bottom"/>
            <w:gridSpan w:val="3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8"/>
        </w:trPr>
        <w:tc>
          <w:tcPr>
            <w:tcW w:w="20" w:type="dxa"/>
            <w:vAlign w:val="bottom"/>
          </w:tcPr>
          <w:p>
            <w:pPr>
              <w:spacing w:after="0"/>
              <w:rPr>
                <w:sz w:val="24"/>
                <w:szCs w:val="24"/>
                <w:color w:val="auto"/>
              </w:rPr>
            </w:pPr>
          </w:p>
        </w:tc>
        <w:tc>
          <w:tcPr>
            <w:tcW w:w="24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EXECUTIVE COMPENSATION</w:t>
              </w:r>
            </w:hyperlink>
          </w:p>
        </w:tc>
        <w:tc>
          <w:tcPr>
            <w:tcW w:w="5900" w:type="dxa"/>
            <w:vAlign w:val="bottom"/>
            <w:gridSpan w:val="2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9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40" w:type="dxa"/>
            <w:vAlign w:val="bottom"/>
            <w:gridSpan w:val="3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Compensation Discussion and Analysis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Clawback Policy</w:t>
              </w:r>
            </w:hyperlink>
          </w:p>
        </w:tc>
        <w:tc>
          <w:tcPr>
            <w:tcW w:w="1620" w:type="dxa"/>
            <w:vAlign w:val="bottom"/>
            <w:tcBorders>
              <w:top w:val="single" w:sz="8" w:color="0000EE"/>
            </w:tcBorders>
            <w:gridSpan w:val="19"/>
          </w:tcPr>
          <w:p>
            <w:pPr>
              <w:spacing w:after="0"/>
              <w:rPr>
                <w:sz w:val="17"/>
                <w:szCs w:val="17"/>
                <w:color w:val="auto"/>
              </w:rPr>
            </w:pPr>
          </w:p>
        </w:tc>
        <w:tc>
          <w:tcPr>
            <w:tcW w:w="500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Compensation of Named Executive Officers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Executive Employment Agreements</w:t>
              </w:r>
            </w:hyperlink>
          </w:p>
        </w:tc>
        <w:tc>
          <w:tcPr>
            <w:tcW w:w="466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gridSpan w:val="19"/>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1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Potential Payments upon Termination or Change in Control</w:t>
              </w:r>
            </w:hyperlink>
          </w:p>
        </w:tc>
        <w:tc>
          <w:tcPr>
            <w:tcW w:w="35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Compensation Committee Report</w:t>
              </w:r>
            </w:hyperlink>
          </w:p>
        </w:tc>
        <w:tc>
          <w:tcPr>
            <w:tcW w:w="536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99"/>
        </w:trPr>
        <w:tc>
          <w:tcPr>
            <w:tcW w:w="20" w:type="dxa"/>
            <w:vAlign w:val="bottom"/>
          </w:tcPr>
          <w:p>
            <w:pPr>
              <w:spacing w:after="0"/>
              <w:rPr>
                <w:sz w:val="24"/>
                <w:szCs w:val="24"/>
                <w:color w:val="auto"/>
              </w:rPr>
            </w:pPr>
          </w:p>
        </w:tc>
        <w:tc>
          <w:tcPr>
            <w:tcW w:w="8360" w:type="dxa"/>
            <w:vAlign w:val="bottom"/>
            <w:gridSpan w:val="4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PROPOSAL NO. 3 RATIFICATION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99"/>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260" w:type="dxa"/>
            <w:vAlign w:val="bottom"/>
            <w:tcBorders>
              <w:top w:val="single" w:sz="8" w:color="0000EE"/>
            </w:tcBorders>
            <w:gridSpan w:val="3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Fees</w:t>
              </w:r>
            </w:hyperlink>
          </w:p>
        </w:tc>
        <w:tc>
          <w:tcPr>
            <w:tcW w:w="5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20" w:type="dxa"/>
            <w:vAlign w:val="bottom"/>
            <w:gridSpan w:val="3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40" w:type="dxa"/>
            <w:vAlign w:val="bottom"/>
            <w:gridSpan w:val="3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Approval of Independent Registered Public Accounting Firm Services and Fees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810"/>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0000EE"/>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AUDIT COMMITTEE REPORT</w:t>
              </w:r>
            </w:hyperlink>
          </w:p>
        </w:tc>
        <w:tc>
          <w:tcPr>
            <w:tcW w:w="5640" w:type="dxa"/>
            <w:vAlign w:val="bottom"/>
            <w:gridSpan w:val="8"/>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Primary Responsibilities of the Audit Committee and the Audit Committee’s Activities in 2020</w:t>
              </w:r>
            </w:hyperlink>
          </w:p>
        </w:tc>
        <w:tc>
          <w:tcPr>
            <w:tcW w:w="6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20" w:type="dxa"/>
            <w:vAlign w:val="bottom"/>
            <w:gridSpan w:val="1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2020 Audited Financial Statements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40" w:type="dxa"/>
            <w:vAlign w:val="bottom"/>
            <w:gridSpan w:val="1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BENEFICIAL OWNERSHIP OF COMMON STOCK</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CERTAIN RELATIONSHIPS AND RELATED TRANSACTIONS</w:t>
              </w:r>
            </w:hyperlink>
          </w:p>
        </w:tc>
        <w:tc>
          <w:tcPr>
            <w:tcW w:w="3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52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Policies and Procedures for Related Party Transactions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Transactions</w:t>
              </w:r>
            </w:hyperlink>
          </w:p>
        </w:tc>
        <w:tc>
          <w:tcPr>
            <w:tcW w:w="358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40" w:type="dxa"/>
            <w:vAlign w:val="bottom"/>
            <w:gridSpan w:val="1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DELINQUENT SECTION 16(a) COMPLIANCE</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20" w:type="dxa"/>
            <w:vAlign w:val="bottom"/>
          </w:tcPr>
          <w:p>
            <w:pPr>
              <w:spacing w:after="0"/>
              <w:rPr>
                <w:sz w:val="24"/>
                <w:szCs w:val="24"/>
                <w:color w:val="auto"/>
              </w:rPr>
            </w:pPr>
          </w:p>
        </w:tc>
        <w:tc>
          <w:tcPr>
            <w:tcW w:w="3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HOUSEHOLDING OF PROXY MATERIALS</w:t>
              </w:r>
            </w:hyperlink>
          </w:p>
        </w:tc>
        <w:tc>
          <w:tcPr>
            <w:tcW w:w="180" w:type="dxa"/>
            <w:vAlign w:val="bottom"/>
            <w:tcBorders>
              <w:top w:val="single" w:sz="8" w:color="0000EE"/>
            </w:tcBorders>
          </w:tcPr>
          <w:p>
            <w:pPr>
              <w:spacing w:after="0"/>
              <w:rPr>
                <w:sz w:val="24"/>
                <w:szCs w:val="24"/>
                <w:color w:val="auto"/>
              </w:rPr>
            </w:pPr>
          </w:p>
        </w:tc>
        <w:tc>
          <w:tcPr>
            <w:tcW w:w="446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20" w:type="dxa"/>
            <w:vAlign w:val="bottom"/>
          </w:tcPr>
          <w:p>
            <w:pPr>
              <w:spacing w:after="0"/>
              <w:rPr>
                <w:sz w:val="24"/>
                <w:szCs w:val="24"/>
                <w:color w:val="auto"/>
              </w:rPr>
            </w:pPr>
          </w:p>
        </w:tc>
        <w:tc>
          <w:tcPr>
            <w:tcW w:w="8040" w:type="dxa"/>
            <w:vAlign w:val="bottom"/>
            <w:gridSpan w:val="1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ADDITIONAL INFORMATION</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811"/>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4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1669415</wp:posOffset>
            </wp:positionV>
            <wp:extent cx="564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840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128905</wp:posOffset>
            </wp:positionV>
            <wp:extent cx="5648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9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2020 performance, please review the Company’s Annual Report on Form 10-K for the year ended December 31, 2020.</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w:t>
      </w:r>
    </w:p>
    <w:p>
      <w:pPr>
        <w:spacing w:after="0" w:line="220"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Wednesday, June 16, 2021 9:00 a.m., Arizona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5"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7"/>
          <w:szCs w:val="17"/>
          <w:color w:val="auto"/>
        </w:rPr>
        <w:t>April 22, 2021</w:t>
      </w:r>
    </w:p>
    <w:p>
      <w:pPr>
        <w:spacing w:after="0" w:line="225"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Grand Canyon Education, Inc.</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2600 W. Camelback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Phoenix, Arizona 85017</w:t>
      </w:r>
    </w:p>
    <w:p>
      <w:pPr>
        <w:spacing w:after="0" w:line="207" w:lineRule="exact"/>
        <w:rPr>
          <w:sz w:val="20"/>
          <w:szCs w:val="20"/>
          <w:color w:val="auto"/>
        </w:rPr>
      </w:pPr>
    </w:p>
    <w:p>
      <w:pPr>
        <w:ind w:left="1620" w:right="219" w:hanging="1559"/>
        <w:spacing w:after="0" w:line="293" w:lineRule="auto"/>
        <w:tabs>
          <w:tab w:leader="none" w:pos="160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Please help us save time and administrative costs by submitting your proxy through the Internet or by telephone. Each method is generally available 24 hours a day and will ensure that your voting instructions are confirmed and posted immediately. Stockholders of record as of April 22, 2021 may cast their votes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313055</wp:posOffset>
            </wp:positionV>
            <wp:extent cx="300355"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0355" cy="52260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278765</wp:posOffset>
            </wp:positionV>
            <wp:extent cx="600075" cy="557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 cy="55753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339090</wp:posOffset>
            </wp:positionV>
            <wp:extent cx="436880"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6880" cy="49720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124460</wp:posOffset>
            </wp:positionV>
            <wp:extent cx="539750" cy="711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975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740" w:type="dxa"/>
            <w:vAlign w:val="bottom"/>
          </w:tcPr>
          <w:p>
            <w:pPr>
              <w:spacing w:after="0"/>
              <w:rPr>
                <w:sz w:val="15"/>
                <w:szCs w:val="15"/>
                <w:color w:val="auto"/>
              </w:rPr>
            </w:pPr>
          </w:p>
        </w:tc>
        <w:tc>
          <w:tcPr>
            <w:tcW w:w="1440" w:type="dxa"/>
            <w:vAlign w:val="bottom"/>
          </w:tcPr>
          <w:p>
            <w:pPr>
              <w:jc w:val="right"/>
              <w:ind w:right="804"/>
              <w:spacing w:after="0"/>
              <w:rPr>
                <w:sz w:val="20"/>
                <w:szCs w:val="20"/>
                <w:color w:val="auto"/>
              </w:rPr>
            </w:pPr>
            <w:r>
              <w:rPr>
                <w:rFonts w:ascii="Arial" w:cs="Arial" w:eastAsia="Arial" w:hAnsi="Arial"/>
                <w:sz w:val="15"/>
                <w:szCs w:val="15"/>
                <w:b w:val="1"/>
                <w:bCs w:val="1"/>
                <w:color w:val="3C5F52"/>
                <w:w w:val="98"/>
              </w:rPr>
              <w:t>Internet</w:t>
            </w:r>
          </w:p>
        </w:tc>
        <w:tc>
          <w:tcPr>
            <w:tcW w:w="840" w:type="dxa"/>
            <w:vAlign w:val="bottom"/>
          </w:tcPr>
          <w:p>
            <w:pPr>
              <w:spacing w:after="0"/>
              <w:rPr>
                <w:sz w:val="15"/>
                <w:szCs w:val="15"/>
                <w:color w:val="auto"/>
              </w:rPr>
            </w:pPr>
          </w:p>
        </w:tc>
        <w:tc>
          <w:tcPr>
            <w:tcW w:w="1440" w:type="dxa"/>
            <w:vAlign w:val="bottom"/>
          </w:tcPr>
          <w:p>
            <w:pPr>
              <w:jc w:val="right"/>
              <w:ind w:right="864"/>
              <w:spacing w:after="0"/>
              <w:rPr>
                <w:sz w:val="20"/>
                <w:szCs w:val="20"/>
                <w:color w:val="auto"/>
              </w:rPr>
            </w:pPr>
            <w:r>
              <w:rPr>
                <w:rFonts w:ascii="Arial" w:cs="Arial" w:eastAsia="Arial" w:hAnsi="Arial"/>
                <w:sz w:val="15"/>
                <w:szCs w:val="15"/>
                <w:b w:val="1"/>
                <w:bCs w:val="1"/>
                <w:color w:val="3C5F52"/>
              </w:rPr>
              <w:t>Phone</w:t>
            </w:r>
          </w:p>
        </w:tc>
        <w:tc>
          <w:tcPr>
            <w:tcW w:w="2260" w:type="dxa"/>
            <w:vAlign w:val="bottom"/>
          </w:tcPr>
          <w:p>
            <w:pPr>
              <w:ind w:left="980"/>
              <w:spacing w:after="0"/>
              <w:rPr>
                <w:sz w:val="20"/>
                <w:szCs w:val="20"/>
                <w:color w:val="auto"/>
              </w:rPr>
            </w:pPr>
            <w:r>
              <w:rPr>
                <w:rFonts w:ascii="Arial" w:cs="Arial" w:eastAsia="Arial" w:hAnsi="Arial"/>
                <w:sz w:val="15"/>
                <w:szCs w:val="15"/>
                <w:b w:val="1"/>
                <w:bCs w:val="1"/>
                <w:color w:val="3C5F52"/>
              </w:rPr>
              <w:t>Mail</w:t>
            </w:r>
          </w:p>
        </w:tc>
        <w:tc>
          <w:tcPr>
            <w:tcW w:w="2180" w:type="dxa"/>
            <w:vAlign w:val="bottom"/>
          </w:tcPr>
          <w:p>
            <w:pPr>
              <w:ind w:left="820"/>
              <w:spacing w:after="0"/>
              <w:rPr>
                <w:sz w:val="20"/>
                <w:szCs w:val="20"/>
                <w:color w:val="auto"/>
              </w:rPr>
            </w:pPr>
            <w:r>
              <w:rPr>
                <w:rFonts w:ascii="Arial" w:cs="Arial" w:eastAsia="Arial" w:hAnsi="Arial"/>
                <w:sz w:val="15"/>
                <w:szCs w:val="15"/>
                <w:b w:val="1"/>
                <w:bCs w:val="1"/>
                <w:color w:val="3C5F52"/>
              </w:rPr>
              <w:t>In Person</w:t>
            </w:r>
          </w:p>
        </w:tc>
      </w:tr>
      <w:tr>
        <w:trPr>
          <w:trHeight w:val="162"/>
        </w:trPr>
        <w:tc>
          <w:tcPr>
            <w:tcW w:w="740" w:type="dxa"/>
            <w:vAlign w:val="bottom"/>
          </w:tcPr>
          <w:p>
            <w:pPr>
              <w:spacing w:after="0" w:line="162" w:lineRule="exact"/>
              <w:rPr>
                <w:sz w:val="20"/>
                <w:szCs w:val="20"/>
                <w:color w:val="auto"/>
              </w:rPr>
            </w:pPr>
            <w:r>
              <w:rPr>
                <w:rFonts w:ascii="Arial" w:cs="Arial" w:eastAsia="Arial" w:hAnsi="Arial"/>
                <w:sz w:val="15"/>
                <w:szCs w:val="15"/>
                <w:color w:val="auto"/>
              </w:rPr>
              <w:t>Visit</w:t>
            </w:r>
          </w:p>
        </w:tc>
        <w:tc>
          <w:tcPr>
            <w:tcW w:w="1440" w:type="dxa"/>
            <w:vAlign w:val="bottom"/>
          </w:tcPr>
          <w:p>
            <w:pPr>
              <w:spacing w:after="0"/>
              <w:rPr>
                <w:sz w:val="14"/>
                <w:szCs w:val="14"/>
                <w:color w:val="auto"/>
              </w:rPr>
            </w:pPr>
          </w:p>
        </w:tc>
        <w:tc>
          <w:tcPr>
            <w:tcW w:w="2280" w:type="dxa"/>
            <w:vAlign w:val="bottom"/>
            <w:gridSpan w:val="2"/>
          </w:tcPr>
          <w:p>
            <w:pPr>
              <w:ind w:left="100"/>
              <w:spacing w:after="0" w:line="162" w:lineRule="exact"/>
              <w:rPr>
                <w:sz w:val="20"/>
                <w:szCs w:val="20"/>
                <w:color w:val="auto"/>
              </w:rPr>
            </w:pPr>
            <w:r>
              <w:rPr>
                <w:rFonts w:ascii="Arial" w:cs="Arial" w:eastAsia="Arial" w:hAnsi="Arial"/>
                <w:sz w:val="15"/>
                <w:szCs w:val="15"/>
                <w:color w:val="auto"/>
                <w:w w:val="99"/>
              </w:rPr>
              <w:t>Call 1-800-652-VOTE (8683), 24</w:t>
            </w:r>
          </w:p>
        </w:tc>
        <w:tc>
          <w:tcPr>
            <w:tcW w:w="2260" w:type="dxa"/>
            <w:vAlign w:val="bottom"/>
          </w:tcPr>
          <w:p>
            <w:pPr>
              <w:ind w:left="80"/>
              <w:spacing w:after="0" w:line="162" w:lineRule="exact"/>
              <w:rPr>
                <w:sz w:val="20"/>
                <w:szCs w:val="20"/>
                <w:color w:val="auto"/>
              </w:rPr>
            </w:pPr>
            <w:r>
              <w:rPr>
                <w:rFonts w:ascii="Arial" w:cs="Arial" w:eastAsia="Arial" w:hAnsi="Arial"/>
                <w:sz w:val="15"/>
                <w:szCs w:val="15"/>
                <w:color w:val="auto"/>
              </w:rPr>
              <w:t>Mark, sign and date your proxy</w:t>
            </w: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w w:val="96"/>
              </w:rPr>
              <w:t>If you plan to attend the meeting</w:t>
            </w:r>
          </w:p>
        </w:tc>
      </w:tr>
      <w:tr>
        <w:trPr>
          <w:trHeight w:val="162"/>
        </w:trPr>
        <w:tc>
          <w:tcPr>
            <w:tcW w:w="2180" w:type="dxa"/>
            <w:vAlign w:val="bottom"/>
            <w:gridSpan w:val="2"/>
          </w:tcPr>
          <w:p>
            <w:pPr>
              <w:spacing w:after="0" w:line="162" w:lineRule="exact"/>
              <w:rPr>
                <w:sz w:val="20"/>
                <w:szCs w:val="20"/>
                <w:color w:val="auto"/>
              </w:rPr>
            </w:pPr>
            <w:r>
              <w:rPr>
                <w:rFonts w:ascii="Arial" w:cs="Arial" w:eastAsia="Arial" w:hAnsi="Arial"/>
                <w:sz w:val="15"/>
                <w:szCs w:val="15"/>
                <w:i w:val="1"/>
                <w:iCs w:val="1"/>
                <w:color w:val="auto"/>
                <w:w w:val="98"/>
              </w:rPr>
              <w:t>www.investorvote.com/LOPE</w:t>
            </w:r>
            <w:r>
              <w:rPr>
                <w:rFonts w:ascii="Arial" w:cs="Arial" w:eastAsia="Arial" w:hAnsi="Arial"/>
                <w:sz w:val="15"/>
                <w:szCs w:val="15"/>
                <w:color w:val="auto"/>
                <w:w w:val="98"/>
              </w:rPr>
              <w:t>, 24</w:t>
            </w:r>
          </w:p>
        </w:tc>
        <w:tc>
          <w:tcPr>
            <w:tcW w:w="2280" w:type="dxa"/>
            <w:vAlign w:val="bottom"/>
            <w:gridSpan w:val="2"/>
          </w:tcPr>
          <w:p>
            <w:pPr>
              <w:ind w:left="100"/>
              <w:spacing w:after="0" w:line="162" w:lineRule="exact"/>
              <w:rPr>
                <w:sz w:val="20"/>
                <w:szCs w:val="20"/>
                <w:color w:val="auto"/>
              </w:rPr>
            </w:pPr>
            <w:r>
              <w:rPr>
                <w:rFonts w:ascii="Arial" w:cs="Arial" w:eastAsia="Arial" w:hAnsi="Arial"/>
                <w:sz w:val="15"/>
                <w:szCs w:val="15"/>
                <w:color w:val="auto"/>
                <w:w w:val="98"/>
              </w:rPr>
              <w:t>hours a day, seven days a week,</w:t>
            </w:r>
          </w:p>
        </w:tc>
        <w:tc>
          <w:tcPr>
            <w:tcW w:w="2260" w:type="dxa"/>
            <w:vAlign w:val="bottom"/>
          </w:tcPr>
          <w:p>
            <w:pPr>
              <w:ind w:left="80"/>
              <w:spacing w:after="0" w:line="162" w:lineRule="exact"/>
              <w:rPr>
                <w:sz w:val="20"/>
                <w:szCs w:val="20"/>
                <w:color w:val="auto"/>
              </w:rPr>
            </w:pPr>
            <w:r>
              <w:rPr>
                <w:rFonts w:ascii="Arial" w:cs="Arial" w:eastAsia="Arial" w:hAnsi="Arial"/>
                <w:sz w:val="15"/>
                <w:szCs w:val="15"/>
                <w:color w:val="auto"/>
              </w:rPr>
              <w:t>card. Return it in the enclosed</w:t>
            </w: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w w:val="97"/>
              </w:rPr>
              <w:t>in person, you will need to bring</w:t>
            </w:r>
          </w:p>
        </w:tc>
      </w:tr>
      <w:tr>
        <w:trPr>
          <w:trHeight w:val="162"/>
        </w:trPr>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w w:val="98"/>
              </w:rPr>
              <w:t>hours a day, seven days a week,</w:t>
            </w:r>
          </w:p>
        </w:tc>
        <w:tc>
          <w:tcPr>
            <w:tcW w:w="22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through  11:00  p.m.  (PT)  on</w:t>
            </w:r>
          </w:p>
        </w:tc>
        <w:tc>
          <w:tcPr>
            <w:tcW w:w="2260" w:type="dxa"/>
            <w:vAlign w:val="bottom"/>
          </w:tcPr>
          <w:p>
            <w:pPr>
              <w:ind w:left="80"/>
              <w:spacing w:after="0" w:line="162" w:lineRule="exact"/>
              <w:rPr>
                <w:sz w:val="20"/>
                <w:szCs w:val="20"/>
                <w:color w:val="auto"/>
              </w:rPr>
            </w:pPr>
            <w:r>
              <w:rPr>
                <w:rFonts w:ascii="Arial" w:cs="Arial" w:eastAsia="Arial" w:hAnsi="Arial"/>
                <w:sz w:val="15"/>
                <w:szCs w:val="15"/>
                <w:color w:val="auto"/>
              </w:rPr>
              <w:t>postage-paid envelope</w:t>
            </w: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rPr>
              <w:t>a  picture  ID  and  proof  of</w:t>
            </w:r>
          </w:p>
        </w:tc>
      </w:tr>
      <w:tr>
        <w:trPr>
          <w:trHeight w:val="162"/>
        </w:trPr>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rPr>
              <w:t>through  11:00  p.m.  (PT)  on</w:t>
            </w:r>
          </w:p>
        </w:tc>
        <w:tc>
          <w:tcPr>
            <w:tcW w:w="22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June  15,  2021.  Please  have</w:t>
            </w:r>
          </w:p>
        </w:tc>
        <w:tc>
          <w:tcPr>
            <w:tcW w:w="226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rPr>
              <w:t>ownership  of  Grand  Canyon</w:t>
            </w:r>
          </w:p>
        </w:tc>
      </w:tr>
      <w:tr>
        <w:trPr>
          <w:trHeight w:val="162"/>
        </w:trPr>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rPr>
              <w:t>June  15,  2021.  Please  have</w:t>
            </w:r>
          </w:p>
        </w:tc>
        <w:tc>
          <w:tcPr>
            <w:tcW w:w="840" w:type="dxa"/>
            <w:vAlign w:val="bottom"/>
          </w:tcPr>
          <w:p>
            <w:pPr>
              <w:ind w:left="100"/>
              <w:spacing w:after="0" w:line="162" w:lineRule="exact"/>
              <w:rPr>
                <w:sz w:val="20"/>
                <w:szCs w:val="20"/>
                <w:color w:val="auto"/>
              </w:rPr>
            </w:pPr>
            <w:r>
              <w:rPr>
                <w:rFonts w:ascii="Arial" w:cs="Arial" w:eastAsia="Arial" w:hAnsi="Arial"/>
                <w:sz w:val="15"/>
                <w:szCs w:val="15"/>
                <w:color w:val="auto"/>
              </w:rPr>
              <w:t>available</w:t>
            </w: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your   notice   card.</w:t>
            </w:r>
          </w:p>
        </w:tc>
        <w:tc>
          <w:tcPr>
            <w:tcW w:w="226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w w:val="93"/>
              </w:rPr>
              <w:t>Education, Inc. common stock as</w:t>
            </w:r>
          </w:p>
        </w:tc>
      </w:tr>
      <w:tr>
        <w:trPr>
          <w:trHeight w:val="162"/>
        </w:trPr>
        <w:tc>
          <w:tcPr>
            <w:tcW w:w="740" w:type="dxa"/>
            <w:vAlign w:val="bottom"/>
          </w:tcPr>
          <w:p>
            <w:pPr>
              <w:spacing w:after="0" w:line="162" w:lineRule="exact"/>
              <w:rPr>
                <w:sz w:val="20"/>
                <w:szCs w:val="20"/>
                <w:color w:val="auto"/>
              </w:rPr>
            </w:pPr>
            <w:r>
              <w:rPr>
                <w:rFonts w:ascii="Arial" w:cs="Arial" w:eastAsia="Arial" w:hAnsi="Arial"/>
                <w:sz w:val="15"/>
                <w:szCs w:val="15"/>
                <w:color w:val="auto"/>
              </w:rPr>
              <w:t>available</w:t>
            </w:r>
          </w:p>
        </w:tc>
        <w:tc>
          <w:tcPr>
            <w:tcW w:w="14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your   notice   card.</w:t>
            </w:r>
          </w:p>
        </w:tc>
        <w:tc>
          <w:tcPr>
            <w:tcW w:w="840" w:type="dxa"/>
            <w:vAlign w:val="bottom"/>
          </w:tcPr>
          <w:p>
            <w:pPr>
              <w:ind w:left="100"/>
              <w:spacing w:after="0" w:line="162" w:lineRule="exact"/>
              <w:rPr>
                <w:sz w:val="20"/>
                <w:szCs w:val="20"/>
                <w:color w:val="auto"/>
              </w:rPr>
            </w:pPr>
            <w:r>
              <w:rPr>
                <w:rFonts w:ascii="Arial" w:cs="Arial" w:eastAsia="Arial" w:hAnsi="Arial"/>
                <w:sz w:val="15"/>
                <w:szCs w:val="15"/>
                <w:color w:val="auto"/>
                <w:w w:val="99"/>
              </w:rPr>
              <w:t>Follow  the</w:t>
            </w: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simple  instructions</w:t>
            </w:r>
          </w:p>
        </w:tc>
        <w:tc>
          <w:tcPr>
            <w:tcW w:w="2260" w:type="dxa"/>
            <w:vAlign w:val="bottom"/>
          </w:tcPr>
          <w:p>
            <w:pPr>
              <w:spacing w:after="0"/>
              <w:rPr>
                <w:sz w:val="14"/>
                <w:szCs w:val="14"/>
                <w:color w:val="auto"/>
              </w:rPr>
            </w:pPr>
          </w:p>
        </w:tc>
        <w:tc>
          <w:tcPr>
            <w:tcW w:w="2180" w:type="dxa"/>
            <w:vAlign w:val="bottom"/>
          </w:tcPr>
          <w:p>
            <w:pPr>
              <w:ind w:left="100"/>
              <w:spacing w:after="0" w:line="162" w:lineRule="exact"/>
              <w:rPr>
                <w:sz w:val="20"/>
                <w:szCs w:val="20"/>
                <w:color w:val="auto"/>
              </w:rPr>
            </w:pPr>
            <w:r>
              <w:rPr>
                <w:rFonts w:ascii="Arial" w:cs="Arial" w:eastAsia="Arial" w:hAnsi="Arial"/>
                <w:sz w:val="15"/>
                <w:szCs w:val="15"/>
                <w:color w:val="auto"/>
              </w:rPr>
              <w:t>of the record date.</w:t>
            </w:r>
          </w:p>
        </w:tc>
      </w:tr>
      <w:tr>
        <w:trPr>
          <w:trHeight w:val="162"/>
        </w:trPr>
        <w:tc>
          <w:tcPr>
            <w:tcW w:w="740" w:type="dxa"/>
            <w:vAlign w:val="bottom"/>
          </w:tcPr>
          <w:p>
            <w:pPr>
              <w:spacing w:after="0" w:line="162" w:lineRule="exact"/>
              <w:rPr>
                <w:sz w:val="20"/>
                <w:szCs w:val="20"/>
                <w:color w:val="auto"/>
              </w:rPr>
            </w:pPr>
            <w:r>
              <w:rPr>
                <w:rFonts w:ascii="Arial" w:cs="Arial" w:eastAsia="Arial" w:hAnsi="Arial"/>
                <w:sz w:val="15"/>
                <w:szCs w:val="15"/>
                <w:color w:val="auto"/>
                <w:w w:val="99"/>
              </w:rPr>
              <w:t>Follow  the</w:t>
            </w:r>
          </w:p>
        </w:tc>
        <w:tc>
          <w:tcPr>
            <w:tcW w:w="14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simple  instructions</w:t>
            </w:r>
          </w:p>
        </w:tc>
        <w:tc>
          <w:tcPr>
            <w:tcW w:w="840" w:type="dxa"/>
            <w:vAlign w:val="bottom"/>
          </w:tcPr>
          <w:p>
            <w:pPr>
              <w:ind w:left="100"/>
              <w:spacing w:after="0" w:line="162" w:lineRule="exact"/>
              <w:rPr>
                <w:sz w:val="20"/>
                <w:szCs w:val="20"/>
                <w:color w:val="auto"/>
              </w:rPr>
            </w:pPr>
            <w:r>
              <w:rPr>
                <w:rFonts w:ascii="Arial" w:cs="Arial" w:eastAsia="Arial" w:hAnsi="Arial"/>
                <w:sz w:val="15"/>
                <w:szCs w:val="15"/>
                <w:color w:val="auto"/>
              </w:rPr>
              <w:t>provided.</w:t>
            </w:r>
          </w:p>
        </w:tc>
        <w:tc>
          <w:tcPr>
            <w:tcW w:w="1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94"/>
        </w:trPr>
        <w:tc>
          <w:tcPr>
            <w:tcW w:w="740" w:type="dxa"/>
            <w:vAlign w:val="bottom"/>
          </w:tcPr>
          <w:p>
            <w:pPr>
              <w:spacing w:after="0"/>
              <w:rPr>
                <w:sz w:val="20"/>
                <w:szCs w:val="20"/>
                <w:color w:val="auto"/>
              </w:rPr>
            </w:pPr>
            <w:r>
              <w:rPr>
                <w:rFonts w:ascii="Arial" w:cs="Arial" w:eastAsia="Arial" w:hAnsi="Arial"/>
                <w:sz w:val="15"/>
                <w:szCs w:val="15"/>
                <w:color w:val="auto"/>
              </w:rPr>
              <w:t>provided.</w:t>
            </w: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MATTERS TO BE VOTED UPON AND BOARD RECOMMENDATIONS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Stockholders are being asked to vote on the following matters at the Annual Meeting:</w:t>
      </w:r>
    </w:p>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140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i w:val="1"/>
                <w:iCs w:val="1"/>
                <w:color w:val="auto"/>
              </w:rPr>
              <w:t>Proposal</w:t>
            </w:r>
          </w:p>
        </w:tc>
        <w:tc>
          <w:tcPr>
            <w:tcW w:w="3000" w:type="dxa"/>
            <w:vAlign w:val="bottom"/>
            <w:tcBorders>
              <w:top w:val="single" w:sz="8" w:color="auto"/>
            </w:tcBorders>
          </w:tcPr>
          <w:p>
            <w:pPr>
              <w:ind w:left="680"/>
              <w:spacing w:after="0"/>
              <w:rPr>
                <w:sz w:val="20"/>
                <w:szCs w:val="20"/>
                <w:color w:val="auto"/>
              </w:rPr>
            </w:pPr>
            <w:r>
              <w:rPr>
                <w:rFonts w:ascii="Arial" w:cs="Arial" w:eastAsia="Arial" w:hAnsi="Arial"/>
                <w:sz w:val="16"/>
                <w:szCs w:val="16"/>
                <w:b w:val="1"/>
                <w:bCs w:val="1"/>
                <w:i w:val="1"/>
                <w:iCs w:val="1"/>
                <w:color w:val="auto"/>
              </w:rPr>
              <w:t>Description</w:t>
            </w:r>
          </w:p>
        </w:tc>
        <w:tc>
          <w:tcPr>
            <w:tcW w:w="2820" w:type="dxa"/>
            <w:vAlign w:val="bottom"/>
            <w:tcBorders>
              <w:top w:val="single" w:sz="8" w:color="auto"/>
            </w:tcBorders>
          </w:tcPr>
          <w:p>
            <w:pPr>
              <w:ind w:left="1540"/>
              <w:spacing w:after="0"/>
              <w:rPr>
                <w:sz w:val="20"/>
                <w:szCs w:val="20"/>
                <w:color w:val="auto"/>
              </w:rPr>
            </w:pPr>
            <w:r>
              <w:rPr>
                <w:rFonts w:ascii="Arial" w:cs="Arial" w:eastAsia="Arial" w:hAnsi="Arial"/>
                <w:sz w:val="16"/>
                <w:szCs w:val="16"/>
                <w:b w:val="1"/>
                <w:bCs w:val="1"/>
                <w:i w:val="1"/>
                <w:iCs w:val="1"/>
                <w:color w:val="auto"/>
              </w:rPr>
              <w:t>Board</w:t>
            </w:r>
          </w:p>
        </w:tc>
        <w:tc>
          <w:tcPr>
            <w:tcW w:w="168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i w:val="1"/>
                <w:iCs w:val="1"/>
                <w:color w:val="auto"/>
              </w:rPr>
              <w:t>Page Reference for</w:t>
            </w:r>
          </w:p>
        </w:tc>
      </w:tr>
      <w:tr>
        <w:trPr>
          <w:trHeight w:val="206"/>
        </w:trPr>
        <w:tc>
          <w:tcPr>
            <w:tcW w:w="1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20" w:type="dxa"/>
            <w:vAlign w:val="bottom"/>
          </w:tcPr>
          <w:p>
            <w:pPr>
              <w:ind w:left="1540"/>
              <w:spacing w:after="0"/>
              <w:rPr>
                <w:sz w:val="20"/>
                <w:szCs w:val="20"/>
                <w:color w:val="auto"/>
              </w:rPr>
            </w:pPr>
            <w:r>
              <w:rPr>
                <w:rFonts w:ascii="Arial" w:cs="Arial" w:eastAsia="Arial" w:hAnsi="Arial"/>
                <w:sz w:val="16"/>
                <w:szCs w:val="16"/>
                <w:b w:val="1"/>
                <w:bCs w:val="1"/>
                <w:i w:val="1"/>
                <w:iCs w:val="1"/>
                <w:color w:val="auto"/>
                <w:w w:val="93"/>
              </w:rPr>
              <w:t>Recommendation</w:t>
            </w:r>
          </w:p>
        </w:tc>
        <w:tc>
          <w:tcPr>
            <w:tcW w:w="1680" w:type="dxa"/>
            <w:vAlign w:val="bottom"/>
          </w:tcPr>
          <w:p>
            <w:pPr>
              <w:ind w:left="120"/>
              <w:spacing w:after="0"/>
              <w:rPr>
                <w:sz w:val="20"/>
                <w:szCs w:val="20"/>
                <w:color w:val="auto"/>
              </w:rPr>
            </w:pPr>
            <w:r>
              <w:rPr>
                <w:rFonts w:ascii="Arial" w:cs="Arial" w:eastAsia="Arial" w:hAnsi="Arial"/>
                <w:sz w:val="16"/>
                <w:szCs w:val="16"/>
                <w:b w:val="1"/>
                <w:bCs w:val="1"/>
                <w:i w:val="1"/>
                <w:iCs w:val="1"/>
                <w:color w:val="auto"/>
              </w:rPr>
              <w:t>Further Information:</w:t>
            </w:r>
          </w:p>
        </w:tc>
      </w:tr>
    </w:tbl>
    <w:p>
      <w:pPr>
        <w:spacing w:after="0" w:line="6"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4" w:lineRule="exact"/>
        <w:rPr>
          <w:sz w:val="20"/>
          <w:szCs w:val="20"/>
          <w:color w:val="auto"/>
        </w:rPr>
      </w:pPr>
    </w:p>
    <w:p>
      <w:pPr>
        <w:jc w:val="both"/>
        <w:ind w:left="380" w:hanging="195"/>
        <w:spacing w:after="0" w:line="369" w:lineRule="auto"/>
        <w:tabs>
          <w:tab w:leader="none" w:pos="388"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To elect five directors to our Board of Directors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6"/>
                <w:szCs w:val="16"/>
                <w:color w:val="auto"/>
              </w:rPr>
              <w:t>The Board and the Nominating and Corporate</w:t>
            </w:r>
          </w:p>
        </w:tc>
        <w:tc>
          <w:tcPr>
            <w:tcW w:w="1560" w:type="dxa"/>
            <w:vAlign w:val="bottom"/>
          </w:tcPr>
          <w:p>
            <w:pPr>
              <w:ind w:left="2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3640" w:type="dxa"/>
            <w:vAlign w:val="bottom"/>
          </w:tcPr>
          <w:p>
            <w:pPr>
              <w:spacing w:after="0"/>
              <w:rPr>
                <w:sz w:val="20"/>
                <w:szCs w:val="20"/>
                <w:color w:val="auto"/>
              </w:rPr>
            </w:pPr>
            <w:r>
              <w:rPr>
                <w:rFonts w:ascii="Arial" w:cs="Arial" w:eastAsia="Arial" w:hAnsi="Arial"/>
                <w:sz w:val="16"/>
                <w:szCs w:val="16"/>
                <w:color w:val="auto"/>
                <w:w w:val="98"/>
              </w:rPr>
              <w:t>Governance Committee believe that the five director</w:t>
            </w:r>
          </w:p>
        </w:tc>
        <w:tc>
          <w:tcPr>
            <w:tcW w:w="1560" w:type="dxa"/>
            <w:vAlign w:val="bottom"/>
          </w:tcPr>
          <w:p>
            <w:pPr>
              <w:ind w:left="220"/>
              <w:spacing w:after="0"/>
              <w:rPr>
                <w:sz w:val="20"/>
                <w:szCs w:val="20"/>
                <w:color w:val="auto"/>
              </w:rPr>
            </w:pPr>
            <w:r>
              <w:rPr>
                <w:rFonts w:ascii="Arial" w:cs="Arial" w:eastAsia="Arial" w:hAnsi="Arial"/>
                <w:sz w:val="16"/>
                <w:szCs w:val="16"/>
                <w:color w:val="auto"/>
              </w:rPr>
              <w:t>director nominee</w:t>
            </w:r>
          </w:p>
        </w:tc>
        <w:tc>
          <w:tcPr>
            <w:tcW w:w="4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-261620</wp:posOffset>
            </wp:positionV>
            <wp:extent cx="5648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right="3299"/>
        <w:spacing w:after="0" w:line="270" w:lineRule="auto"/>
        <w:rPr>
          <w:sz w:val="20"/>
          <w:szCs w:val="20"/>
          <w:color w:val="auto"/>
        </w:rPr>
      </w:pPr>
      <w:r>
        <w:rPr>
          <w:rFonts w:ascii="Arial" w:cs="Arial" w:eastAsia="Arial" w:hAnsi="Arial"/>
          <w:sz w:val="16"/>
          <w:szCs w:val="16"/>
          <w:color w:val="auto"/>
        </w:rPr>
        <w:t>nominees possess the necessary qualifications, attributes, skills and experiences to provide quality advice and counsel to the Company’s management and effectively oversee the business and long-term interests of our stockholders.</w:t>
      </w:r>
    </w:p>
    <w:p>
      <w:pPr>
        <w:spacing w:after="0" w:line="172" w:lineRule="exact"/>
        <w:rPr>
          <w:sz w:val="20"/>
          <w:szCs w:val="20"/>
          <w:color w:val="auto"/>
        </w:rPr>
      </w:pPr>
    </w:p>
    <w:p>
      <w:pPr>
        <w:sectPr>
          <w:pgSz w:w="11900" w:h="16838" w:orient="portrait"/>
          <w:cols w:equalWidth="0" w:num="2">
            <w:col w:w="1960" w:space="180"/>
            <w:col w:w="6879"/>
          </w:cols>
          <w:pgMar w:left="1440" w:top="517" w:right="1440"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i w:val="1"/>
                <w:iCs w:val="1"/>
                <w:color w:val="auto"/>
              </w:rPr>
              <w:t>To approve, on an</w:t>
            </w:r>
          </w:p>
        </w:tc>
        <w:tc>
          <w:tcPr>
            <w:tcW w:w="5120" w:type="dxa"/>
            <w:vAlign w:val="bottom"/>
          </w:tcPr>
          <w:p>
            <w:pPr>
              <w:ind w:left="220"/>
              <w:spacing w:after="0"/>
              <w:rPr>
                <w:sz w:val="20"/>
                <w:szCs w:val="20"/>
                <w:color w:val="auto"/>
              </w:rPr>
            </w:pPr>
            <w:r>
              <w:rPr>
                <w:rFonts w:ascii="Arial" w:cs="Arial" w:eastAsia="Arial" w:hAnsi="Arial"/>
                <w:sz w:val="16"/>
                <w:szCs w:val="16"/>
                <w:color w:val="auto"/>
              </w:rPr>
              <w:t xml:space="preserve">The Company seeks the approval, on an advisory, basis,   </w:t>
            </w:r>
            <w:r>
              <w:rPr>
                <w:rFonts w:ascii="Arial" w:cs="Arial" w:eastAsia="Arial" w:hAnsi="Arial"/>
                <w:sz w:val="16"/>
                <w:szCs w:val="16"/>
                <w:b w:val="1"/>
                <w:bCs w:val="1"/>
                <w:color w:val="auto"/>
              </w:rPr>
              <w:t>“FOR”</w:t>
            </w: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1740" w:type="dxa"/>
            <w:vAlign w:val="bottom"/>
          </w:tcPr>
          <w:p>
            <w:pPr>
              <w:ind w:left="200"/>
              <w:spacing w:after="0"/>
              <w:rPr>
                <w:sz w:val="20"/>
                <w:szCs w:val="20"/>
                <w:color w:val="auto"/>
              </w:rPr>
            </w:pPr>
            <w:r>
              <w:rPr>
                <w:rFonts w:ascii="Arial" w:cs="Arial" w:eastAsia="Arial" w:hAnsi="Arial"/>
                <w:sz w:val="16"/>
                <w:szCs w:val="16"/>
                <w:i w:val="1"/>
                <w:iCs w:val="1"/>
                <w:color w:val="auto"/>
              </w:rPr>
              <w:t>advisory basis, the</w:t>
            </w:r>
          </w:p>
        </w:tc>
        <w:tc>
          <w:tcPr>
            <w:tcW w:w="5120" w:type="dxa"/>
            <w:vAlign w:val="bottom"/>
          </w:tcPr>
          <w:p>
            <w:pPr>
              <w:ind w:left="220"/>
              <w:spacing w:after="0"/>
              <w:rPr>
                <w:sz w:val="20"/>
                <w:szCs w:val="20"/>
                <w:color w:val="auto"/>
              </w:rPr>
            </w:pPr>
            <w:r>
              <w:rPr>
                <w:rFonts w:ascii="Arial" w:cs="Arial" w:eastAsia="Arial" w:hAnsi="Arial"/>
                <w:sz w:val="16"/>
                <w:szCs w:val="16"/>
                <w:color w:val="auto"/>
              </w:rPr>
              <w:t>of the compensation of its named executive officers as</w:t>
            </w:r>
          </w:p>
        </w:tc>
        <w:tc>
          <w:tcPr>
            <w:tcW w:w="700" w:type="dxa"/>
            <w:vAlign w:val="bottom"/>
          </w:tcPr>
          <w:p>
            <w:pPr>
              <w:spacing w:after="0"/>
              <w:rPr>
                <w:sz w:val="17"/>
                <w:szCs w:val="17"/>
                <w:color w:val="auto"/>
              </w:rPr>
            </w:pPr>
          </w:p>
        </w:tc>
      </w:tr>
      <w:tr>
        <w:trPr>
          <w:trHeight w:val="203"/>
        </w:trPr>
        <w:tc>
          <w:tcPr>
            <w:tcW w:w="1740" w:type="dxa"/>
            <w:vAlign w:val="bottom"/>
          </w:tcPr>
          <w:p>
            <w:pPr>
              <w:ind w:left="200"/>
              <w:spacing w:after="0"/>
              <w:rPr>
                <w:sz w:val="20"/>
                <w:szCs w:val="20"/>
                <w:color w:val="auto"/>
              </w:rPr>
            </w:pPr>
            <w:r>
              <w:rPr>
                <w:rFonts w:ascii="Arial" w:cs="Arial" w:eastAsia="Arial" w:hAnsi="Arial"/>
                <w:sz w:val="16"/>
                <w:szCs w:val="16"/>
                <w:i w:val="1"/>
                <w:iCs w:val="1"/>
                <w:color w:val="auto"/>
              </w:rPr>
              <w:t>compensation of our</w:t>
            </w:r>
          </w:p>
        </w:tc>
        <w:tc>
          <w:tcPr>
            <w:tcW w:w="5120" w:type="dxa"/>
            <w:vAlign w:val="bottom"/>
          </w:tcPr>
          <w:p>
            <w:pPr>
              <w:ind w:left="220"/>
              <w:spacing w:after="0"/>
              <w:rPr>
                <w:sz w:val="20"/>
                <w:szCs w:val="20"/>
                <w:color w:val="auto"/>
              </w:rPr>
            </w:pPr>
            <w:r>
              <w:rPr>
                <w:rFonts w:ascii="Arial" w:cs="Arial" w:eastAsia="Arial" w:hAnsi="Arial"/>
                <w:sz w:val="16"/>
                <w:szCs w:val="16"/>
                <w:color w:val="auto"/>
              </w:rPr>
              <w:t xml:space="preserve">described in the </w:t>
            </w:r>
            <w:r>
              <w:rPr>
                <w:rFonts w:ascii="Arial" w:cs="Arial" w:eastAsia="Arial" w:hAnsi="Arial"/>
                <w:sz w:val="16"/>
                <w:szCs w:val="16"/>
                <w:i w:val="1"/>
                <w:iCs w:val="1"/>
                <w:color w:val="auto"/>
              </w:rPr>
              <w:t>Compensation Discussion and Analysis</w:t>
            </w:r>
          </w:p>
        </w:tc>
        <w:tc>
          <w:tcPr>
            <w:tcW w:w="700" w:type="dxa"/>
            <w:vAlign w:val="bottom"/>
          </w:tcPr>
          <w:p>
            <w:pPr>
              <w:spacing w:after="0"/>
              <w:rPr>
                <w:sz w:val="17"/>
                <w:szCs w:val="17"/>
                <w:color w:val="auto"/>
              </w:rPr>
            </w:pPr>
          </w:p>
        </w:tc>
      </w:tr>
      <w:tr>
        <w:trPr>
          <w:trHeight w:val="203"/>
        </w:trPr>
        <w:tc>
          <w:tcPr>
            <w:tcW w:w="1740" w:type="dxa"/>
            <w:vAlign w:val="bottom"/>
          </w:tcPr>
          <w:p>
            <w:pPr>
              <w:ind w:left="200"/>
              <w:spacing w:after="0"/>
              <w:rPr>
                <w:sz w:val="20"/>
                <w:szCs w:val="20"/>
                <w:color w:val="auto"/>
              </w:rPr>
            </w:pPr>
            <w:r>
              <w:rPr>
                <w:rFonts w:ascii="Arial" w:cs="Arial" w:eastAsia="Arial" w:hAnsi="Arial"/>
                <w:sz w:val="16"/>
                <w:szCs w:val="16"/>
                <w:i w:val="1"/>
                <w:iCs w:val="1"/>
                <w:color w:val="auto"/>
              </w:rPr>
              <w:t>named executive</w:t>
            </w:r>
          </w:p>
        </w:tc>
        <w:tc>
          <w:tcPr>
            <w:tcW w:w="5120" w:type="dxa"/>
            <w:vAlign w:val="bottom"/>
          </w:tcPr>
          <w:p>
            <w:pPr>
              <w:ind w:left="220"/>
              <w:spacing w:after="0"/>
              <w:rPr>
                <w:sz w:val="20"/>
                <w:szCs w:val="20"/>
                <w:color w:val="auto"/>
              </w:rPr>
            </w:pPr>
            <w:r>
              <w:rPr>
                <w:rFonts w:ascii="Arial" w:cs="Arial" w:eastAsia="Arial" w:hAnsi="Arial"/>
                <w:sz w:val="16"/>
                <w:szCs w:val="16"/>
                <w:color w:val="auto"/>
              </w:rPr>
              <w:t>section and the related tables.</w:t>
            </w:r>
          </w:p>
        </w:tc>
        <w:tc>
          <w:tcPr>
            <w:tcW w:w="700" w:type="dxa"/>
            <w:vAlign w:val="bottom"/>
          </w:tcPr>
          <w:p>
            <w:pPr>
              <w:spacing w:after="0"/>
              <w:rPr>
                <w:sz w:val="17"/>
                <w:szCs w:val="17"/>
                <w:color w:val="auto"/>
              </w:rPr>
            </w:pPr>
          </w:p>
        </w:tc>
      </w:tr>
      <w:tr>
        <w:trPr>
          <w:trHeight w:val="206"/>
        </w:trPr>
        <w:tc>
          <w:tcPr>
            <w:tcW w:w="1740" w:type="dxa"/>
            <w:vAlign w:val="bottom"/>
          </w:tcPr>
          <w:p>
            <w:pPr>
              <w:ind w:left="200"/>
              <w:spacing w:after="0"/>
              <w:rPr>
                <w:sz w:val="20"/>
                <w:szCs w:val="20"/>
                <w:color w:val="auto"/>
              </w:rPr>
            </w:pPr>
            <w:r>
              <w:rPr>
                <w:rFonts w:ascii="Arial" w:cs="Arial" w:eastAsia="Arial" w:hAnsi="Arial"/>
                <w:sz w:val="16"/>
                <w:szCs w:val="16"/>
                <w:i w:val="1"/>
                <w:iCs w:val="1"/>
                <w:color w:val="auto"/>
              </w:rPr>
              <w:t>officers.</w:t>
            </w:r>
          </w:p>
        </w:tc>
        <w:tc>
          <w:tcPr>
            <w:tcW w:w="51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95"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4" w:lineRule="exact"/>
        <w:rPr>
          <w:sz w:val="20"/>
          <w:szCs w:val="20"/>
          <w:color w:val="auto"/>
        </w:rPr>
      </w:pPr>
    </w:p>
    <w:p>
      <w:pPr>
        <w:ind w:left="380" w:hanging="195"/>
        <w:spacing w:after="0" w:line="293" w:lineRule="auto"/>
        <w:tabs>
          <w:tab w:leader="none" w:pos="388" w:val="left"/>
        </w:tabs>
        <w:numPr>
          <w:ilvl w:val="0"/>
          <w:numId w:val="6"/>
        </w:numPr>
        <w:rPr>
          <w:rFonts w:ascii="Arial" w:cs="Arial" w:eastAsia="Arial" w:hAnsi="Arial"/>
          <w:sz w:val="15"/>
          <w:szCs w:val="15"/>
          <w:b w:val="1"/>
          <w:bCs w:val="1"/>
          <w:color w:val="auto"/>
        </w:rPr>
      </w:pPr>
      <w:r>
        <w:rPr>
          <w:rFonts w:ascii="Arial" w:cs="Arial" w:eastAsia="Arial" w:hAnsi="Arial"/>
          <w:sz w:val="15"/>
          <w:szCs w:val="15"/>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ind w:right="1279"/>
        <w:spacing w:after="0" w:line="269" w:lineRule="auto"/>
        <w:rPr>
          <w:sz w:val="20"/>
          <w:szCs w:val="20"/>
          <w:color w:val="auto"/>
        </w:rPr>
      </w:pPr>
      <w:r>
        <w:rPr>
          <w:rFonts w:ascii="Arial" w:cs="Arial" w:eastAsia="Arial" w:hAnsi="Arial"/>
          <w:sz w:val="16"/>
          <w:szCs w:val="16"/>
          <w:color w:val="auto"/>
        </w:rPr>
        <w:t xml:space="preserve">The Audit Committee and the Board believe that the </w:t>
      </w:r>
      <w:r>
        <w:rPr>
          <w:rFonts w:ascii="Arial" w:cs="Arial" w:eastAsia="Arial" w:hAnsi="Arial"/>
          <w:sz w:val="16"/>
          <w:szCs w:val="16"/>
          <w:b w:val="1"/>
          <w:bCs w:val="1"/>
          <w:color w:val="auto"/>
        </w:rPr>
        <w:t>“FOR”</w:t>
      </w:r>
      <w:r>
        <w:rPr>
          <w:rFonts w:ascii="Arial" w:cs="Arial" w:eastAsia="Arial" w:hAnsi="Arial"/>
          <w:sz w:val="16"/>
          <w:szCs w:val="16"/>
          <w:color w:val="auto"/>
        </w:rPr>
        <w:t xml:space="preserve"> 52 retention of KPMG LLP to serve as our independent</w:t>
      </w:r>
    </w:p>
    <w:p>
      <w:pPr>
        <w:ind w:right="3199"/>
        <w:spacing w:after="0" w:line="292" w:lineRule="auto"/>
        <w:rPr>
          <w:sz w:val="20"/>
          <w:szCs w:val="20"/>
          <w:color w:val="auto"/>
        </w:rPr>
      </w:pPr>
      <w:r>
        <w:rPr>
          <w:rFonts w:ascii="Arial" w:cs="Arial" w:eastAsia="Arial" w:hAnsi="Arial"/>
          <w:sz w:val="15"/>
          <w:szCs w:val="15"/>
          <w:color w:val="auto"/>
        </w:rPr>
        <w:t>registered public accounting firm for the fiscal year ending December 31, 2021 is in the best interests of the Company and its stockholders and we are asking our stockholders to ratify the Audit Committee’s 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117475</wp:posOffset>
            </wp:positionV>
            <wp:extent cx="56578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940" w:space="200"/>
            <w:col w:w="687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DIRECTOR NOMINEES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provides summary information regarding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134620</wp:posOffset>
            </wp:positionV>
            <wp:extent cx="5648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Age</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Director</w:t>
            </w:r>
          </w:p>
        </w:tc>
        <w:tc>
          <w:tcPr>
            <w:tcW w:w="3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Primary Occupation</w:t>
            </w:r>
          </w:p>
        </w:tc>
        <w:tc>
          <w:tcPr>
            <w:tcW w:w="2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Committee Memberships</w:t>
            </w:r>
            <w:r>
              <w:rPr>
                <w:rFonts w:ascii="Arial" w:cs="Arial" w:eastAsia="Arial" w:hAnsi="Arial"/>
                <w:sz w:val="10"/>
                <w:szCs w:val="10"/>
                <w:b w:val="1"/>
                <w:bCs w:val="1"/>
                <w:color w:val="auto"/>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Other Public</w:t>
            </w:r>
          </w:p>
        </w:tc>
        <w:tc>
          <w:tcPr>
            <w:tcW w:w="0" w:type="dxa"/>
            <w:vAlign w:val="bottom"/>
          </w:tcPr>
          <w:p>
            <w:pPr>
              <w:spacing w:after="0"/>
              <w:rPr>
                <w:sz w:val="1"/>
                <w:szCs w:val="1"/>
                <w:color w:val="auto"/>
              </w:rPr>
            </w:pPr>
          </w:p>
        </w:tc>
      </w:tr>
      <w:tr>
        <w:trPr>
          <w:trHeight w:val="171"/>
        </w:trPr>
        <w:tc>
          <w:tcPr>
            <w:tcW w:w="13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Since</w:t>
            </w:r>
          </w:p>
        </w:tc>
        <w:tc>
          <w:tcPr>
            <w:tcW w:w="306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Company Boards</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30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i w:val="1"/>
                <w:iCs w:val="1"/>
                <w:color w:val="auto"/>
              </w:rPr>
              <w:t>A</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32"/>
                <w:szCs w:val="32"/>
                <w:i w:val="1"/>
                <w:iCs w:val="1"/>
                <w:color w:val="auto"/>
                <w:vertAlign w:val="subscript"/>
              </w:rPr>
              <w:t>C</w:t>
            </w:r>
            <w:r>
              <w:rPr>
                <w:rFonts w:ascii="Arial" w:cs="Arial" w:eastAsia="Arial" w:hAnsi="Arial"/>
                <w:sz w:val="11"/>
                <w:szCs w:val="11"/>
                <w:b w:val="1"/>
                <w:bCs w:val="1"/>
                <w:color w:val="auto"/>
              </w:rPr>
              <w:t>(2)</w:t>
            </w: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32"/>
                <w:szCs w:val="32"/>
                <w:i w:val="1"/>
                <w:iCs w:val="1"/>
                <w:color w:val="auto"/>
                <w:w w:val="88"/>
                <w:vertAlign w:val="subscript"/>
              </w:rPr>
              <w:t>NCG</w:t>
            </w:r>
            <w:r>
              <w:rPr>
                <w:rFonts w:ascii="Arial" w:cs="Arial" w:eastAsia="Arial" w:hAnsi="Arial"/>
                <w:sz w:val="11"/>
                <w:szCs w:val="11"/>
                <w:b w:val="1"/>
                <w:bCs w:val="1"/>
                <w:color w:val="auto"/>
                <w:w w:val="88"/>
              </w:rPr>
              <w:t>(3)</w:t>
            </w:r>
          </w:p>
        </w:tc>
        <w:tc>
          <w:tcPr>
            <w:tcW w:w="12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Brian E. Mueller*</w:t>
            </w:r>
          </w:p>
        </w:tc>
        <w:tc>
          <w:tcPr>
            <w:tcW w:w="480" w:type="dxa"/>
            <w:vAlign w:val="bottom"/>
          </w:tcPr>
          <w:p>
            <w:pPr>
              <w:ind w:left="160"/>
              <w:spacing w:after="0"/>
              <w:rPr>
                <w:sz w:val="20"/>
                <w:szCs w:val="20"/>
                <w:color w:val="auto"/>
              </w:rPr>
            </w:pPr>
            <w:r>
              <w:rPr>
                <w:rFonts w:ascii="Arial" w:cs="Arial" w:eastAsia="Arial" w:hAnsi="Arial"/>
                <w:sz w:val="16"/>
                <w:szCs w:val="16"/>
                <w:color w:val="auto"/>
              </w:rPr>
              <w:t>67</w:t>
            </w:r>
          </w:p>
        </w:tc>
        <w:tc>
          <w:tcPr>
            <w:tcW w:w="680" w:type="dxa"/>
            <w:vAlign w:val="bottom"/>
          </w:tcPr>
          <w:p>
            <w:pPr>
              <w:ind w:left="80"/>
              <w:spacing w:after="0"/>
              <w:rPr>
                <w:sz w:val="20"/>
                <w:szCs w:val="20"/>
                <w:color w:val="auto"/>
              </w:rPr>
            </w:pPr>
            <w:r>
              <w:rPr>
                <w:rFonts w:ascii="Arial" w:cs="Arial" w:eastAsia="Arial" w:hAnsi="Arial"/>
                <w:sz w:val="16"/>
                <w:szCs w:val="16"/>
                <w:color w:val="auto"/>
              </w:rPr>
              <w:t>2009</w:t>
            </w:r>
          </w:p>
        </w:tc>
        <w:tc>
          <w:tcPr>
            <w:tcW w:w="3060" w:type="dxa"/>
            <w:vAlign w:val="bottom"/>
          </w:tcPr>
          <w:p>
            <w:pPr>
              <w:ind w:left="80"/>
              <w:spacing w:after="0"/>
              <w:rPr>
                <w:sz w:val="20"/>
                <w:szCs w:val="20"/>
                <w:color w:val="auto"/>
              </w:rPr>
            </w:pPr>
            <w:r>
              <w:rPr>
                <w:rFonts w:ascii="Arial" w:cs="Arial" w:eastAsia="Arial" w:hAnsi="Arial"/>
                <w:sz w:val="16"/>
                <w:szCs w:val="16"/>
                <w:color w:val="auto"/>
              </w:rPr>
              <w:t>Chairman of the Board of Directors and</w:t>
            </w: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Chief Executive Officer, Grand Canyon</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Education, Inc.</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380" w:type="dxa"/>
            <w:vAlign w:val="bottom"/>
            <w:gridSpan w:val="2"/>
          </w:tcPr>
          <w:p>
            <w:pPr>
              <w:spacing w:after="0"/>
              <w:rPr>
                <w:sz w:val="20"/>
                <w:szCs w:val="20"/>
                <w:color w:val="auto"/>
              </w:rPr>
            </w:pPr>
            <w:r>
              <w:rPr>
                <w:rFonts w:ascii="Arial" w:cs="Arial" w:eastAsia="Arial" w:hAnsi="Arial"/>
                <w:sz w:val="16"/>
                <w:szCs w:val="16"/>
                <w:color w:val="auto"/>
              </w:rPr>
              <w:t>Sara R. Dial</w:t>
            </w:r>
            <w:r>
              <w:rPr>
                <w:rFonts w:ascii="Arial" w:cs="Arial" w:eastAsia="Arial" w:hAnsi="Arial"/>
                <w:sz w:val="24"/>
                <w:szCs w:val="24"/>
                <w:color w:val="auto"/>
                <w:vertAlign w:val="superscript"/>
              </w:rPr>
              <w:t>+≠</w:t>
            </w:r>
          </w:p>
        </w:tc>
        <w:tc>
          <w:tcPr>
            <w:tcW w:w="480" w:type="dxa"/>
            <w:vAlign w:val="bottom"/>
          </w:tcPr>
          <w:p>
            <w:pPr>
              <w:ind w:left="160"/>
              <w:spacing w:after="0"/>
              <w:rPr>
                <w:sz w:val="20"/>
                <w:szCs w:val="20"/>
                <w:color w:val="auto"/>
              </w:rPr>
            </w:pPr>
            <w:r>
              <w:rPr>
                <w:rFonts w:ascii="Arial" w:cs="Arial" w:eastAsia="Arial" w:hAnsi="Arial"/>
                <w:sz w:val="16"/>
                <w:szCs w:val="16"/>
                <w:color w:val="auto"/>
              </w:rPr>
              <w:t>57</w:t>
            </w:r>
          </w:p>
        </w:tc>
        <w:tc>
          <w:tcPr>
            <w:tcW w:w="680" w:type="dxa"/>
            <w:vAlign w:val="bottom"/>
          </w:tcPr>
          <w:p>
            <w:pPr>
              <w:ind w:left="80"/>
              <w:spacing w:after="0"/>
              <w:rPr>
                <w:sz w:val="20"/>
                <w:szCs w:val="20"/>
                <w:color w:val="auto"/>
              </w:rPr>
            </w:pPr>
            <w:r>
              <w:rPr>
                <w:rFonts w:ascii="Arial" w:cs="Arial" w:eastAsia="Arial" w:hAnsi="Arial"/>
                <w:sz w:val="16"/>
                <w:szCs w:val="16"/>
                <w:color w:val="auto"/>
              </w:rPr>
              <w:t>2013</w:t>
            </w:r>
          </w:p>
        </w:tc>
        <w:tc>
          <w:tcPr>
            <w:tcW w:w="3060" w:type="dxa"/>
            <w:vAlign w:val="bottom"/>
          </w:tcPr>
          <w:p>
            <w:pPr>
              <w:ind w:left="80"/>
              <w:spacing w:after="0"/>
              <w:rPr>
                <w:sz w:val="20"/>
                <w:szCs w:val="20"/>
                <w:color w:val="auto"/>
              </w:rPr>
            </w:pPr>
            <w:r>
              <w:rPr>
                <w:rFonts w:ascii="Arial" w:cs="Arial" w:eastAsia="Arial" w:hAnsi="Arial"/>
                <w:sz w:val="16"/>
                <w:szCs w:val="16"/>
                <w:color w:val="auto"/>
                <w:w w:val="95"/>
              </w:rPr>
              <w:t>President and Chief Executive Officer, Sara</w:t>
            </w:r>
          </w:p>
        </w:tc>
        <w:tc>
          <w:tcPr>
            <w:tcW w:w="60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auto"/>
                <w:w w:val="99"/>
              </w:rPr>
              <w:t>☐</w:t>
            </w:r>
          </w:p>
        </w:tc>
        <w:tc>
          <w:tcPr>
            <w:tcW w:w="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tcPr>
          <w:p>
            <w:pPr>
              <w:jc w:val="center"/>
              <w:ind w:right="104"/>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Dial &amp; Associates</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380" w:type="dxa"/>
            <w:vAlign w:val="bottom"/>
            <w:gridSpan w:val="2"/>
          </w:tcPr>
          <w:p>
            <w:pPr>
              <w:spacing w:after="0"/>
              <w:rPr>
                <w:sz w:val="20"/>
                <w:szCs w:val="20"/>
                <w:color w:val="auto"/>
              </w:rPr>
            </w:pPr>
            <w:r>
              <w:rPr>
                <w:rFonts w:ascii="Arial" w:cs="Arial" w:eastAsia="Arial" w:hAnsi="Arial"/>
                <w:sz w:val="16"/>
                <w:szCs w:val="16"/>
                <w:color w:val="auto"/>
              </w:rPr>
              <w:t>Jack A. Henry</w:t>
            </w:r>
            <w:r>
              <w:rPr>
                <w:rFonts w:ascii="Arial" w:cs="Arial" w:eastAsia="Arial" w:hAnsi="Arial"/>
                <w:sz w:val="24"/>
                <w:szCs w:val="24"/>
                <w:color w:val="auto"/>
                <w:vertAlign w:val="superscript"/>
              </w:rPr>
              <w:t>+</w:t>
            </w:r>
          </w:p>
        </w:tc>
        <w:tc>
          <w:tcPr>
            <w:tcW w:w="480" w:type="dxa"/>
            <w:vAlign w:val="bottom"/>
          </w:tcPr>
          <w:p>
            <w:pPr>
              <w:ind w:left="160"/>
              <w:spacing w:after="0"/>
              <w:rPr>
                <w:sz w:val="20"/>
                <w:szCs w:val="20"/>
                <w:color w:val="auto"/>
              </w:rPr>
            </w:pPr>
            <w:r>
              <w:rPr>
                <w:rFonts w:ascii="Arial" w:cs="Arial" w:eastAsia="Arial" w:hAnsi="Arial"/>
                <w:sz w:val="16"/>
                <w:szCs w:val="16"/>
                <w:color w:val="auto"/>
              </w:rPr>
              <w:t>77</w:t>
            </w:r>
          </w:p>
        </w:tc>
        <w:tc>
          <w:tcPr>
            <w:tcW w:w="680" w:type="dxa"/>
            <w:vAlign w:val="bottom"/>
          </w:tcPr>
          <w:p>
            <w:pPr>
              <w:ind w:left="80"/>
              <w:spacing w:after="0"/>
              <w:rPr>
                <w:sz w:val="20"/>
                <w:szCs w:val="20"/>
                <w:color w:val="auto"/>
              </w:rPr>
            </w:pPr>
            <w:r>
              <w:rPr>
                <w:rFonts w:ascii="Arial" w:cs="Arial" w:eastAsia="Arial" w:hAnsi="Arial"/>
                <w:sz w:val="16"/>
                <w:szCs w:val="16"/>
                <w:color w:val="auto"/>
              </w:rPr>
              <w:t>2008</w:t>
            </w:r>
          </w:p>
        </w:tc>
        <w:tc>
          <w:tcPr>
            <w:tcW w:w="3060" w:type="dxa"/>
            <w:vAlign w:val="bottom"/>
          </w:tcPr>
          <w:p>
            <w:pPr>
              <w:ind w:left="80"/>
              <w:spacing w:after="0"/>
              <w:rPr>
                <w:sz w:val="20"/>
                <w:szCs w:val="20"/>
                <w:color w:val="auto"/>
              </w:rPr>
            </w:pPr>
            <w:r>
              <w:rPr>
                <w:rFonts w:ascii="Arial" w:cs="Arial" w:eastAsia="Arial" w:hAnsi="Arial"/>
                <w:sz w:val="16"/>
                <w:szCs w:val="16"/>
                <w:color w:val="auto"/>
                <w:w w:val="95"/>
              </w:rPr>
              <w:t>Managing Director, Sierra Blanca Ventures,</w:t>
            </w:r>
          </w:p>
        </w:tc>
        <w:tc>
          <w:tcPr>
            <w:tcW w:w="600" w:type="dxa"/>
            <w:vAlign w:val="bottom"/>
          </w:tcPr>
          <w:p>
            <w:pPr>
              <w:jc w:val="center"/>
              <w:ind w:right="1"/>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rPr>
              <w:t>LLC</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380" w:type="dxa"/>
            <w:vAlign w:val="bottom"/>
            <w:gridSpan w:val="2"/>
          </w:tcPr>
          <w:p>
            <w:pPr>
              <w:spacing w:after="0"/>
              <w:rPr>
                <w:sz w:val="20"/>
                <w:szCs w:val="20"/>
                <w:color w:val="auto"/>
              </w:rPr>
            </w:pPr>
            <w:r>
              <w:rPr>
                <w:rFonts w:ascii="Arial" w:cs="Arial" w:eastAsia="Arial" w:hAnsi="Arial"/>
                <w:sz w:val="16"/>
                <w:szCs w:val="16"/>
                <w:color w:val="auto"/>
              </w:rPr>
              <w:t>Lisa Graham</w:t>
            </w:r>
          </w:p>
        </w:tc>
        <w:tc>
          <w:tcPr>
            <w:tcW w:w="480" w:type="dxa"/>
            <w:vAlign w:val="bottom"/>
          </w:tcPr>
          <w:p>
            <w:pPr>
              <w:ind w:left="160"/>
              <w:spacing w:after="0"/>
              <w:rPr>
                <w:sz w:val="20"/>
                <w:szCs w:val="20"/>
                <w:color w:val="auto"/>
              </w:rPr>
            </w:pPr>
            <w:r>
              <w:rPr>
                <w:rFonts w:ascii="Arial" w:cs="Arial" w:eastAsia="Arial" w:hAnsi="Arial"/>
                <w:sz w:val="16"/>
                <w:szCs w:val="16"/>
                <w:color w:val="auto"/>
              </w:rPr>
              <w:t>61</w:t>
            </w:r>
          </w:p>
        </w:tc>
        <w:tc>
          <w:tcPr>
            <w:tcW w:w="680" w:type="dxa"/>
            <w:vAlign w:val="bottom"/>
          </w:tcPr>
          <w:p>
            <w:pPr>
              <w:ind w:left="80"/>
              <w:spacing w:after="0"/>
              <w:rPr>
                <w:sz w:val="20"/>
                <w:szCs w:val="20"/>
                <w:color w:val="auto"/>
              </w:rPr>
            </w:pPr>
            <w:r>
              <w:rPr>
                <w:rFonts w:ascii="Arial" w:cs="Arial" w:eastAsia="Arial" w:hAnsi="Arial"/>
                <w:sz w:val="16"/>
                <w:szCs w:val="16"/>
                <w:color w:val="auto"/>
              </w:rPr>
              <w:t>2019</w:t>
            </w:r>
          </w:p>
        </w:tc>
        <w:tc>
          <w:tcPr>
            <w:tcW w:w="3060" w:type="dxa"/>
            <w:vAlign w:val="bottom"/>
          </w:tcPr>
          <w:p>
            <w:pPr>
              <w:ind w:left="80"/>
              <w:spacing w:after="0"/>
              <w:rPr>
                <w:sz w:val="20"/>
                <w:szCs w:val="20"/>
                <w:color w:val="auto"/>
              </w:rPr>
            </w:pPr>
            <w:r>
              <w:rPr>
                <w:rFonts w:ascii="Arial" w:cs="Arial" w:eastAsia="Arial" w:hAnsi="Arial"/>
                <w:sz w:val="16"/>
                <w:szCs w:val="16"/>
                <w:color w:val="auto"/>
                <w:w w:val="98"/>
              </w:rPr>
              <w:t>Principal Partner at The Keegan Company</w:t>
            </w:r>
          </w:p>
        </w:tc>
        <w:tc>
          <w:tcPr>
            <w:tcW w:w="60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auto"/>
                <w:w w:val="99"/>
              </w:rPr>
              <w:t>☐</w:t>
            </w:r>
          </w:p>
        </w:tc>
        <w:tc>
          <w:tcPr>
            <w:tcW w:w="7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760" w:type="dxa"/>
            <w:vAlign w:val="bottom"/>
          </w:tcPr>
          <w:p>
            <w:pPr>
              <w:jc w:val="center"/>
              <w:ind w:right="8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Keegan</w:t>
            </w:r>
            <w:r>
              <w:rPr>
                <w:rFonts w:ascii="Arial" w:cs="Arial" w:eastAsia="Arial" w:hAnsi="Arial"/>
                <w:sz w:val="24"/>
                <w:szCs w:val="24"/>
                <w:color w:val="auto"/>
                <w:vertAlign w:val="superscript"/>
              </w:rPr>
              <w:t>+</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spacing w:after="0" w:line="237" w:lineRule="exact"/>
              <w:rPr>
                <w:sz w:val="20"/>
                <w:szCs w:val="20"/>
                <w:color w:val="auto"/>
              </w:rPr>
            </w:pPr>
            <w:r>
              <w:rPr>
                <w:rFonts w:ascii="Arial" w:cs="Arial" w:eastAsia="Arial" w:hAnsi="Arial"/>
                <w:sz w:val="16"/>
                <w:szCs w:val="16"/>
                <w:color w:val="auto"/>
              </w:rPr>
              <w:t>Chevy Humphrey</w:t>
            </w:r>
            <w:r>
              <w:rPr>
                <w:rFonts w:ascii="Arial" w:cs="Arial" w:eastAsia="Arial" w:hAnsi="Arial"/>
                <w:sz w:val="24"/>
                <w:szCs w:val="24"/>
                <w:color w:val="auto"/>
                <w:vertAlign w:val="superscript"/>
              </w:rPr>
              <w:t>+</w:t>
            </w:r>
          </w:p>
        </w:tc>
        <w:tc>
          <w:tcPr>
            <w:tcW w:w="480" w:type="dxa"/>
            <w:vAlign w:val="bottom"/>
          </w:tcPr>
          <w:p>
            <w:pPr>
              <w:ind w:left="160"/>
              <w:spacing w:after="0"/>
              <w:rPr>
                <w:sz w:val="20"/>
                <w:szCs w:val="20"/>
                <w:color w:val="auto"/>
              </w:rPr>
            </w:pPr>
            <w:r>
              <w:rPr>
                <w:rFonts w:ascii="Arial" w:cs="Arial" w:eastAsia="Arial" w:hAnsi="Arial"/>
                <w:sz w:val="16"/>
                <w:szCs w:val="16"/>
                <w:color w:val="auto"/>
              </w:rPr>
              <w:t>56</w:t>
            </w:r>
          </w:p>
        </w:tc>
        <w:tc>
          <w:tcPr>
            <w:tcW w:w="680" w:type="dxa"/>
            <w:vAlign w:val="bottom"/>
          </w:tcPr>
          <w:p>
            <w:pPr>
              <w:ind w:left="80"/>
              <w:spacing w:after="0"/>
              <w:rPr>
                <w:sz w:val="20"/>
                <w:szCs w:val="20"/>
                <w:color w:val="auto"/>
              </w:rPr>
            </w:pPr>
            <w:r>
              <w:rPr>
                <w:rFonts w:ascii="Arial" w:cs="Arial" w:eastAsia="Arial" w:hAnsi="Arial"/>
                <w:sz w:val="16"/>
                <w:szCs w:val="16"/>
                <w:color w:val="auto"/>
              </w:rPr>
              <w:t>2019</w:t>
            </w:r>
          </w:p>
        </w:tc>
        <w:tc>
          <w:tcPr>
            <w:tcW w:w="3060" w:type="dxa"/>
            <w:vAlign w:val="bottom"/>
          </w:tcPr>
          <w:p>
            <w:pPr>
              <w:ind w:left="80"/>
              <w:spacing w:after="0"/>
              <w:rPr>
                <w:sz w:val="20"/>
                <w:szCs w:val="20"/>
                <w:color w:val="auto"/>
              </w:rPr>
            </w:pPr>
            <w:r>
              <w:rPr>
                <w:rFonts w:ascii="Arial" w:cs="Arial" w:eastAsia="Arial" w:hAnsi="Arial"/>
                <w:sz w:val="16"/>
                <w:szCs w:val="16"/>
                <w:color w:val="auto"/>
              </w:rPr>
              <w:t>President and Chief Executive Officer,</w:t>
            </w:r>
          </w:p>
        </w:tc>
        <w:tc>
          <w:tcPr>
            <w:tcW w:w="600" w:type="dxa"/>
            <w:vAlign w:val="bottom"/>
          </w:tcPr>
          <w:p>
            <w:pPr>
              <w:jc w:val="center"/>
              <w:ind w:right="1"/>
              <w:spacing w:after="0" w:line="161" w:lineRule="exact"/>
              <w:rPr>
                <w:sz w:val="20"/>
                <w:szCs w:val="20"/>
                <w:color w:val="auto"/>
              </w:rPr>
            </w:pPr>
            <w:r>
              <w:rPr>
                <w:rFonts w:ascii="MS PGothic" w:cs="MS PGothic" w:eastAsia="MS PGothic" w:hAnsi="MS PGothic"/>
                <w:sz w:val="16"/>
                <w:szCs w:val="16"/>
                <w:color w:val="auto"/>
                <w:w w:val="99"/>
              </w:rPr>
              <w:t>☐</w:t>
            </w:r>
          </w:p>
        </w:tc>
        <w:tc>
          <w:tcPr>
            <w:tcW w:w="70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760" w:type="dxa"/>
            <w:vAlign w:val="bottom"/>
          </w:tcPr>
          <w:p>
            <w:pPr>
              <w:jc w:val="center"/>
              <w:ind w:right="104"/>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6"/>
                <w:szCs w:val="16"/>
                <w:color w:val="auto"/>
                <w:w w:val="99"/>
              </w:rPr>
              <w:t>Museum of Science and Industry Chicago</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8"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w:t>
      </w:r>
    </w:p>
    <w:p>
      <w:pPr>
        <w:spacing w:after="0" w:line="23"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b w:val="1"/>
          <w:bCs w:val="1"/>
          <w:color w:val="auto"/>
        </w:rPr>
        <w:t>A</w:t>
      </w:r>
      <w:r>
        <w:rPr>
          <w:rFonts w:ascii="Arial" w:cs="Arial" w:eastAsia="Arial" w:hAnsi="Arial"/>
          <w:sz w:val="17"/>
          <w:szCs w:val="17"/>
          <w:color w:val="auto"/>
        </w:rPr>
        <w:t xml:space="preserve">= Audit Committee; </w:t>
      </w:r>
      <w:r>
        <w:rPr>
          <w:rFonts w:ascii="Arial" w:cs="Arial" w:eastAsia="Arial" w:hAnsi="Arial"/>
          <w:sz w:val="17"/>
          <w:szCs w:val="17"/>
          <w:b w:val="1"/>
          <w:bCs w:val="1"/>
          <w:color w:val="auto"/>
        </w:rPr>
        <w:t>C=</w:t>
      </w:r>
      <w:r>
        <w:rPr>
          <w:rFonts w:ascii="Arial" w:cs="Arial" w:eastAsia="Arial" w:hAnsi="Arial"/>
          <w:sz w:val="17"/>
          <w:szCs w:val="17"/>
          <w:color w:val="auto"/>
        </w:rPr>
        <w:t xml:space="preserve">Compensation Committee; and </w:t>
      </w:r>
      <w:r>
        <w:rPr>
          <w:rFonts w:ascii="Arial" w:cs="Arial" w:eastAsia="Arial" w:hAnsi="Arial"/>
          <w:sz w:val="17"/>
          <w:szCs w:val="17"/>
          <w:b w:val="1"/>
          <w:bCs w:val="1"/>
          <w:color w:val="auto"/>
        </w:rPr>
        <w:t>NCG</w:t>
      </w:r>
      <w:r>
        <w:rPr>
          <w:rFonts w:ascii="Arial" w:cs="Arial" w:eastAsia="Arial" w:hAnsi="Arial"/>
          <w:sz w:val="17"/>
          <w:szCs w:val="17"/>
          <w:color w:val="auto"/>
        </w:rPr>
        <w:t>=Nominating and Corporate Governance Committee</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79" w:hanging="330"/>
        <w:spacing w:after="0" w:line="258"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David J. Johnson, a prior director of the Company, served as the chair of our Compensation Committee until his term as a director ended, at the 2020 annual stockholders meeting.</w:t>
      </w:r>
    </w:p>
    <w:p>
      <w:pPr>
        <w:spacing w:after="0" w:line="1" w:lineRule="exact"/>
        <w:rPr>
          <w:rFonts w:ascii="Arial" w:cs="Arial" w:eastAsia="Arial" w:hAnsi="Arial"/>
          <w:sz w:val="18"/>
          <w:szCs w:val="18"/>
          <w:color w:val="auto"/>
        </w:rPr>
      </w:pPr>
    </w:p>
    <w:p>
      <w:pPr>
        <w:ind w:left="380" w:right="899" w:hanging="330"/>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Sara R. Dial, a current director of the Company, served as the chair of our Nominating and Governance Committee until the 2020 annual 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169545</wp:posOffset>
            </wp:positionV>
            <wp:extent cx="5657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CORPORATE GOVERNANCE HIGHLIGHTS</w:t>
      </w:r>
    </w:p>
    <w:p>
      <w:pPr>
        <w:spacing w:after="0" w:line="185" w:lineRule="exact"/>
        <w:rPr>
          <w:sz w:val="20"/>
          <w:szCs w:val="20"/>
          <w:color w:val="auto"/>
        </w:rPr>
      </w:pPr>
    </w:p>
    <w:p>
      <w:pPr>
        <w:ind w:left="60" w:right="879" w:firstLine="648"/>
        <w:spacing w:after="0" w:line="308" w:lineRule="auto"/>
        <w:rPr>
          <w:sz w:val="20"/>
          <w:szCs w:val="20"/>
          <w:color w:val="auto"/>
        </w:rPr>
      </w:pPr>
      <w:r>
        <w:rPr>
          <w:rFonts w:ascii="Arial" w:cs="Arial" w:eastAsia="Arial" w:hAnsi="Arial"/>
          <w:sz w:val="17"/>
          <w:szCs w:val="17"/>
          <w:color w:val="auto"/>
        </w:rPr>
        <w:t>We believe that effective corporate governance is critical to our ability to create long term value for our stockholders. The following highlights certain key aspects of our corporate governance framework:</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ind w:left="560" w:right="60" w:hanging="255"/>
        <w:spacing w:after="0" w:line="324" w:lineRule="auto"/>
        <w:tabs>
          <w:tab w:leader="none" w:pos="560" w:val="left"/>
        </w:tabs>
        <w:numPr>
          <w:ilvl w:val="0"/>
          <w:numId w:val="11"/>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We Have An Independent and Diverse Board</w:t>
      </w:r>
      <w:r>
        <w:rPr>
          <w:rFonts w:ascii="Arial" w:cs="Arial" w:eastAsia="Arial" w:hAnsi="Arial"/>
          <w:sz w:val="14"/>
          <w:szCs w:val="14"/>
          <w:color w:val="auto"/>
        </w:rPr>
        <w:t>. Four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five director nominees are independent. Three of our five director nominees are women and one director nominee identifies with an underrepresented diverse ethnicity.</w:t>
      </w:r>
    </w:p>
    <w:p>
      <w:pPr>
        <w:spacing w:after="0" w:line="143" w:lineRule="exact"/>
        <w:rPr>
          <w:rFonts w:ascii="MS PGothic" w:cs="MS PGothic" w:eastAsia="MS PGothic" w:hAnsi="MS PGothic"/>
          <w:sz w:val="14"/>
          <w:szCs w:val="14"/>
          <w:color w:val="auto"/>
        </w:rPr>
      </w:pPr>
    </w:p>
    <w:p>
      <w:pPr>
        <w:ind w:left="560" w:right="120" w:hanging="255"/>
        <w:spacing w:after="0" w:line="273" w:lineRule="auto"/>
        <w:tabs>
          <w:tab w:leader="none" w:pos="560"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Have Majority Voting for Directors</w:t>
      </w:r>
      <w:r>
        <w:rPr>
          <w:rFonts w:ascii="Arial" w:cs="Arial" w:eastAsia="Arial" w:hAnsi="Arial"/>
          <w:sz w:val="16"/>
          <w:szCs w:val="16"/>
          <w:color w:val="auto"/>
        </w:rPr>
        <w:t>. We have adopted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voting for directors pursuant to which nominees who fail to achieve an affirmative majority of votes cast must submit their resignation.</w:t>
      </w:r>
    </w:p>
    <w:p>
      <w:pPr>
        <w:spacing w:after="0" w:line="175" w:lineRule="exact"/>
        <w:rPr>
          <w:rFonts w:ascii="MS PGothic" w:cs="MS PGothic" w:eastAsia="MS PGothic" w:hAnsi="MS PGothic"/>
          <w:sz w:val="16"/>
          <w:szCs w:val="16"/>
          <w:color w:val="auto"/>
        </w:rPr>
      </w:pPr>
    </w:p>
    <w:p>
      <w:pPr>
        <w:ind w:left="560" w:hanging="255"/>
        <w:spacing w:after="0" w:line="293" w:lineRule="auto"/>
        <w:tabs>
          <w:tab w:leader="none" w:pos="560" w:val="left"/>
        </w:tabs>
        <w:numPr>
          <w:ilvl w:val="0"/>
          <w:numId w:val="11"/>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Hold Annual Elections for Directors. </w:t>
      </w:r>
      <w:r>
        <w:rPr>
          <w:rFonts w:ascii="Arial" w:cs="Arial" w:eastAsia="Arial" w:hAnsi="Arial"/>
          <w:sz w:val="16"/>
          <w:szCs w:val="16"/>
          <w:color w:val="auto"/>
        </w:rPr>
        <w:t>We do not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staggered board.</w:t>
      </w:r>
    </w:p>
    <w:p>
      <w:pPr>
        <w:spacing w:after="0" w:line="360" w:lineRule="exact"/>
        <w:rPr>
          <w:rFonts w:ascii="MS PGothic" w:cs="MS PGothic" w:eastAsia="MS PGothic" w:hAnsi="MS PGothic"/>
          <w:sz w:val="16"/>
          <w:szCs w:val="16"/>
          <w:color w:val="auto"/>
        </w:rPr>
      </w:pPr>
    </w:p>
    <w:p>
      <w:pPr>
        <w:ind w:left="560" w:right="500" w:hanging="255"/>
        <w:spacing w:after="0" w:line="328" w:lineRule="auto"/>
        <w:tabs>
          <w:tab w:leader="none" w:pos="560" w:val="left"/>
        </w:tabs>
        <w:numPr>
          <w:ilvl w:val="0"/>
          <w:numId w:val="11"/>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We Assess Board Performance</w:t>
      </w:r>
      <w:r>
        <w:rPr>
          <w:rFonts w:ascii="Arial" w:cs="Arial" w:eastAsia="Arial" w:hAnsi="Arial"/>
          <w:sz w:val="15"/>
          <w:szCs w:val="15"/>
          <w:color w:val="auto"/>
        </w:rPr>
        <w:t>. We conduct regular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evaluations of our Board and Committees.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53" w:right="299" w:hanging="253"/>
        <w:spacing w:after="0" w:line="335" w:lineRule="auto"/>
        <w:tabs>
          <w:tab w:leader="none" w:pos="253" w:val="left"/>
        </w:tabs>
        <w:numPr>
          <w:ilvl w:val="0"/>
          <w:numId w:val="12"/>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Our Independent Directors Meet Without Management</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independent directors meet regularly in executive sessions without management present.</w:t>
      </w:r>
    </w:p>
    <w:p>
      <w:pPr>
        <w:spacing w:after="0" w:line="338" w:lineRule="exact"/>
        <w:rPr>
          <w:rFonts w:ascii="MS PGothic" w:cs="MS PGothic" w:eastAsia="MS PGothic" w:hAnsi="MS PGothic"/>
          <w:sz w:val="14"/>
          <w:szCs w:val="14"/>
          <w:color w:val="auto"/>
        </w:rPr>
      </w:pPr>
    </w:p>
    <w:p>
      <w:pPr>
        <w:ind w:left="253" w:right="199" w:hanging="253"/>
        <w:spacing w:after="0" w:line="273" w:lineRule="auto"/>
        <w:tabs>
          <w:tab w:leader="none" w:pos="253" w:val="left"/>
        </w:tabs>
        <w:numPr>
          <w:ilvl w:val="0"/>
          <w:numId w:val="12"/>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Have a Stock Ownership Policy</w:t>
      </w:r>
      <w:r>
        <w:rPr>
          <w:rFonts w:ascii="Arial" w:cs="Arial" w:eastAsia="Arial" w:hAnsi="Arial"/>
          <w:sz w:val="16"/>
          <w:szCs w:val="16"/>
          <w:color w:val="auto"/>
        </w:rPr>
        <w:t>. We require both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executive officers and our directors to maintain a meaningful ownership stake at levels specified in our stock ownership policy.</w:t>
      </w:r>
    </w:p>
    <w:p>
      <w:pPr>
        <w:spacing w:after="0" w:line="175" w:lineRule="exact"/>
        <w:rPr>
          <w:rFonts w:ascii="MS PGothic" w:cs="MS PGothic" w:eastAsia="MS PGothic" w:hAnsi="MS PGothic"/>
          <w:sz w:val="16"/>
          <w:szCs w:val="16"/>
          <w:color w:val="auto"/>
        </w:rPr>
      </w:pPr>
    </w:p>
    <w:p>
      <w:pPr>
        <w:ind w:left="253" w:right="439" w:hanging="253"/>
        <w:spacing w:after="0" w:line="305" w:lineRule="auto"/>
        <w:tabs>
          <w:tab w:leader="none" w:pos="253" w:val="left"/>
        </w:tabs>
        <w:numPr>
          <w:ilvl w:val="0"/>
          <w:numId w:val="12"/>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Our Key Committees are Independent</w:t>
      </w:r>
      <w:r>
        <w:rPr>
          <w:rFonts w:ascii="Arial" w:cs="Arial" w:eastAsia="Arial" w:hAnsi="Arial"/>
          <w:sz w:val="15"/>
          <w:szCs w:val="15"/>
          <w:color w:val="auto"/>
        </w:rPr>
        <w:t>. We have fully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Audit, Compensation and Nominating and Corporate Governance Committees.</w:t>
      </w:r>
    </w:p>
    <w:p>
      <w:pPr>
        <w:spacing w:after="0" w:line="152" w:lineRule="exact"/>
        <w:rPr>
          <w:rFonts w:ascii="MS PGothic" w:cs="MS PGothic" w:eastAsia="MS PGothic" w:hAnsi="MS PGothic"/>
          <w:sz w:val="15"/>
          <w:szCs w:val="15"/>
          <w:color w:val="auto"/>
        </w:rPr>
      </w:pPr>
    </w:p>
    <w:p>
      <w:pPr>
        <w:ind w:left="253" w:right="379" w:hanging="253"/>
        <w:spacing w:after="0" w:line="293" w:lineRule="auto"/>
        <w:tabs>
          <w:tab w:leader="none" w:pos="253" w:val="left"/>
        </w:tabs>
        <w:numPr>
          <w:ilvl w:val="0"/>
          <w:numId w:val="12"/>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Do Not Have a “Poison Pill.” </w:t>
      </w:r>
      <w:r>
        <w:rPr>
          <w:rFonts w:ascii="Arial" w:cs="Arial" w:eastAsia="Arial" w:hAnsi="Arial"/>
          <w:sz w:val="16"/>
          <w:szCs w:val="16"/>
          <w:color w:val="auto"/>
        </w:rPr>
        <w:t>We do not maintain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106680</wp:posOffset>
            </wp:positionV>
            <wp:extent cx="5511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1800" cy="889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-2087245</wp:posOffset>
            </wp:positionV>
            <wp:extent cx="55118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180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440" w:space="307"/>
            <w:col w:w="4272"/>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SOCIAL RESPONSIBILITY AND HUMAN CAPITAL DEVELOPMENT</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seeks to meet the needs of the local community in which we operate as well as those outside our community, particularly the education challenges that our country faces, and then works to find solutions to these challenges. We believe these challenges include: university education is too expensive; students are taking on too much debt to pay for their education; bachelor degrees are taking too long to complete; programs are not targeted enough toward careers; as tuition increases, diversity decreases; universities have inadequate counseling and support services, especially for distanced learners; most university professors have no formal training in teaching, learning or course design; and universities are under significant financial pressures, which has only been enhanced during 2020 due to the COVID-19 pandemic. We provide the capital, technology and expertise to our university partners to lessen the challenges in each of the areas listed above (refer to our Annual Report on Form 10-K for the year ended December 31, 2020, Item 1. Business – Suite of Services.)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Examples of activities in which we and our employees participate include:</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ind w:left="1240" w:right="259" w:hanging="323"/>
        <w:spacing w:after="0" w:line="286"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Our Neighborhood and Increased Home Values</w:t>
      </w:r>
      <w:r>
        <w:rPr>
          <w:rFonts w:ascii="Arial" w:cs="Arial" w:eastAsia="Arial" w:hAnsi="Arial"/>
          <w:sz w:val="16"/>
          <w:szCs w:val="16"/>
          <w:color w:val="auto"/>
        </w:rPr>
        <w:t>. Together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Habitat for Humanity and in concert with our largest university partner, we are participating in the largest home renovation project in the country in the West Phoenix area surrounding our most significant university partner’s campus. As of December 31, 2020, 792 different projects have been completed in which 26,000 hours have been logged by volunteers. These efforts, combined with GCU’s expanded presence in the community, have resulted in a significant increase in home values in the 85017 zip code.</w:t>
      </w:r>
    </w:p>
    <w:p>
      <w:pPr>
        <w:spacing w:after="0" w:line="59" w:lineRule="exact"/>
        <w:rPr>
          <w:rFonts w:ascii="Arial" w:cs="Arial" w:eastAsia="Arial" w:hAnsi="Arial"/>
          <w:sz w:val="16"/>
          <w:szCs w:val="16"/>
          <w:color w:val="auto"/>
        </w:rPr>
      </w:pPr>
    </w:p>
    <w:p>
      <w:pPr>
        <w:ind w:left="1240" w:right="339" w:hanging="323"/>
        <w:spacing w:after="0" w:line="25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Furthering Job Creation</w:t>
      </w:r>
      <w:r>
        <w:rPr>
          <w:rFonts w:ascii="Arial" w:cs="Arial" w:eastAsia="Arial" w:hAnsi="Arial"/>
          <w:sz w:val="18"/>
          <w:szCs w:val="18"/>
          <w:color w:val="auto"/>
        </w:rPr>
        <w:t>. We, along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Grand Canyon University (“GCU”) have launched a number of new business enterprises that have reduced costs, provided management opportunities for recent graduates and employment opportunities for students and neighborhood residents, while spurring economic growth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-3371850</wp:posOffset>
            </wp:positionV>
            <wp:extent cx="5648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21" w:right="359" w:hanging="321"/>
        <w:spacing w:after="0" w:line="270" w:lineRule="auto"/>
        <w:tabs>
          <w:tab w:leader="none" w:pos="321"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Continuing Community Involvement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GCE and our 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8" w:lineRule="exact"/>
        <w:rPr>
          <w:rFonts w:ascii="Arial" w:cs="Arial" w:eastAsia="Arial" w:hAnsi="Arial"/>
          <w:sz w:val="17"/>
          <w:szCs w:val="17"/>
          <w:color w:val="auto"/>
        </w:rPr>
      </w:pPr>
    </w:p>
    <w:p>
      <w:pPr>
        <w:ind w:left="321" w:right="199" w:hanging="321"/>
        <w:spacing w:after="0" w:line="271" w:lineRule="auto"/>
        <w:tabs>
          <w:tab w:leader="none" w:pos="321"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Encouraging Employee Giving</w:t>
      </w:r>
      <w:r>
        <w:rPr>
          <w:rFonts w:ascii="Arial" w:cs="Arial" w:eastAsia="Arial" w:hAnsi="Arial"/>
          <w:sz w:val="17"/>
          <w:szCs w:val="17"/>
          <w:color w:val="auto"/>
        </w:rPr>
        <w: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participate in Donate to Elevate, a program that encourages employees to contribute money in lieu of state income tax payments to benefit private schools in Arizona and the partnership with Habitat for Humanity, as well as local public schools and public charter schools.</w:t>
      </w:r>
    </w:p>
    <w:p>
      <w:pPr>
        <w:spacing w:after="0" w:line="397" w:lineRule="exact"/>
        <w:rPr>
          <w:sz w:val="20"/>
          <w:szCs w:val="20"/>
          <w:color w:val="auto"/>
        </w:rPr>
      </w:pPr>
    </w:p>
    <w:p>
      <w:pPr>
        <w:sectPr>
          <w:pgSz w:w="11900" w:h="16838" w:orient="portrait"/>
          <w:cols w:equalWidth="0" w:num="2">
            <w:col w:w="4639" w:space="720"/>
            <w:col w:w="3661"/>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40" w:right="299" w:hanging="323"/>
        <w:spacing w:after="0" w:line="286"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COVID-19 Response. </w:t>
      </w:r>
      <w:r>
        <w:rPr>
          <w:rFonts w:ascii="Arial" w:cs="Arial" w:eastAsia="Arial" w:hAnsi="Arial"/>
          <w:sz w:val="16"/>
          <w:szCs w:val="16"/>
          <w:color w:val="auto"/>
        </w:rPr>
        <w:t>GCE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students of our university partners volunteered at COVID Point of Distribution sites (“POD”), including the GCU POD, which is being jointly operated by GCU and GCE at no cost to the state of Arizona, and other PODs including those run by our hospital partners. During 2020 and 2021, GCE has taken numerous steps to protect our employees and mitigate the spread of the virus, including implementation of remote work arrangements, restrictions on employee travel, and guidance to those employees experiencing symptoms.</w:t>
      </w:r>
    </w:p>
    <w:p>
      <w:pPr>
        <w:spacing w:after="0" w:line="319" w:lineRule="exact"/>
        <w:rPr>
          <w:rFonts w:ascii="Arial" w:cs="Arial" w:eastAsia="Arial" w:hAnsi="Arial"/>
          <w:sz w:val="16"/>
          <w:szCs w:val="16"/>
          <w:color w:val="auto"/>
        </w:rPr>
      </w:pPr>
    </w:p>
    <w:p>
      <w:pPr>
        <w:ind w:left="1240" w:right="299" w:hanging="323"/>
        <w:spacing w:after="0" w:line="287"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Sponsoring K-12 Educational Development. </w:t>
      </w:r>
      <w:r>
        <w:rPr>
          <w:rFonts w:ascii="Arial" w:cs="Arial" w:eastAsia="Arial" w:hAnsi="Arial"/>
          <w:sz w:val="16"/>
          <w:szCs w:val="16"/>
          <w:color w:val="auto"/>
        </w:rPr>
        <w:t>GCE supports GCU’s K-12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Educational Development Department through sponsorship of GCU Canyon Professional Development and K-12 Targeted School Assistance programs. Canyon Professional Development offers professional development opportunities for educators and administrators, and their student/parent engagement programs aim to help students become college 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-18415</wp:posOffset>
            </wp:positionV>
            <wp:extent cx="5648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1" w:right="219" w:hanging="321"/>
        <w:spacing w:after="0" w:line="289" w:lineRule="auto"/>
        <w:tabs>
          <w:tab w:leader="none" w:pos="321"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Funding of Student Tuition Organizations</w:t>
      </w:r>
      <w:r>
        <w:rPr>
          <w:rFonts w:ascii="Arial" w:cs="Arial" w:eastAsia="Arial" w:hAnsi="Arial"/>
          <w:sz w:val="16"/>
          <w:szCs w:val="16"/>
          <w:color w:val="auto"/>
        </w:rPr>
        <w:t>. The Company contributes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private school tuition organizations and in 2020 increased its annual contribution to $5.0 million from $4.0 million in 2019. Financial contributions are allocated toward tuition assistance and awarding low income Arizona students with scholarships to attend Arizona private schools.</w:t>
      </w:r>
    </w:p>
    <w:p>
      <w:pPr>
        <w:spacing w:after="0" w:line="98" w:lineRule="exact"/>
        <w:rPr>
          <w:rFonts w:ascii="Arial" w:cs="Arial" w:eastAsia="Arial" w:hAnsi="Arial"/>
          <w:sz w:val="16"/>
          <w:szCs w:val="16"/>
          <w:color w:val="auto"/>
        </w:rPr>
      </w:pPr>
    </w:p>
    <w:p>
      <w:pPr>
        <w:ind w:left="321" w:right="279" w:hanging="321"/>
        <w:spacing w:after="0" w:line="269" w:lineRule="auto"/>
        <w:tabs>
          <w:tab w:leader="none" w:pos="321"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Students Inspiring Students. </w:t>
      </w:r>
      <w:r>
        <w:rPr>
          <w:rFonts w:ascii="Arial" w:cs="Arial" w:eastAsia="Arial" w:hAnsi="Arial"/>
          <w:sz w:val="17"/>
          <w:szCs w:val="17"/>
          <w:color w:val="auto"/>
        </w:rPr>
        <w:t>GCE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continues to support GCU’s free tutoring/mentoring program that serves Phoenix-area K-12 schools. Students who seek academic assistance in the GCU Learning Lounge may become eligible to receive the Students Inspiring Students full-tuition scholarship. To serve our clients and community, GCE seeks donations to fund this neighborhood scholarship program.</w:t>
      </w:r>
    </w:p>
    <w:p>
      <w:pPr>
        <w:spacing w:after="0" w:line="1491" w:lineRule="exact"/>
        <w:rPr>
          <w:sz w:val="20"/>
          <w:szCs w:val="20"/>
          <w:color w:val="auto"/>
        </w:rPr>
      </w:pPr>
    </w:p>
    <w:p>
      <w:pPr>
        <w:sectPr>
          <w:pgSz w:w="11900" w:h="16838" w:orient="portrait"/>
          <w:cols w:equalWidth="0" w:num="2">
            <w:col w:w="4639" w:space="720"/>
            <w:col w:w="3661"/>
          </w:cols>
          <w:pgMar w:left="1440" w:top="517"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i w:val="1"/>
          <w:iCs w:val="1"/>
          <w:color w:val="auto"/>
        </w:rPr>
        <w:t>Our Diverse Workforce</w:t>
      </w:r>
    </w:p>
    <w:p>
      <w:pPr>
        <w:spacing w:after="0" w:line="117"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The Company believes that it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the Company’s culture.</w:t>
      </w:r>
    </w:p>
    <w:p>
      <w:pPr>
        <w:spacing w:after="0" w:line="90"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w:t>
      </w:r>
    </w:p>
    <w:p>
      <w:pPr>
        <w:spacing w:after="0" w:line="11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 growing body of evidence suggests that diverse teams improve financial outcomes and support innovation, resiliency, and productivity. GCE’s commitment to fostering diversity among its workforce in its community is evident in the following:</w:t>
      </w:r>
    </w:p>
    <w:p>
      <w:pPr>
        <w:spacing w:after="0" w:line="89" w:lineRule="exact"/>
        <w:rPr>
          <w:sz w:val="20"/>
          <w:szCs w:val="20"/>
          <w:color w:val="auto"/>
        </w:rPr>
      </w:pPr>
    </w:p>
    <w:p>
      <w:pPr>
        <w:ind w:left="1340" w:right="339" w:hanging="318"/>
        <w:spacing w:after="0" w:line="296" w:lineRule="auto"/>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attract, develop and retain diverse talent is reflected at both the Board and management levels. Three of our five directors are women and one director identifies with an underrepresented diverse ethnicity. In addition, as of December 31, 2020, 65.9% of the positions at the Company at the level of manager and above, totaling 522 persons, are held by women and other diverse persons, and 76.1% of our 4,625 total employees were women and other diverse persons.</w:t>
      </w:r>
    </w:p>
    <w:p>
      <w:pPr>
        <w:spacing w:after="0" w:line="66" w:lineRule="exact"/>
        <w:rPr>
          <w:rFonts w:ascii="Arial" w:cs="Arial" w:eastAsia="Arial" w:hAnsi="Arial"/>
          <w:sz w:val="16"/>
          <w:szCs w:val="16"/>
          <w:color w:val="auto"/>
        </w:rPr>
      </w:pPr>
    </w:p>
    <w:p>
      <w:pPr>
        <w:ind w:left="1340" w:right="119" w:hanging="318"/>
        <w:spacing w:after="0" w:line="296" w:lineRule="auto"/>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GCE maintains hiring policies and practices that support diversity such as an Equal Employment Opportunity Policy, Nondiscrimination and Anti-Harassment Policy and Complaint Procedure, and a Disability Accommodation Policy. We post all open positions to a variety of diversity-related job boards to ensure we attract wide pool candidates. We also collect and analyze employee demographic data to identify current trends and areas of opportunity in regards to our diversity efforts.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199" w:hanging="318"/>
        <w:spacing w:after="0" w:line="25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GCE provides employees and management with regular diversity training. New hires all complete anti-discrimination and harassment training within three months of starting at GCE. Thereafter, all employees complete the training every other year, while management undertakes it annually. We have also provided Implicit Bias Training to hiring managers, and in 2021 this training will be expanded to include all employees.</w:t>
      </w:r>
    </w:p>
    <w:p>
      <w:pPr>
        <w:spacing w:after="0" w:line="93" w:lineRule="exact"/>
        <w:rPr>
          <w:rFonts w:ascii="Arial" w:cs="Arial" w:eastAsia="Arial" w:hAnsi="Arial"/>
          <w:sz w:val="18"/>
          <w:szCs w:val="18"/>
          <w:color w:val="auto"/>
        </w:rPr>
      </w:pPr>
    </w:p>
    <w:p>
      <w:pPr>
        <w:ind w:left="1340" w:right="239" w:hanging="318"/>
        <w:spacing w:after="0" w:line="271"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GCE provides learning and development support to our employees through numerous Employee Learning and Development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employees stay current with regulatory and other compliance requirements. These programs and curricula are offered virtually on both a synchronous and self-paced basis.</w:t>
      </w:r>
    </w:p>
    <w:p>
      <w:pPr>
        <w:spacing w:after="0" w:line="83" w:lineRule="exact"/>
        <w:rPr>
          <w:rFonts w:ascii="Arial" w:cs="Arial" w:eastAsia="Arial" w:hAnsi="Arial"/>
          <w:sz w:val="17"/>
          <w:szCs w:val="17"/>
          <w:color w:val="auto"/>
        </w:rPr>
      </w:pPr>
    </w:p>
    <w:p>
      <w:pPr>
        <w:ind w:left="1340" w:right="99" w:hanging="318"/>
        <w:spacing w:after="0" w:line="272"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GCE promotes the concept of lifelong learning and supports this concept by offering its employees a generous Tuition Benefit program through its university partner, GCU. After three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AWARENESS</w:t>
      </w:r>
    </w:p>
    <w:p>
      <w:pPr>
        <w:spacing w:after="0" w:line="229" w:lineRule="exact"/>
        <w:rPr>
          <w:sz w:val="20"/>
          <w:szCs w:val="20"/>
          <w:color w:val="auto"/>
        </w:rPr>
      </w:pPr>
    </w:p>
    <w:p>
      <w:pPr>
        <w:jc w:val="both"/>
        <w:ind w:left="60" w:right="279" w:firstLine="648"/>
        <w:spacing w:after="0" w:line="301" w:lineRule="auto"/>
        <w:rPr>
          <w:sz w:val="20"/>
          <w:szCs w:val="20"/>
          <w:color w:val="auto"/>
        </w:rPr>
      </w:pPr>
      <w:r>
        <w:rPr>
          <w:rFonts w:ascii="Arial" w:cs="Arial" w:eastAsia="Arial" w:hAnsi="Arial"/>
          <w:sz w:val="16"/>
          <w:szCs w:val="16"/>
          <w:color w:val="auto"/>
        </w:rPr>
        <w:t>The Company owns, and operates its business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p>
      <w:pPr>
        <w:sectPr>
          <w:pgSz w:w="11900" w:h="16838" w:orient="portrait"/>
          <w:cols w:equalWidth="0" w:num="1">
            <w:col w:w="9019"/>
          </w:cols>
          <w:pgMar w:left="1440" w:top="517" w:right="1440" w:bottom="1440" w:gutter="0" w:footer="0" w:header="0"/>
        </w:sectPr>
      </w:pPr>
    </w:p>
    <w:p>
      <w:pPr>
        <w:spacing w:after="0" w:line="171" w:lineRule="exact"/>
        <w:rPr>
          <w:sz w:val="20"/>
          <w:szCs w:val="20"/>
          <w:color w:val="auto"/>
        </w:rPr>
      </w:pPr>
    </w:p>
    <w:p>
      <w:pPr>
        <w:ind w:left="580" w:hanging="338"/>
        <w:spacing w:after="0" w:line="254" w:lineRule="auto"/>
        <w:tabs>
          <w:tab w:leader="none" w:pos="580" w:val="left"/>
        </w:tabs>
        <w:numPr>
          <w:ilvl w:val="0"/>
          <w:numId w:val="19"/>
        </w:numPr>
        <w:rPr>
          <w:rFonts w:ascii="MS PGothic" w:cs="MS PGothic" w:eastAsia="MS PGothic" w:hAnsi="MS PGothic"/>
          <w:sz w:val="16"/>
          <w:szCs w:val="16"/>
          <w:color w:val="auto"/>
        </w:rPr>
      </w:pPr>
      <w:r>
        <w:rPr>
          <w:rFonts w:ascii="Arial" w:cs="Arial" w:eastAsia="Arial" w:hAnsi="Arial"/>
          <w:sz w:val="18"/>
          <w:szCs w:val="18"/>
          <w:b w:val="1"/>
          <w:bCs w:val="1"/>
          <w:i w:val="1"/>
          <w:iCs w:val="1"/>
          <w:color w:val="auto"/>
        </w:rPr>
        <w:t>North/South Building Orientation</w:t>
      </w:r>
      <w:r>
        <w:rPr>
          <w:rFonts w:ascii="Arial" w:cs="Arial" w:eastAsia="Arial" w:hAnsi="Arial"/>
          <w:sz w:val="18"/>
          <w:szCs w:val="18"/>
          <w:color w:val="auto"/>
        </w:rPr>
        <w: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 building is orientated with north/south exposure in order to minimize direct sun and thereby reduce power usage. Exterior courtyards were arranged to ensure summer shade thus creating outdoor areas that can be used by our employees throughout the year.</w:t>
      </w:r>
    </w:p>
    <w:p>
      <w:pPr>
        <w:spacing w:after="0" w:line="302" w:lineRule="exact"/>
        <w:rPr>
          <w:rFonts w:ascii="MS PGothic" w:cs="MS PGothic" w:eastAsia="MS PGothic" w:hAnsi="MS PGothic"/>
          <w:sz w:val="16"/>
          <w:szCs w:val="16"/>
          <w:color w:val="auto"/>
        </w:rPr>
      </w:pPr>
    </w:p>
    <w:p>
      <w:pPr>
        <w:ind w:left="580" w:right="60" w:hanging="338"/>
        <w:spacing w:after="0" w:line="272" w:lineRule="auto"/>
        <w:tabs>
          <w:tab w:leader="none" w:pos="580" w:val="left"/>
        </w:tabs>
        <w:numPr>
          <w:ilvl w:val="0"/>
          <w:numId w:val="19"/>
        </w:numPr>
        <w:rPr>
          <w:rFonts w:ascii="MS PGothic" w:cs="MS PGothic" w:eastAsia="MS PGothic" w:hAnsi="MS PGothic"/>
          <w:sz w:val="15"/>
          <w:szCs w:val="15"/>
          <w:color w:val="auto"/>
        </w:rPr>
      </w:pPr>
      <w:r>
        <w:rPr>
          <w:rFonts w:ascii="Arial" w:cs="Arial" w:eastAsia="Arial" w:hAnsi="Arial"/>
          <w:sz w:val="17"/>
          <w:szCs w:val="17"/>
          <w:b w:val="1"/>
          <w:bCs w:val="1"/>
          <w:i w:val="1"/>
          <w:iCs w:val="1"/>
          <w:color w:val="auto"/>
        </w:rPr>
        <w:t>Use of Window Glazing</w:t>
      </w:r>
      <w:r>
        <w:rPr>
          <w:rFonts w:ascii="Arial" w:cs="Arial" w:eastAsia="Arial" w:hAnsi="Arial"/>
          <w:sz w:val="17"/>
          <w:szCs w:val="17"/>
          <w:color w:val="auto"/>
        </w:rPr>
        <w:t>. Our building utilizes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-2149475</wp:posOffset>
            </wp:positionV>
            <wp:extent cx="5648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36" w:right="199" w:hanging="336"/>
        <w:spacing w:after="0" w:line="290" w:lineRule="auto"/>
        <w:tabs>
          <w:tab w:leader="none" w:pos="336" w:val="left"/>
        </w:tabs>
        <w:numPr>
          <w:ilvl w:val="0"/>
          <w:numId w:val="20"/>
        </w:numPr>
        <w:rPr>
          <w:rFonts w:ascii="MS PGothic" w:cs="MS PGothic" w:eastAsia="MS PGothic" w:hAnsi="MS PGothic"/>
          <w:sz w:val="14"/>
          <w:szCs w:val="14"/>
          <w:color w:val="auto"/>
        </w:rPr>
      </w:pPr>
      <w:r>
        <w:rPr>
          <w:rFonts w:ascii="Arial" w:cs="Arial" w:eastAsia="Arial" w:hAnsi="Arial"/>
          <w:sz w:val="16"/>
          <w:szCs w:val="16"/>
          <w:b w:val="1"/>
          <w:bCs w:val="1"/>
          <w:i w:val="1"/>
          <w:iCs w:val="1"/>
          <w:color w:val="auto"/>
        </w:rPr>
        <w:t>Reducing Water Consumption</w:t>
      </w:r>
      <w:r>
        <w:rPr>
          <w:rFonts w:ascii="Arial" w:cs="Arial" w:eastAsia="Arial" w:hAnsi="Arial"/>
          <w:sz w:val="16"/>
          <w:szCs w:val="16"/>
          <w:color w:val="auto"/>
        </w:rPr>
        <w:t>. Water usage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another 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p>
      <w:pPr>
        <w:spacing w:after="0" w:line="57" w:lineRule="exact"/>
        <w:rPr>
          <w:rFonts w:ascii="MS PGothic" w:cs="MS PGothic" w:eastAsia="MS PGothic" w:hAnsi="MS PGothic"/>
          <w:sz w:val="14"/>
          <w:szCs w:val="14"/>
          <w:color w:val="auto"/>
        </w:rPr>
      </w:pPr>
    </w:p>
    <w:p>
      <w:pPr>
        <w:ind w:left="336" w:right="179" w:hanging="336"/>
        <w:spacing w:after="0" w:line="255" w:lineRule="auto"/>
        <w:tabs>
          <w:tab w:leader="none" w:pos="336" w:val="left"/>
        </w:tabs>
        <w:numPr>
          <w:ilvl w:val="0"/>
          <w:numId w:val="20"/>
        </w:numPr>
        <w:rPr>
          <w:rFonts w:ascii="MS PGothic" w:cs="MS PGothic" w:eastAsia="MS PGothic" w:hAnsi="MS PGothic"/>
          <w:sz w:val="16"/>
          <w:szCs w:val="16"/>
          <w:color w:val="auto"/>
        </w:rPr>
      </w:pPr>
      <w:r>
        <w:rPr>
          <w:rFonts w:ascii="Arial" w:cs="Arial" w:eastAsia="Arial" w:hAnsi="Arial"/>
          <w:sz w:val="18"/>
          <w:szCs w:val="18"/>
          <w:b w:val="1"/>
          <w:bCs w:val="1"/>
          <w:i w:val="1"/>
          <w:iCs w:val="1"/>
          <w:color w:val="auto"/>
        </w:rPr>
        <w:t>Other Design Features</w:t>
      </w:r>
      <w:r>
        <w:rPr>
          <w:rFonts w:ascii="Arial" w:cs="Arial" w:eastAsia="Arial" w:hAnsi="Arial"/>
          <w:sz w:val="18"/>
          <w:szCs w:val="18"/>
          <w:color w:val="auto"/>
        </w:rPr>
        <w:t>. Additional environment-friendly design features include low VOC paints, use of recycled building materials, interior and exterior LED light bulbs, motion sensor lighting and implementation of an energy-efficient VRF mechanical system.</w:t>
      </w:r>
    </w:p>
    <w:p>
      <w:pPr>
        <w:spacing w:after="0" w:line="422" w:lineRule="exact"/>
        <w:rPr>
          <w:sz w:val="20"/>
          <w:szCs w:val="20"/>
          <w:color w:val="auto"/>
        </w:rPr>
      </w:pPr>
    </w:p>
    <w:p>
      <w:pPr>
        <w:sectPr>
          <w:pgSz w:w="11900" w:h="16838" w:orient="portrait"/>
          <w:cols w:equalWidth="0" w:num="2">
            <w:col w:w="4400" w:space="284"/>
            <w:col w:w="4335"/>
          </w:cols>
          <w:pgMar w:left="1440" w:top="517" w:right="1440" w:bottom="1440" w:gutter="0" w:footer="0" w:header="0"/>
          <w:type w:val="continuous"/>
        </w:sectPr>
      </w:pPr>
    </w:p>
    <w:p>
      <w:pPr>
        <w:ind w:left="60" w:right="299" w:firstLine="648"/>
        <w:spacing w:after="0" w:line="277" w:lineRule="auto"/>
        <w:rPr>
          <w:sz w:val="20"/>
          <w:szCs w:val="20"/>
          <w:color w:val="auto"/>
        </w:rPr>
      </w:pPr>
      <w:r>
        <w:rPr>
          <w:rFonts w:ascii="Arial" w:cs="Arial" w:eastAsia="Arial" w:hAnsi="Arial"/>
          <w:sz w:val="18"/>
          <w:szCs w:val="18"/>
          <w:color w:val="auto"/>
        </w:rPr>
        <w:t>In addition to its efficient facilities, the Company has undertaken other measures to minimize its environmental impact, including, among others:</w:t>
      </w:r>
    </w:p>
    <w:p>
      <w:pPr>
        <w:spacing w:after="0" w:line="170" w:lineRule="exact"/>
        <w:rPr>
          <w:sz w:val="20"/>
          <w:szCs w:val="20"/>
          <w:color w:val="auto"/>
        </w:rPr>
      </w:pPr>
    </w:p>
    <w:p>
      <w:pPr>
        <w:ind w:left="700" w:right="79" w:hanging="326"/>
        <w:spacing w:after="0" w:line="25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implementing a Trip Reduction Program, which provides incentives to employees who participate in carpooling or take public transportation to work;</w:t>
      </w:r>
    </w:p>
    <w:p>
      <w:pPr>
        <w:spacing w:after="0" w:line="1"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a telecommute option for a significant number of positions; and</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9" w:hanging="32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participating in a recycling program aimed at minimizing the volume of waste products generated by the Company.</w:t>
      </w:r>
    </w:p>
    <w:p>
      <w:pPr>
        <w:spacing w:after="0" w:line="157"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Due to our significant investment in technology and infrastructure, since March 2020, when the World Health Organization declared COVID-19 a global pandemic, over 95% of our diverse workforce has been able to work remotely. This has not only allowed our employees to remain physically safe, but has also resulted in savings in the areas of waste, janitorial costs, and travel costed related to business travel and commuting. At this time, we expect most employees will continue to work from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128270</wp:posOffset>
            </wp:positionV>
            <wp:extent cx="56578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 xml:space="preserve">Please see the </w:t>
      </w:r>
      <w:r>
        <w:rPr>
          <w:rFonts w:ascii="Arial" w:cs="Arial" w:eastAsia="Arial" w:hAnsi="Arial"/>
          <w:sz w:val="18"/>
          <w:szCs w:val="18"/>
          <w:i w:val="1"/>
          <w:iCs w:val="1"/>
          <w:color w:val="auto"/>
        </w:rPr>
        <w:t>General Information</w:t>
      </w:r>
      <w:r>
        <w:rPr>
          <w:rFonts w:ascii="Arial" w:cs="Arial" w:eastAsia="Arial" w:hAnsi="Arial"/>
          <w:sz w:val="18"/>
          <w:szCs w:val="18"/>
          <w:color w:val="auto"/>
        </w:rPr>
        <w:t xml:space="preserve"> section for important information about the proxy materials, voting, the annual meeting, Company documents, communications and the deadlines to submit stockholder proposals and director nominees for the 2021 Annual Meeting of Stockholders. Additional questions may be directed to our General Counsel, Grand Canyon Education, Inc., 2600 W. Camelback Road, Phoenix, Arizona 85017.</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Learn More About Our Company</w:t>
      </w:r>
    </w:p>
    <w:p>
      <w:pPr>
        <w:spacing w:after="0" w:line="229"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 xml:space="preserve">You can learn more about the Company, view our governance materials and much more by visiting our website, </w:t>
      </w:r>
      <w:r>
        <w:rPr>
          <w:rFonts w:ascii="Arial" w:cs="Arial" w:eastAsia="Arial" w:hAnsi="Arial"/>
          <w:sz w:val="18"/>
          <w:szCs w:val="18"/>
          <w:i w:val="1"/>
          <w:iCs w:val="1"/>
          <w:color w:val="auto"/>
        </w:rPr>
        <w:t>www.gce.com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2600 West Camelback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142875</wp:posOffset>
            </wp:positionV>
            <wp:extent cx="1405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154305</wp:posOffset>
            </wp:positionV>
            <wp:extent cx="1405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left="60" w:right="99" w:firstLine="648"/>
        <w:spacing w:after="0" w:line="311" w:lineRule="auto"/>
        <w:rPr>
          <w:sz w:val="20"/>
          <w:szCs w:val="20"/>
          <w:color w:val="auto"/>
        </w:rPr>
      </w:pPr>
      <w:r>
        <w:rPr>
          <w:rFonts w:ascii="Arial" w:cs="Arial" w:eastAsia="Arial" w:hAnsi="Arial"/>
          <w:sz w:val="16"/>
          <w:szCs w:val="16"/>
          <w:color w:val="auto"/>
        </w:rPr>
        <w:t>The enclosed proxy is being solicited by our Board of Directors for use in connection with the Annual Meeting to be held on Wednesday, June 16, 2021, at the offices of Grand Canyon Education, Inc. located at 2600 W. Camelback Road, Phoenix, Arizona 85017, commencing at 9:00 a.m., Arizona time, and at any adjournment or postponement thereof.</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Notice of Internet Availability</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May 4, 2021,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6"/>
          <w:szCs w:val="16"/>
          <w:i w:val="1"/>
          <w:iCs w:val="1"/>
          <w:color w:val="auto"/>
        </w:rPr>
        <w:t xml:space="preserve">www.edocumentview.com/LOPE </w:t>
      </w:r>
      <w:r>
        <w:rPr>
          <w:rFonts w:ascii="Arial" w:cs="Arial" w:eastAsia="Arial" w:hAnsi="Arial"/>
          <w:sz w:val="16"/>
          <w:szCs w:val="16"/>
          <w:color w:val="auto"/>
        </w:rPr>
        <w:t>or the Company’s Investor Relations website at</w:t>
      </w:r>
      <w:r>
        <w:rPr>
          <w:rFonts w:ascii="Arial" w:cs="Arial" w:eastAsia="Arial" w:hAnsi="Arial"/>
          <w:sz w:val="16"/>
          <w:szCs w:val="16"/>
          <w:i w:val="1"/>
          <w:iCs w:val="1"/>
          <w:color w:val="auto"/>
        </w:rPr>
        <w:t xml:space="preserve"> www.gce.com</w:t>
      </w:r>
      <w:r>
        <w:rPr>
          <w:rFonts w:ascii="Arial" w:cs="Arial" w:eastAsia="Arial" w:hAnsi="Arial"/>
          <w:sz w:val="16"/>
          <w:szCs w:val="16"/>
          <w:color w:val="auto"/>
        </w:rPr>
        <w: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Record Date and Quorum</w:t>
      </w:r>
    </w:p>
    <w:p>
      <w:pPr>
        <w:spacing w:after="0" w:line="22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Only stockholders of record at the close of business on April 22, 2021, will be entitled to notice of and to vote at the Annual Meeting and any adjournment or postponement thereof. At the close of business on the record date, we had approximately 46,366,883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Submission of Proxies; Revocation</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Deadlines for Stockholder Proposals</w:t>
      </w:r>
    </w:p>
    <w:p>
      <w:pPr>
        <w:spacing w:after="0" w:line="229"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established by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2022 Annual Meeting of Stockholders, the proposal must be received at our principal executive offices, addressed to our Secretary, not later than the close of business on January 4, 2022.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nor later than the close of business on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w:t>
      </w:r>
    </w:p>
    <w:p>
      <w:pPr>
        <w:spacing w:after="0" w:line="6" w:lineRule="exact"/>
        <w:rPr>
          <w:sz w:val="20"/>
          <w:szCs w:val="20"/>
          <w:color w:val="auto"/>
        </w:rPr>
      </w:pPr>
    </w:p>
    <w:p>
      <w:pPr>
        <w:ind w:left="60" w:right="159"/>
        <w:spacing w:after="0" w:line="242" w:lineRule="auto"/>
        <w:rPr>
          <w:sz w:val="20"/>
          <w:szCs w:val="20"/>
          <w:color w:val="auto"/>
        </w:rPr>
      </w:pPr>
      <w:r>
        <w:rPr>
          <w:rFonts w:ascii="Arial" w:cs="Arial" w:eastAsia="Arial" w:hAnsi="Arial"/>
          <w:sz w:val="17"/>
          <w:szCs w:val="17"/>
          <w:color w:val="auto"/>
        </w:rPr>
        <w:t>30 days earlier or later than such anniversary date, notice by the stockholders to be timely must be received not later than the close of business on the later of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annual meeting or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date on which public announcement of the date of such meeting is first made. For our 2022 Annual Meeting of Stockholders, proper notice of business that is not intended for inclusion in our proxy statement must be received not earlier than the close of business on February 16, 2022, nor later than the close of business on March 18, 2022.</w:t>
      </w:r>
    </w:p>
    <w:p>
      <w:pPr>
        <w:spacing w:after="0" w:line="203"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encourage you to provide instructions to your bank, broker or other holder of record regarding the voting of your shares. </w:t>
      </w:r>
      <w:r>
        <w:rPr>
          <w:rFonts w:ascii="Arial" w:cs="Arial" w:eastAsia="Arial" w:hAnsi="Arial"/>
          <w:sz w:val="16"/>
          <w:szCs w:val="16"/>
          <w:color w:val="auto"/>
        </w:rPr>
        <w:t>Our stockholders have no dissenter’s or appraisal rights in connection with any of the proposals described herein.</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vote required to approve each of the proposals presented in this Proxy Statement is set forth below:</w:t>
      </w:r>
    </w:p>
    <w:p>
      <w:pPr>
        <w:spacing w:after="0" w:line="237" w:lineRule="exact"/>
        <w:rPr>
          <w:sz w:val="20"/>
          <w:szCs w:val="20"/>
          <w:color w:val="auto"/>
        </w:rPr>
      </w:pPr>
    </w:p>
    <w:p>
      <w:pPr>
        <w:ind w:left="1340" w:right="159" w:hanging="318"/>
        <w:spacing w:after="0" w:line="293" w:lineRule="auto"/>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Election of Directors (Proposal No. 1)</w:t>
      </w:r>
      <w:r>
        <w:rPr>
          <w:rFonts w:ascii="Arial" w:cs="Arial" w:eastAsia="Arial" w:hAnsi="Arial"/>
          <w:sz w:val="16"/>
          <w:szCs w:val="16"/>
          <w:color w:val="auto"/>
        </w:rPr>
        <w:t>. The affirmative vote of a majority of the votes cast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a nominee is 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164" w:lineRule="exact"/>
        <w:rPr>
          <w:rFonts w:ascii="Arial" w:cs="Arial" w:eastAsia="Arial" w:hAnsi="Arial"/>
          <w:sz w:val="16"/>
          <w:szCs w:val="16"/>
          <w:color w:val="auto"/>
        </w:rPr>
      </w:pPr>
    </w:p>
    <w:p>
      <w:pPr>
        <w:ind w:left="1340" w:right="99" w:hanging="318"/>
        <w:spacing w:after="0" w:line="271" w:lineRule="auto"/>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Approval, on an advisory basis, of the compensation of our named executive officers (Proposal No. 2). </w:t>
      </w:r>
      <w:r>
        <w:rPr>
          <w:rFonts w:ascii="Arial" w:cs="Arial" w:eastAsia="Arial" w:hAnsi="Arial"/>
          <w:sz w:val="17"/>
          <w:szCs w:val="17"/>
          <w:color w:val="auto"/>
        </w:rPr>
        <w:t>Approval, on an 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178" w:lineRule="exact"/>
        <w:rPr>
          <w:rFonts w:ascii="Arial" w:cs="Arial" w:eastAsia="Arial" w:hAnsi="Arial"/>
          <w:sz w:val="17"/>
          <w:szCs w:val="17"/>
          <w:color w:val="auto"/>
        </w:rPr>
      </w:pPr>
    </w:p>
    <w:p>
      <w:pPr>
        <w:ind w:left="1340" w:right="159" w:hanging="318"/>
        <w:spacing w:after="0" w:line="272" w:lineRule="auto"/>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Ratification of the appointment of the Independent Registered Public Accounting Firm (Proposal No. 3). </w:t>
      </w:r>
      <w:r>
        <w:rPr>
          <w:rFonts w:ascii="Arial" w:cs="Arial" w:eastAsia="Arial" w:hAnsi="Arial"/>
          <w:sz w:val="17"/>
          <w:szCs w:val="17"/>
          <w:color w:val="auto"/>
        </w:rPr>
        <w:t>Approval of the proposal to ratify the Audit Committee’s appointment of KPMG LLP as our</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for the fiscal year ending December 31, 2021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229"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 of Soliciting Proxies</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18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Governance Philosophy</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to the Board of Directors During 2020</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 August 2019, Mr. David J. Johnson notified the Company that he intended to complete his current term on the Board of Directors, which ended at the 2020 annual meeting of stockholders on June 11, 2020. Mr. Johnson was our initial lead independent director at the time of our initial public offering on November 19, 2008 and served on the Board of Directors of the Company and its various committees for approximately 12 years. Mr. Johnson’s decision not to stand for re-election for a new term was not due to any disagreement with the Company on any matter relating to the Company’s operations, policies or practices.</w:t>
      </w:r>
    </w:p>
    <w:p>
      <w:pPr>
        <w:spacing w:after="0" w:line="192" w:lineRule="exact"/>
        <w:rPr>
          <w:sz w:val="20"/>
          <w:szCs w:val="20"/>
          <w:color w:val="auto"/>
        </w:rPr>
      </w:pPr>
    </w:p>
    <w:p>
      <w:pPr>
        <w:ind w:left="60" w:right="719" w:firstLine="648"/>
        <w:spacing w:after="0" w:line="342" w:lineRule="auto"/>
        <w:rPr>
          <w:sz w:val="20"/>
          <w:szCs w:val="20"/>
          <w:color w:val="auto"/>
        </w:rPr>
      </w:pPr>
      <w:r>
        <w:rPr>
          <w:rFonts w:ascii="Arial" w:cs="Arial" w:eastAsia="Arial" w:hAnsi="Arial"/>
          <w:sz w:val="16"/>
          <w:szCs w:val="16"/>
          <w:color w:val="auto"/>
        </w:rPr>
        <w:t>Effective June 11, 2020, Ms. Lisa Graham Keegan was appointed Chair of the Nominating and Corporate Governance Committee and Ms. Chevy Humphrey was appointed Chair of the Compensation Committee.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29"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During our 2020 fiscal year, our Board of Directors held eight meetings. All of our directors attended 100% of such meetings, except for Mr. Johnson, who attended 80% of the meetings held prior to his retirement from the Board on June 11, 2020. We do not have a formal policy regarding attendance of our directors at annual meetings of our stockholders, but we do encourage each of our directors to attend. All of our current directors attended our 2020 annual meeting in person or telephonically.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rules of the Nasdaq Stock Market. Under the Nasdaq Stock Market rules, a director can be independent only if the director does not trigger a categorical bar to independence and our Board of Directors affirmatively determines that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director does not have a relationship which, in the opinion of our Board of Directors, would interfere with the exercise of independent judgment by the director in carrying out the responsibilities of a director.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19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17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applicable Nasdaq guidelines. The lead independent director, a position currently held by Ms. Sara Dial, has the following duties:</w:t>
      </w:r>
    </w:p>
    <w:p>
      <w:pPr>
        <w:spacing w:after="0" w:line="188" w:lineRule="exact"/>
        <w:rPr>
          <w:sz w:val="20"/>
          <w:szCs w:val="20"/>
          <w:color w:val="auto"/>
        </w:rPr>
      </w:pPr>
    </w:p>
    <w:p>
      <w:pPr>
        <w:ind w:left="1020" w:hanging="32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Setting the agenda and serving as chairman for the executive sessions of the independent directors.</w:t>
      </w:r>
    </w:p>
    <w:p>
      <w:pPr>
        <w:spacing w:after="0" w:line="236" w:lineRule="exact"/>
        <w:rPr>
          <w:rFonts w:ascii="Arial" w:cs="Arial" w:eastAsia="Arial" w:hAnsi="Arial"/>
          <w:sz w:val="17"/>
          <w:szCs w:val="17"/>
          <w:color w:val="auto"/>
        </w:rPr>
      </w:pPr>
    </w:p>
    <w:p>
      <w:pPr>
        <w:ind w:left="1020" w:right="459" w:hanging="322"/>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Serving as liaison between the Chairman and the independent directors, including, communicating to the Chairman, as appropriate, the results of executive sessions of the independent directors.</w:t>
      </w:r>
    </w:p>
    <w:p>
      <w:pPr>
        <w:spacing w:after="0" w:line="146" w:lineRule="exact"/>
        <w:rPr>
          <w:rFonts w:ascii="Arial" w:cs="Arial" w:eastAsia="Arial" w:hAnsi="Arial"/>
          <w:sz w:val="17"/>
          <w:szCs w:val="17"/>
          <w:color w:val="auto"/>
        </w:rPr>
      </w:pPr>
    </w:p>
    <w:p>
      <w:pPr>
        <w:ind w:left="1020" w:right="619" w:hanging="32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Ensuring that independent directors have adequate opportunities to meet without management present, including authority to call meetings of the independent directors.</w:t>
      </w:r>
    </w:p>
    <w:p>
      <w:pPr>
        <w:spacing w:after="0" w:line="170" w:lineRule="exact"/>
        <w:rPr>
          <w:rFonts w:ascii="Arial" w:cs="Arial" w:eastAsia="Arial" w:hAnsi="Arial"/>
          <w:sz w:val="18"/>
          <w:szCs w:val="18"/>
          <w:color w:val="auto"/>
        </w:rPr>
      </w:pPr>
    </w:p>
    <w:p>
      <w:pPr>
        <w:ind w:left="1020" w:right="279" w:hanging="322"/>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Serving as designated contact for communication to independent directors as required by the Securities and Exchange Commission and the Nasdaq Stock Market’s listing standards, including being available for consultation and direct communication with major stockholders.</w:t>
      </w:r>
    </w:p>
    <w:p>
      <w:pPr>
        <w:spacing w:after="0" w:line="183" w:lineRule="exact"/>
        <w:rPr>
          <w:rFonts w:ascii="Arial" w:cs="Arial" w:eastAsia="Arial" w:hAnsi="Arial"/>
          <w:sz w:val="18"/>
          <w:szCs w:val="18"/>
          <w:color w:val="auto"/>
        </w:rPr>
      </w:pPr>
    </w:p>
    <w:p>
      <w:pPr>
        <w:ind w:left="1020" w:right="339" w:hanging="32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Approving the agenda and information sent in connection with Board meetings and ensuring that the other independent directors also have an opportunity to provide input on the agenda.</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Approving meeting schedules to assure that there is sufficient time for discussion of all agenda items.</w:t>
      </w:r>
    </w:p>
    <w:p>
      <w:pPr>
        <w:spacing w:after="0" w:line="236" w:lineRule="exact"/>
        <w:rPr>
          <w:rFonts w:ascii="Arial" w:cs="Arial" w:eastAsia="Arial" w:hAnsi="Arial"/>
          <w:sz w:val="17"/>
          <w:szCs w:val="17"/>
          <w:color w:val="auto"/>
        </w:rPr>
      </w:pPr>
    </w:p>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Chairing Board meetings if the Chairman is unable to attend.</w:t>
      </w:r>
    </w:p>
    <w:p>
      <w:pPr>
        <w:spacing w:after="0" w:line="225"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Importantly, all of our directors play an active role in overseeing the Company’s business both at the Board and committee levels. As part of each regularly scheduled Board meeting, the independent directors meet in executive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Committees of Our Board of Directors During 2020</w:t>
      </w:r>
    </w:p>
    <w:p>
      <w:pPr>
        <w:spacing w:after="0" w:line="229"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2020, each director attended 100% of the meetings of the Board committees on which he or she served during the time for which each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Arial" w:cs="Arial" w:eastAsia="Arial" w:hAnsi="Arial"/>
          <w:sz w:val="17"/>
          <w:szCs w:val="17"/>
          <w:i w:val="1"/>
          <w:iCs w:val="1"/>
          <w:color w:val="auto"/>
        </w:rPr>
        <w:t>www.gce.com.</w:t>
      </w:r>
    </w:p>
    <w:p>
      <w:pPr>
        <w:spacing w:after="0" w:line="15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i w:val="1"/>
          <w:iCs w:val="1"/>
          <w:color w:val="auto"/>
        </w:rPr>
        <w:t>Audit Committee (Number of meetings held during 2020: Seven</w:t>
      </w:r>
      <w:r>
        <w:rPr>
          <w:rFonts w:ascii="Arial" w:cs="Arial" w:eastAsia="Arial" w:hAnsi="Arial"/>
          <w:sz w:val="17"/>
          <w:szCs w:val="17"/>
          <w:color w:val="auto"/>
        </w:rPr>
        <w:t>). During 2020, our Audit Committee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Mr. Henry (chair), Mr. Johnson (until June 11, 2020), Ms. Dial, Ms. Keegan and Ms. Humphrey, each of whom our Board of Directors determined to be “independent,” as defined under and required by the rules of the Nasdaq Stock Market and the federal securities laws. In addition, our Board has determined that each of Mr. Henry and Ms. Humphrey qualify as an “audit committee financial expert,” as defined under applicable federal securities laws.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The Audit Committee is also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spacing w:after="0" w:line="13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 xml:space="preserve">Compensation Committee (Number of meetings held during 2020: Five). </w:t>
      </w:r>
      <w:r>
        <w:rPr>
          <w:rFonts w:ascii="Arial" w:cs="Arial" w:eastAsia="Arial" w:hAnsi="Arial"/>
          <w:sz w:val="17"/>
          <w:szCs w:val="17"/>
          <w:color w:val="auto"/>
        </w:rPr>
        <w:t>During 2020,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consisted of Mr. Johnson (who served as chair, until June 11, 2020), Mr. Henry, Ms. Humphrey (who has served as chair since June 11, 2020), Ms. Dial, and Ms. Keegan, each of whom the Board of Directors determined to be “independent,” as defined under and required by the rules of the Nasdaq Stock Market. The Compensation Committee is responsible for, among other things, supervising and reviewing our affairs as they relate to the compensation and benefits of our executive officers and directors.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7"/>
          <w:szCs w:val="17"/>
          <w:i w:val="1"/>
          <w:iCs w:val="1"/>
          <w:color w:val="auto"/>
        </w:rPr>
        <w:t>.</w:t>
      </w:r>
    </w:p>
    <w:p>
      <w:pPr>
        <w:spacing w:after="0" w:line="14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The Compensation Committee periodically engages an independent compensation consultant and advisor to:</w:t>
      </w:r>
    </w:p>
    <w:p>
      <w:pPr>
        <w:spacing w:after="0" w:line="119" w:lineRule="exact"/>
        <w:rPr>
          <w:sz w:val="20"/>
          <w:szCs w:val="20"/>
          <w:color w:val="auto"/>
        </w:rPr>
      </w:pPr>
    </w:p>
    <w:p>
      <w:pPr>
        <w:ind w:left="1340" w:right="359" w:hanging="318"/>
        <w:spacing w:after="0" w:line="308" w:lineRule="auto"/>
        <w:tabs>
          <w:tab w:leader="none" w:pos="1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recommendations regarding executive compensation consistent with the Company’s business needs, pay philosophy, market trends and latest legal and regulatory considerations;</w:t>
      </w:r>
    </w:p>
    <w:p>
      <w:pPr>
        <w:spacing w:after="0" w:line="105" w:lineRule="exact"/>
        <w:rPr>
          <w:rFonts w:ascii="Arial" w:cs="Arial" w:eastAsia="Arial" w:hAnsi="Arial"/>
          <w:sz w:val="17"/>
          <w:szCs w:val="17"/>
          <w:color w:val="auto"/>
        </w:rPr>
      </w:pPr>
    </w:p>
    <w:p>
      <w:pPr>
        <w:ind w:left="1340" w:hanging="318"/>
        <w:spacing w:after="0"/>
        <w:tabs>
          <w:tab w:leader="none" w:pos="1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market data for base salary, short-term incentive and long-term incentive decisions; and</w:t>
      </w:r>
    </w:p>
    <w:p>
      <w:pPr>
        <w:spacing w:after="0" w:line="209" w:lineRule="exact"/>
        <w:rPr>
          <w:rFonts w:ascii="Arial" w:cs="Arial" w:eastAsia="Arial" w:hAnsi="Arial"/>
          <w:sz w:val="17"/>
          <w:szCs w:val="17"/>
          <w:color w:val="auto"/>
        </w:rPr>
      </w:pPr>
    </w:p>
    <w:p>
      <w:pPr>
        <w:ind w:left="1340" w:hanging="318"/>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185"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i w:val="1"/>
          <w:iCs w:val="1"/>
          <w:color w:val="auto"/>
        </w:rPr>
        <w:t xml:space="preserve">Nominating and Corporate Governance Committee (Number of meetings held during 2020: Four). </w:t>
      </w:r>
      <w:r>
        <w:rPr>
          <w:rFonts w:ascii="Arial" w:cs="Arial" w:eastAsia="Arial" w:hAnsi="Arial"/>
          <w:sz w:val="16"/>
          <w:szCs w:val="16"/>
          <w:color w:val="auto"/>
        </w:rPr>
        <w:t>During 2020,</w:t>
      </w:r>
      <w:r>
        <w:rPr>
          <w:rFonts w:ascii="Arial" w:cs="Arial" w:eastAsia="Arial" w:hAnsi="Arial"/>
          <w:sz w:val="16"/>
          <w:szCs w:val="16"/>
          <w:i w:val="1"/>
          <w:iCs w:val="1"/>
          <w:color w:val="auto"/>
        </w:rPr>
        <w:t xml:space="preserve"> </w:t>
      </w:r>
      <w:r>
        <w:rPr>
          <w:rFonts w:ascii="Arial" w:cs="Arial" w:eastAsia="Arial" w:hAnsi="Arial"/>
          <w:sz w:val="16"/>
          <w:szCs w:val="16"/>
          <w:color w:val="auto"/>
        </w:rPr>
        <w:t>our Nominating and Corporate Governance Committee consisted of Ms. Dial (who served as chair until June 11, 2020), Ms. Keegan (who has served as chair since June 11, 2020), Ms. Humphrey, Mr. Henry, and Mr. Johnson (until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June 11, 2020), each of whom our Board of Directors determined to be “independent,” as defined under and required by the rules of the Nasdaq Stock Market.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Conduct</w:t>
      </w:r>
    </w:p>
    <w:p>
      <w:pPr>
        <w:spacing w:after="0" w:line="18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Arial" w:cs="Arial" w:eastAsia="Arial" w:hAnsi="Arial"/>
          <w:sz w:val="18"/>
          <w:szCs w:val="18"/>
          <w:i w:val="1"/>
          <w:iCs w:val="1"/>
          <w:color w:val="auto"/>
        </w:rPr>
        <w:t>www.gce.com.</w:t>
      </w:r>
      <w:r>
        <w:rPr>
          <w:rFonts w:ascii="Arial" w:cs="Arial" w:eastAsia="Arial" w:hAnsi="Arial"/>
          <w:sz w:val="18"/>
          <w:szCs w:val="18"/>
          <w:color w:val="auto"/>
        </w:rPr>
        <w:t xml:space="preserve"> We intend to post on our website any amendment to, or waiver from, a provision of our code of conduct that applies to any director or officer, including our Chief Executive Officer, Chief Financial Officer, and other persons including our principal accounting officer performing similar functions, promptly following the date of such amendment or waiver.</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Oversight</w:t>
      </w:r>
    </w:p>
    <w:p>
      <w:pPr>
        <w:spacing w:after="0" w:line="202"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Nomination Process</w:t>
      </w:r>
    </w:p>
    <w:p>
      <w:pPr>
        <w:spacing w:after="0" w:line="18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makes such selections pursuant to the following process:</w:t>
      </w:r>
    </w:p>
    <w:p>
      <w:pPr>
        <w:spacing w:after="0" w:line="62" w:lineRule="exact"/>
        <w:rPr>
          <w:sz w:val="20"/>
          <w:szCs w:val="20"/>
          <w:color w:val="auto"/>
        </w:rPr>
      </w:pPr>
    </w:p>
    <w:p>
      <w:pPr>
        <w:ind w:left="1340" w:right="399" w:hanging="318"/>
        <w:spacing w:after="0" w:line="263"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75" w:lineRule="exact"/>
        <w:rPr>
          <w:rFonts w:ascii="Arial" w:cs="Arial" w:eastAsia="Arial" w:hAnsi="Arial"/>
          <w:sz w:val="18"/>
          <w:szCs w:val="18"/>
          <w:color w:val="auto"/>
        </w:rPr>
      </w:pPr>
    </w:p>
    <w:p>
      <w:pPr>
        <w:ind w:left="1340" w:right="339" w:hanging="318"/>
        <w:spacing w:after="0" w:line="342" w:lineRule="auto"/>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 of the candidates’ qualifications by our Nominating and Corporate Governance Committee to determine which candidates best meet our Board of Directors’ required and desired criteria;</w:t>
      </w:r>
    </w:p>
    <w:p>
      <w:pPr>
        <w:spacing w:after="0" w:line="15" w:lineRule="exact"/>
        <w:rPr>
          <w:rFonts w:ascii="Arial" w:cs="Arial" w:eastAsia="Arial" w:hAnsi="Arial"/>
          <w:sz w:val="16"/>
          <w:szCs w:val="16"/>
          <w:color w:val="auto"/>
        </w:rPr>
      </w:pPr>
    </w:p>
    <w:p>
      <w:pPr>
        <w:ind w:left="1340" w:right="119" w:hanging="318"/>
        <w:spacing w:after="0" w:line="263"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75" w:lineRule="exact"/>
        <w:rPr>
          <w:rFonts w:ascii="Arial" w:cs="Arial" w:eastAsia="Arial" w:hAnsi="Arial"/>
          <w:sz w:val="18"/>
          <w:szCs w:val="18"/>
          <w:color w:val="auto"/>
        </w:rPr>
      </w:pPr>
    </w:p>
    <w:p>
      <w:pPr>
        <w:jc w:val="both"/>
        <w:ind w:left="1340" w:right="119" w:hanging="318"/>
        <w:spacing w:after="0" w:line="263"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75"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117" w:lineRule="exact"/>
        <w:rPr>
          <w:sz w:val="20"/>
          <w:szCs w:val="20"/>
          <w:color w:val="auto"/>
        </w:rPr>
      </w:pPr>
    </w:p>
    <w:p>
      <w:pPr>
        <w:jc w:val="both"/>
        <w:ind w:left="60" w:right="319" w:firstLine="648"/>
        <w:spacing w:after="0" w:line="311" w:lineRule="auto"/>
        <w:rPr>
          <w:sz w:val="20"/>
          <w:szCs w:val="20"/>
          <w:color w:val="auto"/>
        </w:rPr>
      </w:pPr>
      <w:r>
        <w:rPr>
          <w:rFonts w:ascii="Arial" w:cs="Arial" w:eastAsia="Arial" w:hAnsi="Arial"/>
          <w:sz w:val="16"/>
          <w:szCs w:val="16"/>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76" w:lineRule="exact"/>
        <w:rPr>
          <w:sz w:val="20"/>
          <w:szCs w:val="20"/>
          <w:color w:val="auto"/>
        </w:rPr>
      </w:pPr>
    </w:p>
    <w:p>
      <w:pPr>
        <w:ind w:left="1340" w:right="99" w:hanging="318"/>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62" w:lineRule="exact"/>
        <w:rPr>
          <w:rFonts w:ascii="Arial" w:cs="Arial" w:eastAsia="Arial" w:hAnsi="Arial"/>
          <w:sz w:val="18"/>
          <w:szCs w:val="18"/>
          <w:color w:val="auto"/>
        </w:rPr>
      </w:pPr>
    </w:p>
    <w:p>
      <w:pPr>
        <w:ind w:left="1340" w:right="119" w:hanging="318"/>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62" w:lineRule="exact"/>
        <w:rPr>
          <w:rFonts w:ascii="Arial" w:cs="Arial" w:eastAsia="Arial" w:hAnsi="Arial"/>
          <w:sz w:val="18"/>
          <w:szCs w:val="18"/>
          <w:color w:val="auto"/>
        </w:rPr>
      </w:pPr>
    </w:p>
    <w:p>
      <w:pPr>
        <w:ind w:left="1340" w:right="179" w:hanging="318"/>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62" w:lineRule="exact"/>
        <w:rPr>
          <w:rFonts w:ascii="Arial" w:cs="Arial" w:eastAsia="Arial" w:hAnsi="Arial"/>
          <w:sz w:val="18"/>
          <w:szCs w:val="18"/>
          <w:color w:val="auto"/>
        </w:rPr>
      </w:pPr>
    </w:p>
    <w:p>
      <w:pPr>
        <w:ind w:left="1340" w:right="499" w:hanging="318"/>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62" w:lineRule="exact"/>
        <w:rPr>
          <w:rFonts w:ascii="Arial" w:cs="Arial" w:eastAsia="Arial" w:hAnsi="Arial"/>
          <w:sz w:val="18"/>
          <w:szCs w:val="18"/>
          <w:color w:val="auto"/>
        </w:rPr>
      </w:pPr>
    </w:p>
    <w:p>
      <w:pPr>
        <w:ind w:left="1340" w:right="99" w:hanging="318"/>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62" w:lineRule="exact"/>
        <w:rPr>
          <w:rFonts w:ascii="Arial" w:cs="Arial" w:eastAsia="Arial" w:hAnsi="Arial"/>
          <w:sz w:val="18"/>
          <w:szCs w:val="18"/>
          <w:color w:val="auto"/>
        </w:rPr>
      </w:pPr>
    </w:p>
    <w:p>
      <w:pPr>
        <w:ind w:left="1340" w:right="699" w:hanging="318"/>
        <w:spacing w:after="0" w:line="263"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75" w:lineRule="exact"/>
        <w:rPr>
          <w:rFonts w:ascii="Arial" w:cs="Arial" w:eastAsia="Arial" w:hAnsi="Arial"/>
          <w:sz w:val="18"/>
          <w:szCs w:val="18"/>
          <w:color w:val="auto"/>
        </w:rPr>
      </w:pPr>
    </w:p>
    <w:p>
      <w:pPr>
        <w:ind w:left="1340" w:right="199" w:hanging="318"/>
        <w:spacing w:after="0" w:line="277"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92"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2600 W. Camelback Road, Phoenix, Arizona 85017. Submissions must be received at the Company’s principal executive offices not earlier than the close of business on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nor later than the close of business on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2022 Annual Meeting of Stockholders, stockholder nominations must be received not earlier than the close of business on February 16, 2022, and not later than the close of business on March 18, 2022.</w:t>
      </w:r>
    </w:p>
    <w:p>
      <w:pPr>
        <w:spacing w:after="0" w:line="18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w:t>
      </w:r>
    </w:p>
    <w:p>
      <w:pPr>
        <w:spacing w:after="0" w:line="4" w:lineRule="exact"/>
        <w:rPr>
          <w:sz w:val="20"/>
          <w:szCs w:val="20"/>
          <w:color w:val="auto"/>
        </w:rPr>
      </w:pPr>
    </w:p>
    <w:p>
      <w:pPr>
        <w:ind w:left="60" w:right="239" w:hanging="10"/>
        <w:spacing w:after="0" w:line="295" w:lineRule="auto"/>
        <w:tabs>
          <w:tab w:leader="none" w:pos="4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Annual Elections of Directors</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Our directors are elected each year at the annual meeting of stockholders to hold office until the next annual meeting of stockholders and until their successors are duly elected and qualified.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Policy on Majority Voting</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resignation would cause us to fail to meet any applicable listing standards or would violate state law. Within such ninety</w:t>
      </w:r>
    </w:p>
    <w:p>
      <w:pPr>
        <w:spacing w:after="0" w:line="46" w:lineRule="exact"/>
        <w:rPr>
          <w:sz w:val="20"/>
          <w:szCs w:val="20"/>
          <w:color w:val="auto"/>
        </w:rPr>
      </w:pPr>
    </w:p>
    <w:p>
      <w:pPr>
        <w:ind w:left="60" w:right="159" w:hanging="10"/>
        <w:spacing w:after="0" w:line="260"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 period, the Board will act on the committee’s recommendation and publicly disclose its decision and the rationale behind it.</w:t>
      </w:r>
    </w:p>
    <w:p>
      <w:pPr>
        <w:spacing w:after="0" w:line="18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During 2020, Mr. Henry, Mr. Johnson (until June 11, 2020), Ms. Dial, Ms. Keegan, and Ms. Humphrey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Ownership Policy</w:t>
      </w:r>
    </w:p>
    <w:p>
      <w:pPr>
        <w:spacing w:after="0" w:line="229"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Arial" w:cs="Arial" w:eastAsia="Arial" w:hAnsi="Arial"/>
          <w:sz w:val="17"/>
          <w:szCs w:val="17"/>
          <w:i w:val="1"/>
          <w:iCs w:val="1"/>
          <w:color w:val="auto"/>
        </w:rPr>
        <w:t>www.gce.com</w:t>
      </w:r>
      <w:r>
        <w:rPr>
          <w:rFonts w:ascii="Arial" w:cs="Arial" w:eastAsia="Arial" w:hAnsi="Arial"/>
          <w:sz w:val="17"/>
          <w:szCs w:val="17"/>
          <w:color w:val="auto"/>
        </w:rPr>
        <w:t>, establishes the following ownership levels for each category of person covered by the policy:</w:t>
      </w:r>
    </w:p>
    <w:p>
      <w:pPr>
        <w:spacing w:after="0" w:line="186" w:lineRule="exact"/>
        <w:rPr>
          <w:sz w:val="20"/>
          <w:szCs w:val="20"/>
          <w:color w:val="auto"/>
        </w:rPr>
      </w:pPr>
    </w:p>
    <w:tbl>
      <w:tblPr>
        <w:tblLayout w:type="fixed"/>
        <w:tblInd w:w="970" w:type="dxa"/>
        <w:tblCellMar>
          <w:top w:w="0" w:type="dxa"/>
          <w:left w:w="0" w:type="dxa"/>
          <w:bottom w:w="0" w:type="dxa"/>
          <w:right w:w="0" w:type="dxa"/>
        </w:tblCellMar>
      </w:tblPr>
      <w:tr>
        <w:trPr>
          <w:trHeight w:val="230"/>
        </w:trPr>
        <w:tc>
          <w:tcPr>
            <w:tcW w:w="380" w:type="dxa"/>
            <w:vAlign w:val="bottom"/>
            <w:tcBorders>
              <w:top w:val="single" w:sz="8" w:color="auto"/>
              <w:left w:val="single" w:sz="8" w:color="auto"/>
            </w:tcBorders>
          </w:tcPr>
          <w:p>
            <w:pPr>
              <w:spacing w:after="0"/>
              <w:rPr>
                <w:sz w:val="19"/>
                <w:szCs w:val="19"/>
                <w:color w:val="auto"/>
              </w:rPr>
            </w:pPr>
          </w:p>
        </w:tc>
        <w:tc>
          <w:tcPr>
            <w:tcW w:w="3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Covered Person</w:t>
            </w:r>
          </w:p>
        </w:tc>
        <w:tc>
          <w:tcPr>
            <w:tcW w:w="160" w:type="dxa"/>
            <w:vAlign w:val="bottom"/>
            <w:tcBorders>
              <w:top w:val="single" w:sz="8" w:color="auto"/>
            </w:tcBorders>
          </w:tcPr>
          <w:p>
            <w:pPr>
              <w:spacing w:after="0"/>
              <w:rPr>
                <w:sz w:val="19"/>
                <w:szCs w:val="19"/>
                <w:color w:val="auto"/>
              </w:rPr>
            </w:pPr>
          </w:p>
        </w:tc>
        <w:tc>
          <w:tcPr>
            <w:tcW w:w="3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Required Salary Multiple</w:t>
            </w:r>
          </w:p>
        </w:tc>
        <w:tc>
          <w:tcPr>
            <w:tcW w:w="180" w:type="dxa"/>
            <w:vAlign w:val="bottom"/>
            <w:tcBorders>
              <w:top w:val="single" w:sz="8" w:color="auto"/>
              <w:right w:val="single" w:sz="8" w:color="auto"/>
            </w:tcBorders>
          </w:tcPr>
          <w:p>
            <w:pPr>
              <w:spacing w:after="0"/>
              <w:rPr>
                <w:sz w:val="19"/>
                <w:szCs w:val="19"/>
                <w:color w:val="auto"/>
              </w:rPr>
            </w:pPr>
          </w:p>
        </w:tc>
      </w:tr>
      <w:tr>
        <w:trPr>
          <w:trHeight w:val="345"/>
        </w:trPr>
        <w:tc>
          <w:tcPr>
            <w:tcW w:w="380" w:type="dxa"/>
            <w:vAlign w:val="bottom"/>
            <w:tcBorders>
              <w:left w:val="single" w:sz="8" w:color="auto"/>
            </w:tcBorders>
          </w:tcPr>
          <w:p>
            <w:pPr>
              <w:spacing w:after="0"/>
              <w:rPr>
                <w:sz w:val="24"/>
                <w:szCs w:val="24"/>
                <w:color w:val="auto"/>
              </w:rPr>
            </w:pPr>
          </w:p>
        </w:tc>
        <w:tc>
          <w:tcPr>
            <w:tcW w:w="33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Chairman and Chief Executive Officer</w:t>
            </w: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7"/>
              </w:rPr>
              <w:t>5x base salary</w:t>
            </w:r>
          </w:p>
        </w:tc>
      </w:tr>
      <w:tr>
        <w:trPr>
          <w:trHeight w:val="351"/>
        </w:trPr>
        <w:tc>
          <w:tcPr>
            <w:tcW w:w="380" w:type="dxa"/>
            <w:vAlign w:val="bottom"/>
            <w:tcBorders>
              <w:left w:val="single" w:sz="8" w:color="auto"/>
            </w:tcBorders>
          </w:tcPr>
          <w:p>
            <w:pPr>
              <w:spacing w:after="0"/>
              <w:rPr>
                <w:sz w:val="24"/>
                <w:szCs w:val="24"/>
                <w:color w:val="auto"/>
              </w:rPr>
            </w:pPr>
          </w:p>
        </w:tc>
        <w:tc>
          <w:tcPr>
            <w:tcW w:w="33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All other Named Executive Officers</w:t>
            </w: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7"/>
              </w:rPr>
              <w:t>3x base salary</w:t>
            </w:r>
          </w:p>
        </w:tc>
      </w:tr>
      <w:tr>
        <w:trPr>
          <w:trHeight w:val="337"/>
        </w:trPr>
        <w:tc>
          <w:tcPr>
            <w:tcW w:w="380" w:type="dxa"/>
            <w:vAlign w:val="bottom"/>
            <w:tcBorders>
              <w:left w:val="single" w:sz="8" w:color="auto"/>
            </w:tcBorders>
          </w:tcPr>
          <w:p>
            <w:pPr>
              <w:spacing w:after="0"/>
              <w:rPr>
                <w:sz w:val="24"/>
                <w:szCs w:val="24"/>
                <w:color w:val="auto"/>
              </w:rPr>
            </w:pPr>
          </w:p>
        </w:tc>
        <w:tc>
          <w:tcPr>
            <w:tcW w:w="3360" w:type="dxa"/>
            <w:vAlign w:val="bottom"/>
            <w:gridSpan w:val="2"/>
          </w:tcPr>
          <w:p>
            <w:pPr>
              <w:ind w:left="1140"/>
              <w:spacing w:after="0"/>
              <w:rPr>
                <w:sz w:val="20"/>
                <w:szCs w:val="20"/>
                <w:color w:val="auto"/>
              </w:rPr>
            </w:pPr>
            <w:r>
              <w:rPr>
                <w:rFonts w:ascii="Arial" w:cs="Arial" w:eastAsia="Arial" w:hAnsi="Arial"/>
                <w:sz w:val="18"/>
                <w:szCs w:val="18"/>
                <w:color w:val="auto"/>
              </w:rPr>
              <w:t>Outside Directors</w:t>
            </w: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3x annual cash retainer (exclusive of any</w:t>
            </w:r>
          </w:p>
        </w:tc>
      </w:tr>
      <w:tr>
        <w:trPr>
          <w:trHeight w:val="216"/>
        </w:trPr>
        <w:tc>
          <w:tcPr>
            <w:tcW w:w="380" w:type="dxa"/>
            <w:vAlign w:val="bottom"/>
            <w:tcBorders>
              <w:left w:val="single" w:sz="8" w:color="auto"/>
            </w:tcBorders>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cash retainer payable for service as lead</w:t>
            </w:r>
          </w:p>
        </w:tc>
      </w:tr>
      <w:tr>
        <w:trPr>
          <w:trHeight w:val="216"/>
        </w:trPr>
        <w:tc>
          <w:tcPr>
            <w:tcW w:w="380" w:type="dxa"/>
            <w:vAlign w:val="bottom"/>
            <w:tcBorders>
              <w:left w:val="single" w:sz="8" w:color="auto"/>
            </w:tcBorders>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1"/>
              </w:rPr>
              <w:t>director, chairperson of the Board or any</w:t>
            </w: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1"/>
              </w:rPr>
              <w:t>committee thereof)</w:t>
            </w:r>
          </w:p>
        </w:tc>
      </w:tr>
    </w:tbl>
    <w:p>
      <w:pPr>
        <w:spacing w:after="0" w:line="80"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Under the policy, the following may be used in determining share ownership for purposes of the ownership requirement:</w:t>
      </w:r>
    </w:p>
    <w:p>
      <w:pPr>
        <w:spacing w:after="0" w:line="62" w:lineRule="exact"/>
        <w:rPr>
          <w:sz w:val="20"/>
          <w:szCs w:val="20"/>
          <w:color w:val="auto"/>
        </w:rPr>
      </w:pPr>
    </w:p>
    <w:p>
      <w:pPr>
        <w:jc w:val="both"/>
        <w:ind w:left="1340" w:right="279" w:hanging="318"/>
        <w:spacing w:after="0" w:line="286" w:lineRule="auto"/>
        <w:tabs>
          <w:tab w:leader="none" w:pos="1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owned jointly with or separately by the director’s spouse;</w:t>
      </w:r>
    </w:p>
    <w:p>
      <w:pPr>
        <w:spacing w:after="0" w:line="117" w:lineRule="exact"/>
        <w:rPr>
          <w:rFonts w:ascii="Arial" w:cs="Arial" w:eastAsia="Arial" w:hAnsi="Arial"/>
          <w:sz w:val="18"/>
          <w:szCs w:val="18"/>
          <w:color w:val="auto"/>
        </w:rPr>
      </w:pPr>
    </w:p>
    <w:p>
      <w:pPr>
        <w:ind w:left="1340" w:right="79" w:hanging="318"/>
        <w:spacing w:after="0" w:line="277"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held in trust for the benefit of the Covered Person, or one or more family members of the Covered Person;</w:t>
      </w:r>
    </w:p>
    <w:p>
      <w:pPr>
        <w:spacing w:after="0" w:line="62" w:lineRule="exact"/>
        <w:rPr>
          <w:rFonts w:ascii="Arial" w:cs="Arial" w:eastAsia="Arial" w:hAnsi="Arial"/>
          <w:sz w:val="18"/>
          <w:szCs w:val="18"/>
          <w:color w:val="auto"/>
        </w:rPr>
      </w:pPr>
    </w:p>
    <w:p>
      <w:pPr>
        <w:ind w:left="1340" w:hanging="318"/>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held in qualified or nonqualified savings, profit-sharing, or deferred compensation accounts;</w:t>
      </w:r>
    </w:p>
    <w:p>
      <w:pPr>
        <w:spacing w:after="0" w:line="128" w:lineRule="exact"/>
        <w:rPr>
          <w:rFonts w:ascii="Arial" w:cs="Arial" w:eastAsia="Arial" w:hAnsi="Arial"/>
          <w:sz w:val="17"/>
          <w:szCs w:val="17"/>
          <w:color w:val="auto"/>
        </w:rPr>
      </w:pPr>
    </w:p>
    <w:p>
      <w:pPr>
        <w:ind w:left="1340" w:right="299" w:hanging="318"/>
        <w:spacing w:after="0" w:line="308" w:lineRule="auto"/>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underlying vested but unexercised stock options (based on the excess of the market price of the stock over the exercise price and after deducting any tax withholding obligations); and</w:t>
      </w:r>
    </w:p>
    <w:p>
      <w:pPr>
        <w:spacing w:after="0" w:line="38" w:lineRule="exact"/>
        <w:rPr>
          <w:rFonts w:ascii="Arial" w:cs="Arial" w:eastAsia="Arial" w:hAnsi="Arial"/>
          <w:sz w:val="17"/>
          <w:szCs w:val="17"/>
          <w:color w:val="auto"/>
        </w:rPr>
      </w:pPr>
    </w:p>
    <w:p>
      <w:pPr>
        <w:ind w:left="1340" w:hanging="318"/>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underlying vested but unexercised warrants.</w:t>
      </w:r>
    </w:p>
    <w:p>
      <w:pPr>
        <w:spacing w:after="0" w:line="22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Each person covered by the policy is expected to achieve the target ownership threshold within five years of the later of (i) January 26, 2017 and (ii)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2020, all persons covered by the policy were in compliance with the stock ownership requirements.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Anti-Hedging and Anti-Pledging Policy</w:t>
      </w:r>
    </w:p>
    <w:p>
      <w:pPr>
        <w:spacing w:after="0" w:line="22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60" w:right="339" w:firstLine="648"/>
        <w:spacing w:after="0" w:line="287" w:lineRule="auto"/>
        <w:rPr>
          <w:sz w:val="20"/>
          <w:szCs w:val="20"/>
          <w:color w:val="auto"/>
        </w:rPr>
      </w:pPr>
      <w:r>
        <w:rPr>
          <w:rFonts w:ascii="Arial" w:cs="Arial" w:eastAsia="Arial" w:hAnsi="Arial"/>
          <w:sz w:val="16"/>
          <w:szCs w:val="16"/>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w:t>
      </w:r>
    </w:p>
    <w:p>
      <w:pPr>
        <w:spacing w:after="0" w:line="2"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additional annual cash retainer for service as chair is $15,000. We reimburse all of our directors for reasonable expenses incurred to attend our Board of Directors and committee meetings.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Director Compensation</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 following table provides information regarding the compensation paid to the persons who served as non-employee directors in 2020:</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Fees Earned or</w:t>
            </w: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 xml:space="preserve">Stock 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0"/>
                <w:szCs w:val="10"/>
                <w:b w:val="1"/>
                <w:bCs w:val="1"/>
                <w:color w:val="auto"/>
                <w:w w:val="92"/>
              </w:rPr>
              <w:t>(2)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28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 xml:space="preserve">Paid in Cash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0"/>
                <w:szCs w:val="10"/>
                <w:b w:val="1"/>
                <w:bCs w:val="1"/>
                <w:color w:val="auto"/>
                <w:w w:val="93"/>
              </w:rPr>
              <w:t>(1)</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Graham Keegan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Chevy Humphrey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79" w:hanging="330"/>
        <w:spacing w:after="0" w:line="263"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table provides a breakdown of the cash compensation paid to our non-employee directors in 2020 in respect of their annual retainers for service on the Board of Directors, for service on Board committees, and for services as a Board committee chair or as lead independent director:</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Board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Board</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Chair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Directors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Committee</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w:t>
            </w:r>
          </w:p>
        </w:tc>
        <w:tc>
          <w:tcPr>
            <w:tcW w:w="16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2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4"/>
              </w:rPr>
              <w:t>Annual Retainer</w:t>
            </w: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3"/>
              </w:rPr>
              <w:t>Annual Retainers</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Retainer</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Sara R. Dial</w:t>
            </w:r>
            <w:r>
              <w:rPr>
                <w:rFonts w:ascii="Arial" w:cs="Arial" w:eastAsia="Arial" w:hAnsi="Arial"/>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$ 38,333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$ 103,333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Jack A. Henry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Lisa Graham Keegan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line="216" w:lineRule="exact"/>
              <w:rPr>
                <w:sz w:val="20"/>
                <w:szCs w:val="20"/>
                <w:color w:val="auto"/>
              </w:rPr>
            </w:pPr>
            <w:r>
              <w:rPr>
                <w:rFonts w:ascii="Arial" w:cs="Arial" w:eastAsia="Arial" w:hAnsi="Arial"/>
                <w:sz w:val="17"/>
                <w:szCs w:val="17"/>
                <w:color w:val="auto"/>
              </w:rPr>
              <w:t>Chevy Humphrey</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David J. Johnson</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700" w:right="359" w:hanging="326"/>
        <w:spacing w:after="0" w:line="250" w:lineRule="auto"/>
        <w:tabs>
          <w:tab w:leader="none" w:pos="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amount for Ms. Dial includes the additional annual retainer of $33,333 that she received in her capacity as lead independent director and a prorated amount for serving as chair of the Nominating and Governance Committee until June 11, 2020.</w:t>
      </w:r>
    </w:p>
    <w:p>
      <w:pPr>
        <w:spacing w:after="0" w:line="1" w:lineRule="exact"/>
        <w:rPr>
          <w:rFonts w:ascii="Arial" w:cs="Arial" w:eastAsia="Arial" w:hAnsi="Arial"/>
          <w:sz w:val="18"/>
          <w:szCs w:val="18"/>
          <w:color w:val="auto"/>
        </w:rPr>
      </w:pPr>
    </w:p>
    <w:p>
      <w:pPr>
        <w:ind w:left="700" w:right="119" w:hanging="326"/>
        <w:spacing w:after="0" w:line="281" w:lineRule="auto"/>
        <w:tabs>
          <w:tab w:leader="none" w:pos="7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amounts for Ms. Keegan and Ms. Humphrey reflect a prorated amount for serving as chair of the Nominating and Governance Committee and Compensation Committee, respectively, effective June 11, 2020.</w:t>
      </w:r>
    </w:p>
    <w:p>
      <w:pPr>
        <w:spacing w:after="0" w:line="1" w:lineRule="exact"/>
        <w:rPr>
          <w:rFonts w:ascii="Arial" w:cs="Arial" w:eastAsia="Arial" w:hAnsi="Arial"/>
          <w:sz w:val="16"/>
          <w:szCs w:val="16"/>
          <w:color w:val="auto"/>
        </w:rPr>
      </w:pPr>
    </w:p>
    <w:p>
      <w:pPr>
        <w:ind w:left="700" w:right="379" w:hanging="326"/>
        <w:spacing w:after="0" w:line="260" w:lineRule="auto"/>
        <w:tabs>
          <w:tab w:leader="none" w:pos="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amount for Mr. Johnson reflects a prorated amount for director and committee service through the date he retired from the Board of Directors on June 11, 2020.</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380" w:right="279" w:hanging="330"/>
        <w:spacing w:after="0" w:line="272" w:lineRule="auto"/>
        <w:tabs>
          <w:tab w:leader="none" w:pos="380" w:val="left"/>
        </w:tabs>
        <w:numPr>
          <w:ilvl w:val="0"/>
          <w:numId w:val="34"/>
        </w:numPr>
        <w:rPr>
          <w:rFonts w:ascii="Arial" w:cs="Arial" w:eastAsia="Arial" w:hAnsi="Arial"/>
          <w:sz w:val="15"/>
          <w:szCs w:val="15"/>
          <w:color w:val="auto"/>
        </w:rPr>
      </w:pPr>
      <w:r>
        <w:rPr>
          <w:rFonts w:ascii="Arial" w:cs="Arial" w:eastAsia="Arial" w:hAnsi="Arial"/>
          <w:sz w:val="17"/>
          <w:szCs w:val="17"/>
          <w:color w:val="auto"/>
        </w:rPr>
        <w:t>Represents the aggregate grant date fair value of the shares of restricted stock granted during the fiscal year as computed in accordance with ASC 718. For each director, the number of shares granted was determined by dividing the grant date value of the award, $75,000, by $96.90, the closing price of the company’s common stock on June 11, 2020, the date of grant, rounded up to the nearest whole share. Each director held 774 unvested shares at December 31, 2020, except for Mr. Johnson who did not receive a grant of restricted stock in 2020 and all of whose shares are vested. All unvested shares will vest on the earlier of the one-year anniversary of the date of grant or immediately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-1043305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80" w:type="dxa"/>
            <w:vAlign w:val="bottom"/>
          </w:tcPr>
          <w:p>
            <w:pPr>
              <w:ind w:left="1280"/>
              <w:spacing w:after="0"/>
              <w:rPr>
                <w:sz w:val="20"/>
                <w:szCs w:val="20"/>
                <w:color w:val="auto"/>
              </w:rPr>
            </w:pPr>
            <w:r>
              <w:rPr>
                <w:rFonts w:ascii="Arial" w:cs="Arial" w:eastAsia="Arial" w:hAnsi="Arial"/>
                <w:sz w:val="18"/>
                <w:szCs w:val="18"/>
                <w:b w:val="1"/>
                <w:bCs w:val="1"/>
                <w:color w:val="auto"/>
              </w:rPr>
              <w:t>PROPOSAL NO. 1</w:t>
            </w:r>
          </w:p>
        </w:tc>
      </w:tr>
      <w:tr>
        <w:trPr>
          <w:trHeight w:val="234"/>
        </w:trPr>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80" w:type="dxa"/>
            <w:vAlign w:val="bottom"/>
          </w:tcPr>
          <w:p>
            <w:pPr>
              <w:ind w:left="840"/>
              <w:spacing w:after="0"/>
              <w:rPr>
                <w:sz w:val="20"/>
                <w:szCs w:val="20"/>
                <w:color w:val="auto"/>
              </w:rPr>
            </w:pPr>
            <w:r>
              <w:rPr>
                <w:rFonts w:ascii="Arial" w:cs="Arial" w:eastAsia="Arial" w:hAnsi="Arial"/>
                <w:sz w:val="18"/>
                <w:szCs w:val="18"/>
                <w:b w:val="1"/>
                <w:bCs w:val="1"/>
                <w:color w:val="auto"/>
              </w:rPr>
              <w:t>ELECTION OF DIRECTORS</w:t>
            </w:r>
          </w:p>
        </w:tc>
      </w:tr>
      <w:tr>
        <w:trPr>
          <w:trHeight w:val="216"/>
        </w:trPr>
        <w:tc>
          <w:tcPr>
            <w:tcW w:w="2420" w:type="dxa"/>
            <w:vAlign w:val="bottom"/>
            <w:tcBorders>
              <w:bottom w:val="single" w:sz="8" w:color="auto"/>
            </w:tcBorders>
            <w:gridSpan w:val="2"/>
          </w:tcPr>
          <w:p>
            <w:pPr>
              <w:spacing w:after="0"/>
              <w:rPr>
                <w:sz w:val="18"/>
                <w:szCs w:val="18"/>
                <w:color w:val="auto"/>
              </w:rPr>
            </w:pPr>
          </w:p>
        </w:tc>
        <w:tc>
          <w:tcPr>
            <w:tcW w:w="6480" w:type="dxa"/>
            <w:vAlign w:val="bottom"/>
            <w:tcBorders>
              <w:bottom w:val="single" w:sz="8" w:color="auto"/>
            </w:tcBorders>
          </w:tcPr>
          <w:p>
            <w:pPr>
              <w:spacing w:after="0"/>
              <w:rPr>
                <w:sz w:val="18"/>
                <w:szCs w:val="18"/>
                <w:color w:val="auto"/>
              </w:rPr>
            </w:pPr>
          </w:p>
        </w:tc>
      </w:tr>
      <w:tr>
        <w:trPr>
          <w:trHeight w:val="248"/>
        </w:trPr>
        <w:tc>
          <w:tcPr>
            <w:tcW w:w="2420" w:type="dxa"/>
            <w:vAlign w:val="bottom"/>
            <w:gridSpan w:val="2"/>
          </w:tcPr>
          <w:p>
            <w:pPr>
              <w:ind w:left="20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b w:val="1"/>
                <w:bCs w:val="1"/>
                <w:i w:val="1"/>
                <w:iCs w:val="1"/>
                <w:color w:val="auto"/>
              </w:rPr>
              <w:t xml:space="preserve">  What am I voting on?</w:t>
            </w:r>
          </w:p>
        </w:tc>
        <w:tc>
          <w:tcPr>
            <w:tcW w:w="6480" w:type="dxa"/>
            <w:vAlign w:val="bottom"/>
          </w:tcPr>
          <w:p>
            <w:pPr>
              <w:ind w:left="220"/>
              <w:spacing w:after="0"/>
              <w:rPr>
                <w:sz w:val="20"/>
                <w:szCs w:val="20"/>
                <w:color w:val="auto"/>
              </w:rPr>
            </w:pPr>
            <w:r>
              <w:rPr>
                <w:rFonts w:ascii="Arial" w:cs="Arial" w:eastAsia="Arial" w:hAnsi="Arial"/>
                <w:sz w:val="18"/>
                <w:szCs w:val="18"/>
                <w:color w:val="auto"/>
                <w:w w:val="97"/>
              </w:rPr>
              <w:t>Stockholders are being asked to elect five directors to serve for a one-year term.</w:t>
            </w:r>
          </w:p>
        </w:tc>
      </w:tr>
      <w:tr>
        <w:trPr>
          <w:trHeight w:val="379"/>
        </w:trPr>
        <w:tc>
          <w:tcPr>
            <w:tcW w:w="4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Voting</w:t>
            </w:r>
          </w:p>
        </w:tc>
        <w:tc>
          <w:tcPr>
            <w:tcW w:w="6480" w:type="dxa"/>
            <w:vAlign w:val="bottom"/>
          </w:tcPr>
          <w:p>
            <w:pPr>
              <w:ind w:left="220"/>
              <w:spacing w:after="0"/>
              <w:rPr>
                <w:sz w:val="20"/>
                <w:szCs w:val="20"/>
                <w:color w:val="auto"/>
              </w:rPr>
            </w:pPr>
            <w:r>
              <w:rPr>
                <w:rFonts w:ascii="Arial" w:cs="Arial" w:eastAsia="Arial" w:hAnsi="Arial"/>
                <w:sz w:val="18"/>
                <w:szCs w:val="18"/>
                <w:color w:val="auto"/>
                <w:w w:val="94"/>
              </w:rPr>
              <w:t>Our Board of Directors unanimous recommends that you vote “</w:t>
            </w:r>
            <w:r>
              <w:rPr>
                <w:rFonts w:ascii="Arial" w:cs="Arial" w:eastAsia="Arial" w:hAnsi="Arial"/>
                <w:sz w:val="18"/>
                <w:szCs w:val="18"/>
                <w:b w:val="1"/>
                <w:bCs w:val="1"/>
                <w:color w:val="auto"/>
                <w:w w:val="94"/>
              </w:rPr>
              <w:t>FOR</w:t>
            </w:r>
            <w:r>
              <w:rPr>
                <w:rFonts w:ascii="Arial" w:cs="Arial" w:eastAsia="Arial" w:hAnsi="Arial"/>
                <w:sz w:val="18"/>
                <w:szCs w:val="18"/>
                <w:color w:val="auto"/>
                <w:w w:val="94"/>
              </w:rPr>
              <w:t>” the election of</w:t>
            </w:r>
          </w:p>
        </w:tc>
      </w:tr>
      <w:tr>
        <w:trPr>
          <w:trHeight w:val="216"/>
        </w:trPr>
        <w:tc>
          <w:tcPr>
            <w:tcW w:w="242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recommendation:</w:t>
            </w:r>
          </w:p>
        </w:tc>
        <w:tc>
          <w:tcPr>
            <w:tcW w:w="6480" w:type="dxa"/>
            <w:vAlign w:val="bottom"/>
          </w:tcPr>
          <w:p>
            <w:pPr>
              <w:ind w:left="220"/>
              <w:spacing w:after="0"/>
              <w:rPr>
                <w:sz w:val="20"/>
                <w:szCs w:val="20"/>
                <w:color w:val="auto"/>
              </w:rPr>
            </w:pPr>
            <w:r>
              <w:rPr>
                <w:rFonts w:ascii="Arial" w:cs="Arial" w:eastAsia="Arial" w:hAnsi="Arial"/>
                <w:sz w:val="18"/>
                <w:szCs w:val="18"/>
                <w:color w:val="auto"/>
                <w:w w:val="95"/>
              </w:rPr>
              <w:t>each director nominee. The Board and the Nominating and Corporate Governance</w:t>
            </w:r>
          </w:p>
        </w:tc>
      </w:tr>
      <w:tr>
        <w:trPr>
          <w:trHeight w:val="216"/>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80" w:type="dxa"/>
            <w:vAlign w:val="bottom"/>
          </w:tcPr>
          <w:p>
            <w:pPr>
              <w:ind w:left="220"/>
              <w:spacing w:after="0"/>
              <w:rPr>
                <w:sz w:val="20"/>
                <w:szCs w:val="20"/>
                <w:color w:val="auto"/>
              </w:rPr>
            </w:pPr>
            <w:r>
              <w:rPr>
                <w:rFonts w:ascii="Arial" w:cs="Arial" w:eastAsia="Arial" w:hAnsi="Arial"/>
                <w:sz w:val="18"/>
                <w:szCs w:val="18"/>
                <w:color w:val="auto"/>
                <w:w w:val="99"/>
              </w:rPr>
              <w:t>Committee believe that the five director nominees each possess the necessary</w:t>
            </w:r>
          </w:p>
        </w:tc>
      </w:tr>
      <w:tr>
        <w:trPr>
          <w:trHeight w:val="216"/>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80" w:type="dxa"/>
            <w:vAlign w:val="bottom"/>
          </w:tcPr>
          <w:p>
            <w:pPr>
              <w:ind w:left="220"/>
              <w:spacing w:after="0"/>
              <w:rPr>
                <w:sz w:val="20"/>
                <w:szCs w:val="20"/>
                <w:color w:val="auto"/>
              </w:rPr>
            </w:pPr>
            <w:r>
              <w:rPr>
                <w:rFonts w:ascii="Arial" w:cs="Arial" w:eastAsia="Arial" w:hAnsi="Arial"/>
                <w:sz w:val="18"/>
                <w:szCs w:val="18"/>
                <w:color w:val="auto"/>
                <w:w w:val="92"/>
              </w:rPr>
              <w:t>qualifications, attributes, skills and experiences to provide quality advice and counsel</w:t>
            </w:r>
          </w:p>
        </w:tc>
      </w:tr>
      <w:tr>
        <w:trPr>
          <w:trHeight w:val="216"/>
        </w:trPr>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80" w:type="dxa"/>
            <w:vAlign w:val="bottom"/>
          </w:tcPr>
          <w:p>
            <w:pPr>
              <w:ind w:left="220"/>
              <w:spacing w:after="0"/>
              <w:rPr>
                <w:sz w:val="20"/>
                <w:szCs w:val="20"/>
                <w:color w:val="auto"/>
              </w:rPr>
            </w:pPr>
            <w:r>
              <w:rPr>
                <w:rFonts w:ascii="Arial" w:cs="Arial" w:eastAsia="Arial" w:hAnsi="Arial"/>
                <w:sz w:val="18"/>
                <w:szCs w:val="18"/>
                <w:color w:val="auto"/>
                <w:w w:val="90"/>
              </w:rPr>
              <w:t>to the Company’s management and effectively oversee the business and the long-term</w:t>
            </w:r>
          </w:p>
        </w:tc>
      </w:tr>
      <w:tr>
        <w:trPr>
          <w:trHeight w:val="230"/>
        </w:trPr>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80" w:type="dxa"/>
            <w:vAlign w:val="bottom"/>
          </w:tcPr>
          <w:p>
            <w:pPr>
              <w:ind w:left="220"/>
              <w:spacing w:after="0"/>
              <w:rPr>
                <w:sz w:val="20"/>
                <w:szCs w:val="20"/>
                <w:color w:val="auto"/>
              </w:rPr>
            </w:pPr>
            <w:r>
              <w:rPr>
                <w:rFonts w:ascii="Arial" w:cs="Arial" w:eastAsia="Arial" w:hAnsi="Arial"/>
                <w:sz w:val="18"/>
                <w:szCs w:val="18"/>
                <w:color w:val="auto"/>
              </w:rPr>
              <w:t>interests of our stockholders.</w:t>
            </w:r>
          </w:p>
        </w:tc>
      </w:tr>
      <w:tr>
        <w:trPr>
          <w:trHeight w:val="418"/>
        </w:trPr>
        <w:tc>
          <w:tcPr>
            <w:tcW w:w="4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Vote required:</w:t>
            </w:r>
          </w:p>
        </w:tc>
        <w:tc>
          <w:tcPr>
            <w:tcW w:w="6480" w:type="dxa"/>
            <w:vAlign w:val="bottom"/>
          </w:tcPr>
          <w:p>
            <w:pPr>
              <w:ind w:left="220"/>
              <w:spacing w:after="0"/>
              <w:rPr>
                <w:sz w:val="20"/>
                <w:szCs w:val="20"/>
                <w:color w:val="auto"/>
              </w:rPr>
            </w:pPr>
            <w:r>
              <w:rPr>
                <w:rFonts w:ascii="Arial" w:cs="Arial" w:eastAsia="Arial" w:hAnsi="Arial"/>
                <w:sz w:val="18"/>
                <w:szCs w:val="18"/>
                <w:color w:val="auto"/>
                <w:w w:val="93"/>
              </w:rPr>
              <w:t>The affirmative vote of a majority of the votes cast at the Annual Meeting is required</w:t>
            </w:r>
          </w:p>
        </w:tc>
      </w:tr>
      <w:tr>
        <w:trPr>
          <w:trHeight w:val="230"/>
        </w:trPr>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80" w:type="dxa"/>
            <w:vAlign w:val="bottom"/>
          </w:tcPr>
          <w:p>
            <w:pPr>
              <w:ind w:left="220"/>
              <w:spacing w:after="0"/>
              <w:rPr>
                <w:sz w:val="20"/>
                <w:szCs w:val="20"/>
                <w:color w:val="auto"/>
              </w:rPr>
            </w:pPr>
            <w:r>
              <w:rPr>
                <w:rFonts w:ascii="Arial" w:cs="Arial" w:eastAsia="Arial" w:hAnsi="Arial"/>
                <w:sz w:val="18"/>
                <w:szCs w:val="18"/>
                <w:color w:val="auto"/>
                <w:w w:val="95"/>
              </w:rPr>
              <w:t>for the election of each director. Stockholders of the Company are not permitted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-1516380</wp:posOffset>
            </wp:positionV>
            <wp:extent cx="5648960" cy="2211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2211705"/>
                    </a:xfrm>
                    <a:prstGeom prst="rect">
                      <a:avLst/>
                    </a:prstGeom>
                    <a:noFill/>
                  </pic:spPr>
                </pic:pic>
              </a:graphicData>
            </a:graphic>
          </wp:anchor>
        </w:drawing>
      </w:r>
    </w:p>
    <w:p>
      <w:pPr>
        <w:ind w:left="2700" w:right="339"/>
        <w:spacing w:after="0" w:line="253" w:lineRule="auto"/>
        <w:rPr>
          <w:sz w:val="20"/>
          <w:szCs w:val="20"/>
          <w:color w:val="auto"/>
        </w:rPr>
      </w:pPr>
      <w:r>
        <w:rPr>
          <w:rFonts w:ascii="Arial" w:cs="Arial" w:eastAsia="Arial" w:hAnsi="Arial"/>
          <w:sz w:val="18"/>
          <w:szCs w:val="18"/>
          <w:color w:val="auto"/>
        </w:rPr>
        <w:t>cumulate their votes for the election of directors. Abstentions and broker non-votes will have no effect on the results of the election of directors. Unless contrary instructions are given, shares represented by proxies solicited by the Board of Directors will be voted for the election of each of the director nominees identified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five members. Each of our five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five persons named below for election as directors. Proxies solicited by our Board of Directors will, unless otherwise directed, be voted to elect the five nominees named below to constitute the entire Board of Directors.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and Director Nominees</w:t>
      </w:r>
    </w:p>
    <w:p>
      <w:pPr>
        <w:spacing w:after="0" w:line="22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4"/>
                <w:szCs w:val="14"/>
                <w:color w:val="auto"/>
              </w:rPr>
            </w:pPr>
          </w:p>
        </w:tc>
        <w:tc>
          <w:tcPr>
            <w:tcW w:w="2140" w:type="dxa"/>
            <w:vAlign w:val="bottom"/>
          </w:tcPr>
          <w:p>
            <w:pPr>
              <w:ind w:left="82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4"/>
                <w:szCs w:val="14"/>
                <w:color w:val="auto"/>
              </w:rPr>
            </w:pPr>
          </w:p>
        </w:tc>
        <w:tc>
          <w:tcPr>
            <w:tcW w:w="3740" w:type="dxa"/>
            <w:vAlign w:val="bottom"/>
          </w:tcPr>
          <w:p>
            <w:pPr>
              <w:ind w:left="1120"/>
              <w:spacing w:after="0"/>
              <w:rPr>
                <w:sz w:val="20"/>
                <w:szCs w:val="20"/>
                <w:color w:val="auto"/>
              </w:rPr>
            </w:pPr>
            <w:r>
              <w:rPr>
                <w:rFonts w:ascii="Arial" w:cs="Arial" w:eastAsia="Arial" w:hAnsi="Arial"/>
                <w:sz w:val="14"/>
                <w:szCs w:val="14"/>
                <w:b w:val="1"/>
                <w:bCs w:val="1"/>
                <w:color w:val="auto"/>
              </w:rPr>
              <w:t>Committee Membership</w:t>
            </w:r>
          </w:p>
        </w:tc>
      </w:tr>
      <w:tr>
        <w:trPr>
          <w:trHeight w:val="195"/>
        </w:trPr>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Brian E. Mueller</w:t>
            </w:r>
          </w:p>
        </w:tc>
        <w:tc>
          <w:tcPr>
            <w:tcW w:w="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67</w:t>
            </w:r>
          </w:p>
        </w:tc>
        <w:tc>
          <w:tcPr>
            <w:tcW w:w="18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and Chief</w:t>
            </w:r>
          </w:p>
        </w:tc>
        <w:tc>
          <w:tcPr>
            <w:tcW w:w="18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None</w:t>
            </w:r>
          </w:p>
        </w:tc>
      </w:tr>
      <w:tr>
        <w:trPr>
          <w:trHeight w:val="230"/>
        </w:trPr>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r>
      <w:tr>
        <w:trPr>
          <w:trHeight w:val="202"/>
        </w:trPr>
        <w:tc>
          <w:tcPr>
            <w:tcW w:w="1520" w:type="dxa"/>
            <w:vAlign w:val="bottom"/>
            <w:gridSpan w:val="2"/>
          </w:tcPr>
          <w:p>
            <w:pPr>
              <w:spacing w:after="0" w:line="201" w:lineRule="exact"/>
              <w:rPr>
                <w:sz w:val="20"/>
                <w:szCs w:val="20"/>
                <w:color w:val="auto"/>
              </w:rPr>
            </w:pPr>
            <w:r>
              <w:rPr>
                <w:rFonts w:ascii="Arial" w:cs="Arial" w:eastAsia="Arial" w:hAnsi="Arial"/>
                <w:sz w:val="18"/>
                <w:szCs w:val="18"/>
                <w:color w:val="auto"/>
              </w:rPr>
              <w:t>Sara R. Dial</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57</w:t>
            </w:r>
          </w:p>
        </w:tc>
        <w:tc>
          <w:tcPr>
            <w:tcW w:w="2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w w:val="94"/>
              </w:rPr>
              <w:t>(Lead Independent Director)</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Compensation; and Audit</w:t>
            </w:r>
          </w:p>
        </w:tc>
      </w:tr>
      <w:tr>
        <w:trPr>
          <w:trHeight w:val="202"/>
        </w:trPr>
        <w:tc>
          <w:tcPr>
            <w:tcW w:w="1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Jack A. Henry</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77</w:t>
            </w:r>
          </w:p>
        </w:tc>
        <w:tc>
          <w:tcPr>
            <w:tcW w:w="2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Audit (chair); Nominating and Corporate</w:t>
            </w:r>
          </w:p>
        </w:tc>
      </w:tr>
      <w:tr>
        <w:trPr>
          <w:trHeight w:val="230"/>
        </w:trPr>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Governance; and Compensation</w:t>
            </w:r>
          </w:p>
        </w:tc>
      </w:tr>
      <w:tr>
        <w:trPr>
          <w:trHeight w:val="202"/>
        </w:trPr>
        <w:tc>
          <w:tcPr>
            <w:tcW w:w="1520" w:type="dxa"/>
            <w:vAlign w:val="bottom"/>
            <w:gridSpan w:val="2"/>
          </w:tcPr>
          <w:p>
            <w:pPr>
              <w:spacing w:after="0" w:line="201" w:lineRule="exact"/>
              <w:rPr>
                <w:sz w:val="20"/>
                <w:szCs w:val="20"/>
                <w:color w:val="auto"/>
              </w:rPr>
            </w:pPr>
            <w:r>
              <w:rPr>
                <w:rFonts w:ascii="Arial" w:cs="Arial" w:eastAsia="Arial" w:hAnsi="Arial"/>
                <w:sz w:val="18"/>
                <w:szCs w:val="18"/>
                <w:color w:val="auto"/>
              </w:rPr>
              <w:t>Lisa Graham</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61</w:t>
            </w:r>
          </w:p>
        </w:tc>
        <w:tc>
          <w:tcPr>
            <w:tcW w:w="23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Nominating and Corporate Governance (chair);</w:t>
            </w: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Keegan</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Compensation; and Audit</w:t>
            </w:r>
          </w:p>
        </w:tc>
      </w:tr>
      <w:tr>
        <w:trPr>
          <w:trHeight w:val="202"/>
        </w:trPr>
        <w:tc>
          <w:tcPr>
            <w:tcW w:w="1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Chevy Humphrey</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56</w:t>
            </w:r>
          </w:p>
        </w:tc>
        <w:tc>
          <w:tcPr>
            <w:tcW w:w="2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Compensation (chair); Nominating and Corporate</w:t>
            </w:r>
          </w:p>
        </w:tc>
      </w:tr>
      <w:tr>
        <w:trPr>
          <w:trHeight w:val="230"/>
        </w:trPr>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Governance; and Audit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80" w:right="79" w:firstLine="648"/>
        <w:spacing w:after="0" w:line="283"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w:t>
      </w:r>
      <w:r>
        <w:rPr>
          <w:rFonts w:ascii="Arial" w:cs="Arial" w:eastAsia="Arial" w:hAnsi="Arial"/>
          <w:sz w:val="16"/>
          <w:szCs w:val="16"/>
          <w:i w:val="1"/>
          <w:iCs w:val="1"/>
          <w:color w:val="auto"/>
        </w:rPr>
        <w:t xml:space="preserve"> </w:t>
      </w:r>
      <w:r>
        <w:rPr>
          <w:rFonts w:ascii="Arial" w:cs="Arial" w:eastAsia="Arial" w:hAnsi="Arial"/>
          <w:sz w:val="16"/>
          <w:szCs w:val="16"/>
          <w:color w:val="auto"/>
        </w:rPr>
        <w:t>2008, as a director 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Policies and Procedures for Related Party Transactions.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-1918970</wp:posOffset>
            </wp:positionV>
            <wp:extent cx="1225550" cy="1645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ind w:left="2280" w:right="99"/>
        <w:spacing w:after="0" w:line="251" w:lineRule="auto"/>
        <w:rPr>
          <w:sz w:val="20"/>
          <w:szCs w:val="20"/>
          <w:color w:val="auto"/>
        </w:rPr>
      </w:pPr>
      <w:r>
        <w:rPr>
          <w:rFonts w:ascii="Arial" w:cs="Arial" w:eastAsia="Arial" w:hAnsi="Arial"/>
          <w:sz w:val="18"/>
          <w:szCs w:val="18"/>
          <w:color w:val="auto"/>
        </w:rPr>
        <w:t>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98" w:lineRule="exact"/>
        <w:rPr>
          <w:sz w:val="20"/>
          <w:szCs w:val="20"/>
          <w:color w:val="auto"/>
        </w:rPr>
      </w:pPr>
    </w:p>
    <w:p>
      <w:pPr>
        <w:ind w:left="2280" w:right="99" w:firstLine="648"/>
        <w:spacing w:after="0" w:line="284"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2013, and as the lead independent director since January 2017. Ms. Dial has served as President and Chief Executive Officer of Sara Dial &amp; Associates, an economic development consulting firm specializing in site selection and government relations since 1996. She has led high profile economic development initiatives in Arizona including the restructuring of Arizona’s statewide economic development organization under Governor Brewer, resulting in the creation of the agency now known as the Arizona Commerce Authority. From 1993 to 1996, Ms. Dial served as the director of the Arizona Department of Commerce, having previously served as the finance director from 1991 to 1993. Prior to her work in the public sector, Ms. Dial worked in the investment banking industry at Rauscher Pierces Refsnes, (now known as RBC Capital), Boettcher and Company and Kemper Securities Group, focusing on municipal finance. In 2019, she became a National Association of Corporate Directors Board Leadership Fellow on behalf of her commitment to exemplary corporate governance. Currently, Ms. Dial is a director for WillScot Mobile Mini Holdings Corp., a publicly traded provider of portable storage and mobile office solutions, and she also sits on the local advisory board of BBVA.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-2893695</wp:posOffset>
            </wp:positionV>
            <wp:extent cx="1225550" cy="1645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60" w:right="139" w:firstLine="648"/>
        <w:spacing w:after="0" w:line="268" w:lineRule="auto"/>
        <w:rPr>
          <w:sz w:val="20"/>
          <w:szCs w:val="20"/>
          <w:color w:val="auto"/>
        </w:rPr>
      </w:pPr>
      <w:r>
        <w:rPr>
          <w:rFonts w:ascii="Arial" w:cs="Arial" w:eastAsia="Arial" w:hAnsi="Arial"/>
          <w:sz w:val="17"/>
          <w:szCs w:val="17"/>
          <w:i w:val="1"/>
          <w:iCs w:val="1"/>
          <w:color w:val="auto"/>
        </w:rPr>
        <w:t xml:space="preserve">Jack A. Henry </w:t>
      </w:r>
      <w:r>
        <w:rPr>
          <w:rFonts w:ascii="Arial" w:cs="Arial" w:eastAsia="Arial" w:hAnsi="Arial"/>
          <w:sz w:val="17"/>
          <w:szCs w:val="17"/>
          <w:color w:val="auto"/>
        </w:rPr>
        <w:t>has been serving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2008. Since 2000, Mr. Henry has 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 of directors and as chair of the audit committee of TPI Composites, Inc., a manufacturer of composite wind blades, and on the board of directors and audit committee of a private company. He is past President and founder of the Arizona Chapter of the National Association of Corporate Directors having served in that capacity for 15 years.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-2069465</wp:posOffset>
            </wp:positionV>
            <wp:extent cx="1225550" cy="1645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spacing w:after="0" w:line="162" w:lineRule="exact"/>
        <w:rPr>
          <w:sz w:val="20"/>
          <w:szCs w:val="20"/>
          <w:color w:val="auto"/>
        </w:rPr>
      </w:pPr>
    </w:p>
    <w:p>
      <w:pPr>
        <w:ind w:left="2260" w:right="99" w:firstLine="648"/>
        <w:spacing w:after="0" w:line="268" w:lineRule="auto"/>
        <w:rPr>
          <w:sz w:val="20"/>
          <w:szCs w:val="20"/>
          <w:color w:val="auto"/>
        </w:rPr>
      </w:pPr>
      <w:r>
        <w:rPr>
          <w:rFonts w:ascii="Arial" w:cs="Arial" w:eastAsia="Arial" w:hAnsi="Arial"/>
          <w:sz w:val="17"/>
          <w:szCs w:val="17"/>
          <w:i w:val="1"/>
          <w:iCs w:val="1"/>
          <w:color w:val="auto"/>
        </w:rPr>
        <w:t xml:space="preserve">Lisa Graham Keegan </w:t>
      </w:r>
      <w:r>
        <w:rPr>
          <w:rFonts w:ascii="Arial" w:cs="Arial" w:eastAsia="Arial" w:hAnsi="Arial"/>
          <w:sz w:val="17"/>
          <w:szCs w:val="17"/>
          <w:color w:val="auto"/>
        </w:rPr>
        <w:t>has been serving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since August 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-2069465</wp:posOffset>
            </wp:positionV>
            <wp:extent cx="1251585" cy="1885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15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60" w:right="79" w:firstLine="648"/>
        <w:spacing w:after="0" w:line="284" w:lineRule="auto"/>
        <w:rPr>
          <w:sz w:val="20"/>
          <w:szCs w:val="20"/>
          <w:color w:val="auto"/>
        </w:rPr>
      </w:pPr>
      <w:r>
        <w:rPr>
          <w:rFonts w:ascii="Arial" w:cs="Arial" w:eastAsia="Arial" w:hAnsi="Arial"/>
          <w:sz w:val="16"/>
          <w:szCs w:val="16"/>
          <w:i w:val="1"/>
          <w:iCs w:val="1"/>
          <w:color w:val="auto"/>
        </w:rPr>
        <w:t xml:space="preserve">Chevy Humphrey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2019. Ms. Humphrey is the first Black American to head a science center in the United States and, in January 2021, Ms. Humphrey became the first women and first Black American to lead the Museum of Science and Industry (“MSI”), in Chicago, Illinois. Before joining MSI, Ms. Humphrey had served as President and CEO of the Arizona Science Center, one of the nation’s premier science and education centers, since 2005. During her tenure at Arizona Science Center, Ms. Humphrey secured numerous national competitive and prestigious grants for the Arizona Science Center from organizations such as the National Institutes for Health and the National Science Foundation and has been recognized by the Phoenix Business Journal as a Most Admired CEO and by the Women’s National Basketball Association as a Visionary Leader. Ms. Humphrey currently serves as a board member and Chair of the American Alliance of Museums, an organization that supports more than 35,000 museums, zoos, science centers and similar organizations. Ms. Humphrey also serves as a board member of College Success Arizona, an organization focused on increasing the post-secondary attainment rates of Arizona students, and the Sandra Day O’Connor Institute, an organization that advances civics education, civic engagement and civil discourse. Ms. Humphrey received a Bachelor of Business degree with a concentration in Marketing from the University of Phoenix, a Master of Business Administration degree from Northeastern University with specializations in Marketing and Entrepreneurship/Innovation, and is pursuing her Doctorate of Business Administration from Grand Canyon University. We believe Ms. Humphrey’s extensive experience on boards and STEM related experience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-3169920</wp:posOffset>
            </wp:positionV>
            <wp:extent cx="1276985" cy="1920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6985" cy="1920240"/>
                    </a:xfrm>
                    <a:prstGeom prst="rect">
                      <a:avLst/>
                    </a:prstGeom>
                    <a:noFill/>
                  </pic:spPr>
                </pic:pic>
              </a:graphicData>
            </a:graphic>
          </wp:anchor>
        </w:drawing>
      </w:r>
    </w:p>
    <w:p>
      <w:pPr>
        <w:spacing w:after="0" w:line="288" w:lineRule="exact"/>
        <w:rPr>
          <w:sz w:val="20"/>
          <w:szCs w:val="20"/>
          <w:color w:val="auto"/>
        </w:rPr>
      </w:pPr>
    </w:p>
    <w:p>
      <w:pPr>
        <w:ind w:left="60" w:right="319" w:firstLine="648"/>
        <w:spacing w:after="0" w:line="250"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five nominees listed above to constitute our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05" w:lineRule="exact"/>
        <w:rPr>
          <w:sz w:val="20"/>
          <w:szCs w:val="20"/>
          <w:color w:val="auto"/>
        </w:rPr>
      </w:pPr>
    </w:p>
    <w:tbl>
      <w:tblPr>
        <w:tblLayout w:type="fixed"/>
        <w:tblInd w:w="70" w:type="dxa"/>
        <w:tblCellMar>
          <w:top w:w="0" w:type="dxa"/>
          <w:left w:w="0" w:type="dxa"/>
          <w:bottom w:w="0" w:type="dxa"/>
          <w:right w:w="0" w:type="dxa"/>
        </w:tblCellMar>
      </w:tblPr>
      <w:tr>
        <w:trPr>
          <w:trHeight w:val="215"/>
        </w:trPr>
        <w:tc>
          <w:tcPr>
            <w:tcW w:w="2540" w:type="dxa"/>
            <w:vAlign w:val="bottom"/>
            <w:tcBorders>
              <w:top w:val="single" w:sz="8" w:color="auto"/>
              <w:left w:val="single" w:sz="8" w:color="auto"/>
            </w:tcBorders>
            <w:gridSpan w:val="2"/>
          </w:tcPr>
          <w:p>
            <w:pPr>
              <w:ind w:left="20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b w:val="1"/>
                <w:bCs w:val="1"/>
                <w:i w:val="1"/>
                <w:iCs w:val="1"/>
                <w:color w:val="auto"/>
              </w:rPr>
              <w:t xml:space="preserve">  What am I voting on?</w:t>
            </w:r>
          </w:p>
        </w:tc>
        <w:tc>
          <w:tcPr>
            <w:tcW w:w="63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2"/>
              </w:rPr>
              <w:t>Stockholders are being asked to approve, on an advisory basis, the compensation of</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 xml:space="preserve">the named executive officers as described in the </w:t>
            </w:r>
            <w:r>
              <w:rPr>
                <w:rFonts w:ascii="Arial" w:cs="Arial" w:eastAsia="Arial" w:hAnsi="Arial"/>
                <w:sz w:val="18"/>
                <w:szCs w:val="18"/>
                <w:i w:val="1"/>
                <w:iCs w:val="1"/>
                <w:color w:val="auto"/>
                <w:w w:val="97"/>
              </w:rPr>
              <w:t>Compensation Discussion and</w:t>
            </w:r>
          </w:p>
        </w:tc>
      </w:tr>
      <w:tr>
        <w:trPr>
          <w:trHeight w:val="230"/>
        </w:trPr>
        <w:tc>
          <w:tcPr>
            <w:tcW w:w="460" w:type="dxa"/>
            <w:vAlign w:val="bottom"/>
            <w:tcBorders>
              <w:left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i w:val="1"/>
                <w:iCs w:val="1"/>
                <w:color w:val="auto"/>
              </w:rPr>
              <w:t xml:space="preserve">Analysis </w:t>
            </w:r>
            <w:r>
              <w:rPr>
                <w:rFonts w:ascii="Arial" w:cs="Arial" w:eastAsia="Arial" w:hAnsi="Arial"/>
                <w:sz w:val="18"/>
                <w:szCs w:val="18"/>
                <w:color w:val="auto"/>
              </w:rPr>
              <w:t>section and the related tables.</w:t>
            </w:r>
          </w:p>
        </w:tc>
      </w:tr>
      <w:tr>
        <w:trPr>
          <w:trHeight w:val="418"/>
        </w:trPr>
        <w:tc>
          <w:tcPr>
            <w:tcW w:w="460" w:type="dxa"/>
            <w:vAlign w:val="bottom"/>
            <w:tcBorders>
              <w:left w:val="single" w:sz="8" w:color="auto"/>
            </w:tcBorders>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91"/>
              </w:rPr>
              <w:t>Voting recommendation:</w:t>
            </w: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Our Board of Directors unanimously recommends that you vote “FOR” the advisory</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0"/>
              </w:rPr>
              <w:t>vote to approve the compensation of our named executive officers. The Compensation</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Committee takes very seriously its role in the governance of the Company’s</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compensation programs and will take into account the outcome of the advisory vote</w:t>
            </w:r>
          </w:p>
        </w:tc>
      </w:tr>
      <w:tr>
        <w:trPr>
          <w:trHeight w:val="230"/>
        </w:trPr>
        <w:tc>
          <w:tcPr>
            <w:tcW w:w="460" w:type="dxa"/>
            <w:vAlign w:val="bottom"/>
            <w:tcBorders>
              <w:left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when considering future executive compensation decisions.</w:t>
            </w:r>
          </w:p>
        </w:tc>
      </w:tr>
      <w:tr>
        <w:trPr>
          <w:trHeight w:val="418"/>
        </w:trPr>
        <w:tc>
          <w:tcPr>
            <w:tcW w:w="460" w:type="dxa"/>
            <w:vAlign w:val="bottom"/>
            <w:tcBorders>
              <w:left w:val="single" w:sz="8" w:color="auto"/>
            </w:tcBorders>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Vote required:</w:t>
            </w: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The affirmative vote of the majority of shares present in person or represented by</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proxy at the Annual Meeting and entitled to vote. Broker non-votes will have no</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effect on the outcome of this proposal, while abstentions will have the effect of a vote</w:t>
            </w:r>
          </w:p>
        </w:tc>
      </w:tr>
      <w:tr>
        <w:trPr>
          <w:trHeight w:val="230"/>
        </w:trPr>
        <w:tc>
          <w:tcPr>
            <w:tcW w:w="46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against this proposal.</w:t>
            </w:r>
          </w:p>
        </w:tc>
      </w:tr>
    </w:tbl>
    <w:p>
      <w:pPr>
        <w:spacing w:after="0" w:line="202"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spacing w:after="0" w:line="178"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for a detailed discussion about our executive compensation programs, including information about the fiscal year 2020 compensation of our named executive officers.</w:t>
      </w:r>
    </w:p>
    <w:p>
      <w:pPr>
        <w:spacing w:after="0" w:line="19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of this proxy statement provides a more detailed discussion of our executive compensation program. We believe that the compensation program we follow helps us achieve our principal compensation objectives.</w:t>
      </w:r>
    </w:p>
    <w:p>
      <w:pPr>
        <w:spacing w:after="0" w:line="177"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will be asked at the Annual Meeting to approve the following resolution pursuant to this Proposal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2:</w:t>
      </w:r>
    </w:p>
    <w:p>
      <w:pPr>
        <w:spacing w:after="0" w:line="211" w:lineRule="exact"/>
        <w:rPr>
          <w:sz w:val="20"/>
          <w:szCs w:val="20"/>
          <w:color w:val="auto"/>
        </w:rPr>
      </w:pPr>
    </w:p>
    <w:p>
      <w:pPr>
        <w:ind w:left="60" w:right="679" w:firstLine="648"/>
        <w:spacing w:after="0" w:line="286" w:lineRule="auto"/>
        <w:rPr>
          <w:sz w:val="20"/>
          <w:szCs w:val="20"/>
          <w:color w:val="auto"/>
        </w:rPr>
      </w:pPr>
      <w:r>
        <w:rPr>
          <w:rFonts w:ascii="Arial" w:cs="Arial" w:eastAsia="Arial" w:hAnsi="Arial"/>
          <w:sz w:val="17"/>
          <w:szCs w:val="17"/>
          <w:color w:val="auto"/>
        </w:rPr>
        <w:t>“RESOLVED, that the stockholders of Grand Canyon Education, Inc. approve, on an advisory basis, the compensation of the Company’s named executive officers, disclosed pursuant to Item 402 of Regulation S-K in the Company’s definitive proxy statement for the 2021 Annual Meeting of Stockholders.”</w:t>
      </w:r>
    </w:p>
    <w:p>
      <w:pPr>
        <w:spacing w:after="0" w:line="161" w:lineRule="exact"/>
        <w:rPr>
          <w:sz w:val="20"/>
          <w:szCs w:val="20"/>
          <w:color w:val="auto"/>
        </w:rPr>
      </w:pPr>
    </w:p>
    <w:p>
      <w:pPr>
        <w:ind w:left="60" w:right="779" w:firstLine="648"/>
        <w:spacing w:after="0" w:line="312" w:lineRule="auto"/>
        <w:rPr>
          <w:sz w:val="20"/>
          <w:szCs w:val="20"/>
          <w:color w:val="auto"/>
        </w:rPr>
      </w:pPr>
      <w:r>
        <w:rPr>
          <w:rFonts w:ascii="Arial" w:cs="Arial" w:eastAsia="Arial" w:hAnsi="Arial"/>
          <w:sz w:val="17"/>
          <w:szCs w:val="17"/>
          <w:b w:val="1"/>
          <w:bCs w:val="1"/>
          <w:color w:val="auto"/>
        </w:rPr>
        <w:t xml:space="preserve">Our Board of Directors unanimously recommends that you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resolution approving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Brian E. Mueller, our Chairman and our Chief Executive Officer,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Age</w:t>
            </w:r>
          </w:p>
        </w:tc>
        <w:tc>
          <w:tcPr>
            <w:tcW w:w="634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740" w:type="dxa"/>
            <w:vAlign w:val="bottom"/>
          </w:tcPr>
          <w:p>
            <w:pPr>
              <w:ind w:left="260"/>
              <w:spacing w:after="0"/>
              <w:rPr>
                <w:sz w:val="20"/>
                <w:szCs w:val="20"/>
                <w:color w:val="auto"/>
              </w:rPr>
            </w:pPr>
            <w:r>
              <w:rPr>
                <w:rFonts w:ascii="Arial" w:cs="Arial" w:eastAsia="Arial" w:hAnsi="Arial"/>
                <w:sz w:val="18"/>
                <w:szCs w:val="18"/>
                <w:color w:val="auto"/>
              </w:rPr>
              <w:t>50</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67</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Information Officer</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Daniel J. Briggs</w:t>
            </w:r>
          </w:p>
        </w:tc>
        <w:tc>
          <w:tcPr>
            <w:tcW w:w="740" w:type="dxa"/>
            <w:vAlign w:val="bottom"/>
          </w:tcPr>
          <w:p>
            <w:pPr>
              <w:ind w:left="260"/>
              <w:spacing w:after="0"/>
              <w:rPr>
                <w:sz w:val="20"/>
                <w:szCs w:val="20"/>
                <w:color w:val="auto"/>
              </w:rPr>
            </w:pPr>
            <w:r>
              <w:rPr>
                <w:rFonts w:ascii="Arial" w:cs="Arial" w:eastAsia="Arial" w:hAnsi="Arial"/>
                <w:sz w:val="18"/>
                <w:szCs w:val="18"/>
                <w:color w:val="auto"/>
              </w:rPr>
              <w:t>61</w:t>
            </w: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Orbis Education, Chief Executive Officer</w:t>
            </w: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Dilek Marsh</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47</w:t>
            </w: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Data Officer</w:t>
            </w:r>
          </w:p>
        </w:tc>
      </w:tr>
    </w:tbl>
    <w:p>
      <w:pPr>
        <w:spacing w:after="0" w:line="200" w:lineRule="exact"/>
        <w:rPr>
          <w:sz w:val="20"/>
          <w:szCs w:val="20"/>
          <w:color w:val="auto"/>
        </w:rPr>
      </w:pPr>
    </w:p>
    <w:p>
      <w:pPr>
        <w:spacing w:after="0" w:line="218" w:lineRule="exact"/>
        <w:rPr>
          <w:sz w:val="20"/>
          <w:szCs w:val="20"/>
          <w:color w:val="auto"/>
        </w:rPr>
      </w:pPr>
    </w:p>
    <w:p>
      <w:pPr>
        <w:ind w:left="2380" w:right="79" w:firstLine="648"/>
        <w:spacing w:after="0" w:line="268" w:lineRule="auto"/>
        <w:rPr>
          <w:sz w:val="20"/>
          <w:szCs w:val="20"/>
          <w:color w:val="auto"/>
        </w:rPr>
      </w:pPr>
      <w:r>
        <w:rPr>
          <w:rFonts w:ascii="Arial" w:cs="Arial" w:eastAsia="Arial" w:hAnsi="Arial"/>
          <w:sz w:val="17"/>
          <w:szCs w:val="17"/>
          <w:i w:val="1"/>
          <w:iCs w:val="1"/>
          <w:color w:val="auto"/>
        </w:rPr>
        <w:t xml:space="preserve">Dr. W. Stan Meyer </w:t>
      </w:r>
      <w:r>
        <w:rPr>
          <w:rFonts w:ascii="Arial" w:cs="Arial" w:eastAsia="Arial" w:hAnsi="Arial"/>
          <w:sz w:val="17"/>
          <w:szCs w:val="17"/>
          <w:color w:val="auto"/>
        </w:rPr>
        <w:t>has been serving as our Chief Operating Officer since July 26,</w:t>
      </w:r>
      <w:r>
        <w:rPr>
          <w:rFonts w:ascii="Arial" w:cs="Arial" w:eastAsia="Arial" w:hAnsi="Arial"/>
          <w:sz w:val="17"/>
          <w:szCs w:val="17"/>
          <w:i w:val="1"/>
          <w:iCs w:val="1"/>
          <w:color w:val="auto"/>
        </w:rPr>
        <w:t xml:space="preserve"> </w:t>
      </w:r>
      <w:r>
        <w:rPr>
          <w:rFonts w:ascii="Arial" w:cs="Arial" w:eastAsia="Arial" w:hAnsi="Arial"/>
          <w:sz w:val="17"/>
          <w:szCs w:val="17"/>
          <w:color w:val="auto"/>
        </w:rPr>
        <w:t>2012, having previously served in the position of Executive Vice President from June 2008 to 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-1931035</wp:posOffset>
            </wp:positionV>
            <wp:extent cx="1225550" cy="1645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spacing w:after="0" w:line="164" w:lineRule="exact"/>
        <w:rPr>
          <w:sz w:val="20"/>
          <w:szCs w:val="20"/>
          <w:color w:val="auto"/>
        </w:rPr>
      </w:pPr>
    </w:p>
    <w:p>
      <w:pPr>
        <w:ind w:left="2380" w:right="159" w:firstLine="648"/>
        <w:spacing w:after="0" w:line="270" w:lineRule="auto"/>
        <w:rPr>
          <w:sz w:val="20"/>
          <w:szCs w:val="20"/>
          <w:color w:val="auto"/>
        </w:rPr>
      </w:pPr>
      <w:r>
        <w:rPr>
          <w:rFonts w:ascii="Arial" w:cs="Arial" w:eastAsia="Arial" w:hAnsi="Arial"/>
          <w:sz w:val="17"/>
          <w:szCs w:val="17"/>
          <w:i w:val="1"/>
          <w:iCs w:val="1"/>
          <w:color w:val="auto"/>
        </w:rPr>
        <w:t xml:space="preserve">Daniel E. Bachus </w:t>
      </w:r>
      <w:r>
        <w:rPr>
          <w:rFonts w:ascii="Arial" w:cs="Arial" w:eastAsia="Arial" w:hAnsi="Arial"/>
          <w:sz w:val="17"/>
          <w:szCs w:val="17"/>
          <w:color w:val="auto"/>
        </w:rPr>
        <w:t>has been serving as our Chief Financial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July 2008.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-1247140</wp:posOffset>
            </wp:positionV>
            <wp:extent cx="1225550" cy="1645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80" w:right="59" w:firstLine="648"/>
        <w:spacing w:after="0" w:line="268"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2009. From 1998 to September 2009, Mr. Mildenhall was 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-1931035</wp:posOffset>
            </wp:positionV>
            <wp:extent cx="1225550" cy="1645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spacing w:after="0" w:line="164" w:lineRule="exact"/>
        <w:rPr>
          <w:sz w:val="20"/>
          <w:szCs w:val="20"/>
          <w:color w:val="auto"/>
        </w:rPr>
      </w:pPr>
    </w:p>
    <w:p>
      <w:pPr>
        <w:ind w:left="2380" w:right="99" w:firstLine="585"/>
        <w:spacing w:after="0" w:line="253" w:lineRule="auto"/>
        <w:rPr>
          <w:sz w:val="20"/>
          <w:szCs w:val="20"/>
          <w:color w:val="auto"/>
        </w:rPr>
      </w:pPr>
      <w:r>
        <w:rPr>
          <w:rFonts w:ascii="Arial" w:cs="Arial" w:eastAsia="Arial" w:hAnsi="Arial"/>
          <w:sz w:val="18"/>
          <w:szCs w:val="18"/>
          <w:i w:val="1"/>
          <w:iCs w:val="1"/>
          <w:color w:val="auto"/>
        </w:rPr>
        <w:t xml:space="preserve">Daniel J. Briggs </w:t>
      </w:r>
      <w:r>
        <w:rPr>
          <w:rFonts w:ascii="Arial" w:cs="Arial" w:eastAsia="Arial" w:hAnsi="Arial"/>
          <w:sz w:val="18"/>
          <w:szCs w:val="18"/>
          <w:color w:val="auto"/>
        </w:rPr>
        <w:t>has been serving as the Chief Executive Officer of Orbis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Education Services, our wholly owned subsidiary, since our acquisition of Orbis Education in January 2019. Mr. </w:t>
      </w:r>
      <w:r>
        <w:rPr>
          <w:rFonts w:ascii="Arial" w:cs="Arial" w:eastAsia="Arial" w:hAnsi="Arial"/>
          <w:sz w:val="18"/>
          <w:szCs w:val="18"/>
          <w:color w:val="333333"/>
        </w:rPr>
        <w:t>Briggs founded Orbis Education in 2003 and served in various</w:t>
      </w:r>
      <w:r>
        <w:rPr>
          <w:rFonts w:ascii="Arial" w:cs="Arial" w:eastAsia="Arial" w:hAnsi="Arial"/>
          <w:sz w:val="18"/>
          <w:szCs w:val="18"/>
          <w:color w:val="auto"/>
        </w:rPr>
        <w:t xml:space="preserve"> </w:t>
      </w:r>
      <w:r>
        <w:rPr>
          <w:rFonts w:ascii="Arial" w:cs="Arial" w:eastAsia="Arial" w:hAnsi="Arial"/>
          <w:sz w:val="18"/>
          <w:szCs w:val="18"/>
          <w:color w:val="333333"/>
        </w:rPr>
        <w:t>positions, including chief executive officer and chief growth officer until January 2019. Prior to founding Orbis Education, Mr. Briggs served as Vice President of National Accounts for CCS Medical, a national home delivery company addressing chronic medical conditions, and Senior Vice President for ORYX Consulting, specializing in business unit for Roche Diagnostics Corporation that focused on treating common ailments through a virtual portal. Mr. Briggs holds a Bachelor of Secondary Education degree from the University of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-1376045</wp:posOffset>
            </wp:positionV>
            <wp:extent cx="1294130" cy="18688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941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340" w:right="99" w:firstLine="540"/>
        <w:spacing w:after="0" w:line="290" w:lineRule="auto"/>
        <w:rPr>
          <w:sz w:val="20"/>
          <w:szCs w:val="20"/>
          <w:color w:val="auto"/>
        </w:rPr>
      </w:pPr>
      <w:r>
        <w:rPr>
          <w:rFonts w:ascii="Arial" w:cs="Arial" w:eastAsia="Arial" w:hAnsi="Arial"/>
          <w:sz w:val="16"/>
          <w:szCs w:val="16"/>
          <w:i w:val="1"/>
          <w:iCs w:val="1"/>
          <w:color w:val="auto"/>
        </w:rPr>
        <w:t xml:space="preserve">Dilek Marsh </w:t>
      </w:r>
      <w:r>
        <w:rPr>
          <w:rFonts w:ascii="Arial" w:cs="Arial" w:eastAsia="Arial" w:hAnsi="Arial"/>
          <w:sz w:val="16"/>
          <w:szCs w:val="16"/>
          <w:color w:val="auto"/>
        </w:rPr>
        <w:t>has been serving as our Chief Data Officer since July 2018, having</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served in the position of Executive Vice President since July 2012 and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-1119505</wp:posOffset>
            </wp:positionV>
            <wp:extent cx="1225550" cy="1645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2555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70"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In this section, we describe the material components of our executive compensation program for our named executive officers (the “named executive officers”), whose compensation is set forth in the 2020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2019.</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2020, our named executive officers were:</w:t>
      </w:r>
    </w:p>
    <w:p>
      <w:pPr>
        <w:spacing w:after="0" w:line="225" w:lineRule="exact"/>
        <w:rPr>
          <w:sz w:val="20"/>
          <w:szCs w:val="20"/>
          <w:color w:val="auto"/>
        </w:rPr>
      </w:pPr>
    </w:p>
    <w:p>
      <w:pPr>
        <w:jc w:val="both"/>
        <w:ind w:left="1380" w:right="4139"/>
        <w:spacing w:after="0" w:line="287" w:lineRule="auto"/>
        <w:rPr>
          <w:sz w:val="20"/>
          <w:szCs w:val="20"/>
          <w:color w:val="auto"/>
        </w:rPr>
      </w:pPr>
      <w:r>
        <w:rPr>
          <w:rFonts w:ascii="Arial" w:cs="Arial" w:eastAsia="Arial" w:hAnsi="Arial"/>
          <w:sz w:val="16"/>
          <w:szCs w:val="16"/>
          <w:color w:val="auto"/>
        </w:rPr>
        <w:t>Brian E. Mueller, our Chief Executive Officer; Dr. W. Stan Meyer, our Chief Operating Officer; Daniel E. Bachus, our Chief Financial Officer;</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Joseph N. Mildenhall, our Chief Information Officer; and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Daniel J. Briggs, Chief Executive Officer, Orbis Education Services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Business Highlights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i w:val="1"/>
          <w:iCs w:val="1"/>
          <w:color w:val="auto"/>
        </w:rPr>
        <w:t xml:space="preserve">Our Business. </w:t>
      </w:r>
      <w:r>
        <w:rPr>
          <w:rFonts w:ascii="Arial" w:cs="Arial" w:eastAsia="Arial" w:hAnsi="Arial"/>
          <w:sz w:val="18"/>
          <w:szCs w:val="18"/>
          <w:color w:val="auto"/>
        </w:rPr>
        <w:t>We are an education services company dedicated to serving colleges and universities.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significant technological solutions, infrastructure and operational processes to provide services to these institutions on a large scale. Our largest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 As of December 31, 2020, we provided education services and support to more than 111,600 students enrolled in GCU’s programs, emphases and certificates.</w:t>
      </w:r>
    </w:p>
    <w:p>
      <w:pPr>
        <w:spacing w:after="0" w:line="19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GCE together with Orbis Education Services LLC, works in partnership with a growing number of top universities and healthcare networks across the country, offering healthcare-related academic programs at off-campus classroom and laboratory sites located near healthcare providers to develop high-quality, career-ready graduates to enter the workforce ready to meet the demands of the healthcare industry. As of December 31, 2020, GCE provided education services to 25 university partners across the United States.</w:t>
      </w:r>
    </w:p>
    <w:p>
      <w:pPr>
        <w:spacing w:after="0" w:line="188"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 xml:space="preserve">In March 2020, the World Health Organization declared the COVID-19 outbreak to be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that of our university partners. Refer to our Annual Report on Form 10-K for the year ended December 31, 2020, </w:t>
      </w:r>
      <w:r>
        <w:rPr>
          <w:rFonts w:ascii="Arial" w:cs="Arial" w:eastAsia="Arial" w:hAnsi="Arial"/>
          <w:sz w:val="17"/>
          <w:szCs w:val="17"/>
          <w:i w:val="1"/>
          <w:iCs w:val="1"/>
          <w:color w:val="auto"/>
        </w:rPr>
        <w:t>Item 7. 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 Impact of COVID-19 </w:t>
      </w:r>
      <w:r>
        <w:rPr>
          <w:rFonts w:ascii="Arial" w:cs="Arial" w:eastAsia="Arial" w:hAnsi="Arial"/>
          <w:sz w:val="17"/>
          <w:szCs w:val="17"/>
          <w:color w:val="auto"/>
        </w:rPr>
        <w:t>for specific details on</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decisions made by our university partners in response to the COVID-19 pandemic that resulted in reduced service revenue for the Company in 2020.</w:t>
      </w:r>
    </w:p>
    <w:p>
      <w:pPr>
        <w:spacing w:after="0" w:line="181"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The decisions made by the Compensation Committee and the Board on the compensation of our named executive officers reflect their role in the organic growth of the Company during 2020, which included opening seven new off-campus classroom and laboratory sites, expanding the number of university partners serviced to 25, increasing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university partner enrollments by 8.5%, and increasing service revenue by 8.4%, all while balancing the safety and well-being of our employees, university partners and their students during an unexpected pandemic.</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Compensation Practices Highlights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key aspects of our compensation policies and programs:</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-116205</wp:posOffset>
            </wp:positionV>
            <wp:extent cx="5648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20320</wp:posOffset>
            </wp:positionV>
            <wp:extent cx="28289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360" w:hanging="257"/>
        <w:spacing w:after="0" w:line="278" w:lineRule="auto"/>
        <w:tabs>
          <w:tab w:leader="none" w:pos="360" w:val="left"/>
        </w:tabs>
        <w:numPr>
          <w:ilvl w:val="0"/>
          <w:numId w:val="3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Pay for Performance: </w:t>
      </w:r>
      <w:r>
        <w:rPr>
          <w:rFonts w:ascii="Arial" w:cs="Arial" w:eastAsia="Arial" w:hAnsi="Arial"/>
          <w:sz w:val="16"/>
          <w:szCs w:val="16"/>
          <w:color w:val="auto"/>
        </w:rPr>
        <w:t>A significant portion of our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is based on achievement of key financial metrics that are disclosed to our stockholders.</w:t>
      </w:r>
    </w:p>
    <w:p>
      <w:pPr>
        <w:spacing w:after="0" w:line="170" w:lineRule="exact"/>
        <w:rPr>
          <w:rFonts w:ascii="MS PGothic" w:cs="MS PGothic" w:eastAsia="MS PGothic" w:hAnsi="MS PGothic"/>
          <w:sz w:val="16"/>
          <w:szCs w:val="16"/>
          <w:color w:val="auto"/>
        </w:rPr>
      </w:pPr>
    </w:p>
    <w:p>
      <w:pPr>
        <w:ind w:left="360" w:right="120" w:hanging="257"/>
        <w:spacing w:after="0" w:line="273" w:lineRule="auto"/>
        <w:tabs>
          <w:tab w:leader="none" w:pos="360" w:val="left"/>
        </w:tabs>
        <w:numPr>
          <w:ilvl w:val="0"/>
          <w:numId w:val="3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Seek Alignment with Our Stockholders</w:t>
      </w:r>
      <w:r>
        <w:rPr>
          <w:rFonts w:ascii="Arial" w:cs="Arial" w:eastAsia="Arial" w:hAnsi="Arial"/>
          <w:sz w:val="16"/>
          <w:szCs w:val="16"/>
          <w:color w:val="auto"/>
        </w:rPr>
        <w:t>. We require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and our directors to maintain a meaningful ownership stake at levels specified in our stock ownership policy.</w:t>
      </w:r>
    </w:p>
    <w:p>
      <w:pPr>
        <w:spacing w:after="0" w:line="377" w:lineRule="exact"/>
        <w:rPr>
          <w:rFonts w:ascii="MS PGothic" w:cs="MS PGothic" w:eastAsia="MS PGothic" w:hAnsi="MS PGothic"/>
          <w:sz w:val="16"/>
          <w:szCs w:val="16"/>
          <w:color w:val="auto"/>
        </w:rPr>
      </w:pPr>
    </w:p>
    <w:p>
      <w:pPr>
        <w:ind w:left="360" w:right="140" w:hanging="257"/>
        <w:spacing w:after="0" w:line="318" w:lineRule="auto"/>
        <w:tabs>
          <w:tab w:leader="none" w:pos="360" w:val="left"/>
        </w:tabs>
        <w:numPr>
          <w:ilvl w:val="0"/>
          <w:numId w:val="36"/>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 xml:space="preserve">We Balance Our Incentive Compensation: </w:t>
      </w:r>
      <w:r>
        <w:rPr>
          <w:rFonts w:ascii="Arial" w:cs="Arial" w:eastAsia="Arial" w:hAnsi="Arial"/>
          <w:sz w:val="14"/>
          <w:szCs w:val="14"/>
          <w:color w:val="auto"/>
        </w:rPr>
        <w:t>Our incentive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programs provide a balance of short-term cash incentives that are based on achievement of annual financial metrics and time-based equity incentives that vest over five years and provide value as a long-term retention tool.</w:t>
      </w:r>
    </w:p>
    <w:p>
      <w:pPr>
        <w:spacing w:after="0" w:line="148" w:lineRule="exact"/>
        <w:rPr>
          <w:rFonts w:ascii="MS PGothic" w:cs="MS PGothic" w:eastAsia="MS PGothic" w:hAnsi="MS PGothic"/>
          <w:sz w:val="14"/>
          <w:szCs w:val="14"/>
          <w:color w:val="auto"/>
        </w:rPr>
      </w:pPr>
    </w:p>
    <w:p>
      <w:pPr>
        <w:ind w:left="360" w:right="140" w:hanging="257"/>
        <w:spacing w:after="0" w:line="271" w:lineRule="auto"/>
        <w:tabs>
          <w:tab w:leader="none" w:pos="360" w:val="left"/>
        </w:tabs>
        <w:numPr>
          <w:ilvl w:val="0"/>
          <w:numId w:val="3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Can Claw Back Compensation</w:t>
      </w:r>
      <w:r>
        <w:rPr>
          <w:rFonts w:ascii="Arial" w:cs="Arial" w:eastAsia="Arial" w:hAnsi="Arial"/>
          <w:sz w:val="16"/>
          <w:szCs w:val="16"/>
          <w:color w:val="auto"/>
        </w:rPr>
        <w:t>: We have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recoup incentive compensation if the Company’s financial results are restated or materially misstated due in whole or in part to misconduct by one or more of our named executive officers.</w:t>
      </w:r>
    </w:p>
    <w:p>
      <w:pPr>
        <w:spacing w:after="0" w:line="176" w:lineRule="exact"/>
        <w:rPr>
          <w:rFonts w:ascii="MS PGothic" w:cs="MS PGothic" w:eastAsia="MS PGothic" w:hAnsi="MS PGothic"/>
          <w:sz w:val="16"/>
          <w:szCs w:val="16"/>
          <w:color w:val="auto"/>
        </w:rPr>
      </w:pPr>
    </w:p>
    <w:p>
      <w:pPr>
        <w:ind w:left="360" w:right="100" w:hanging="239"/>
        <w:spacing w:after="0" w:line="297" w:lineRule="auto"/>
        <w:tabs>
          <w:tab w:leader="none" w:pos="360" w:val="left"/>
        </w:tabs>
        <w:numPr>
          <w:ilvl w:val="1"/>
          <w:numId w:val="36"/>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 xml:space="preserve">We Retain an Independent Compensation Consultant: </w:t>
      </w:r>
      <w:r>
        <w:rPr>
          <w:rFonts w:ascii="Arial" w:cs="Arial" w:eastAsia="Arial" w:hAnsi="Arial"/>
          <w:sz w:val="15"/>
          <w:szCs w:val="15"/>
          <w:color w:val="auto"/>
        </w:rPr>
        <w:t>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engages an independent consultant from time to time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-20955</wp:posOffset>
            </wp:positionV>
            <wp:extent cx="5648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499"/>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20320</wp:posOffset>
            </wp:positionV>
            <wp:extent cx="26746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9" w:lineRule="exact"/>
        <w:rPr>
          <w:sz w:val="20"/>
          <w:szCs w:val="20"/>
          <w:color w:val="auto"/>
        </w:rPr>
      </w:pPr>
    </w:p>
    <w:p>
      <w:pPr>
        <w:ind w:left="259" w:right="299" w:hanging="259"/>
        <w:spacing w:after="0" w:line="278" w:lineRule="auto"/>
        <w:tabs>
          <w:tab w:leader="none" w:pos="259" w:val="left"/>
        </w:tabs>
        <w:numPr>
          <w:ilvl w:val="0"/>
          <w:numId w:val="3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Do Not Have Tax Gross-Ups: </w:t>
      </w:r>
      <w:r>
        <w:rPr>
          <w:rFonts w:ascii="Arial" w:cs="Arial" w:eastAsia="Arial" w:hAnsi="Arial"/>
          <w:sz w:val="16"/>
          <w:szCs w:val="16"/>
          <w:color w:val="auto"/>
        </w:rPr>
        <w:t>We do not provide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gross-ups on any severance or change-in-control type payments.</w:t>
      </w:r>
    </w:p>
    <w:p>
      <w:pPr>
        <w:spacing w:after="0" w:line="170" w:lineRule="exact"/>
        <w:rPr>
          <w:rFonts w:ascii="MS PGothic" w:cs="MS PGothic" w:eastAsia="MS PGothic" w:hAnsi="MS PGothic"/>
          <w:sz w:val="16"/>
          <w:szCs w:val="16"/>
          <w:color w:val="auto"/>
        </w:rPr>
      </w:pPr>
    </w:p>
    <w:p>
      <w:pPr>
        <w:ind w:left="259" w:right="199" w:hanging="259"/>
        <w:spacing w:after="0" w:line="271" w:lineRule="auto"/>
        <w:tabs>
          <w:tab w:leader="none" w:pos="259" w:val="left"/>
        </w:tabs>
        <w:numPr>
          <w:ilvl w:val="0"/>
          <w:numId w:val="3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Permit Hedging, Short Sales, or Pledging</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insider trading policy, our officers and directors are prohibited from hedging, effecting short sales of, and (except in extremely limited circumstances) pledging our stock.</w:t>
      </w:r>
    </w:p>
    <w:p>
      <w:pPr>
        <w:spacing w:after="0" w:line="176" w:lineRule="exact"/>
        <w:rPr>
          <w:rFonts w:ascii="MS PGothic" w:cs="MS PGothic" w:eastAsia="MS PGothic" w:hAnsi="MS PGothic"/>
          <w:sz w:val="16"/>
          <w:szCs w:val="16"/>
          <w:color w:val="auto"/>
        </w:rPr>
      </w:pPr>
    </w:p>
    <w:p>
      <w:pPr>
        <w:ind w:left="259" w:right="239" w:hanging="259"/>
        <w:spacing w:after="0" w:line="271" w:lineRule="auto"/>
        <w:tabs>
          <w:tab w:leader="none" w:pos="259" w:val="left"/>
        </w:tabs>
        <w:numPr>
          <w:ilvl w:val="0"/>
          <w:numId w:val="3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Automatically Increase Salaries or Bonuses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2013, we have raised the base salary of our chief executive officer only once, and those of our other named executive officers only twice, and bonuses are strictly performance based.</w:t>
      </w:r>
    </w:p>
    <w:p>
      <w:pPr>
        <w:spacing w:after="0" w:line="176" w:lineRule="exact"/>
        <w:rPr>
          <w:rFonts w:ascii="MS PGothic" w:cs="MS PGothic" w:eastAsia="MS PGothic" w:hAnsi="MS PGothic"/>
          <w:sz w:val="16"/>
          <w:szCs w:val="16"/>
          <w:color w:val="auto"/>
        </w:rPr>
      </w:pPr>
    </w:p>
    <w:p>
      <w:pPr>
        <w:ind w:left="259" w:right="219" w:hanging="259"/>
        <w:spacing w:after="0" w:line="369" w:lineRule="auto"/>
        <w:tabs>
          <w:tab w:leader="none" w:pos="259" w:val="left"/>
        </w:tabs>
        <w:numPr>
          <w:ilvl w:val="0"/>
          <w:numId w:val="37"/>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We Do Not Provide Excessive Perquisites</w:t>
      </w:r>
      <w:r>
        <w:rPr>
          <w:rFonts w:ascii="Arial" w:cs="Arial" w:eastAsia="Arial" w:hAnsi="Arial"/>
          <w:sz w:val="14"/>
          <w:szCs w:val="14"/>
          <w:color w:val="auto"/>
        </w:rPr>
        <w:t>: Our named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officers receive limited perquisites and benefits.</w:t>
      </w:r>
    </w:p>
    <w:p>
      <w:pPr>
        <w:spacing w:after="0" w:line="200" w:lineRule="exact"/>
        <w:rPr>
          <w:rFonts w:ascii="MS PGothic" w:cs="MS PGothic" w:eastAsia="MS PGothic" w:hAnsi="MS PGothic"/>
          <w:sz w:val="14"/>
          <w:szCs w:val="14"/>
          <w:color w:val="auto"/>
        </w:rPr>
      </w:pPr>
    </w:p>
    <w:p>
      <w:pPr>
        <w:spacing w:after="0" w:line="200" w:lineRule="exact"/>
        <w:rPr>
          <w:rFonts w:ascii="MS PGothic" w:cs="MS PGothic" w:eastAsia="MS PGothic" w:hAnsi="MS PGothic"/>
          <w:sz w:val="14"/>
          <w:szCs w:val="14"/>
          <w:color w:val="auto"/>
        </w:rPr>
      </w:pPr>
    </w:p>
    <w:p>
      <w:pPr>
        <w:spacing w:after="0" w:line="319" w:lineRule="exact"/>
        <w:rPr>
          <w:rFonts w:ascii="MS PGothic" w:cs="MS PGothic" w:eastAsia="MS PGothic" w:hAnsi="MS PGothic"/>
          <w:sz w:val="14"/>
          <w:szCs w:val="14"/>
          <w:color w:val="auto"/>
        </w:rPr>
      </w:pPr>
    </w:p>
    <w:p>
      <w:pPr>
        <w:jc w:val="both"/>
        <w:ind w:left="259" w:right="239" w:hanging="259"/>
        <w:spacing w:after="0" w:line="335" w:lineRule="auto"/>
        <w:tabs>
          <w:tab w:leader="none" w:pos="259" w:val="left"/>
        </w:tabs>
        <w:numPr>
          <w:ilvl w:val="0"/>
          <w:numId w:val="37"/>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We Do Not Provide for Change of Control Acceleration</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do not provide “single-trigger” accelerated vesting of equity-based awards upon a change in control.</w:t>
      </w:r>
    </w:p>
    <w:p>
      <w:pPr>
        <w:spacing w:after="0" w:line="360" w:lineRule="exact"/>
        <w:rPr>
          <w:sz w:val="20"/>
          <w:szCs w:val="20"/>
          <w:color w:val="auto"/>
        </w:rPr>
      </w:pPr>
    </w:p>
    <w:p>
      <w:pPr>
        <w:sectPr>
          <w:pgSz w:w="11900" w:h="16838" w:orient="portrait"/>
          <w:cols w:equalWidth="0" w:num="2">
            <w:col w:w="4460" w:space="321"/>
            <w:col w:w="4238"/>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8"/>
          <w:szCs w:val="18"/>
          <w:b w:val="1"/>
          <w:bCs w:val="1"/>
          <w:i w:val="1"/>
          <w:iCs w:val="1"/>
          <w:color w:val="auto"/>
        </w:rPr>
        <w:t>Response to Advisory Vote on Executive Compensation</w:t>
      </w:r>
    </w:p>
    <w:p>
      <w:pPr>
        <w:spacing w:after="0" w:line="225"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97.8% of shares voted in 2020.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2020 and into 2021, as discussed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p>
      <w:pPr>
        <w:spacing w:after="0" w:line="176" w:lineRule="exact"/>
        <w:rPr>
          <w:sz w:val="20"/>
          <w:szCs w:val="20"/>
          <w:color w:val="auto"/>
        </w:rPr>
      </w:pPr>
    </w:p>
    <w:p>
      <w:pPr>
        <w:ind w:left="1340" w:right="119" w:hanging="318"/>
        <w:spacing w:after="0" w:line="277"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Strong alignment between company-wide performance and payouts under our annual cash incentive plan (“Annual Cash Incentive Plan”);</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359" w:hanging="318"/>
        <w:spacing w:after="0" w:line="342" w:lineRule="auto"/>
        <w:tabs>
          <w:tab w:leader="none" w:pos="1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a tool to retain key personnel, all stock-based awards are subject to five-year vesting periods, with 20% of each grant vesting annually on each of the first five anniversaries of the date of grant;</w:t>
      </w:r>
    </w:p>
    <w:p>
      <w:pPr>
        <w:spacing w:after="0" w:line="123" w:lineRule="exact"/>
        <w:rPr>
          <w:rFonts w:ascii="Arial" w:cs="Arial" w:eastAsia="Arial" w:hAnsi="Arial"/>
          <w:sz w:val="16"/>
          <w:szCs w:val="16"/>
          <w:color w:val="auto"/>
        </w:rPr>
      </w:pPr>
    </w:p>
    <w:p>
      <w:pPr>
        <w:ind w:left="1340" w:right="199" w:hanging="318"/>
        <w:spacing w:after="0" w:line="277"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and benefits and limited acceleration of vesting;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2020 appropriately reflected the economic and regulatory environments, the performance of the Company and the relationship with market compensation necessary to retain and motivate our executives, and that the continuation of these practices in 2021 is appropriate given the continued regulatory, economic and competitive challenges that we expect to face.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Note About the Compensation of Our Management Team</w:t>
      </w:r>
    </w:p>
    <w:p>
      <w:pPr>
        <w:spacing w:after="0" w:line="225"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Over the years, the Compensation Committee has periodically engaged an independent compensation consultant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Typically, analyses of peer group data show that our named executive officers are compensated below their peers. The reasons for this are twofold:</w:t>
      </w:r>
    </w:p>
    <w:p>
      <w:pPr>
        <w:spacing w:after="0" w:line="192" w:lineRule="exact"/>
        <w:rPr>
          <w:sz w:val="20"/>
          <w:szCs w:val="20"/>
          <w:color w:val="auto"/>
        </w:rPr>
      </w:pPr>
    </w:p>
    <w:p>
      <w:pPr>
        <w:ind w:left="740" w:right="179" w:hanging="325"/>
        <w:spacing w:after="0" w:line="279"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of our executive officers as of December 31, 2020 has been with the Company for a decade (except for Mr. Briggs, who joined our Company upon our acquisition of Orbis Education) or more and, overall, our top management ranks have been extremely stable over time. This means that the compensation structure has not been forced to re-set due to the hiring of new management level personnel; and</w:t>
      </w:r>
    </w:p>
    <w:p>
      <w:pPr>
        <w:spacing w:after="0" w:line="171" w:lineRule="exact"/>
        <w:rPr>
          <w:rFonts w:ascii="Arial" w:cs="Arial" w:eastAsia="Arial" w:hAnsi="Arial"/>
          <w:sz w:val="17"/>
          <w:szCs w:val="17"/>
          <w:color w:val="auto"/>
        </w:rPr>
      </w:pPr>
    </w:p>
    <w:p>
      <w:pPr>
        <w:ind w:left="740" w:right="159" w:hanging="325"/>
        <w:spacing w:after="0" w:line="259"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p>
      <w:pPr>
        <w:spacing w:after="0" w:line="187"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This belief has been backed up by actions. Between December 31, 2010 and the date of this Proxy Statement - a period during which the Company’s market capitalization increased by 490% (or nearly $4.4 billion), from $895.6 million to $5.280 billion - our Chief Executive Officer, Chief Operating Officer, Chief Financial Officer and Chief Information Officer have accepted cumulative base salary increases of only $40,000 each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2020 Executive Compensation</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purpose of this Compensation Discussion and Analysis is to provide information about each material element of compensation that we pay or award to, or that is earned by, our named executive officers.</w:t>
      </w:r>
    </w:p>
    <w:p>
      <w:pPr>
        <w:spacing w:after="0" w:line="170"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2020, the numerical and related information contained in the summary compensation and related tables presented below, and actions we have taken regarding executive compensation since the end of our 2020 fiscal year. Specifically, this Compensation Discussion and Analysis addresses:</w:t>
      </w:r>
    </w:p>
    <w:p>
      <w:pPr>
        <w:spacing w:after="0" w:line="187" w:lineRule="exact"/>
        <w:rPr>
          <w:sz w:val="20"/>
          <w:szCs w:val="20"/>
          <w:color w:val="auto"/>
        </w:rPr>
      </w:pPr>
    </w:p>
    <w:p>
      <w:pPr>
        <w:ind w:left="1340" w:right="159" w:hanging="318"/>
        <w:spacing w:after="0" w:line="277" w:lineRule="auto"/>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99" w:hanging="318"/>
        <w:spacing w:after="0" w:line="277"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What our compensation program is designed to reward (also described in the section entitled “Objectives of Compensation Programs”);</w:t>
      </w:r>
    </w:p>
    <w:p>
      <w:pPr>
        <w:spacing w:after="0" w:line="170" w:lineRule="exact"/>
        <w:rPr>
          <w:rFonts w:ascii="Arial" w:cs="Arial" w:eastAsia="Arial" w:hAnsi="Arial"/>
          <w:sz w:val="18"/>
          <w:szCs w:val="18"/>
          <w:color w:val="auto"/>
        </w:rPr>
      </w:pPr>
    </w:p>
    <w:p>
      <w:pPr>
        <w:ind w:left="1340" w:right="479" w:hanging="318"/>
        <w:spacing w:after="0" w:line="277"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70" w:lineRule="exact"/>
        <w:rPr>
          <w:rFonts w:ascii="Arial" w:cs="Arial" w:eastAsia="Arial" w:hAnsi="Arial"/>
          <w:sz w:val="18"/>
          <w:szCs w:val="18"/>
          <w:color w:val="auto"/>
        </w:rPr>
      </w:pPr>
    </w:p>
    <w:p>
      <w:pPr>
        <w:ind w:left="1340" w:right="139" w:hanging="318"/>
        <w:spacing w:after="0" w:line="277"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170" w:lineRule="exact"/>
        <w:rPr>
          <w:rFonts w:ascii="Arial" w:cs="Arial" w:eastAsia="Arial" w:hAnsi="Arial"/>
          <w:sz w:val="18"/>
          <w:szCs w:val="18"/>
          <w:color w:val="auto"/>
        </w:rPr>
      </w:pPr>
    </w:p>
    <w:p>
      <w:pPr>
        <w:ind w:left="1340" w:right="239" w:hanging="318"/>
        <w:spacing w:after="0" w:line="308" w:lineRule="auto"/>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How amounts and formulas for pay are calculated and determined (also described with each element of compensation, including base pay, short-term incentives and long-term incentives); and</w:t>
      </w:r>
    </w:p>
    <w:p>
      <w:pPr>
        <w:spacing w:after="0" w:line="146" w:lineRule="exact"/>
        <w:rPr>
          <w:rFonts w:ascii="Arial" w:cs="Arial" w:eastAsia="Arial" w:hAnsi="Arial"/>
          <w:sz w:val="17"/>
          <w:szCs w:val="17"/>
          <w:color w:val="auto"/>
        </w:rPr>
      </w:pPr>
    </w:p>
    <w:p>
      <w:pPr>
        <w:ind w:left="1340" w:right="259" w:hanging="318"/>
        <w:spacing w:after="0" w:line="263"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57"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4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i w:val="1"/>
          <w:iCs w:val="1"/>
          <w:color w:val="auto"/>
        </w:rPr>
        <w:t xml:space="preserve">Compensation philosophy. </w:t>
      </w:r>
      <w:r>
        <w:rPr>
          <w:rFonts w:ascii="Arial" w:cs="Arial" w:eastAsia="Arial" w:hAnsi="Arial"/>
          <w:sz w:val="17"/>
          <w:szCs w:val="17"/>
          <w:color w:val="auto"/>
        </w:rPr>
        <w:t>Under our compensation philosophy, a named executive officer’s total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will vary based on our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78"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170" w:lineRule="exact"/>
        <w:rPr>
          <w:sz w:val="20"/>
          <w:szCs w:val="20"/>
          <w:color w:val="auto"/>
        </w:rPr>
      </w:pPr>
    </w:p>
    <w:p>
      <w:pPr>
        <w:ind w:left="1340" w:right="319" w:hanging="318"/>
        <w:spacing w:after="0" w:line="301" w:lineRule="auto"/>
        <w:tabs>
          <w:tab w:leader="none" w:pos="13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related to performance. </w:t>
      </w:r>
      <w:r>
        <w:rPr>
          <w:rFonts w:ascii="Arial" w:cs="Arial" w:eastAsia="Arial" w:hAnsi="Arial"/>
          <w:sz w:val="16"/>
          <w:szCs w:val="16"/>
          <w:color w:val="auto"/>
        </w:rPr>
        <w:t>We believe that the performance-based portion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total compensation should 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99" w:hanging="318"/>
        <w:spacing w:after="0" w:line="293" w:lineRule="auto"/>
        <w:tabs>
          <w:tab w:leader="none" w:pos="13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competitive and cost effective. </w:t>
      </w:r>
      <w:r>
        <w:rPr>
          <w:rFonts w:ascii="Arial" w:cs="Arial" w:eastAsia="Arial" w:hAnsi="Arial"/>
          <w:sz w:val="16"/>
          <w:szCs w:val="16"/>
          <w:color w:val="auto"/>
        </w:rPr>
        <w:t>We believe that our compensation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should foster an 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6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i w:val="1"/>
          <w:iCs w:val="1"/>
          <w:color w:val="auto"/>
        </w:rPr>
        <w:t xml:space="preserve">Company compensation policies. </w:t>
      </w:r>
      <w:r>
        <w:rPr>
          <w:rFonts w:ascii="Arial" w:cs="Arial" w:eastAsia="Arial" w:hAnsi="Arial"/>
          <w:sz w:val="17"/>
          <w:szCs w:val="17"/>
          <w:color w:val="auto"/>
        </w:rPr>
        <w:t>During 2020, our named executive officers’ total in-service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base salaries, cash bonuses, share-based compensation, and other benefits generally available to all employees. With regard to these components, we adhere to the following compensation policies:</w:t>
      </w:r>
    </w:p>
    <w:p>
      <w:pPr>
        <w:spacing w:after="0" w:line="165" w:lineRule="exact"/>
        <w:rPr>
          <w:sz w:val="20"/>
          <w:szCs w:val="20"/>
          <w:color w:val="auto"/>
        </w:rPr>
      </w:pPr>
    </w:p>
    <w:p>
      <w:pPr>
        <w:ind w:left="1340" w:right="199" w:hanging="318"/>
        <w:spacing w:after="0" w:line="311" w:lineRule="auto"/>
        <w:tabs>
          <w:tab w:leader="none" w:pos="134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Cash should be a significant component of compensation. </w:t>
      </w:r>
      <w:r>
        <w:rPr>
          <w:rFonts w:ascii="Arial" w:cs="Arial" w:eastAsia="Arial" w:hAnsi="Arial"/>
          <w:sz w:val="16"/>
          <w:szCs w:val="16"/>
          <w:color w:val="auto"/>
        </w:rPr>
        <w:t>The Company’s compensation policy focuses</w:t>
      </w:r>
      <w:r>
        <w:rPr>
          <w:rFonts w:ascii="Arial" w:cs="Arial" w:eastAsia="Arial" w:hAnsi="Arial"/>
          <w:sz w:val="16"/>
          <w:szCs w:val="16"/>
          <w:i w:val="1"/>
          <w:iCs w:val="1"/>
          <w:color w:val="auto"/>
        </w:rPr>
        <w:t xml:space="preserve"> </w:t>
      </w:r>
      <w:r>
        <w:rPr>
          <w:rFonts w:ascii="Arial" w:cs="Arial" w:eastAsia="Arial" w:hAnsi="Arial"/>
          <w:sz w:val="16"/>
          <w:szCs w:val="16"/>
          <w:color w:val="auto"/>
        </w:rPr>
        <w:t>on providing the opportunity for its named executive officers to earn total cash compensation at levels that enable the Company to achieve the motivation and retention goals described above.</w:t>
      </w:r>
    </w:p>
    <w:p>
      <w:pPr>
        <w:spacing w:after="0" w:line="148" w:lineRule="exact"/>
        <w:rPr>
          <w:rFonts w:ascii="Arial" w:cs="Arial" w:eastAsia="Arial" w:hAnsi="Arial"/>
          <w:sz w:val="16"/>
          <w:szCs w:val="16"/>
          <w:color w:val="auto"/>
        </w:rPr>
      </w:pPr>
    </w:p>
    <w:p>
      <w:pPr>
        <w:ind w:left="1340" w:right="159" w:hanging="318"/>
        <w:spacing w:after="0" w:line="273" w:lineRule="auto"/>
        <w:tabs>
          <w:tab w:leader="none" w:pos="134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Base salaries should generally be the largest component of cash compensation</w:t>
      </w:r>
      <w:r>
        <w:rPr>
          <w:rFonts w:ascii="Arial" w:cs="Arial" w:eastAsia="Arial" w:hAnsi="Arial"/>
          <w:sz w:val="17"/>
          <w:szCs w:val="17"/>
          <w:color w:val="auto"/>
        </w:rPr>
        <w:t>.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generally 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177" w:lineRule="exact"/>
        <w:rPr>
          <w:rFonts w:ascii="Arial" w:cs="Arial" w:eastAsia="Arial" w:hAnsi="Arial"/>
          <w:sz w:val="17"/>
          <w:szCs w:val="17"/>
          <w:color w:val="auto"/>
        </w:rPr>
      </w:pPr>
    </w:p>
    <w:p>
      <w:pPr>
        <w:ind w:left="1340" w:right="79" w:hanging="318"/>
        <w:spacing w:after="0" w:line="279" w:lineRule="auto"/>
        <w:tabs>
          <w:tab w:leader="none" w:pos="134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Cash incentives should be linked to performance. </w:t>
      </w:r>
      <w:r>
        <w:rPr>
          <w:rFonts w:ascii="Arial" w:cs="Arial" w:eastAsia="Arial" w:hAnsi="Arial"/>
          <w:sz w:val="17"/>
          <w:szCs w:val="17"/>
          <w:color w:val="auto"/>
        </w:rPr>
        <w:t>Under our Annual Cash Incentive Plan, bonuses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are based on overall company financial performance, but are subject to reduction based on the Compensation Committee’s assessment of the particular named executive officer’s personal performance and contribution to our overall results.</w:t>
      </w:r>
    </w:p>
    <w:p>
      <w:pPr>
        <w:spacing w:after="0" w:line="171" w:lineRule="exact"/>
        <w:rPr>
          <w:rFonts w:ascii="Arial" w:cs="Arial" w:eastAsia="Arial" w:hAnsi="Arial"/>
          <w:sz w:val="17"/>
          <w:szCs w:val="17"/>
          <w:color w:val="auto"/>
        </w:rPr>
      </w:pPr>
    </w:p>
    <w:p>
      <w:pPr>
        <w:ind w:left="1340" w:right="279" w:hanging="318"/>
        <w:spacing w:after="0" w:line="259"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Equity awards should be utilized as a means to retain key management and to align their interests with those of our stockholders. </w:t>
      </w:r>
      <w:r>
        <w:rPr>
          <w:rFonts w:ascii="Arial" w:cs="Arial" w:eastAsia="Arial" w:hAnsi="Arial"/>
          <w:sz w:val="18"/>
          <w:szCs w:val="18"/>
          <w:color w:val="auto"/>
        </w:rPr>
        <w:t>We utilize time-based equity awards that vest ratably over five years.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a long vesting period encourages retention and focuses our management team on the long-term interests of our Company and stockholders.</w:t>
      </w:r>
    </w:p>
    <w:p>
      <w:pPr>
        <w:spacing w:after="0" w:line="187"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8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2020 fiscal year, our executive compensation mix included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2020, we did not provide any perquisites to our named executive officers. We generally determine the nature and amount of each element of compensation as follows:</w:t>
      </w:r>
    </w:p>
    <w:p>
      <w:pPr>
        <w:spacing w:after="0" w:line="192" w:lineRule="exact"/>
        <w:rPr>
          <w:sz w:val="20"/>
          <w:szCs w:val="20"/>
          <w:color w:val="auto"/>
        </w:rPr>
      </w:pPr>
    </w:p>
    <w:p>
      <w:pPr>
        <w:ind w:left="1340" w:right="139" w:hanging="318"/>
        <w:spacing w:after="0" w:line="296" w:lineRule="auto"/>
        <w:tabs>
          <w:tab w:leader="none" w:pos="13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39"/>
        <w:spacing w:after="0" w:line="255" w:lineRule="auto"/>
        <w:rPr>
          <w:sz w:val="20"/>
          <w:szCs w:val="20"/>
          <w:color w:val="auto"/>
        </w:rPr>
      </w:pPr>
      <w:r>
        <w:rPr>
          <w:rFonts w:ascii="Arial" w:cs="Arial" w:eastAsia="Arial" w:hAnsi="Arial"/>
          <w:sz w:val="18"/>
          <w:szCs w:val="18"/>
          <w:color w:val="auto"/>
        </w:rPr>
        <w:t>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192" w:lineRule="exact"/>
        <w:rPr>
          <w:sz w:val="20"/>
          <w:szCs w:val="20"/>
          <w:color w:val="auto"/>
        </w:rPr>
      </w:pPr>
    </w:p>
    <w:p>
      <w:pPr>
        <w:jc w:val="both"/>
        <w:ind w:left="1340" w:right="499" w:hanging="318"/>
        <w:spacing w:after="0" w:line="279" w:lineRule="auto"/>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Bonuses. </w:t>
      </w:r>
      <w:r>
        <w:rPr>
          <w:rFonts w:ascii="Arial" w:cs="Arial" w:eastAsia="Arial" w:hAnsi="Arial"/>
          <w:sz w:val="17"/>
          <w:szCs w:val="17"/>
          <w:color w:val="auto"/>
        </w:rPr>
        <w:t>We provide cash bonuses, which typically are at-risk, to recognize and reward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based on our success in a given year. For 2020, we awarded performance-related bonuses under our Annual Cash Incentive Plan. The operation of this plan as it relates to our named executive officers is described in more detail below.</w:t>
      </w:r>
    </w:p>
    <w:p>
      <w:pPr>
        <w:spacing w:after="0" w:line="171" w:lineRule="exact"/>
        <w:rPr>
          <w:rFonts w:ascii="Arial" w:cs="Arial" w:eastAsia="Arial" w:hAnsi="Arial"/>
          <w:sz w:val="17"/>
          <w:szCs w:val="17"/>
          <w:color w:val="auto"/>
        </w:rPr>
      </w:pPr>
    </w:p>
    <w:p>
      <w:pPr>
        <w:ind w:left="1340" w:right="139" w:hanging="318"/>
        <w:spacing w:after="0" w:line="259" w:lineRule="auto"/>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make equity incentive grants pursuant to our 2017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Plan”), under which a maximum of 3,000,000 shares may be granted. In 2020, our named executive officers received grants of restricted stock under the 2017 plan, as part of an overall, annual equity incentive grant made to Company employees.</w:t>
      </w:r>
    </w:p>
    <w:p>
      <w:pPr>
        <w:spacing w:after="0" w:line="186" w:lineRule="exact"/>
        <w:rPr>
          <w:rFonts w:ascii="Arial" w:cs="Arial" w:eastAsia="Arial" w:hAnsi="Arial"/>
          <w:sz w:val="18"/>
          <w:szCs w:val="18"/>
          <w:color w:val="auto"/>
        </w:rPr>
      </w:pPr>
    </w:p>
    <w:p>
      <w:pPr>
        <w:ind w:left="1340" w:right="139" w:hanging="318"/>
        <w:spacing w:after="0" w:line="269" w:lineRule="auto"/>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tuition benefits for a spouse or up to two children with no more than two participants receiving the benefits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85" w:lineRule="exact"/>
        <w:rPr>
          <w:sz w:val="20"/>
          <w:szCs w:val="20"/>
          <w:color w:val="auto"/>
        </w:rPr>
      </w:pPr>
    </w:p>
    <w:p>
      <w:pPr>
        <w:ind w:left="60" w:right="219" w:firstLine="648"/>
        <w:spacing w:after="0" w:line="288" w:lineRule="auto"/>
        <w:rPr>
          <w:sz w:val="20"/>
          <w:szCs w:val="20"/>
          <w:color w:val="auto"/>
        </w:rPr>
      </w:pPr>
      <w:r>
        <w:rPr>
          <w:rFonts w:ascii="Arial" w:cs="Arial" w:eastAsia="Arial" w:hAnsi="Arial"/>
          <w:sz w:val="16"/>
          <w:szCs w:val="16"/>
          <w:i w:val="1"/>
          <w:iCs w:val="1"/>
          <w:color w:val="auto"/>
        </w:rPr>
        <w:t xml:space="preserve">Elements of Post-Termination Compensation and Benefits. </w:t>
      </w:r>
      <w:r>
        <w:rPr>
          <w:rFonts w:ascii="Arial" w:cs="Arial" w:eastAsia="Arial" w:hAnsi="Arial"/>
          <w:sz w:val="16"/>
          <w:szCs w:val="16"/>
          <w:color w:val="auto"/>
        </w:rPr>
        <w:t>The employment agreements of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2020 pursuant to the written employment agreements consisted of the following:</w:t>
      </w:r>
    </w:p>
    <w:p>
      <w:pPr>
        <w:spacing w:after="0" w:line="168" w:lineRule="exact"/>
        <w:rPr>
          <w:sz w:val="20"/>
          <w:szCs w:val="20"/>
          <w:color w:val="auto"/>
        </w:rPr>
      </w:pPr>
    </w:p>
    <w:p>
      <w:pPr>
        <w:ind w:left="1340" w:right="239" w:hanging="318"/>
        <w:spacing w:after="0" w:line="342" w:lineRule="auto"/>
        <w:tabs>
          <w:tab w:leader="none" w:pos="13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Salary continuation. </w:t>
      </w:r>
      <w:r>
        <w:rPr>
          <w:rFonts w:ascii="Arial" w:cs="Arial" w:eastAsia="Arial" w:hAnsi="Arial"/>
          <w:sz w:val="16"/>
          <w:szCs w:val="16"/>
          <w:color w:val="auto"/>
        </w:rPr>
        <w:t>Each named executive officer would continue to receive 100% of their 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over a period of twelve (12) months following any qualifying termination of employment.</w:t>
      </w:r>
    </w:p>
    <w:p>
      <w:pPr>
        <w:spacing w:after="0" w:line="123" w:lineRule="exact"/>
        <w:rPr>
          <w:rFonts w:ascii="Arial" w:cs="Arial" w:eastAsia="Arial" w:hAnsi="Arial"/>
          <w:sz w:val="16"/>
          <w:szCs w:val="16"/>
          <w:color w:val="auto"/>
        </w:rPr>
      </w:pPr>
    </w:p>
    <w:p>
      <w:pPr>
        <w:ind w:left="1340" w:right="79" w:hanging="318"/>
        <w:spacing w:after="0" w:line="259" w:lineRule="auto"/>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100% of the named executive officer’s annual target bonus for the year in which such termination occurs, with such amount also payable over twelve (12) months following any qualifying termination of employment.</w:t>
      </w:r>
    </w:p>
    <w:p>
      <w:pPr>
        <w:spacing w:after="0" w:line="186" w:lineRule="exact"/>
        <w:rPr>
          <w:rFonts w:ascii="Arial" w:cs="Arial" w:eastAsia="Arial" w:hAnsi="Arial"/>
          <w:sz w:val="18"/>
          <w:szCs w:val="18"/>
          <w:color w:val="auto"/>
        </w:rPr>
      </w:pPr>
    </w:p>
    <w:p>
      <w:pPr>
        <w:ind w:left="1340" w:right="119" w:hanging="318"/>
        <w:spacing w:after="0" w:line="277" w:lineRule="auto"/>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for continued group health benefits under COBRA during the severance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359" w:hanging="318"/>
        <w:spacing w:after="0" w:line="263" w:lineRule="auto"/>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Each named executive officer would receive partial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the vesting of any outstanding restricted stock awards to the next annual vesting date immediately following the date of termination.</w:t>
      </w:r>
    </w:p>
    <w:p>
      <w:pPr>
        <w:spacing w:after="0" w:line="183" w:lineRule="exact"/>
        <w:rPr>
          <w:rFonts w:ascii="Arial" w:cs="Arial" w:eastAsia="Arial" w:hAnsi="Arial"/>
          <w:sz w:val="18"/>
          <w:szCs w:val="18"/>
          <w:color w:val="auto"/>
        </w:rPr>
      </w:pPr>
    </w:p>
    <w:p>
      <w:pPr>
        <w:ind w:left="1340" w:right="99" w:hanging="318"/>
        <w:spacing w:after="0" w:line="259" w:lineRule="auto"/>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Fully accelerated vesting of equity incentives</w:t>
      </w:r>
      <w:r>
        <w:rPr>
          <w:rFonts w:ascii="Arial" w:cs="Arial" w:eastAsia="Arial" w:hAnsi="Arial"/>
          <w:sz w:val="18"/>
          <w:szCs w:val="18"/>
          <w:color w:val="auto"/>
        </w:rPr>
        <w:t>. In the event of a termination by us without Cause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for Good Reason within twelve (12) months following a Change in Control, each named executive officer would receive full acceleration of the vesting of their outstanding restricted stock awards.</w:t>
      </w:r>
    </w:p>
    <w:p>
      <w:pPr>
        <w:spacing w:after="0" w:line="187"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225"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color w:val="auto"/>
        </w:rPr>
        <w:t xml:space="preserve">For 2020, each of our named executive officers participated in the Annual Cash Incentive Plan, other than Mr. Briggs, who participated in the Senior Management Plan (as further described below). Under the Annual Cash Incentive Plan as in effect for 2020,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2020, we defined Adjusted EBITDA for purposes of the Annual Cash Incentive Plan in a manner consistent with the definition we use when reporting our financial results. See </w:t>
      </w:r>
      <w:r>
        <w:rPr>
          <w:rFonts w:ascii="Arial" w:cs="Arial" w:eastAsia="Arial" w:hAnsi="Arial"/>
          <w:sz w:val="16"/>
          <w:szCs w:val="16"/>
          <w:i w:val="1"/>
          <w:iCs w:val="1"/>
          <w:color w:val="auto"/>
        </w:rPr>
        <w:t>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 Adjusted EBITDA (Non- GAAP Financial Measure), </w:t>
      </w:r>
      <w:r>
        <w:rPr>
          <w:rFonts w:ascii="Arial" w:cs="Arial" w:eastAsia="Arial" w:hAnsi="Arial"/>
          <w:sz w:val="16"/>
          <w:szCs w:val="16"/>
          <w:color w:val="auto"/>
        </w:rPr>
        <w:t>beginning on page 56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the fiscal year ended December 31, 2020 for information 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172"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i w:val="1"/>
          <w:iCs w:val="1"/>
          <w:color w:val="auto"/>
        </w:rPr>
        <w:t>Company performance</w:t>
      </w:r>
      <w:r>
        <w:rPr>
          <w:rFonts w:ascii="Arial" w:cs="Arial" w:eastAsia="Arial" w:hAnsi="Arial"/>
          <w:sz w:val="16"/>
          <w:szCs w:val="16"/>
          <w:color w:val="auto"/>
        </w:rPr>
        <w:t>. For our named executive officers on the Annual Cash Incentive Plan, the financial metrics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100% of 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spacing w:after="0" w:line="161" w:lineRule="exact"/>
        <w:rPr>
          <w:sz w:val="20"/>
          <w:szCs w:val="20"/>
          <w:color w:val="auto"/>
        </w:rPr>
      </w:pPr>
    </w:p>
    <w:p>
      <w:pPr>
        <w:jc w:val="both"/>
        <w:ind w:left="60" w:right="459" w:firstLine="648"/>
        <w:spacing w:after="0" w:line="311" w:lineRule="auto"/>
        <w:rPr>
          <w:sz w:val="20"/>
          <w:szCs w:val="20"/>
          <w:color w:val="auto"/>
        </w:rPr>
      </w:pPr>
      <w:r>
        <w:rPr>
          <w:rFonts w:ascii="Arial" w:cs="Arial" w:eastAsia="Arial" w:hAnsi="Arial"/>
          <w:sz w:val="16"/>
          <w:szCs w:val="16"/>
          <w:i w:val="1"/>
          <w:iCs w:val="1"/>
          <w:color w:val="auto"/>
        </w:rPr>
        <w:t>Individual performance</w:t>
      </w:r>
      <w:r>
        <w:rPr>
          <w:rFonts w:ascii="Arial" w:cs="Arial" w:eastAsia="Arial" w:hAnsi="Arial"/>
          <w:sz w:val="16"/>
          <w:szCs w:val="16"/>
          <w:color w:val="auto"/>
        </w:rPr>
        <w:t>. In reviewing individual performance, we look at an executive’s achievement of non-financial objectives that, with respect to a given participant, may include achieving objectives related to, among other things, program development and expansion, regulatory compliance, student retention and academic outcomes.</w:t>
      </w:r>
    </w:p>
    <w:p>
      <w:pPr>
        <w:spacing w:after="0" w:line="14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on the Annual Cash Incentive Plan,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establishes a target bonus, which is stated as a percentage of the named executive officer’s base salary. For 2020, the bonus opportunity as a percentage of base salary for each of the named executive officers on the Annual Cash Incentive Plan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left="676"/>
              <w:spacing w:after="0"/>
              <w:rPr>
                <w:sz w:val="20"/>
                <w:szCs w:val="20"/>
                <w:color w:val="auto"/>
              </w:rPr>
            </w:pPr>
            <w:r>
              <w:rPr>
                <w:rFonts w:ascii="Arial" w:cs="Arial" w:eastAsia="Arial" w:hAnsi="Arial"/>
                <w:sz w:val="14"/>
                <w:szCs w:val="14"/>
                <w:b w:val="1"/>
                <w:bCs w:val="1"/>
                <w:color w:val="auto"/>
                <w:w w:val="93"/>
              </w:rPr>
              <w:t>Bonus Opportunity as a</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0"/>
                <w:szCs w:val="10"/>
                <w:b w:val="1"/>
                <w:bCs w:val="1"/>
                <w:color w:val="auto"/>
              </w:rPr>
              <w:t>(1)</w:t>
            </w:r>
          </w:p>
        </w:tc>
        <w:tc>
          <w:tcPr>
            <w:tcW w:w="160" w:type="dxa"/>
            <w:vAlign w:val="bottom"/>
            <w:vMerge w:val="restart"/>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Base Salary</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Threshold</w:t>
            </w: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Target</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threshold targets established for both the revenue and Adjusted EBITDA goals. Assuming both of these thresholds are achieved, payouts are made based on the Company’s achievement of the revenue goal and Adjusted EBITDA goal, with achievement of both goals at the threshold level resulting in a bonus of 50% of the target bonus and achievement of both goals at the maximum level resulting in a bonus of 150% of the target bonus. Performance between threshold and maximum levels results in prorated payments using straight-line interpolation.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Shown below is a summary of the matrix described above: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Goal</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Threshold</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209"/>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goal (50.0% of financial metric)</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50% of goal</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 of goal</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 of goal</w:t>
            </w: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Adjusted EBITDA (50.0% of financial metric)</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50% of goal</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100% of goal</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150% of goal</w:t>
            </w: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 as a % of target bonus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2"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2020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of the bonus is payable at that level) and the Adjusted EBITDA target is achieved at the target level (so that 100% of the Adjusted EBITDA component of the bonus is payable at that level) the participant would be entitled to a potential bonus of $112,500, calculated as $37,500 (50% of the revenue component) plus $75,000 (100% of the Adjusted EBITDA component).</w:t>
      </w:r>
    </w:p>
    <w:p>
      <w:pPr>
        <w:spacing w:after="0" w:line="166" w:lineRule="exact"/>
        <w:rPr>
          <w:sz w:val="20"/>
          <w:szCs w:val="20"/>
          <w:color w:val="auto"/>
        </w:rPr>
      </w:pPr>
    </w:p>
    <w:p>
      <w:pPr>
        <w:ind w:left="60" w:right="319" w:firstLine="648"/>
        <w:spacing w:after="0" w:line="271" w:lineRule="auto"/>
        <w:rPr>
          <w:sz w:val="20"/>
          <w:szCs w:val="20"/>
          <w:color w:val="auto"/>
        </w:rPr>
      </w:pPr>
      <w:r>
        <w:rPr>
          <w:rFonts w:ascii="Arial" w:cs="Arial" w:eastAsia="Arial" w:hAnsi="Arial"/>
          <w:sz w:val="17"/>
          <w:szCs w:val="17"/>
          <w:color w:val="auto"/>
        </w:rPr>
        <w:t>The plan for eligible senior management (the “Senior Management Plan”), in which Mr. Briggs participated in 2020, differs from the Annual Cash Incentive Plan in that it includes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participating in this plan,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78"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i w:val="1"/>
          <w:iCs w:val="1"/>
          <w:color w:val="auto"/>
        </w:rPr>
        <w:t>Changes to performance goals and target awards</w:t>
      </w:r>
      <w:r>
        <w:rPr>
          <w:rFonts w:ascii="Arial" w:cs="Arial" w:eastAsia="Arial" w:hAnsi="Arial"/>
          <w:sz w:val="16"/>
          <w:szCs w:val="16"/>
          <w:color w:val="auto"/>
        </w:rPr>
        <w:t>. In accordance with the terms of the Annual Cash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at any time prior to 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(including the financial impacts of a unique circumstance such as the COVID-19 pandemic),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i w:val="1"/>
          <w:iCs w:val="1"/>
          <w:color w:val="auto"/>
        </w:rPr>
        <w:t xml:space="preserve">2020 financial goals. </w:t>
      </w:r>
      <w:r>
        <w:rPr>
          <w:rFonts w:ascii="Arial" w:cs="Arial" w:eastAsia="Arial" w:hAnsi="Arial"/>
          <w:sz w:val="18"/>
          <w:szCs w:val="18"/>
          <w:color w:val="auto"/>
        </w:rPr>
        <w:t>The following table shows the Company-wide financial goals established for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for 2020. These financial goals were selected based upon a combination of the Company’s internal budget and analyst estimates, which the Compensation Committee believes establishes an appropriate level at which to set goals in order to maximize the incentive for superior performance, as adjusted for the COVID-19 financial impacts that we discussed in our 2020 Annual Report on Form 10-K and quantified in our Form 8-K filed on February 17, 2021 as referenced above.</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Threshold</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Target</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Maximum</w:t>
            </w: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818,302,000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$ 826,302,000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834,302,000</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291,064,000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99"/>
              </w:rPr>
              <w:t>$ 299,064,000</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w w:val="91"/>
              </w:rPr>
              <w:t>307,064,000</w:t>
            </w:r>
          </w:p>
        </w:tc>
      </w:tr>
    </w:tbl>
    <w:p>
      <w:pPr>
        <w:spacing w:after="0" w:line="200" w:lineRule="exact"/>
        <w:rPr>
          <w:sz w:val="20"/>
          <w:szCs w:val="20"/>
          <w:color w:val="auto"/>
        </w:rPr>
      </w:pPr>
    </w:p>
    <w:p>
      <w:pPr>
        <w:spacing w:after="0" w:line="203"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Actual performance vs. compensation paid for 2020</w:t>
      </w:r>
      <w:r>
        <w:rPr>
          <w:rFonts w:ascii="Arial" w:cs="Arial" w:eastAsia="Arial" w:hAnsi="Arial"/>
          <w:sz w:val="18"/>
          <w:szCs w:val="18"/>
          <w:color w:val="auto"/>
        </w:rPr>
        <w:t>. For 2020, the Company achieved revenue of $844.1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exceeded the maximum revenue target, and Adjusted EBITDA of $323.8 million, which exceeded the maximum Adjusted EBITDA target, resulting in performance payout percentages equal to 150.0% for the revenue component of the incentive bonus and 150.0% for the Adjusted EBITDA component of the incentive target bonus. Accordingly, the named executive officers achieved incentive bonuses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3"/>
              </w:rPr>
              <w:t>Adjusted</w:t>
            </w:r>
          </w:p>
        </w:tc>
        <w:tc>
          <w:tcPr>
            <w:tcW w:w="114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89"/>
              </w:rPr>
              <w:t>2020 Bonus as</w:t>
            </w:r>
          </w:p>
        </w:tc>
        <w:tc>
          <w:tcPr>
            <w:tcW w:w="122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2020 Bonus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2"/>
              </w:rPr>
              <w:t>Revenue</w:t>
            </w:r>
          </w:p>
        </w:tc>
        <w:tc>
          <w:tcPr>
            <w:tcW w:w="11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76"/>
              </w:rPr>
              <w:t>as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EBITDA</w:t>
            </w:r>
          </w:p>
        </w:tc>
        <w:tc>
          <w:tcPr>
            <w:tcW w:w="11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2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Percentage</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2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86"/>
              </w:rPr>
              <w:t>of Base</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6"/>
              </w:rPr>
              <w:t>Payout (%)</w:t>
            </w:r>
          </w:p>
        </w:tc>
        <w:tc>
          <w:tcPr>
            <w:tcW w:w="11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9"/>
              </w:rPr>
              <w:t>Payout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4"/>
              </w:rPr>
              <w:t>Salary($)</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Bonus ($)</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5"/>
              </w:rPr>
              <w:t>481,500</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112.5 % $</w:t>
            </w:r>
          </w:p>
        </w:tc>
        <w:tc>
          <w:tcPr>
            <w:tcW w:w="840" w:type="dxa"/>
            <w:vAlign w:val="bottom"/>
          </w:tcPr>
          <w:p>
            <w:pPr>
              <w:ind w:left="200"/>
              <w:spacing w:after="0"/>
              <w:rPr>
                <w:sz w:val="20"/>
                <w:szCs w:val="20"/>
                <w:color w:val="auto"/>
              </w:rPr>
            </w:pPr>
            <w:r>
              <w:rPr>
                <w:rFonts w:ascii="Arial" w:cs="Arial" w:eastAsia="Arial" w:hAnsi="Arial"/>
                <w:sz w:val="18"/>
                <w:szCs w:val="18"/>
                <w:color w:val="auto"/>
                <w:w w:val="95"/>
              </w:rPr>
              <w:t>438,750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150.0 %</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150.0 %</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150.0 %</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112.5 % $</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438,750</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75.0 % $</w:t>
            </w:r>
          </w:p>
        </w:tc>
        <w:tc>
          <w:tcPr>
            <w:tcW w:w="840" w:type="dxa"/>
            <w:vAlign w:val="bottom"/>
          </w:tcPr>
          <w:p>
            <w:pPr>
              <w:ind w:left="200"/>
              <w:spacing w:after="0"/>
              <w:rPr>
                <w:sz w:val="20"/>
                <w:szCs w:val="20"/>
                <w:color w:val="auto"/>
              </w:rPr>
            </w:pPr>
            <w:r>
              <w:rPr>
                <w:rFonts w:ascii="Arial" w:cs="Arial" w:eastAsia="Arial" w:hAnsi="Arial"/>
                <w:sz w:val="18"/>
                <w:szCs w:val="18"/>
                <w:color w:val="auto"/>
                <w:w w:val="95"/>
              </w:rPr>
              <w:t>255,000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i w:val="1"/>
          <w:iCs w:val="1"/>
          <w:color w:val="auto"/>
        </w:rPr>
        <w:t>2020 individual goals</w:t>
      </w:r>
      <w:r>
        <w:rPr>
          <w:rFonts w:ascii="Arial" w:cs="Arial" w:eastAsia="Arial" w:hAnsi="Arial"/>
          <w:sz w:val="18"/>
          <w:szCs w:val="18"/>
          <w:color w:val="auto"/>
        </w:rPr>
        <w:t>. The individual performance goals applicable to the named executive officers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each executive’s achievement of one or more objectives that related to their specific duties and responsibilities on behalf of the Company. These individual goals included:</w:t>
      </w:r>
    </w:p>
    <w:p>
      <w:pPr>
        <w:spacing w:after="0" w:line="184" w:lineRule="exact"/>
        <w:rPr>
          <w:sz w:val="20"/>
          <w:szCs w:val="20"/>
          <w:color w:val="auto"/>
        </w:rPr>
      </w:pPr>
    </w:p>
    <w:p>
      <w:pPr>
        <w:ind w:left="1340" w:right="399" w:hanging="318"/>
        <w:spacing w:after="0" w:line="277"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Dr. Meyer, Mr. Bachus, and Mr. Mildenhall, collectively: to manage their individual departments within budget.</w:t>
      </w:r>
    </w:p>
    <w:p>
      <w:pPr>
        <w:spacing w:after="0" w:line="170" w:lineRule="exact"/>
        <w:rPr>
          <w:rFonts w:ascii="Arial" w:cs="Arial" w:eastAsia="Arial" w:hAnsi="Arial"/>
          <w:sz w:val="18"/>
          <w:szCs w:val="18"/>
          <w:color w:val="auto"/>
        </w:rPr>
      </w:pPr>
    </w:p>
    <w:p>
      <w:pPr>
        <w:ind w:left="1340" w:right="219" w:hanging="318"/>
        <w:spacing w:after="0" w:line="257"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Mr. Mueller, Dr. Meyer and Mr. Bachus, collectively: to work on key strategic initiatives for the Company including the future growth of Orbis Education through the opening of off-campus classroom and laboratory sites and its continued organic growth with new university partners, continue to achieve growth goals set by our most significant partner, and participate in a specified number of investor conferences and/or investor meetings.</w:t>
      </w:r>
    </w:p>
    <w:p>
      <w:pPr>
        <w:spacing w:after="0" w:line="187" w:lineRule="exact"/>
        <w:rPr>
          <w:rFonts w:ascii="Arial" w:cs="Arial" w:eastAsia="Arial" w:hAnsi="Arial"/>
          <w:sz w:val="18"/>
          <w:szCs w:val="18"/>
          <w:color w:val="auto"/>
        </w:rPr>
      </w:pPr>
    </w:p>
    <w:p>
      <w:pPr>
        <w:jc w:val="both"/>
        <w:ind w:left="1340" w:right="199" w:hanging="318"/>
        <w:spacing w:after="0" w:line="263"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Mr. Mueller, Dr. Meyer and Mr. Bachus: to lead the Company’s corporate responsibility initiatives, including its efforts in expanding its environmental awareness, social responsibility and human capital, and governance initiatives.</w:t>
      </w:r>
    </w:p>
    <w:p>
      <w:pPr>
        <w:spacing w:after="0" w:line="183" w:lineRule="exact"/>
        <w:rPr>
          <w:rFonts w:ascii="Arial" w:cs="Arial" w:eastAsia="Arial" w:hAnsi="Arial"/>
          <w:sz w:val="18"/>
          <w:szCs w:val="18"/>
          <w:color w:val="auto"/>
        </w:rPr>
      </w:pPr>
    </w:p>
    <w:p>
      <w:pPr>
        <w:ind w:left="1340" w:right="159" w:hanging="318"/>
        <w:spacing w:after="0" w:line="277"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Dr. Meyer: to demonstrate leadership over key functional areas such as marketing, online operations and campus operations.</w:t>
      </w:r>
    </w:p>
    <w:p>
      <w:pPr>
        <w:spacing w:after="0" w:line="170" w:lineRule="exact"/>
        <w:rPr>
          <w:rFonts w:ascii="Arial" w:cs="Arial" w:eastAsia="Arial" w:hAnsi="Arial"/>
          <w:sz w:val="18"/>
          <w:szCs w:val="18"/>
          <w:color w:val="auto"/>
        </w:rPr>
      </w:pPr>
    </w:p>
    <w:p>
      <w:pPr>
        <w:ind w:left="1340" w:right="279" w:hanging="318"/>
        <w:spacing w:after="0" w:line="277"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Mr. Bachus: to manage the financial and reporting functions to ensure that no material weaknesses occurred within the Company’s financial reporting structure.</w:t>
      </w:r>
    </w:p>
    <w:p>
      <w:pPr>
        <w:spacing w:after="0" w:line="170" w:lineRule="exact"/>
        <w:rPr>
          <w:rFonts w:ascii="Arial" w:cs="Arial" w:eastAsia="Arial" w:hAnsi="Arial"/>
          <w:sz w:val="18"/>
          <w:szCs w:val="18"/>
          <w:color w:val="auto"/>
        </w:rPr>
      </w:pPr>
    </w:p>
    <w:p>
      <w:pPr>
        <w:ind w:left="1340" w:right="299" w:hanging="318"/>
        <w:spacing w:after="0" w:line="311" w:lineRule="auto"/>
        <w:tabs>
          <w:tab w:leader="none" w:pos="1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 Mr. Mildenhall: to improve and build additional software engineering capabilities to address key needs in student scheduling, demonstrate improvement in application availability, manage the learning management system and oversee the relationship with CampusVue and LoudCloud to ensure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19"/>
        <w:spacing w:after="0" w:line="277" w:lineRule="auto"/>
        <w:rPr>
          <w:sz w:val="20"/>
          <w:szCs w:val="20"/>
          <w:color w:val="auto"/>
        </w:rPr>
      </w:pPr>
      <w:r>
        <w:rPr>
          <w:rFonts w:ascii="Arial" w:cs="Arial" w:eastAsia="Arial" w:hAnsi="Arial"/>
          <w:sz w:val="18"/>
          <w:szCs w:val="18"/>
          <w:color w:val="auto"/>
        </w:rPr>
        <w:t>continued improvements are made to the product to eliminate manual processes, and ensure no material network vulnerability events occur.</w:t>
      </w:r>
    </w:p>
    <w:p>
      <w:pPr>
        <w:spacing w:after="0" w:line="17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Based on each individual named executive officer’s achievement or substantial achievement of their individual performance goals, and in light of the superior financial performance achieved by the Company in 2020,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88"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i w:val="1"/>
          <w:iCs w:val="1"/>
          <w:color w:val="auto"/>
        </w:rPr>
        <w:t xml:space="preserve">Bonus Paid to Mr. Briggs in 2020. </w:t>
      </w:r>
      <w:r>
        <w:rPr>
          <w:rFonts w:ascii="Arial" w:cs="Arial" w:eastAsia="Arial" w:hAnsi="Arial"/>
          <w:sz w:val="16"/>
          <w:szCs w:val="16"/>
          <w:color w:val="auto"/>
        </w:rPr>
        <w:t>For 2020, Mr. Briggs participated in the Senior Management Plan.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second amended and restated employment agreement entered into on May 10, 2020 between Mr. Briggs and the Company. Mr. Briggs was eligible to receive an incentive bonus with a target amount equal to 75% of his base salary and threshold and maximum amounts equal to 52.5% and 97.5%, respectively. Of his target bonus, 60% was based on the achievement of revenue and Adjusted EBITDA targets for the Company (discussed above) and 40% was based on the achievement of individual performance goals, Mr. Briggs individual performance goals for 2020 were:</w:t>
      </w:r>
    </w:p>
    <w:p>
      <w:pPr>
        <w:spacing w:after="0" w:line="164" w:lineRule="exact"/>
        <w:rPr>
          <w:sz w:val="20"/>
          <w:szCs w:val="20"/>
          <w:color w:val="auto"/>
        </w:rPr>
      </w:pPr>
    </w:p>
    <w:p>
      <w:pPr>
        <w:ind w:left="1340" w:right="219" w:hanging="318"/>
        <w:spacing w:after="0" w:line="263"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develop new and expand current university partner relationships, expand the number of opened off-campus classroom and laboratory sites, and achieve certain revenue and profitability goals through new university partnerships and student retention.</w:t>
      </w:r>
    </w:p>
    <w:p>
      <w:pPr>
        <w:spacing w:after="0" w:line="184"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Based on the financial performance of the Company during 2020 and the determination that Mr. Briggs achieved 99.75% of his individual performance goals, Mr. Briggs was awarded a bonus equal to approximately 97.4% of his base salary.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2020, there were 1,598,962 shares available for grant under the 2017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225"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70" w:lineRule="exact"/>
        <w:rPr>
          <w:sz w:val="20"/>
          <w:szCs w:val="20"/>
          <w:color w:val="auto"/>
        </w:rPr>
      </w:pPr>
    </w:p>
    <w:p>
      <w:pPr>
        <w:ind w:left="1340" w:right="359" w:hanging="318"/>
        <w:spacing w:after="0" w:line="308" w:lineRule="auto"/>
        <w:tabs>
          <w:tab w:leader="none" w:pos="1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stock option grants, restricted stock awards, and other equity based awards, which we collectively refer to as stock-based awards, must be approved by the Compensation Committee;</w:t>
      </w:r>
    </w:p>
    <w:p>
      <w:pPr>
        <w:spacing w:after="0" w:line="146" w:lineRule="exact"/>
        <w:rPr>
          <w:rFonts w:ascii="Arial" w:cs="Arial" w:eastAsia="Arial" w:hAnsi="Arial"/>
          <w:sz w:val="17"/>
          <w:szCs w:val="17"/>
          <w:color w:val="auto"/>
        </w:rPr>
      </w:pPr>
    </w:p>
    <w:p>
      <w:pPr>
        <w:ind w:left="1340" w:right="119" w:hanging="318"/>
        <w:spacing w:after="0" w:line="259"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86" w:lineRule="exact"/>
        <w:rPr>
          <w:rFonts w:ascii="Arial" w:cs="Arial" w:eastAsia="Arial" w:hAnsi="Arial"/>
          <w:sz w:val="18"/>
          <w:szCs w:val="18"/>
          <w:color w:val="auto"/>
        </w:rPr>
      </w:pPr>
    </w:p>
    <w:p>
      <w:pPr>
        <w:jc w:val="both"/>
        <w:ind w:left="1340" w:right="359" w:hanging="318"/>
        <w:spacing w:after="0" w:line="263"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83" w:lineRule="exact"/>
        <w:rPr>
          <w:rFonts w:ascii="Arial" w:cs="Arial" w:eastAsia="Arial" w:hAnsi="Arial"/>
          <w:sz w:val="18"/>
          <w:szCs w:val="18"/>
          <w:color w:val="auto"/>
        </w:rPr>
      </w:pPr>
    </w:p>
    <w:p>
      <w:pPr>
        <w:ind w:left="1340" w:right="139" w:hanging="318"/>
        <w:spacing w:after="0" w:line="277"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225"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benefits in the event of an involuntary termination of employment without “cause” or a termination of employment with “good reason” in connection with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“Potential Payments Upon Termination or Change in Control.”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We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do not provide tax reimbursements or any other tax payments, including excise tax “gross-ups,” to any of our executive officers.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 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spacing w:after="0" w:line="18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As directed by the Dodd-Frank Act, the SEC has issued proposed rules which, if adopted in final form, would require issuers to seek recovery from executive officers in certain circumstances involving financial restatements. As of the date of this Proxy Statement, the SEC has not issued final rules implementing this portion of the Dodd-Frank Act. Once the SEC issues final rules regarding the required form of a clawback policy under the Dodd-Frank Act, we expect to amend our Incentive Compensation Clawback Policy accordingly.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225"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Compensation Committee has the sole authority, delegated from the Board of Directors, to appoint, compensate and oversee the work of an independent compensation consultant. In prior years, the Compensation Committee has retained Mercer as its consultant to assist the Compensation Committee with its responsibilities related to our executive compensation programs. The Compensation Committee did not utilize the services of a compensation consultant in 2020, except for a discussion with Mercer at one Compensation Committee meeting with respect to COVID impacts and what companies are doing with respect to executive compensation.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225"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Prior to January 1, 2018, Section 162(m) of the Internal Revenue Code (“Section 162(m)”) generally placed a limit of $1.0 million on the amount of compensation that we may deduct in any calendar year with respect to our Chief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Executive Officer and each of our three most highly paid executive officers (excluding our Chief Financial Officer). However, an exception to the $1.0 million limitation was provided for commission-based and performance-based compensation meeting certain requirements. Pursuant to the Tax Cuts and Jobs Act of 2017, which was signed into law on December 22, 2017 (the “Tax Act”), for taxable years beginning after December 31, 2017, the remuneration of a publicly-traded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exemptions from the deduction limit for commission-based and performance-based compensation are no longer available. Consequently, for fiscal years beginning after December 31, 2017, other than the transition rules mentioned above, all remuneration in excess of $1.0 million paid to a specified executive generally will not be deductible. Our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the Company and our stockholders.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Internal Revenue Code Section 409A</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Section 409A of the Internal Revenue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Standards</w:t>
      </w:r>
    </w:p>
    <w:p>
      <w:pPr>
        <w:spacing w:after="0" w:line="225"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Conclusion</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2020 were reasonable and appropriate and in our best interests.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184" w:lineRule="exact"/>
        <w:rPr>
          <w:sz w:val="20"/>
          <w:szCs w:val="20"/>
          <w:color w:val="auto"/>
        </w:rPr>
      </w:pPr>
    </w:p>
    <w:p>
      <w:pPr>
        <w:ind w:left="1340" w:right="119" w:hanging="318"/>
        <w:spacing w:after="0" w:line="286" w:lineRule="auto"/>
        <w:tabs>
          <w:tab w:leader="none" w:pos="1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165" w:lineRule="exact"/>
        <w:rPr>
          <w:rFonts w:ascii="Arial" w:cs="Arial" w:eastAsia="Arial" w:hAnsi="Arial"/>
          <w:sz w:val="17"/>
          <w:szCs w:val="17"/>
          <w:color w:val="auto"/>
        </w:rPr>
      </w:pPr>
    </w:p>
    <w:p>
      <w:pPr>
        <w:ind w:left="1340" w:right="439" w:hanging="318"/>
        <w:spacing w:after="0" w:line="263"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39" w:hanging="318"/>
        <w:spacing w:after="0" w:line="263"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183" w:lineRule="exact"/>
        <w:rPr>
          <w:rFonts w:ascii="Arial" w:cs="Arial" w:eastAsia="Arial" w:hAnsi="Arial"/>
          <w:sz w:val="18"/>
          <w:szCs w:val="18"/>
          <w:color w:val="auto"/>
        </w:rPr>
      </w:pPr>
    </w:p>
    <w:p>
      <w:pPr>
        <w:ind w:left="1340" w:right="219" w:hanging="318"/>
        <w:spacing w:after="0" w:line="263" w:lineRule="auto"/>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our equity plan all vest in annual increments over a period of five years, which we believe discourages excessive or inappropriate short-term risk taking.</w:t>
      </w:r>
    </w:p>
    <w:p>
      <w:pPr>
        <w:spacing w:after="0" w:line="184"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sets forth the total compensation earned for services rendered by our named executive officers for the fiscal year ended December 31, 2020, 2019 and 2018.</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 and Position</w:t>
            </w:r>
          </w:p>
        </w:tc>
        <w:tc>
          <w:tcPr>
            <w:tcW w:w="1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w w:val="96"/>
              </w:rPr>
              <w:t>Chief Executive Officer and Chairman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$ 321,000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1,211,533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(Principal Executive Officer)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$ 321,000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1,211,502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392,454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$ 487,673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1,230,040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2,361,195</w:t>
            </w:r>
          </w:p>
        </w:tc>
        <w:tc>
          <w:tcPr>
            <w:tcW w:w="0" w:type="dxa"/>
            <w:vAlign w:val="bottom"/>
          </w:tcPr>
          <w:p>
            <w:pPr>
              <w:spacing w:after="0"/>
              <w:rPr>
                <w:sz w:val="1"/>
                <w:szCs w:val="1"/>
                <w:color w:val="auto"/>
              </w:rPr>
            </w:pPr>
          </w:p>
        </w:tc>
      </w:tr>
      <w:tr>
        <w:trPr>
          <w:trHeight w:val="418"/>
        </w:trPr>
        <w:tc>
          <w:tcPr>
            <w:tcW w:w="3080" w:type="dxa"/>
            <w:vAlign w:val="bottom"/>
            <w:gridSpan w:val="3"/>
          </w:tcPr>
          <w:p>
            <w:pPr>
              <w:ind w:left="20"/>
              <w:spacing w:after="0"/>
              <w:rPr>
                <w:sz w:val="20"/>
                <w:szCs w:val="20"/>
                <w:color w:val="auto"/>
              </w:rPr>
            </w:pPr>
            <w:r>
              <w:rPr>
                <w:rFonts w:ascii="Arial" w:cs="Arial" w:eastAsia="Arial" w:hAnsi="Arial"/>
                <w:sz w:val="18"/>
                <w:szCs w:val="18"/>
                <w:color w:val="auto"/>
              </w:rPr>
              <w:t>Dr. W. Stan Meyer</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2020</w:t>
            </w:r>
          </w:p>
        </w:tc>
        <w:tc>
          <w:tcPr>
            <w:tcW w:w="9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$ 390,000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646,498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438,750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1,480,423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Operating Officer</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9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$ 390,000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646,486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357,610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5,114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1,399,210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2018</w:t>
            </w:r>
          </w:p>
        </w:tc>
        <w:tc>
          <w:tcPr>
            <w:tcW w:w="9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$ 390,000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656,328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387,563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11,383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1,445,274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7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2020</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$ 390,000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646,498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Chief Financial Officer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$ 390,000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646,486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357,610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(Principal Financial Officer)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$ 390,000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387,563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1,434,503</w:t>
            </w:r>
          </w:p>
        </w:tc>
        <w:tc>
          <w:tcPr>
            <w:tcW w:w="0" w:type="dxa"/>
            <w:vAlign w:val="bottom"/>
          </w:tcPr>
          <w:p>
            <w:pPr>
              <w:spacing w:after="0"/>
              <w:rPr>
                <w:sz w:val="1"/>
                <w:szCs w:val="1"/>
                <w:color w:val="auto"/>
              </w:rPr>
            </w:pPr>
          </w:p>
        </w:tc>
      </w:tr>
      <w:tr>
        <w:trPr>
          <w:trHeight w:val="418"/>
        </w:trPr>
        <w:tc>
          <w:tcPr>
            <w:tcW w:w="3080" w:type="dxa"/>
            <w:vAlign w:val="bottom"/>
            <w:gridSpan w:val="3"/>
          </w:tcPr>
          <w:p>
            <w:pPr>
              <w:ind w:left="20"/>
              <w:spacing w:after="0"/>
              <w:rPr>
                <w:sz w:val="20"/>
                <w:szCs w:val="20"/>
                <w:color w:val="auto"/>
              </w:rPr>
            </w:pPr>
            <w:r>
              <w:rPr>
                <w:rFonts w:ascii="Arial" w:cs="Arial" w:eastAsia="Arial" w:hAnsi="Arial"/>
                <w:sz w:val="18"/>
                <w:szCs w:val="18"/>
                <w:color w:val="auto"/>
              </w:rPr>
              <w:t>Joseph N. Mildenhall</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2020</w:t>
            </w:r>
          </w:p>
        </w:tc>
        <w:tc>
          <w:tcPr>
            <w:tcW w:w="9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$ 340,000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646,498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255,000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1,245,918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Information Officer</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9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$ 340,000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646,486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207,842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1,198,748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2018</w:t>
            </w:r>
          </w:p>
        </w:tc>
        <w:tc>
          <w:tcPr>
            <w:tcW w:w="92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$ 340,000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656,328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225,250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1,225,998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7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2020</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$ 294,082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286,496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Orbis Education CEO</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$ 266,319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39" w:hanging="330"/>
        <w:spacing w:after="0" w:line="259"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in this column reflect the base salary cash payments made in each year. Beginning July 1, 2018, Mr. Mueller’s base salary was decreased by 50% to $321,000, reflecting his dual employment by GCE and our university partner, GCU. Mr. Briggs base salary for 2019 reflects the amount paid following the acquisition of Orbis Education on January 22, 2019 through December 31, 2019.</w:t>
      </w:r>
    </w:p>
    <w:p>
      <w:pPr>
        <w:spacing w:after="0" w:line="186" w:lineRule="exact"/>
        <w:rPr>
          <w:rFonts w:ascii="Arial" w:cs="Arial" w:eastAsia="Arial" w:hAnsi="Arial"/>
          <w:sz w:val="18"/>
          <w:szCs w:val="18"/>
          <w:color w:val="auto"/>
        </w:rPr>
      </w:pPr>
    </w:p>
    <w:p>
      <w:pPr>
        <w:jc w:val="both"/>
        <w:ind w:left="380" w:right="79" w:hanging="330"/>
        <w:spacing w:after="0" w:line="301"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2020, 2019 and 2018.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79"/>
        <w:spacing w:after="0" w:line="277" w:lineRule="auto"/>
        <w:rPr>
          <w:sz w:val="20"/>
          <w:szCs w:val="20"/>
          <w:color w:val="auto"/>
        </w:rPr>
      </w:pPr>
      <w:r>
        <w:rPr>
          <w:rFonts w:ascii="Arial" w:cs="Arial" w:eastAsia="Arial" w:hAnsi="Arial"/>
          <w:sz w:val="18"/>
          <w:szCs w:val="18"/>
          <w:color w:val="auto"/>
        </w:rPr>
        <w:t>2020, 2019, and 2018 fiscal years are set forth in Notes 4 and 16 to our financial statements for the fiscal year ended December 31, 2020 included in our 2020 Annual Report on Form 10-K.</w:t>
      </w:r>
    </w:p>
    <w:p>
      <w:pPr>
        <w:spacing w:after="0" w:line="170" w:lineRule="exact"/>
        <w:rPr>
          <w:sz w:val="20"/>
          <w:szCs w:val="20"/>
          <w:color w:val="auto"/>
        </w:rPr>
      </w:pPr>
    </w:p>
    <w:p>
      <w:pPr>
        <w:ind w:left="380" w:right="159" w:hanging="330"/>
        <w:spacing w:after="0" w:line="259"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 in 2020, 2019 and 2018, except for Mr. Briggs whose non-equity incentive payments were based on the Senior Management Plan in 2020 and 2019. The amount for Mr. Mueller reflects the decrease in his base salary, effective July 1, 2018.</w:t>
      </w:r>
    </w:p>
    <w:p>
      <w:pPr>
        <w:spacing w:after="0" w:line="186" w:lineRule="exact"/>
        <w:rPr>
          <w:rFonts w:ascii="Arial" w:cs="Arial" w:eastAsia="Arial" w:hAnsi="Arial"/>
          <w:sz w:val="18"/>
          <w:szCs w:val="18"/>
          <w:color w:val="auto"/>
        </w:rPr>
      </w:pPr>
    </w:p>
    <w:p>
      <w:pPr>
        <w:ind w:left="380" w:right="119" w:hanging="330"/>
        <w:spacing w:after="0" w:line="254"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2020, 2019, and 2018, the amounts in this column include company paid life insurance premiums for all named executive officers. For Dr. Meyer and Mr. Briggs, the amounts in this column also reflect matching payments made by the Company under our 401(k) plan. For Mr. Mueller in 2020, the amount also includes (i) $61,410, reflecting the allocated cost of airfare to fly certain Company executives and family members on a plane chartered by the Company on behalf of a customer, to attend a customer event for business development related purposes (where the cost of the flight was fixed and the inclusion of the executives and family members did not result in any incremental cost to the Company), and (ii) $25,635, reflecting a gross-up payment for the income tax payable by Mr. Mueller on the foregoing amount.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Grants of Plan-Based Awards</w:t>
      </w:r>
    </w:p>
    <w:p>
      <w:pPr>
        <w:spacing w:after="0" w:line="225"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following table sets forth certain information with respect to incentive plan awards under our Annual Cash Incentive Plan and our 2017 Plan for the fiscal year ended December 31, 2020 to each of our named executive officers:</w:t>
      </w:r>
    </w:p>
    <w:p>
      <w:pPr>
        <w:spacing w:after="0" w:line="129" w:lineRule="exact"/>
        <w:rPr>
          <w:sz w:val="20"/>
          <w:szCs w:val="20"/>
          <w:color w:val="auto"/>
        </w:rPr>
      </w:pPr>
    </w:p>
    <w:p>
      <w:pPr>
        <w:jc w:val="center"/>
        <w:ind w:left="1620"/>
        <w:spacing w:after="0"/>
        <w:rPr>
          <w:sz w:val="20"/>
          <w:szCs w:val="20"/>
          <w:color w:val="auto"/>
        </w:rPr>
      </w:pPr>
      <w:r>
        <w:rPr>
          <w:rFonts w:ascii="Arial" w:cs="Arial" w:eastAsia="Arial" w:hAnsi="Arial"/>
          <w:sz w:val="14"/>
          <w:szCs w:val="14"/>
          <w:b w:val="1"/>
          <w:bCs w:val="1"/>
          <w:color w:val="auto"/>
        </w:rPr>
        <w:t>Estimated Future Payouts Under Non-</w:t>
      </w:r>
    </w:p>
    <w:p>
      <w:pPr>
        <w:jc w:val="center"/>
        <w:ind w:left="1620"/>
        <w:spacing w:after="0" w:line="236" w:lineRule="auto"/>
        <w:rPr>
          <w:sz w:val="20"/>
          <w:szCs w:val="20"/>
          <w:color w:val="auto"/>
        </w:rPr>
      </w:pPr>
      <w:r>
        <w:rPr>
          <w:rFonts w:ascii="Arial" w:cs="Arial" w:eastAsia="Arial" w:hAnsi="Arial"/>
          <w:sz w:val="14"/>
          <w:szCs w:val="14"/>
          <w:b w:val="1"/>
          <w:bCs w:val="1"/>
          <w:color w:val="auto"/>
        </w:rPr>
        <w:t>Equity Incentive Plan Awards</w:t>
      </w:r>
      <w:r>
        <w:rPr>
          <w:rFonts w:ascii="Arial" w:cs="Arial" w:eastAsia="Arial" w:hAnsi="Arial"/>
          <w:sz w:val="10"/>
          <w:szCs w:val="10"/>
          <w:b w:val="1"/>
          <w:bCs w:val="1"/>
          <w:color w:val="auto"/>
        </w:rPr>
        <w:t>(1)</w:t>
      </w:r>
    </w:p>
    <w:tbl>
      <w:tblPr>
        <w:tblLayout w:type="fixed"/>
        <w:tblInd w:w="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2"/>
                <w:szCs w:val="12"/>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Maximum</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1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of Stock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$ 160,500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481,500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438,750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438,750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$ 154,393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286,730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2020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jc w:val="both"/>
        <w:ind w:left="380" w:right="79" w:hanging="330"/>
        <w:spacing w:after="0" w:line="286" w:lineRule="auto"/>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spacing w:after="0" w:line="165" w:lineRule="exact"/>
        <w:rPr>
          <w:rFonts w:ascii="Arial" w:cs="Arial" w:eastAsia="Arial" w:hAnsi="Arial"/>
          <w:sz w:val="17"/>
          <w:szCs w:val="17"/>
          <w:color w:val="auto"/>
        </w:rPr>
      </w:pPr>
    </w:p>
    <w:p>
      <w:pPr>
        <w:ind w:left="380" w:right="99" w:hanging="330"/>
        <w:spacing w:after="0" w:line="301"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2020.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2020 are set forth in Notes 4</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99"/>
        <w:spacing w:after="0" w:line="277" w:lineRule="auto"/>
        <w:rPr>
          <w:sz w:val="20"/>
          <w:szCs w:val="20"/>
          <w:color w:val="auto"/>
        </w:rPr>
      </w:pPr>
      <w:r>
        <w:rPr>
          <w:rFonts w:ascii="Arial" w:cs="Arial" w:eastAsia="Arial" w:hAnsi="Arial"/>
          <w:sz w:val="18"/>
          <w:szCs w:val="18"/>
          <w:color w:val="auto"/>
        </w:rPr>
        <w:t>and 16 to our financial statements for the fiscal year ended December 31, 2020 included in our 2020 Annual Report on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Outstanding Equity Awards at Fiscal Year-End</w:t>
      </w:r>
    </w:p>
    <w:p>
      <w:pPr>
        <w:spacing w:after="0" w:line="225"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0"/>
                <w:szCs w:val="10"/>
                <w:b w:val="1"/>
                <w:bCs w:val="1"/>
                <w:color w:val="auto"/>
              </w:rPr>
              <w:t>(1)</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 Expiration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2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04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0"/>
                <w:szCs w:val="10"/>
                <w:b w:val="1"/>
                <w:bCs w:val="1"/>
                <w:color w:val="auto"/>
                <w:w w:val="90"/>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4,240,416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March 11,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March 11,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751,863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19" w:hanging="330"/>
        <w:spacing w:after="0" w:line="311" w:lineRule="auto"/>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shares covered by the options granted to Mr. Mueller, Dr. Meyer, and Mr. Bachus vested in five successive equal annual installments upon the completion of each year of service with us over the five year period measured from the respective date of grant. As of December 31, 2020, all such options were fully vested and exercisable.</w:t>
      </w:r>
    </w:p>
    <w:p>
      <w:pPr>
        <w:spacing w:after="0" w:line="148" w:lineRule="exact"/>
        <w:rPr>
          <w:rFonts w:ascii="Arial" w:cs="Arial" w:eastAsia="Arial" w:hAnsi="Arial"/>
          <w:sz w:val="16"/>
          <w:szCs w:val="16"/>
          <w:color w:val="auto"/>
        </w:rPr>
      </w:pPr>
    </w:p>
    <w:p>
      <w:pPr>
        <w:ind w:left="380" w:right="79" w:hanging="330"/>
        <w:spacing w:after="0" w:line="254"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restricted stock awards granted to Mr. Mueller, Dr. Meyer, Mr. Bachus, Mr. Mildenhall, and Mr. Briggs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Mr. Mildenhall, and Mr. Briggs also receive partial accelerated vesting through the next annual vesting date immediately following the date of termination, upon the termination of employment by us without Cause or by the executive for Good Reason (as further discussed below).</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Options Exercised and Stock Vested</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2020.</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8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Option Awards</w:t>
            </w:r>
          </w:p>
        </w:tc>
        <w:tc>
          <w:tcPr>
            <w:tcW w:w="300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19"/>
        </w:trPr>
        <w:tc>
          <w:tcPr>
            <w:tcW w:w="2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Number of Shares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Value Realized</w:t>
            </w:r>
          </w:p>
        </w:tc>
        <w:tc>
          <w:tcPr>
            <w:tcW w:w="15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Number of Shares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71"/>
        </w:trPr>
        <w:tc>
          <w:tcPr>
            <w:tcW w:w="2740" w:type="dxa"/>
            <w:vAlign w:val="bottom"/>
            <w:gridSpan w:val="4"/>
            <w:vMerge w:val="continue"/>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w w:val="91"/>
              </w:rPr>
              <w:t>Acquired on Exercise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on Exercise ($)</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1"/>
              </w:rPr>
              <w:t>Acquired on Vesting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on Vesting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Brian E. Mueller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1,367,224</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683,593</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683,612</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Joseph N. Mildenhall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Daniel J. Briggs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42,922</w:t>
            </w:r>
          </w:p>
        </w:tc>
        <w:tc>
          <w:tcPr>
            <w:tcW w:w="0" w:type="dxa"/>
            <w:vAlign w:val="bottom"/>
          </w:tcPr>
          <w:p>
            <w:pPr>
              <w:spacing w:after="0"/>
              <w:rPr>
                <w:sz w:val="1"/>
                <w:szCs w:val="1"/>
                <w:color w:val="auto"/>
              </w:rPr>
            </w:pPr>
          </w:p>
        </w:tc>
      </w:tr>
      <w:tr>
        <w:trPr>
          <w:trHeight w:val="331"/>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 Ratio Disclosure</w:t>
      </w:r>
    </w:p>
    <w:p>
      <w:pPr>
        <w:spacing w:after="0" w:line="225"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2020, our last completed fiscal year:</w:t>
      </w:r>
    </w:p>
    <w:p>
      <w:pPr>
        <w:spacing w:after="0" w:line="225" w:lineRule="exact"/>
        <w:rPr>
          <w:sz w:val="20"/>
          <w:szCs w:val="20"/>
          <w:color w:val="auto"/>
        </w:rPr>
      </w:pPr>
    </w:p>
    <w:p>
      <w:pPr>
        <w:ind w:left="1340" w:right="299" w:hanging="318"/>
        <w:spacing w:after="0" w:line="277"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median annual total compensation of all of our employees (other than the Chief Executive Officer) was $64,681; and</w:t>
      </w:r>
    </w:p>
    <w:p>
      <w:pPr>
        <w:spacing w:after="0" w:line="170" w:lineRule="exact"/>
        <w:rPr>
          <w:rFonts w:ascii="Arial" w:cs="Arial" w:eastAsia="Arial" w:hAnsi="Arial"/>
          <w:sz w:val="18"/>
          <w:szCs w:val="18"/>
          <w:color w:val="auto"/>
        </w:rPr>
      </w:pPr>
    </w:p>
    <w:p>
      <w:pPr>
        <w:ind w:left="1340" w:right="299" w:hanging="318"/>
        <w:spacing w:after="0" w:line="277"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annual total compensation of Mr. Mueller, as reported above in the Summary Compensation Table, was $2,105,208.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117475</wp:posOffset>
            </wp:positionV>
            <wp:extent cx="4517390" cy="436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17390" cy="436880"/>
                    </a:xfrm>
                    <a:prstGeom prst="rect">
                      <a:avLst/>
                    </a:prstGeom>
                    <a:noFill/>
                  </pic:spPr>
                </pic:pic>
              </a:graphicData>
            </a:graphic>
          </wp:anchor>
        </w:drawing>
      </w:r>
    </w:p>
    <w:p>
      <w:pPr>
        <w:spacing w:after="0" w:line="177" w:lineRule="exact"/>
        <w:rPr>
          <w:sz w:val="20"/>
          <w:szCs w:val="20"/>
          <w:color w:val="auto"/>
        </w:rPr>
      </w:pPr>
    </w:p>
    <w:p>
      <w:pPr>
        <w:ind w:left="1080" w:right="1179"/>
        <w:spacing w:after="0" w:line="263" w:lineRule="auto"/>
        <w:rPr>
          <w:sz w:val="20"/>
          <w:szCs w:val="20"/>
          <w:color w:val="auto"/>
        </w:rPr>
      </w:pPr>
      <w:r>
        <w:rPr>
          <w:rFonts w:ascii="Arial" w:cs="Arial" w:eastAsia="Arial" w:hAnsi="Arial"/>
          <w:sz w:val="18"/>
          <w:szCs w:val="18"/>
          <w:i w:val="1"/>
          <w:iCs w:val="1"/>
          <w:color w:val="auto"/>
        </w:rPr>
        <w:t>Based on this information, for 2020 the ratio of the annual total compensation of Mr. Mueller, our Chief Executive Officer, to the median of the annual total compensation of all employees was 32.5 to 1.</w:t>
      </w:r>
    </w:p>
    <w:p>
      <w:pPr>
        <w:spacing w:after="0" w:line="19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we took the following steps:</w:t>
      </w:r>
    </w:p>
    <w:p>
      <w:pPr>
        <w:spacing w:after="0" w:line="170" w:lineRule="exact"/>
        <w:rPr>
          <w:sz w:val="20"/>
          <w:szCs w:val="20"/>
          <w:color w:val="auto"/>
        </w:rPr>
      </w:pPr>
    </w:p>
    <w:p>
      <w:pPr>
        <w:ind w:left="1340" w:right="239" w:hanging="318"/>
        <w:spacing w:after="0" w:line="301" w:lineRule="auto"/>
        <w:tabs>
          <w:tab w:leader="none" w:pos="1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determined that, as of December 31, 2020, our employee population consisted of 4,250 individuals, all of whom were located in the United States, including 675 part-time employees and student workers. We selected December 31, 2020 as the date upon which we would identify the “median employee” because it enabled us to make such identification in a reasonably efficient and economical manner.</w:t>
      </w:r>
    </w:p>
    <w:p>
      <w:pPr>
        <w:spacing w:after="0" w:line="157" w:lineRule="exact"/>
        <w:rPr>
          <w:rFonts w:ascii="Arial" w:cs="Arial" w:eastAsia="Arial" w:hAnsi="Arial"/>
          <w:sz w:val="16"/>
          <w:szCs w:val="16"/>
          <w:color w:val="auto"/>
        </w:rPr>
      </w:pPr>
    </w:p>
    <w:p>
      <w:pPr>
        <w:ind w:left="1340" w:right="79" w:hanging="318"/>
        <w:spacing w:after="0" w:line="291" w:lineRule="auto"/>
        <w:tabs>
          <w:tab w:leader="none" w:pos="1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accordance with Item 402(u) of Regulation S-K, we are using the same “median employee” identified in 2018 in our 2020 pay ratio calculation, as we believe that there has been no change in our employee population or employee compensation arrangements that we believe would result in a significant change to our pay ratio disclosure for 2020 (noting that we performed the median employee computation in 2020 and compared the results with the same metrics performed in 2018 and noted no material differences in the median employee compensation). See our proxy statement for our 2018 annual meeting of stockholders for information regarding the process we utilized to identify our “median employee.”</w:t>
      </w:r>
    </w:p>
    <w:p>
      <w:pPr>
        <w:spacing w:after="0" w:line="166" w:lineRule="exact"/>
        <w:rPr>
          <w:rFonts w:ascii="Arial" w:cs="Arial" w:eastAsia="Arial" w:hAnsi="Arial"/>
          <w:sz w:val="16"/>
          <w:szCs w:val="16"/>
          <w:color w:val="auto"/>
        </w:rPr>
      </w:pPr>
    </w:p>
    <w:p>
      <w:pPr>
        <w:ind w:left="1340" w:right="99" w:hanging="318"/>
        <w:spacing w:after="0" w:line="253" w:lineRule="auto"/>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Once we identified our median employee, we combined all of the elements of such employee’s compensation for 2020 in accordance with the requirements of Item 402(c)(2)(x) of Regulation S-K, resulting in annual total compensation of $64,681.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We are party to employment agreements with each of our named executive officers. Each of the agreements has a five-year term from the effective date, except for the agreement with Mr. Briggs which has a three-year term from the effective date, that automatically renews for one-year periods after the initial term unless either party provides written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notice that it does not wish to renew the respective agreement. The terms of each agreement are similar in all material respects and, among other things, provide for each executive to:</w:t>
      </w:r>
    </w:p>
    <w:p>
      <w:pPr>
        <w:spacing w:after="0" w:line="170" w:lineRule="exact"/>
        <w:rPr>
          <w:sz w:val="20"/>
          <w:szCs w:val="20"/>
          <w:color w:val="auto"/>
        </w:rPr>
      </w:pPr>
    </w:p>
    <w:p>
      <w:pPr>
        <w:ind w:left="1340" w:hanging="318"/>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Receive a base salary and a target incentive bonus.</w:t>
      </w:r>
    </w:p>
    <w:p>
      <w:pPr>
        <w:spacing w:after="0" w:line="225" w:lineRule="exact"/>
        <w:rPr>
          <w:rFonts w:ascii="Arial" w:cs="Arial" w:eastAsia="Arial" w:hAnsi="Arial"/>
          <w:sz w:val="18"/>
          <w:szCs w:val="18"/>
          <w:color w:val="auto"/>
        </w:rPr>
      </w:pPr>
    </w:p>
    <w:p>
      <w:pPr>
        <w:ind w:left="1340" w:right="399" w:hanging="318"/>
        <w:spacing w:after="0" w:line="277"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Receive customary and usual fringe benefits generally available to our senior management, and to be reimbursed for reasonable out-of-pocket business expenses.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Receive certain benefits upon his or her termination of employment under specified circumstances.</w:t>
      </w:r>
    </w:p>
    <w:p>
      <w:pPr>
        <w:spacing w:after="0" w:line="237"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as described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225"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w:t>
      </w:r>
    </w:p>
    <w:p>
      <w:pPr>
        <w:spacing w:after="0" w:line="2" w:lineRule="exact"/>
        <w:rPr>
          <w:sz w:val="20"/>
          <w:szCs w:val="20"/>
          <w:color w:val="auto"/>
        </w:rPr>
      </w:pPr>
    </w:p>
    <w:p>
      <w:pPr>
        <w:ind w:left="60" w:right="239" w:hanging="10"/>
        <w:spacing w:after="0" w:line="251" w:lineRule="auto"/>
        <w:tabs>
          <w:tab w:leader="none" w:pos="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225"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149" w:lineRule="exact"/>
        <w:rPr>
          <w:sz w:val="20"/>
          <w:szCs w:val="20"/>
          <w:color w:val="auto"/>
        </w:rPr>
      </w:pPr>
    </w:p>
    <w:p>
      <w:pPr>
        <w:ind w:left="1340" w:right="419" w:hanging="318"/>
        <w:spacing w:after="0" w:line="287" w:lineRule="auto"/>
        <w:tabs>
          <w:tab w:leader="none" w:pos="1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severance payment in an amount equal to the sum of (i) twelve (12) months of the executive’s base salary then in effect on the date of termination, and (ii) 100% of the executive’s target bonus for the fiscal year in which the termination occurs, with the total of such amounts to be payable over twelve</w:t>
      </w:r>
    </w:p>
    <w:p>
      <w:pPr>
        <w:spacing w:after="0" w:line="2" w:lineRule="exact"/>
        <w:rPr>
          <w:rFonts w:ascii="Arial" w:cs="Arial" w:eastAsia="Arial" w:hAnsi="Arial"/>
          <w:sz w:val="16"/>
          <w:szCs w:val="16"/>
          <w:color w:val="auto"/>
        </w:rPr>
      </w:pPr>
    </w:p>
    <w:p>
      <w:pPr>
        <w:ind w:left="1340" w:right="179"/>
        <w:spacing w:after="0" w:line="255" w:lineRule="auto"/>
        <w:rPr>
          <w:rFonts w:ascii="Arial" w:cs="Arial" w:eastAsia="Arial" w:hAnsi="Arial"/>
          <w:sz w:val="16"/>
          <w:szCs w:val="16"/>
          <w:color w:val="auto"/>
        </w:rPr>
      </w:pPr>
      <w:r>
        <w:rPr>
          <w:rFonts w:ascii="Arial" w:cs="Arial" w:eastAsia="Arial" w:hAnsi="Arial"/>
          <w:sz w:val="18"/>
          <w:szCs w:val="18"/>
          <w:color w:val="auto"/>
        </w:rPr>
        <w:t>(12) months in equal installments in accordance with the Company’s regular payroll cycle, commencing with the first payroll date occurring on or after the sixtieth (60th) day following the date of the executive’s termination of employment;</w:t>
      </w:r>
    </w:p>
    <w:p>
      <w:pPr>
        <w:spacing w:after="0" w:line="189" w:lineRule="exact"/>
        <w:rPr>
          <w:rFonts w:ascii="Arial" w:cs="Arial" w:eastAsia="Arial" w:hAnsi="Arial"/>
          <w:sz w:val="16"/>
          <w:szCs w:val="16"/>
          <w:color w:val="auto"/>
        </w:rPr>
      </w:pPr>
    </w:p>
    <w:p>
      <w:pPr>
        <w:ind w:left="1340" w:right="79" w:hanging="318"/>
        <w:spacing w:after="0" w:line="275" w:lineRule="auto"/>
        <w:tabs>
          <w:tab w:leader="none" w:pos="1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payment by us of the premiums required to continue the executive’s group health care coverage for a period of twelve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79" w:hanging="318"/>
        <w:spacing w:after="0" w:line="263"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acceleration of the vesting of the next annual installment under any outstanding restricted stock award that otherwise would have vested on the next annual vesting date following the named executive officer’s termination.</w:t>
      </w:r>
    </w:p>
    <w:p>
      <w:pPr>
        <w:spacing w:after="0" w:line="18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192"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225"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w:t>
      </w:r>
    </w:p>
    <w:p>
      <w:pPr>
        <w:spacing w:after="0" w:line="4" w:lineRule="exact"/>
        <w:rPr>
          <w:sz w:val="20"/>
          <w:szCs w:val="20"/>
          <w:color w:val="auto"/>
        </w:rPr>
      </w:pPr>
    </w:p>
    <w:p>
      <w:pPr>
        <w:ind w:left="60" w:right="79" w:hanging="10"/>
        <w:spacing w:after="0" w:line="285" w:lineRule="auto"/>
        <w:tabs>
          <w:tab w:leader="none" w:pos="2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225"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1% of any class of securities which are listed for trading on any securities exchange or which are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traded in the over-the-counter market), managing, controlling, participating in, consulting with, rendering services for, being employed by, or in any manner engaging in the operation of (i) any business that develops or administers services to degree-granting institutions of higher education, or (ii) any other business of the Company in which the executive had significant involvement prior to the executive’s separation; (b) inducing or attempting to induce any employee of the Company to leave the employ of the Company, or in any way interfering with the relationship between the Company and any employee thereof, or (c)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2020, the last business day of fiscal year 2020. All payments in connection with any such termination will comply with Section 409A of the Internal Revenue Code, to the extent Section 409A applies. The actual amounts to be paid out can only be determined at the time of such executive’s separation from the Company.</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gridSpan w:val="7"/>
            <w:vMerge w:val="restart"/>
          </w:tcPr>
          <w:p>
            <w:pPr>
              <w:jc w:val="right"/>
              <w:ind w:right="16"/>
              <w:spacing w:after="0"/>
              <w:rPr>
                <w:sz w:val="20"/>
                <w:szCs w:val="20"/>
                <w:color w:val="auto"/>
              </w:rPr>
            </w:pPr>
            <w:r>
              <w:rPr>
                <w:rFonts w:ascii="Arial" w:cs="Arial" w:eastAsia="Arial" w:hAnsi="Arial"/>
                <w:sz w:val="14"/>
                <w:szCs w:val="14"/>
                <w:b w:val="1"/>
                <w:bCs w:val="1"/>
                <w:color w:val="auto"/>
                <w:w w:val="94"/>
              </w:rPr>
              <w:t>Termination without Cause or for Good Reason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6"/>
          </w:tcPr>
          <w:p>
            <w:pPr>
              <w:jc w:val="right"/>
              <w:ind w:right="277"/>
              <w:spacing w:after="0"/>
              <w:rPr>
                <w:sz w:val="20"/>
                <w:szCs w:val="20"/>
                <w:color w:val="auto"/>
              </w:rPr>
            </w:pPr>
            <w:r>
              <w:rPr>
                <w:rFonts w:ascii="Arial" w:cs="Arial" w:eastAsia="Arial" w:hAnsi="Arial"/>
                <w:sz w:val="14"/>
                <w:szCs w:val="14"/>
                <w:b w:val="1"/>
                <w:bCs w:val="1"/>
                <w:color w:val="auto"/>
                <w:w w:val="96"/>
              </w:rPr>
              <w:t>Termination without Cause or for Good Reason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tcBorders>
              <w:bottom w:val="single" w:sz="8" w:color="auto"/>
            </w:tcBorders>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6"/>
          </w:tcPr>
          <w:p>
            <w:pPr>
              <w:jc w:val="right"/>
              <w:ind w:right="817"/>
              <w:spacing w:after="0"/>
              <w:rPr>
                <w:sz w:val="20"/>
                <w:szCs w:val="20"/>
                <w:color w:val="auto"/>
              </w:rPr>
            </w:pPr>
            <w:r>
              <w:rPr>
                <w:rFonts w:ascii="Arial" w:cs="Arial" w:eastAsia="Arial" w:hAnsi="Arial"/>
                <w:sz w:val="14"/>
                <w:szCs w:val="14"/>
                <w:b w:val="1"/>
                <w:bCs w:val="1"/>
                <w:color w:val="auto"/>
              </w:rPr>
              <w:t>following a Change in Control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jc w:val="center"/>
              <w:ind w:right="133"/>
              <w:spacing w:after="0" w:line="119" w:lineRule="exact"/>
              <w:rPr>
                <w:sz w:val="20"/>
                <w:szCs w:val="20"/>
                <w:color w:val="auto"/>
              </w:rPr>
            </w:pPr>
            <w:r>
              <w:rPr>
                <w:rFonts w:ascii="Arial" w:cs="Arial" w:eastAsia="Arial" w:hAnsi="Arial"/>
                <w:sz w:val="13"/>
                <w:szCs w:val="13"/>
                <w:b w:val="1"/>
                <w:bCs w:val="1"/>
                <w:color w:val="auto"/>
              </w:rPr>
              <w:t>Cash</w:t>
            </w:r>
          </w:p>
        </w:tc>
        <w:tc>
          <w:tcPr>
            <w:tcW w:w="160" w:type="dxa"/>
            <w:vAlign w:val="bottom"/>
          </w:tcPr>
          <w:p>
            <w:pPr>
              <w:spacing w:after="0"/>
              <w:rPr>
                <w:sz w:val="10"/>
                <w:szCs w:val="10"/>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Acceleration of</w:t>
            </w:r>
          </w:p>
        </w:tc>
        <w:tc>
          <w:tcPr>
            <w:tcW w:w="16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Cash Payment</w:t>
            </w:r>
          </w:p>
        </w:tc>
        <w:tc>
          <w:tcPr>
            <w:tcW w:w="160" w:type="dxa"/>
            <w:vAlign w:val="bottom"/>
          </w:tcPr>
          <w:p>
            <w:pPr>
              <w:spacing w:after="0"/>
              <w:rPr>
                <w:sz w:val="10"/>
                <w:szCs w:val="10"/>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Acceleration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9"/>
              </w:rPr>
              <w:t>($)(1)</w:t>
            </w:r>
          </w:p>
        </w:tc>
        <w:tc>
          <w:tcPr>
            <w:tcW w:w="9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b w:val="1"/>
                <w:bCs w:val="1"/>
                <w:color w:val="auto"/>
                <w:w w:val="99"/>
              </w:rPr>
              <w:t>($)(3)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($)(1)</w:t>
            </w:r>
          </w:p>
        </w:tc>
        <w:tc>
          <w:tcPr>
            <w:tcW w:w="9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$ 642,000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17,588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1,606,464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17,588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Dr. W. Stan Meyer</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682,500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857,115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Joseph N. Mildenhall</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510,000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857,115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514,643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751,863</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59" w:hanging="330"/>
        <w:spacing w:after="0" w:line="277" w:lineRule="auto"/>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Assumes a termination date of December 31, 2020, and is based on the executive’s salary and target bonus in effect at such date.</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225" w:lineRule="exact"/>
        <w:rPr>
          <w:rFonts w:ascii="Arial" w:cs="Arial" w:eastAsia="Arial" w:hAnsi="Arial"/>
          <w:sz w:val="18"/>
          <w:szCs w:val="18"/>
          <w:color w:val="auto"/>
        </w:rPr>
      </w:pPr>
    </w:p>
    <w:p>
      <w:pPr>
        <w:ind w:left="380" w:right="199" w:hanging="330"/>
        <w:spacing w:after="0" w:line="277" w:lineRule="auto"/>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2020 and the closing market price of our common stock on the Nasdaq Global Market on such date.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60" w:right="559" w:firstLine="648"/>
        <w:spacing w:after="0" w:line="311" w:lineRule="auto"/>
        <w:rPr>
          <w:sz w:val="20"/>
          <w:szCs w:val="20"/>
          <w:color w:val="auto"/>
        </w:rPr>
      </w:pPr>
      <w:r>
        <w:rPr>
          <w:rFonts w:ascii="Arial" w:cs="Arial" w:eastAsia="Arial" w:hAnsi="Arial"/>
          <w:sz w:val="16"/>
          <w:szCs w:val="16"/>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Chevy Humphrey (Chair)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Sara R. Dial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Lisa Graham Keegan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05" w:lineRule="exact"/>
        <w:rPr>
          <w:sz w:val="20"/>
          <w:szCs w:val="20"/>
          <w:color w:val="auto"/>
        </w:rPr>
      </w:pPr>
    </w:p>
    <w:tbl>
      <w:tblPr>
        <w:tblLayout w:type="fixed"/>
        <w:tblInd w:w="70" w:type="dxa"/>
        <w:tblCellMar>
          <w:top w:w="0" w:type="dxa"/>
          <w:left w:w="0" w:type="dxa"/>
          <w:bottom w:w="0" w:type="dxa"/>
          <w:right w:w="0" w:type="dxa"/>
        </w:tblCellMar>
      </w:tblPr>
      <w:tr>
        <w:trPr>
          <w:trHeight w:val="215"/>
        </w:trPr>
        <w:tc>
          <w:tcPr>
            <w:tcW w:w="2540" w:type="dxa"/>
            <w:vAlign w:val="bottom"/>
            <w:tcBorders>
              <w:top w:val="single" w:sz="8" w:color="auto"/>
              <w:left w:val="single" w:sz="8" w:color="auto"/>
            </w:tcBorders>
            <w:gridSpan w:val="2"/>
          </w:tcPr>
          <w:p>
            <w:pPr>
              <w:ind w:left="20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b w:val="1"/>
                <w:bCs w:val="1"/>
                <w:i w:val="1"/>
                <w:iCs w:val="1"/>
                <w:color w:val="auto"/>
              </w:rPr>
              <w:t xml:space="preserve">  What am I voting on?</w:t>
            </w:r>
          </w:p>
        </w:tc>
        <w:tc>
          <w:tcPr>
            <w:tcW w:w="6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4"/>
              </w:rPr>
              <w:t>Stockholders are being asked to ratify the appointment of KPMG LLP, a registered</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6"/>
              </w:rPr>
              <w:t>public accounting firm, to serve as the Company’s independent registered public</w:t>
            </w:r>
          </w:p>
        </w:tc>
      </w:tr>
      <w:tr>
        <w:trPr>
          <w:trHeight w:val="230"/>
        </w:trPr>
        <w:tc>
          <w:tcPr>
            <w:tcW w:w="460" w:type="dxa"/>
            <w:vAlign w:val="bottom"/>
            <w:tcBorders>
              <w:left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accounting firm for the fiscal year ending December 31, 2021.</w:t>
            </w:r>
          </w:p>
        </w:tc>
      </w:tr>
      <w:tr>
        <w:trPr>
          <w:trHeight w:val="418"/>
        </w:trPr>
        <w:tc>
          <w:tcPr>
            <w:tcW w:w="460" w:type="dxa"/>
            <w:vAlign w:val="bottom"/>
            <w:tcBorders>
              <w:left w:val="single" w:sz="8" w:color="auto"/>
            </w:tcBorders>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91"/>
              </w:rPr>
              <w:t>Voting recommendation:</w:t>
            </w: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Board of Directors unanimously recommends that you vote “FOR” the</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ratification of the appointment of KPMG LLP as our independent registered public</w:t>
            </w:r>
          </w:p>
        </w:tc>
      </w:tr>
      <w:tr>
        <w:trPr>
          <w:trHeight w:val="230"/>
        </w:trPr>
        <w:tc>
          <w:tcPr>
            <w:tcW w:w="460" w:type="dxa"/>
            <w:vAlign w:val="bottom"/>
            <w:tcBorders>
              <w:left w:val="single" w:sz="8" w:color="auto"/>
            </w:tcBorders>
          </w:tcPr>
          <w:p>
            <w:pPr>
              <w:spacing w:after="0"/>
              <w:rPr>
                <w:sz w:val="20"/>
                <w:szCs w:val="20"/>
                <w:color w:val="auto"/>
              </w:rPr>
            </w:pPr>
          </w:p>
        </w:tc>
        <w:tc>
          <w:tcPr>
            <w:tcW w:w="2080" w:type="dxa"/>
            <w:vAlign w:val="bottom"/>
          </w:tcPr>
          <w:p>
            <w:pPr>
              <w:spacing w:after="0"/>
              <w:rPr>
                <w:sz w:val="20"/>
                <w:szCs w:val="20"/>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accounting firm for the fiscal year ending December 31, 2021.</w:t>
            </w:r>
          </w:p>
        </w:tc>
      </w:tr>
      <w:tr>
        <w:trPr>
          <w:trHeight w:val="418"/>
        </w:trPr>
        <w:tc>
          <w:tcPr>
            <w:tcW w:w="460" w:type="dxa"/>
            <w:vAlign w:val="bottom"/>
            <w:tcBorders>
              <w:left w:val="single" w:sz="8" w:color="auto"/>
            </w:tcBorders>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Vote required:</w:t>
            </w: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5"/>
              </w:rPr>
              <w:t>The affirmative vote of the majority of shares present in person or represented by</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3"/>
              </w:rPr>
              <w:t>proxy at the Annual Meeting and entitled to vote. Brokers have discretion to vote on</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4"/>
              </w:rPr>
              <w:t>the ratification of our independent auditors and, as such, no votes on this proposal</w:t>
            </w:r>
          </w:p>
        </w:tc>
      </w:tr>
      <w:tr>
        <w:trPr>
          <w:trHeight w:val="216"/>
        </w:trPr>
        <w:tc>
          <w:tcPr>
            <w:tcW w:w="460" w:type="dxa"/>
            <w:vAlign w:val="bottom"/>
            <w:tcBorders>
              <w:left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6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1"/>
              </w:rPr>
              <w:t>will be considered broker non-votes. Abstentions will have the effect of a vote against</w:t>
            </w:r>
          </w:p>
        </w:tc>
      </w:tr>
      <w:tr>
        <w:trPr>
          <w:trHeight w:val="230"/>
        </w:trPr>
        <w:tc>
          <w:tcPr>
            <w:tcW w:w="46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this proposal.</w:t>
            </w:r>
          </w:p>
        </w:tc>
      </w:tr>
    </w:tbl>
    <w:p>
      <w:pPr>
        <w:spacing w:after="0" w:line="20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2021.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2021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2021.</w:t>
      </w:r>
    </w:p>
    <w:p>
      <w:pPr>
        <w:spacing w:after="0" w:line="179"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20" w:lineRule="exact"/>
        <w:rPr>
          <w:sz w:val="20"/>
          <w:szCs w:val="20"/>
          <w:color w:val="auto"/>
        </w:rPr>
      </w:pPr>
    </w:p>
    <w:p>
      <w:pPr>
        <w:ind w:left="60" w:right="359" w:firstLine="648"/>
        <w:spacing w:after="0" w:line="266"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For the years ended December 31, 2020 and 2019,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3"/>
          </w:tcPr>
          <w:p>
            <w:pPr>
              <w:ind w:left="900"/>
              <w:spacing w:after="0"/>
              <w:rPr>
                <w:sz w:val="20"/>
                <w:szCs w:val="20"/>
                <w:color w:val="auto"/>
              </w:rPr>
            </w:pPr>
            <w:r>
              <w:rPr>
                <w:rFonts w:ascii="Arial" w:cs="Arial" w:eastAsia="Arial" w:hAnsi="Arial"/>
                <w:sz w:val="14"/>
                <w:szCs w:val="14"/>
                <w:b w:val="1"/>
                <w:bCs w:val="1"/>
                <w:color w:val="auto"/>
              </w:rPr>
              <w:t>Services Rendered</w:t>
            </w:r>
          </w:p>
        </w:tc>
        <w:tc>
          <w:tcPr>
            <w:tcW w:w="8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r>
      <w:tr>
        <w:trPr>
          <w:trHeight w:val="209"/>
        </w:trPr>
        <w:tc>
          <w:tcPr>
            <w:tcW w:w="920" w:type="dxa"/>
            <w:vAlign w:val="bottom"/>
          </w:tcPr>
          <w:p>
            <w:pPr>
              <w:spacing w:after="0"/>
              <w:rPr>
                <w:sz w:val="18"/>
                <w:szCs w:val="18"/>
                <w:color w:val="auto"/>
              </w:rPr>
            </w:pPr>
          </w:p>
        </w:tc>
        <w:tc>
          <w:tcPr>
            <w:tcW w:w="536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$647,500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$657,500</w:t>
            </w:r>
          </w:p>
        </w:tc>
      </w:tr>
      <w:tr>
        <w:trPr>
          <w:trHeight w:val="216"/>
        </w:trPr>
        <w:tc>
          <w:tcPr>
            <w:tcW w:w="9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920" w:type="dxa"/>
            <w:vAlign w:val="bottom"/>
          </w:tcPr>
          <w:p>
            <w:pPr>
              <w:spacing w:after="0"/>
              <w:rPr>
                <w:sz w:val="18"/>
                <w:szCs w:val="18"/>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647,500</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657,500</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67" w:lineRule="exact"/>
        <w:rPr>
          <w:sz w:val="20"/>
          <w:szCs w:val="20"/>
          <w:color w:val="auto"/>
        </w:rPr>
      </w:pPr>
    </w:p>
    <w:p>
      <w:pPr>
        <w:ind w:left="380" w:right="199" w:hanging="330"/>
        <w:spacing w:after="0" w:line="308" w:lineRule="auto"/>
        <w:tabs>
          <w:tab w:leader="none" w:pos="3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Audit Fees in 2020 and 2019 relate to services rendered for the audits of our annual consolidated financial statements including accounting and reporting consultations, for the review of our quarterly financial statements,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59"/>
        <w:spacing w:after="0" w:line="277" w:lineRule="auto"/>
        <w:rPr>
          <w:sz w:val="20"/>
          <w:szCs w:val="20"/>
          <w:color w:val="auto"/>
        </w:rPr>
      </w:pPr>
      <w:r>
        <w:rPr>
          <w:rFonts w:ascii="Arial" w:cs="Arial" w:eastAsia="Arial" w:hAnsi="Arial"/>
          <w:sz w:val="18"/>
          <w:szCs w:val="18"/>
          <w:color w:val="auto"/>
        </w:rPr>
        <w:t>and for services that are normally provided by the auditor in connection with statutory and regulatory filings or engagements.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229"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76"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8"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2020 and 2019 were approved by our Audit Committee.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 xml:space="preserve">The Audit Committee operates under a written charter adopted by the Board that outlines its responsibilities and the practices it follows. You can view the charter on the Company’s website, </w:t>
      </w:r>
      <w:r>
        <w:rPr>
          <w:rFonts w:ascii="Arial" w:cs="Arial" w:eastAsia="Arial" w:hAnsi="Arial"/>
          <w:sz w:val="17"/>
          <w:szCs w:val="17"/>
          <w:i w:val="1"/>
          <w:iCs w:val="1"/>
          <w:u w:val="single" w:color="auto"/>
          <w:color w:val="auto"/>
        </w:rPr>
        <w:t>www.gce.com</w:t>
      </w:r>
      <w:r>
        <w:rPr>
          <w:rFonts w:ascii="Arial" w:cs="Arial" w:eastAsia="Arial" w:hAnsi="Arial"/>
          <w:sz w:val="17"/>
          <w:szCs w:val="17"/>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Arial" w:cs="Arial" w:eastAsia="Arial" w:hAnsi="Arial"/>
          <w:sz w:val="17"/>
          <w:szCs w:val="17"/>
          <w:i w:val="1"/>
          <w:iCs w:val="1"/>
          <w:color w:val="auto"/>
        </w:rPr>
        <w:t>Committees of Our Board of Directors</w:t>
      </w:r>
      <w:r>
        <w:rPr>
          <w:rFonts w:ascii="Arial" w:cs="Arial" w:eastAsia="Arial" w:hAnsi="Arial"/>
          <w:sz w:val="17"/>
          <w:szCs w:val="17"/>
          <w:color w:val="auto"/>
        </w:rPr>
        <w:t>.</w:t>
      </w:r>
    </w:p>
    <w:p>
      <w:pPr>
        <w:spacing w:after="0" w:line="176"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Audit Committee is composed of four,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Mr. Jack A. Henry and Ms. Chevy Humphrey as “audit committee financial experts” under the SEC rules.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Primary Responsibilities of the Audit Committee and the Audit Committee’s Activities in 2020</w:t>
      </w:r>
    </w:p>
    <w:p>
      <w:pPr>
        <w:spacing w:after="0" w:line="229"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2020, among other things, the Audit Committee:</w:t>
      </w:r>
    </w:p>
    <w:p>
      <w:pPr>
        <w:spacing w:after="0" w:line="225" w:lineRule="exact"/>
        <w:rPr>
          <w:sz w:val="20"/>
          <w:szCs w:val="20"/>
          <w:color w:val="auto"/>
        </w:rPr>
      </w:pPr>
    </w:p>
    <w:p>
      <w:pPr>
        <w:ind w:left="1340" w:hanging="318"/>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Engaged KPMG as our independent auditors;</w:t>
      </w:r>
    </w:p>
    <w:p>
      <w:pPr>
        <w:spacing w:after="0" w:line="225" w:lineRule="exact"/>
        <w:rPr>
          <w:rFonts w:ascii="Arial" w:cs="Arial" w:eastAsia="Arial" w:hAnsi="Arial"/>
          <w:sz w:val="18"/>
          <w:szCs w:val="18"/>
          <w:color w:val="auto"/>
        </w:rPr>
      </w:pPr>
    </w:p>
    <w:p>
      <w:pPr>
        <w:ind w:left="1340" w:hanging="318"/>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Was involved in the selection of the lead engagement partner and negotiation of audit fees;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Evaluated the tenure of the independent audit firm;</w:t>
      </w:r>
    </w:p>
    <w:p>
      <w:pPr>
        <w:spacing w:after="0" w:line="225" w:lineRule="exact"/>
        <w:rPr>
          <w:rFonts w:ascii="Arial" w:cs="Arial" w:eastAsia="Arial" w:hAnsi="Arial"/>
          <w:sz w:val="18"/>
          <w:szCs w:val="18"/>
          <w:color w:val="auto"/>
        </w:rPr>
      </w:pPr>
    </w:p>
    <w:p>
      <w:pPr>
        <w:ind w:left="1340" w:right="199" w:hanging="318"/>
        <w:spacing w:after="0" w:line="277"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Met with the senior members of the Company’s financial management team at each regularly scheduled meeting;</w:t>
      </w:r>
    </w:p>
    <w:p>
      <w:pPr>
        <w:spacing w:after="0" w:line="170" w:lineRule="exact"/>
        <w:rPr>
          <w:rFonts w:ascii="Arial" w:cs="Arial" w:eastAsia="Arial" w:hAnsi="Arial"/>
          <w:sz w:val="18"/>
          <w:szCs w:val="18"/>
          <w:color w:val="auto"/>
        </w:rPr>
      </w:pPr>
    </w:p>
    <w:p>
      <w:pPr>
        <w:ind w:left="1340" w:right="439" w:hanging="318"/>
        <w:spacing w:after="0" w:line="263"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spacing w:after="0" w:line="183" w:lineRule="exact"/>
        <w:rPr>
          <w:rFonts w:ascii="Arial" w:cs="Arial" w:eastAsia="Arial" w:hAnsi="Arial"/>
          <w:sz w:val="18"/>
          <w:szCs w:val="18"/>
          <w:color w:val="auto"/>
        </w:rPr>
      </w:pPr>
    </w:p>
    <w:p>
      <w:pPr>
        <w:jc w:val="both"/>
        <w:ind w:left="1340" w:right="159" w:hanging="318"/>
        <w:spacing w:after="0" w:line="311" w:lineRule="auto"/>
        <w:tabs>
          <w:tab w:leader="none" w:pos="1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148" w:lineRule="exact"/>
        <w:rPr>
          <w:rFonts w:ascii="Arial" w:cs="Arial" w:eastAsia="Arial" w:hAnsi="Arial"/>
          <w:sz w:val="16"/>
          <w:szCs w:val="16"/>
          <w:color w:val="auto"/>
        </w:rPr>
      </w:pPr>
    </w:p>
    <w:p>
      <w:pPr>
        <w:ind w:left="1340" w:right="219" w:hanging="318"/>
        <w:spacing w:after="0" w:line="263"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Discussed with KPMG the Company’s internal control assessment process, management’s assessment with respect thereto and KPMG’s evaluation of the Company’s system of internal control over financial reporting;</w:t>
      </w:r>
    </w:p>
    <w:p>
      <w:pPr>
        <w:spacing w:after="0" w:line="183" w:lineRule="exact"/>
        <w:rPr>
          <w:rFonts w:ascii="Arial" w:cs="Arial" w:eastAsia="Arial" w:hAnsi="Arial"/>
          <w:sz w:val="18"/>
          <w:szCs w:val="18"/>
          <w:color w:val="auto"/>
        </w:rPr>
      </w:pPr>
    </w:p>
    <w:p>
      <w:pPr>
        <w:jc w:val="both"/>
        <w:ind w:left="1340" w:right="359" w:hanging="318"/>
        <w:spacing w:after="0" w:line="263"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Reviewed and discussed with management and KPMG the Company’s periodic reports prior to filing with the SEC, including matters such as significant accounting policies, management judgements and accounting estimates;</w:t>
      </w:r>
    </w:p>
    <w:p>
      <w:pPr>
        <w:spacing w:after="0" w:line="183" w:lineRule="exact"/>
        <w:rPr>
          <w:rFonts w:ascii="Arial" w:cs="Arial" w:eastAsia="Arial" w:hAnsi="Arial"/>
          <w:sz w:val="18"/>
          <w:szCs w:val="18"/>
          <w:color w:val="auto"/>
        </w:rPr>
      </w:pPr>
    </w:p>
    <w:p>
      <w:pPr>
        <w:ind w:left="1340" w:right="619" w:hanging="318"/>
        <w:spacing w:after="0" w:line="277"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Reviewed the Company’s internal audit plan and the performance of the Company’s internal audit function;</w:t>
      </w:r>
    </w:p>
    <w:p>
      <w:pPr>
        <w:spacing w:after="0" w:line="170" w:lineRule="exact"/>
        <w:rPr>
          <w:rFonts w:ascii="Arial" w:cs="Arial" w:eastAsia="Arial" w:hAnsi="Arial"/>
          <w:sz w:val="18"/>
          <w:szCs w:val="18"/>
          <w:color w:val="auto"/>
        </w:rPr>
      </w:pPr>
    </w:p>
    <w:p>
      <w:pPr>
        <w:ind w:left="1340" w:right="239" w:hanging="318"/>
        <w:spacing w:after="0" w:line="259" w:lineRule="auto"/>
        <w:tabs>
          <w:tab w:leader="none" w:pos="1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186" w:lineRule="exact"/>
        <w:rPr>
          <w:rFonts w:ascii="Arial" w:cs="Arial" w:eastAsia="Arial" w:hAnsi="Arial"/>
          <w:sz w:val="18"/>
          <w:szCs w:val="18"/>
          <w:color w:val="auto"/>
        </w:rPr>
      </w:pPr>
    </w:p>
    <w:p>
      <w:pPr>
        <w:ind w:left="1340" w:right="299" w:hanging="318"/>
        <w:spacing w:after="0" w:line="279" w:lineRule="auto"/>
        <w:tabs>
          <w:tab w:leader="none" w:pos="1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Reviewed with management, including our Chief Risk Officer, Chief Information Security Officer and General Counsel, and KPMG significant risks and exposures identified by management, the overall adequacy and effectiveness of the Company’s legal, regulatory and ethical compliance programs, including the Company’s code of conduct and cybersecurity programs.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Audited Financial Statements</w:t>
      </w:r>
    </w:p>
    <w:p>
      <w:pPr>
        <w:spacing w:after="0" w:line="229"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71"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6"/>
          <w:szCs w:val="16"/>
          <w:color w:val="auto"/>
        </w:rPr>
        <w:t xml:space="preserve">We have (a) reviewed and discussed our Company’s audited financial statements for the fiscal year ended December 31, 2020, with management; (b) discussed with our Company’s independent registered public accounting firm the matters required to be discussed by Public Company Oversight Board (PCAOB) Auditing Standard Number 1301, </w:t>
      </w:r>
      <w:r>
        <w:rPr>
          <w:rFonts w:ascii="Arial" w:cs="Arial" w:eastAsia="Arial" w:hAnsi="Arial"/>
          <w:sz w:val="16"/>
          <w:szCs w:val="16"/>
          <w:i w:val="1"/>
          <w:iCs w:val="1"/>
          <w:color w:val="auto"/>
        </w:rPr>
        <w:t xml:space="preserve">Communications with Audit Committees </w:t>
      </w:r>
      <w:r>
        <w:rPr>
          <w:rFonts w:ascii="Arial" w:cs="Arial" w:eastAsia="Arial" w:hAnsi="Arial"/>
          <w:sz w:val="16"/>
          <w:szCs w:val="16"/>
          <w:color w:val="auto"/>
        </w:rPr>
        <w:t>(PCAOB General Auditing Standards 1300,</w:t>
      </w:r>
      <w:r>
        <w:rPr>
          <w:rFonts w:ascii="Arial" w:cs="Arial" w:eastAsia="Arial" w:hAnsi="Arial"/>
          <w:sz w:val="16"/>
          <w:szCs w:val="16"/>
          <w:i w:val="1"/>
          <w:iCs w:val="1"/>
          <w:color w:val="auto"/>
        </w:rPr>
        <w:t xml:space="preserve"> Auditor Communications</w:t>
      </w:r>
      <w:r>
        <w:rPr>
          <w:rFonts w:ascii="Arial" w:cs="Arial" w:eastAsia="Arial" w:hAnsi="Arial"/>
          <w:sz w:val="16"/>
          <w:szCs w:val="16"/>
          <w:color w:val="auto"/>
        </w:rPr>
        <w:t>);</w:t>
      </w:r>
    </w:p>
    <w:p>
      <w:pPr>
        <w:spacing w:after="0" w:line="1" w:lineRule="exact"/>
        <w:rPr>
          <w:sz w:val="20"/>
          <w:szCs w:val="20"/>
          <w:color w:val="auto"/>
        </w:rPr>
      </w:pPr>
    </w:p>
    <w:p>
      <w:pPr>
        <w:ind w:left="60" w:right="219" w:hanging="10"/>
        <w:spacing w:after="0" w:line="253" w:lineRule="auto"/>
        <w:tabs>
          <w:tab w:leader="none" w:pos="3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received the written disclosures and presentation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2020, for filing with the Securities and Exchange Commission.</w:t>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Sara R. Dial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Lisa Graham Keegan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Chevy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for:</w:t>
      </w:r>
    </w:p>
    <w:p>
      <w:pPr>
        <w:spacing w:after="0" w:line="211" w:lineRule="exact"/>
        <w:rPr>
          <w:sz w:val="20"/>
          <w:szCs w:val="20"/>
          <w:color w:val="auto"/>
        </w:rPr>
      </w:pPr>
    </w:p>
    <w:p>
      <w:pPr>
        <w:ind w:left="1340" w:right="859" w:hanging="318"/>
        <w:spacing w:after="0" w:line="277" w:lineRule="auto"/>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340" w:hanging="318"/>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1340" w:hanging="318"/>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calculations of beneficial ownership in this table are based on 46,386,068 shares outstanding at March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b w:val="1"/>
          <w:bCs w:val="1"/>
          <w:color w:val="auto"/>
        </w:rPr>
        <w:t>.</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Amount and Nature of</w:t>
            </w: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Percent of Class</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Beneficial Ownership</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The Vanguard Group – 23-1945930</w:t>
            </w:r>
            <w:r>
              <w:rPr>
                <w:rFonts w:ascii="Arial" w:cs="Arial" w:eastAsia="Arial" w:hAnsi="Arial"/>
                <w:sz w:val="25"/>
                <w:szCs w:val="25"/>
                <w:color w:val="auto"/>
                <w:vertAlign w:val="superscript"/>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4,259,808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9.2 %</w:t>
            </w: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7"/>
                <w:szCs w:val="17"/>
                <w:color w:val="auto"/>
              </w:rPr>
              <w:t>William Blair Investment Management, LLC</w:t>
            </w:r>
            <w:r>
              <w:rPr>
                <w:rFonts w:ascii="Arial" w:cs="Arial" w:eastAsia="Arial" w:hAnsi="Arial"/>
                <w:sz w:val="25"/>
                <w:szCs w:val="25"/>
                <w:color w:val="auto"/>
                <w:vertAlign w:val="superscript"/>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4,081,286</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8.8 %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BlackRock, Inc.</w:t>
            </w:r>
            <w:r>
              <w:rPr>
                <w:rFonts w:ascii="Arial" w:cs="Arial" w:eastAsia="Arial" w:hAnsi="Arial"/>
                <w:sz w:val="25"/>
                <w:szCs w:val="25"/>
                <w:color w:val="auto"/>
                <w:vertAlign w:val="superscript"/>
              </w:rPr>
              <w:t>(4)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3,871,291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8.3 %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292,083</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0.6 %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Dr. W. Stan Meyer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103,970</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110,582</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7"/>
                <w:szCs w:val="17"/>
                <w:color w:val="auto"/>
              </w:rPr>
              <w:t xml:space="preserve">Joseph N. Mildenhall </w:t>
            </w:r>
            <w:r>
              <w:rPr>
                <w:rFonts w:ascii="Arial" w:cs="Arial" w:eastAsia="Arial" w:hAnsi="Arial"/>
                <w:sz w:val="25"/>
                <w:szCs w:val="25"/>
                <w:color w:val="auto"/>
                <w:vertAlign w:val="superscript"/>
              </w:rPr>
              <w:t>(5)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36,546</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Dilek Marsh</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19,043</w:t>
            </w:r>
          </w:p>
        </w:tc>
        <w:tc>
          <w:tcPr>
            <w:tcW w:w="200" w:type="dxa"/>
            <w:vAlign w:val="bottom"/>
          </w:tcPr>
          <w:p>
            <w:pPr>
              <w:spacing w:after="0"/>
              <w:rPr>
                <w:sz w:val="18"/>
                <w:szCs w:val="18"/>
                <w:color w:val="auto"/>
              </w:rPr>
            </w:pPr>
          </w:p>
        </w:tc>
        <w:tc>
          <w:tcPr>
            <w:tcW w:w="1400" w:type="dxa"/>
            <w:vAlign w:val="bottom"/>
          </w:tcPr>
          <w:p>
            <w:pPr>
              <w:jc w:val="center"/>
              <w:ind w:left="12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Sara R. Dial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color w:val="auto"/>
              </w:rPr>
              <w:t>Jack A. Henry</w:t>
            </w:r>
          </w:p>
        </w:tc>
        <w:tc>
          <w:tcPr>
            <w:tcW w:w="1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16,319</w:t>
            </w:r>
          </w:p>
        </w:tc>
        <w:tc>
          <w:tcPr>
            <w:tcW w:w="200" w:type="dxa"/>
            <w:vAlign w:val="bottom"/>
          </w:tcPr>
          <w:p>
            <w:pPr>
              <w:spacing w:after="0"/>
              <w:rPr>
                <w:sz w:val="17"/>
                <w:szCs w:val="17"/>
                <w:color w:val="auto"/>
              </w:rPr>
            </w:pPr>
          </w:p>
        </w:tc>
        <w:tc>
          <w:tcPr>
            <w:tcW w:w="1400" w:type="dxa"/>
            <w:vAlign w:val="bottom"/>
          </w:tcPr>
          <w:p>
            <w:pPr>
              <w:jc w:val="center"/>
              <w:ind w:left="1211"/>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Lisa Graham Keegan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20"/>
                <w:szCs w:val="20"/>
                <w:color w:val="auto"/>
              </w:rPr>
            </w:pPr>
          </w:p>
        </w:tc>
        <w:tc>
          <w:tcPr>
            <w:tcW w:w="1400" w:type="dxa"/>
            <w:vAlign w:val="bottom"/>
          </w:tcPr>
          <w:p>
            <w:pPr>
              <w:jc w:val="center"/>
              <w:ind w:left="12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Chevy Humphrey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2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as a group (10 persons)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599,220</w:t>
            </w:r>
          </w:p>
        </w:tc>
        <w:tc>
          <w:tcPr>
            <w:tcW w:w="200" w:type="dxa"/>
            <w:vAlign w:val="bottom"/>
          </w:tcPr>
          <w:p>
            <w:pPr>
              <w:spacing w:after="0"/>
              <w:rPr>
                <w:sz w:val="20"/>
                <w:szCs w:val="20"/>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w:t>
        <w:tab/>
        <w:t>Represents beneficial ownership of less than 0.1%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39" w:hanging="330"/>
        <w:spacing w:after="0" w:line="255"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92" w:lineRule="exact"/>
        <w:rPr>
          <w:rFonts w:ascii="Arial" w:cs="Arial" w:eastAsia="Arial" w:hAnsi="Arial"/>
          <w:sz w:val="18"/>
          <w:szCs w:val="18"/>
          <w:color w:val="auto"/>
        </w:rPr>
      </w:pPr>
    </w:p>
    <w:p>
      <w:pPr>
        <w:ind w:left="380" w:right="259" w:hanging="330"/>
        <w:spacing w:after="0" w:line="279"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information for the Vanguard Group – 23-1945930 (“Vanguard”) is based on a Schedule 13G/A filed with the Securities and Exchange Commission on February 10, 2021. The address for Vanguard is 100 Vanguard Blvd., Malvern, PA 19355. Vanguard reported that it had sole voting power over 0 shares, shared voting power over 32,383 shares, sole dispositive power over 4,188,697 shares, and shared dispositive power over 71,111.</w:t>
      </w:r>
    </w:p>
    <w:p>
      <w:pPr>
        <w:spacing w:after="0" w:line="171" w:lineRule="exact"/>
        <w:rPr>
          <w:rFonts w:ascii="Arial" w:cs="Arial" w:eastAsia="Arial" w:hAnsi="Arial"/>
          <w:sz w:val="17"/>
          <w:szCs w:val="17"/>
          <w:color w:val="auto"/>
        </w:rPr>
      </w:pPr>
    </w:p>
    <w:p>
      <w:pPr>
        <w:ind w:left="380" w:right="99" w:hanging="330"/>
        <w:spacing w:after="0" w:line="301" w:lineRule="auto"/>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information for William Blair Investment Management, LLC (“WBIM”) is based on a Schedule 13G/A filed with the Securities and Exchange Commission on February 11, 2021. The address for WBIM is 150 North Riverside Plaza, Chicago, IL 60606. WBIM reported that it had sole voting power over 3,627,237 shares, shared voting power over 0 shares, sole dispositive power over 4,081,286 shares, and shared dispositive power over 0 shares.</w:t>
      </w:r>
    </w:p>
    <w:p>
      <w:pPr>
        <w:spacing w:after="0" w:line="157" w:lineRule="exact"/>
        <w:rPr>
          <w:rFonts w:ascii="Arial" w:cs="Arial" w:eastAsia="Arial" w:hAnsi="Arial"/>
          <w:sz w:val="16"/>
          <w:szCs w:val="16"/>
          <w:color w:val="auto"/>
        </w:rPr>
      </w:pPr>
    </w:p>
    <w:p>
      <w:pPr>
        <w:ind w:left="380" w:right="99" w:hanging="330"/>
        <w:spacing w:after="0" w:line="241" w:lineRule="auto"/>
        <w:tabs>
          <w:tab w:leader="none" w:pos="3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information for BlackRock, Inc. (“BlackRock”) is based on a Schedule 13G/A filed with the Securities and Exchange Commission on January 29, 2021. The address for BlackRock is 55 East 52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Street, New York, NY 10055. BlackRock reported that it had sole voting power over 3,714,033 shares, shared voting power over 0 shares, sole dispositive power over 3,871,291 shares, and shared dispositive power over 0 shares.</w:t>
      </w:r>
    </w:p>
    <w:p>
      <w:pPr>
        <w:spacing w:after="0" w:line="202" w:lineRule="exact"/>
        <w:rPr>
          <w:rFonts w:ascii="Arial" w:cs="Arial" w:eastAsia="Arial" w:hAnsi="Arial"/>
          <w:sz w:val="17"/>
          <w:szCs w:val="17"/>
          <w:color w:val="auto"/>
        </w:rPr>
      </w:pPr>
    </w:p>
    <w:p>
      <w:pPr>
        <w:jc w:val="both"/>
        <w:ind w:left="380" w:right="199" w:hanging="330"/>
        <w:spacing w:after="0" w:line="263"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18,030 shares owned directly by Mr. Mildenhall and 18,516 shares owned indirectly in the J and M Trust. Certain shares, reflecting unvested shares of restricted stock held by Mr. Mildenhall, are held directly while unvested and then, upon vesting, are held indirectly through the J and M Trust.</w:t>
      </w:r>
    </w:p>
    <w:p>
      <w:pPr>
        <w:spacing w:after="0" w:line="18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8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Mr. Brian E. Mueller has served as the Chief Executive Officer of the Company since 2008 and the Chairman of the Board of the Company since 2017 and has also served as the President of GCU since 2012. In connection with the sale of GCU to Grand Canyon University, an Arizona non-profit corporation, in 2018,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sale of GCU, GCU adopted governance provisions that prohibit Mr. Mueller from serving on the board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trustees of GCU. We also jointly imposed a structure, through GCU’s governance documents and through express provisions of the Master Services Agreement, that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w:t>
      </w:r>
    </w:p>
    <w:p>
      <w:pPr>
        <w:spacing w:after="0" w:line="19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Transactions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Set forth below is a summary of certain transactions since January 1, 2020,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87"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i w:val="1"/>
          <w:iCs w:val="1"/>
          <w:color w:val="auto"/>
        </w:rPr>
        <w:t xml:space="preserve">GCE Community Fund (“GCECF”) </w:t>
      </w:r>
      <w:r>
        <w:rPr>
          <w:rFonts w:ascii="Arial" w:cs="Arial" w:eastAsia="Arial" w:hAnsi="Arial"/>
          <w:sz w:val="17"/>
          <w:szCs w:val="17"/>
          <w:color w:val="auto"/>
        </w:rPr>
        <w:t>– GCECF was initially formed in 2014. GCECF makes grants for charitable,</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literary, religious or scientific purposes within the meaning of Section 501(c )(3) of the Internal Revenue Code. Mr. Mueller serves as the president of GCECF, and the board of directors of GCECF is composed of Company executives. The Company is not the primary beneficiary of GCECF, and accordingly, the Company does not consolidate GCECF’s statement of activities with its financial results. The Company contributed $1.1 million for the year ended December 31, 2020, of which no amounts were owed at December 31, 2020.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COMPLIANCE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Section 16(a) of the Exchange Act requires that our Company’s directors and executive officers and beneficial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owners of more than 10% of the Company’s common stock file initial reports of ownership and reports of changes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ownership with the SEC. Directors and executive officers are required to furnish the Company with copies of all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Section 16(a) forms they file. Based solely on a review of the copies of such forms furnished to the Company and written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representations from our Company’s directors and executive officers, all reports required by Section 16(a) were filed on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timely basis for the fiscal year ended December 31,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60" w:right="259" w:firstLine="648"/>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247-4400.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 xml:space="preserve">Our 2020 annual report and our Annual Report on Form 10-K for fiscal year 2020, including financial statements, are available electronically along with our proxy statement to all stockholders of record as of April 22, 2021,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 Form 10-K,</w:t>
      </w:r>
      <w:r>
        <w:rPr>
          <w:rFonts w:ascii="Arial" w:cs="Arial" w:eastAsia="Arial" w:hAnsi="Arial"/>
          <w:sz w:val="16"/>
          <w:szCs w:val="16"/>
          <w:color w:val="auto"/>
        </w:rPr>
        <w:t xml:space="preserve"> </w:t>
      </w:r>
      <w:r>
        <w:rPr>
          <w:rFonts w:ascii="Arial" w:cs="Arial" w:eastAsia="Arial" w:hAnsi="Arial"/>
          <w:sz w:val="16"/>
          <w:szCs w:val="16"/>
          <w:b w:val="1"/>
          <w:bCs w:val="1"/>
          <w:color w:val="auto"/>
        </w:rPr>
        <w:t>for the fiscal year ended December 31, 2020, and our proxy statement may do so without charge by writing to Investor Relations, Grand Canyon Education, Inc., 2600 W. Camelback Road, Phoenix, Arizona 85017.</w:t>
      </w:r>
    </w:p>
    <w:p>
      <w:pPr>
        <w:spacing w:after="0" w:line="164"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534035</wp:posOffset>
            </wp:positionV>
            <wp:extent cx="6497955" cy="8178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97955" cy="8178165"/>
                    </a:xfrm>
                    <a:prstGeom prst="rect">
                      <a:avLst/>
                    </a:prstGeom>
                    <a:noFill/>
                  </pic:spPr>
                </pic:pic>
              </a:graphicData>
            </a:graphic>
          </wp:anchor>
        </w:drawing>
      </w:r>
    </w:p>
    <w:p>
      <w:pPr>
        <w:sectPr>
          <w:pgSz w:w="11900" w:h="16838" w:orient="portrait"/>
          <w:cols w:equalWidth="0" w:num="1">
            <w:col w:w="9619"/>
          </w:cols>
          <w:pgMar w:left="840" w:top="517" w:right="1440"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379730</wp:posOffset>
            </wp:positionV>
            <wp:extent cx="6497955" cy="81781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97955" cy="8178165"/>
                    </a:xfrm>
                    <a:prstGeom prst="rect">
                      <a:avLst/>
                    </a:prstGeom>
                    <a:noFill/>
                  </pic:spPr>
                </pic:pic>
              </a:graphicData>
            </a:graphic>
          </wp:anchor>
        </w:drawing>
      </w:r>
    </w:p>
    <w:sectPr>
      <w:pgSz w:w="11900" w:h="16838" w:orient="portrait"/>
      <w:cols w:equalWidth="0" w:num="1">
        <w:col w:w="9619"/>
      </w:cols>
      <w:pgMar w:left="8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lvl w:ilvl="1">
      <w:lvlJc w:val="left"/>
      <w:lvlText w:val="(%2)"/>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bullet"/>
      <w:start w:val="1"/>
    </w:lvl>
  </w:abstractNum>
  <w:abstractNum w:abstractNumId="5">
    <w:nsid w:val="5E884ADC"/>
    <w:multiLevelType w:val="hybridMultilevel"/>
    <w:lvl w:ilvl="0">
      <w:lvlJc w:val="left"/>
      <w:lvlText w:val="3"/>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2"/>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0"/>
    </w:lvl>
  </w:abstractNum>
  <w:abstractNum w:abstractNumId="28">
    <w:nsid w:val="3DC240FB"/>
    <w:multiLevelType w:val="hybridMultilevel"/>
    <w:lvl w:ilvl="0">
      <w:lvlJc w:val="left"/>
      <w:lvlText w:val="(%1)"/>
      <w:numFmt w:val="decimal"/>
      <w:start w:val="90"/>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decimal"/>
      <w:start w:val="1"/>
    </w:lvl>
    <w:lvl w:ilvl="1">
      <w:lvlJc w:val="left"/>
      <w:lvlText w:val="(%2)"/>
      <w:numFmt w:val="decimal"/>
      <w:start w:val="1"/>
    </w:lvl>
  </w:abstractNum>
  <w:abstractNum w:abstractNumId="33">
    <w:nsid w:val="70C6A529"/>
    <w:multiLevelType w:val="hybridMultilevel"/>
    <w:lvl w:ilvl="0">
      <w:lvlJc w:val="left"/>
      <w:lvlText w:val="(%1)"/>
      <w:numFmt w:val="decimal"/>
      <w:start w:val="2"/>
    </w:lvl>
    <w:lvl w:ilvl="1">
      <w:lvlJc w:val="left"/>
      <w:lvlText w:val="%2"/>
      <w:numFmt w:val="decimal"/>
      <w:start w:val="1"/>
    </w:lvl>
  </w:abstractNum>
  <w:abstractNum w:abstractNumId="34">
    <w:nsid w:val="520EEDD1"/>
    <w:multiLevelType w:val="hybridMultilevel"/>
    <w:lvl w:ilvl="0">
      <w:lvlJc w:val="left"/>
      <w:lvlText w:val=" "/>
      <w:numFmt w:val="bullet"/>
      <w:start w:val="1"/>
    </w:lvl>
  </w:abstractNum>
  <w:abstractNum w:abstractNumId="35">
    <w:nsid w:val="374A3FE6"/>
    <w:multiLevelType w:val="hybridMultilevel"/>
    <w:lvl w:ilvl="0">
      <w:lvlJc w:val="left"/>
      <w:lvlText w:val="☐"/>
      <w:numFmt w:val="bullet"/>
      <w:start w:val="1"/>
    </w:lvl>
    <w:lvl w:ilvl="1">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3"/>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Letter"/>
      <w:start w:val="4"/>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lowerRoman"/>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lowerLetter"/>
      <w:start w:val="3"/>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2021-04-29T08:16:48Z</dcterms:created>
  <dcterms:modified xsi:type="dcterms:W3CDTF">2021-04-29T08:16:48Z</dcterms:modified>
</cp:coreProperties>
</file>