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March 19, 2009</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4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right"/>
              <w:ind w:right="1100"/>
              <w:spacing w:after="0"/>
              <w:rPr>
                <w:sz w:val="20"/>
                <w:szCs w:val="20"/>
                <w:color w:val="auto"/>
              </w:rPr>
            </w:pPr>
            <w:r>
              <w:rPr>
                <w:rFonts w:ascii="Arial" w:cs="Arial" w:eastAsia="Arial" w:hAnsi="Arial"/>
                <w:sz w:val="18"/>
                <w:szCs w:val="18"/>
                <w:b w:val="1"/>
                <w:bCs w:val="1"/>
                <w:color w:val="auto"/>
              </w:rPr>
              <w:t>001-34211</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of incorporation)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4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3300 W. Camelback Road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Phoenix, Arizona</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85017</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ind w:left="2208"/>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45"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-130175</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97"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jc w:val="both"/>
        <w:ind w:left="840" w:right="559" w:hanging="85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Compensatory Arrangements of Certain Officers</w:t>
      </w:r>
      <w:r>
        <w:rPr>
          <w:rFonts w:ascii="Arial" w:cs="Arial" w:eastAsia="Arial" w:hAnsi="Arial"/>
          <w:sz w:val="18"/>
          <w:szCs w:val="18"/>
          <w:b w:val="1"/>
          <w:bCs w:val="1"/>
          <w:color w:val="auto"/>
        </w:rPr>
        <w:t>.</w:t>
      </w:r>
    </w:p>
    <w:p>
      <w:pPr>
        <w:spacing w:after="0" w:line="139" w:lineRule="exact"/>
        <w:rPr>
          <w:sz w:val="20"/>
          <w:szCs w:val="20"/>
          <w:color w:val="auto"/>
        </w:rPr>
      </w:pPr>
    </w:p>
    <w:p>
      <w:pPr>
        <w:jc w:val="both"/>
        <w:ind w:right="559" w:firstLine="747"/>
        <w:spacing w:after="0" w:line="268" w:lineRule="auto"/>
        <w:rPr>
          <w:sz w:val="20"/>
          <w:szCs w:val="20"/>
          <w:color w:val="auto"/>
        </w:rPr>
      </w:pPr>
      <w:r>
        <w:rPr>
          <w:rFonts w:ascii="Arial" w:cs="Arial" w:eastAsia="Arial" w:hAnsi="Arial"/>
          <w:sz w:val="17"/>
          <w:szCs w:val="17"/>
          <w:color w:val="auto"/>
        </w:rPr>
        <w:t>On March 19, 2009, the compensation committee of the board of directors of Grand Canyon Education, Inc. (the “Company”) adopted a performance-based cash bonus plan (the “Bonus Plan”) for the Company’s named executive officers and other eligible senior management team members for the 2009 fiscal year. Under the Bonus Plan, a participant’s bonus will be based on the Company’s achievement of revenue and Adjusted EBITDA (as defined below) targets, as well as the participant’s achievement of individual performance goals. Depending on a participant’s level, the financial metrics will account for between 60% and 80% of the target bonus and the specific individual performance goals will account for between 20% to 40% of the target bonus. For purposes of the Bonus Plan, Adjusted EBITDA is defined as net income plus interest expense net of interest income, plus income tax expense, and plus depreciation and amortization (EBITDA), as adjusted for (i) royalty payments incurred pursuant to an agreement with our former owner that has been terminated as of April 15, 2008; (ii) share-based compensation accrued pursuant to Statement of Financial Accounting Standards No. 123 (revised 2004) “Share Based Payment,” and any other GAAP expense related to equity compensation awards for the 2009 fiscal year; (iii) any extraordinary, nonrecurring items, as determined in accordance with APB Opinion No. 30; and (iv) all amounts (including settlement payments, legal fees, costs and other litigation and/or settlement expenses) expensed during the 2009 fiscal year in connection with the settlement of litigation matters.</w:t>
      </w:r>
    </w:p>
    <w:p>
      <w:pPr>
        <w:spacing w:after="0" w:line="145" w:lineRule="exact"/>
        <w:rPr>
          <w:sz w:val="20"/>
          <w:szCs w:val="20"/>
          <w:color w:val="auto"/>
        </w:rPr>
      </w:pPr>
    </w:p>
    <w:p>
      <w:pPr>
        <w:jc w:val="both"/>
        <w:ind w:right="559" w:firstLine="747"/>
        <w:spacing w:after="0" w:line="286" w:lineRule="auto"/>
        <w:rPr>
          <w:sz w:val="20"/>
          <w:szCs w:val="20"/>
          <w:color w:val="auto"/>
        </w:rPr>
      </w:pPr>
      <w:r>
        <w:rPr>
          <w:rFonts w:ascii="Arial" w:cs="Arial" w:eastAsia="Arial" w:hAnsi="Arial"/>
          <w:sz w:val="16"/>
          <w:szCs w:val="16"/>
          <w:color w:val="auto"/>
        </w:rPr>
        <w:t>Under the Bonus Plan, the compensation committee has established a target bonus for each of the named executive officers and eligible senior management. The target bonus has been set at 100% of base salary for Brian E. Mueller, our Chief Executive Officer, and 50% of base salary for each of Daniel E. Bachus, our Chief Financial Officer, Dr. W. Stan Meyer, our Executive Vice President, and Dr. Kathy Player, President of Grand Canyon University. For each of these named executive officers, the financial metrics will account for 80% of the target bonus, with the revenue target and the Adjusted EBITDA target accounting for 37.5% and 62.5% of such 80%, respectively, and the specific individual performance goals will account for 20% of the target bonus. The actual percentage is determined on the basis of the Company’s achievement of the revenue and Adjusted EBITDA targets that the compensation committee established for the 2009 fiscal year. With respect to these targets, the threshold goal was set using the Company’s budget for the 2009 fiscal year. For participants to earn any payout under the Bonus Plan, the Company must achieve a threshold of 95% of budgeted revenue and Adjusted EBITDA. Assuming these thresholds are achieved, payouts will be made based on a minimum of 95% of budgeted revenue and Adjusted EBITDA and a maximum of 105% of budgeted revenue and 107% of Adjusted EBITDA. Performance between minimum and maximum levels result in prorated payments to plan participants using straight-line interpolation.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360"/>
              <w:spacing w:after="0"/>
              <w:rPr>
                <w:sz w:val="20"/>
                <w:szCs w:val="20"/>
                <w:color w:val="auto"/>
              </w:rPr>
            </w:pPr>
            <w:r>
              <w:rPr>
                <w:rFonts w:ascii="Arial" w:cs="Arial" w:eastAsia="Arial" w:hAnsi="Arial"/>
                <w:sz w:val="18"/>
                <w:szCs w:val="18"/>
                <w:color w:val="auto"/>
                <w:w w:val="99"/>
              </w:rPr>
              <w:t>Shown below is a summary of the matrix:</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Goal</w:t>
            </w:r>
          </w:p>
        </w:tc>
        <w:tc>
          <w:tcPr>
            <w:tcW w:w="260" w:type="dxa"/>
            <w:vAlign w:val="bottom"/>
          </w:tcPr>
          <w:p>
            <w:pPr>
              <w:spacing w:after="0"/>
              <w:rPr>
                <w:sz w:val="24"/>
                <w:szCs w:val="24"/>
                <w:color w:val="auto"/>
              </w:rPr>
            </w:pP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Threshold</w:t>
            </w:r>
          </w:p>
        </w:tc>
        <w:tc>
          <w:tcPr>
            <w:tcW w:w="440" w:type="dxa"/>
            <w:vAlign w:val="bottom"/>
          </w:tcPr>
          <w:p>
            <w:pPr>
              <w:spacing w:after="0"/>
              <w:rPr>
                <w:sz w:val="24"/>
                <w:szCs w:val="24"/>
                <w:color w:val="auto"/>
              </w:rPr>
            </w:pP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Target</w:t>
            </w:r>
          </w:p>
        </w:tc>
        <w:tc>
          <w:tcPr>
            <w:tcW w:w="440" w:type="dxa"/>
            <w:vAlign w:val="bottom"/>
          </w:tcPr>
          <w:p>
            <w:pPr>
              <w:spacing w:after="0"/>
              <w:rPr>
                <w:sz w:val="24"/>
                <w:szCs w:val="24"/>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Maximum</w:t>
            </w:r>
          </w:p>
        </w:tc>
        <w:tc>
          <w:tcPr>
            <w:tcW w:w="160" w:type="dxa"/>
            <w:vAlign w:val="bottom"/>
          </w:tcPr>
          <w:p>
            <w:pPr>
              <w:spacing w:after="0"/>
              <w:rPr>
                <w:sz w:val="24"/>
                <w:szCs w:val="24"/>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 Goal</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95% of budget</w:t>
            </w:r>
          </w:p>
        </w:tc>
        <w:tc>
          <w:tcPr>
            <w:tcW w:w="1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100% of budget</w:t>
            </w:r>
          </w:p>
        </w:tc>
        <w:tc>
          <w:tcPr>
            <w:tcW w:w="1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105% of budget</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8"/>
                <w:szCs w:val="18"/>
                <w:color w:val="auto"/>
              </w:rPr>
            </w:pPr>
          </w:p>
        </w:tc>
        <w:tc>
          <w:tcPr>
            <w:tcW w:w="1900" w:type="dxa"/>
            <w:vAlign w:val="bottom"/>
            <w:gridSpan w:val="2"/>
          </w:tcPr>
          <w:p>
            <w:pPr>
              <w:ind w:left="400"/>
              <w:spacing w:after="0"/>
              <w:rPr>
                <w:sz w:val="20"/>
                <w:szCs w:val="20"/>
                <w:color w:val="auto"/>
              </w:rPr>
            </w:pPr>
            <w:r>
              <w:rPr>
                <w:rFonts w:ascii="Arial" w:cs="Arial" w:eastAsia="Arial" w:hAnsi="Arial"/>
                <w:sz w:val="18"/>
                <w:szCs w:val="18"/>
                <w:color w:val="auto"/>
              </w:rPr>
              <w:t>95% of budget</w:t>
            </w:r>
          </w:p>
        </w:tc>
        <w:tc>
          <w:tcPr>
            <w:tcW w:w="1900" w:type="dxa"/>
            <w:vAlign w:val="bottom"/>
            <w:gridSpan w:val="2"/>
          </w:tcPr>
          <w:p>
            <w:pPr>
              <w:ind w:left="300"/>
              <w:spacing w:after="0"/>
              <w:rPr>
                <w:sz w:val="20"/>
                <w:szCs w:val="20"/>
                <w:color w:val="auto"/>
              </w:rPr>
            </w:pPr>
            <w:r>
              <w:rPr>
                <w:rFonts w:ascii="Arial" w:cs="Arial" w:eastAsia="Arial" w:hAnsi="Arial"/>
                <w:sz w:val="18"/>
                <w:szCs w:val="18"/>
                <w:color w:val="auto"/>
              </w:rPr>
              <w:t>100% of budget</w:t>
            </w: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107% of budget</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Pay-Out as % of Target Bonus</w:t>
            </w:r>
          </w:p>
        </w:tc>
        <w:tc>
          <w:tcPr>
            <w:tcW w:w="2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175" w:lineRule="exact"/>
        <w:rPr>
          <w:sz w:val="20"/>
          <w:szCs w:val="20"/>
          <w:color w:val="auto"/>
        </w:rPr>
      </w:pPr>
    </w:p>
    <w:p>
      <w:pPr>
        <w:jc w:val="both"/>
        <w:ind w:right="559" w:firstLine="747"/>
        <w:spacing w:after="0" w:line="269" w:lineRule="auto"/>
        <w:rPr>
          <w:sz w:val="20"/>
          <w:szCs w:val="20"/>
          <w:color w:val="auto"/>
        </w:rPr>
      </w:pPr>
      <w:r>
        <w:rPr>
          <w:rFonts w:ascii="Arial" w:cs="Arial" w:eastAsia="Arial" w:hAnsi="Arial"/>
          <w:sz w:val="17"/>
          <w:szCs w:val="17"/>
          <w:color w:val="auto"/>
        </w:rPr>
        <w:t>Under the Bonus Plan, the actual bonus that each of these named executive officers could earn for the 2009 fiscal year ranges from 0% to a maximum of 140% of his or her annual target bonus (with such maximum achieved by obtaining the maximum payout for achieving the financial metrics (80% * 150%) and achieving the individual goals (an additional 20%). To illustrate how the 2009 fiscal year Bonus Plan functions, assume that a named executive officer’s base salary for 2009 is $300,000 and that the target bonus is 50% of base salary. Of this target bonus of $150,000, $45,000 (or 37.5% of the 80% subject to achievement of the financial metrics) would be based upon the Company’s achievement of the revenue target, $75,000 (or 62.5% of the 80% subject to the achievement of the financial metrics) would be based on the Company’s achievement of the Adjusted EBITDA target, and $30,000 (20%) would be based on the participant’s achievement of his or her individual performance goals. If the revenue target is achieved at the threshold level (so only 50% of the revenue component is payable at that level), the Adjusted EBITDA target is achieved at the maximum level (so that 150% of the Adjusted EBITDA component is payable at that level), and the specific individual performance goals are met, the participant would be entitled to a potential bonus of $165,000 (calculated as $22,500 plus $112,500 plus $30,000).</w:t>
      </w:r>
    </w:p>
    <w:p>
      <w:pPr>
        <w:spacing w:after="0" w:line="139" w:lineRule="exact"/>
        <w:rPr>
          <w:sz w:val="20"/>
          <w:szCs w:val="20"/>
          <w:color w:val="auto"/>
        </w:rPr>
      </w:pPr>
    </w:p>
    <w:p>
      <w:pPr>
        <w:jc w:val="both"/>
        <w:ind w:right="559" w:firstLine="747"/>
        <w:spacing w:after="0" w:line="279" w:lineRule="auto"/>
        <w:rPr>
          <w:sz w:val="20"/>
          <w:szCs w:val="20"/>
          <w:color w:val="auto"/>
        </w:rPr>
      </w:pPr>
      <w:r>
        <w:rPr>
          <w:rFonts w:ascii="Arial" w:cs="Arial" w:eastAsia="Arial" w:hAnsi="Arial"/>
          <w:sz w:val="17"/>
          <w:szCs w:val="17"/>
          <w:color w:val="auto"/>
        </w:rPr>
        <w:t>The Bonus Plan for eligible senior management other than the named executive officers is similar to the above, except that, for participant’s below the named executive officer level, the bonus will be calculated based on two six-month cycles, such that the determination of the bonus payable for the first half of fiscal 2009 will be determined on the basis of the achievement of the revenue, Adjusted EBITDA and individual performance targets established for each period.</w:t>
      </w:r>
    </w:p>
    <w:p>
      <w:pPr>
        <w:spacing w:after="0" w:line="200" w:lineRule="exact"/>
        <w:rPr>
          <w:sz w:val="20"/>
          <w:szCs w:val="20"/>
          <w:color w:val="auto"/>
        </w:rPr>
      </w:pPr>
    </w:p>
    <w:p>
      <w:pPr>
        <w:spacing w:after="0" w:line="3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both"/>
        <w:ind w:right="559" w:firstLine="747"/>
        <w:spacing w:after="0" w:line="257" w:lineRule="auto"/>
        <w:rPr>
          <w:sz w:val="20"/>
          <w:szCs w:val="20"/>
          <w:color w:val="auto"/>
        </w:rPr>
      </w:pPr>
      <w:r>
        <w:rPr>
          <w:rFonts w:ascii="Arial" w:cs="Arial" w:eastAsia="Arial" w:hAnsi="Arial"/>
          <w:sz w:val="18"/>
          <w:szCs w:val="18"/>
          <w:color w:val="auto"/>
        </w:rPr>
        <w:t>Effective September 1, 2008, the Company appointed Dr. Kathy Player as President of Grand Canyon University. In preparation for the filing of the Company’s proxy statement relating to its 2009 annual meeting of stockholders, the Company determined that Dr. Player will be a named executive officer, as that phrase is defined by the Securities and Exchange Commission, in 2009. A copy of the employment agreement that we entered into with Dr. Player is attached hereto as Exhibit 10.1 and is incorporated by reference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between Grand Canyon Education, Inc. and Dr. Kathy Player, dated September 1, 2008</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jc w:val="center"/>
        <w:ind w:right="142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5440" w:type="dxa"/>
            <w:vAlign w:val="bottom"/>
            <w:gridSpan w:val="2"/>
          </w:tcPr>
          <w:p>
            <w:pPr>
              <w:ind w:left="1120"/>
              <w:spacing w:after="0"/>
              <w:rPr>
                <w:sz w:val="20"/>
                <w:szCs w:val="20"/>
                <w:color w:val="auto"/>
              </w:rPr>
            </w:pPr>
            <w:r>
              <w:rPr>
                <w:rFonts w:ascii="Arial" w:cs="Arial" w:eastAsia="Arial" w:hAnsi="Arial"/>
                <w:sz w:val="18"/>
                <w:szCs w:val="18"/>
                <w:color w:val="auto"/>
              </w:rPr>
              <w:t>GRAND CANYON EDUCATION, INC.</w:t>
            </w:r>
          </w:p>
        </w:tc>
        <w:tc>
          <w:tcPr>
            <w:tcW w:w="2940" w:type="dxa"/>
            <w:vAlign w:val="bottom"/>
          </w:tcPr>
          <w:p>
            <w:pPr>
              <w:spacing w:after="0"/>
              <w:rPr>
                <w:sz w:val="20"/>
                <w:szCs w:val="20"/>
                <w:color w:val="auto"/>
              </w:rPr>
            </w:pPr>
          </w:p>
        </w:tc>
      </w:tr>
      <w:tr>
        <w:trPr>
          <w:trHeight w:val="432"/>
        </w:trPr>
        <w:tc>
          <w:tcPr>
            <w:tcW w:w="3040" w:type="dxa"/>
            <w:vAlign w:val="bottom"/>
          </w:tcPr>
          <w:p>
            <w:pPr>
              <w:ind w:left="340"/>
              <w:spacing w:after="0"/>
              <w:rPr>
                <w:sz w:val="20"/>
                <w:szCs w:val="20"/>
                <w:color w:val="auto"/>
              </w:rPr>
            </w:pPr>
            <w:r>
              <w:rPr>
                <w:rFonts w:ascii="Arial" w:cs="Arial" w:eastAsia="Arial" w:hAnsi="Arial"/>
                <w:sz w:val="18"/>
                <w:szCs w:val="18"/>
                <w:color w:val="auto"/>
              </w:rPr>
              <w:t>Date: March 25, 2009</w:t>
            </w:r>
          </w:p>
        </w:tc>
        <w:tc>
          <w:tcPr>
            <w:tcW w:w="5440" w:type="dxa"/>
            <w:vAlign w:val="bottom"/>
            <w:gridSpan w:val="2"/>
          </w:tcPr>
          <w:p>
            <w:pPr>
              <w:ind w:left="1120"/>
              <w:spacing w:after="0"/>
              <w:rPr>
                <w:sz w:val="20"/>
                <w:szCs w:val="20"/>
                <w:color w:val="auto"/>
              </w:rPr>
            </w:pPr>
            <w:r>
              <w:rPr>
                <w:rFonts w:ascii="Arial" w:cs="Arial" w:eastAsia="Arial" w:hAnsi="Arial"/>
                <w:sz w:val="18"/>
                <w:szCs w:val="18"/>
                <w:color w:val="auto"/>
              </w:rPr>
              <w:t>By: /s/ Daniel E. Bachus</w:t>
            </w:r>
          </w:p>
        </w:tc>
        <w:tc>
          <w:tcPr>
            <w:tcW w:w="2940" w:type="dxa"/>
            <w:vAlign w:val="bottom"/>
          </w:tcPr>
          <w:p>
            <w:pPr>
              <w:spacing w:after="0"/>
              <w:rPr>
                <w:sz w:val="24"/>
                <w:szCs w:val="24"/>
                <w:color w:val="auto"/>
              </w:rPr>
            </w:pPr>
          </w:p>
        </w:tc>
      </w:tr>
      <w:tr>
        <w:trPr>
          <w:trHeight w:val="195"/>
        </w:trPr>
        <w:tc>
          <w:tcPr>
            <w:tcW w:w="3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94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9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4"/>
              </w:rPr>
              <w:t>(Principal Financial and Principal Accounting Officer)</w:t>
            </w:r>
          </w:p>
        </w:tc>
        <w:tc>
          <w:tcPr>
            <w:tcW w:w="2940" w:type="dxa"/>
            <w:vAlign w:val="bottom"/>
          </w:tcPr>
          <w:p>
            <w:pPr>
              <w:spacing w:after="0"/>
              <w:rPr>
                <w:sz w:val="20"/>
                <w:szCs w:val="20"/>
                <w:color w:val="auto"/>
              </w:rPr>
            </w:pPr>
          </w:p>
        </w:tc>
      </w:tr>
      <w:tr>
        <w:trPr>
          <w:trHeight w:val="783"/>
        </w:trPr>
        <w:tc>
          <w:tcPr>
            <w:tcW w:w="3040" w:type="dxa"/>
            <w:vAlign w:val="bottom"/>
          </w:tcPr>
          <w:p>
            <w:pPr>
              <w:spacing w:after="0"/>
              <w:rPr>
                <w:sz w:val="24"/>
                <w:szCs w:val="24"/>
                <w:color w:val="auto"/>
              </w:rPr>
            </w:pPr>
          </w:p>
        </w:tc>
        <w:tc>
          <w:tcPr>
            <w:tcW w:w="5440" w:type="dxa"/>
            <w:vAlign w:val="bottom"/>
            <w:gridSpan w:val="2"/>
          </w:tcPr>
          <w:p>
            <w:pPr>
              <w:jc w:val="right"/>
              <w:ind w:right="3350"/>
              <w:spacing w:after="0"/>
              <w:rPr>
                <w:sz w:val="20"/>
                <w:szCs w:val="20"/>
                <w:color w:val="auto"/>
              </w:rPr>
            </w:pPr>
            <w:r>
              <w:rPr>
                <w:rFonts w:ascii="Arial" w:cs="Arial" w:eastAsia="Arial" w:hAnsi="Arial"/>
                <w:sz w:val="18"/>
                <w:szCs w:val="18"/>
                <w:color w:val="auto"/>
              </w:rPr>
              <w:t>4</w:t>
            </w:r>
          </w:p>
        </w:tc>
        <w:tc>
          <w:tcPr>
            <w:tcW w:w="2940" w:type="dxa"/>
            <w:vAlign w:val="bottom"/>
          </w:tcPr>
          <w:p>
            <w:pPr>
              <w:spacing w:after="0"/>
              <w:rPr>
                <w:sz w:val="24"/>
                <w:szCs w:val="24"/>
                <w:color w:val="auto"/>
              </w:rPr>
            </w:pPr>
          </w:p>
        </w:tc>
      </w:tr>
      <w:tr>
        <w:trPr>
          <w:trHeight w:val="226"/>
        </w:trPr>
        <w:tc>
          <w:tcPr>
            <w:tcW w:w="30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jc w:val="center"/>
              <w:ind w:right="1490"/>
              <w:spacing w:after="0"/>
              <w:rPr>
                <w:sz w:val="20"/>
                <w:szCs w:val="20"/>
                <w:color w:val="auto"/>
              </w:rPr>
            </w:pPr>
            <w:r>
              <w:rPr>
                <w:rFonts w:ascii="Arial" w:cs="Arial" w:eastAsia="Arial" w:hAnsi="Arial"/>
                <w:sz w:val="18"/>
                <w:szCs w:val="18"/>
                <w:color w:val="auto"/>
              </w:rPr>
              <w:t>EXHIBIT INDEX</w:t>
            </w:r>
          </w:p>
        </w:tc>
      </w:tr>
      <w:tr>
        <w:trPr>
          <w:trHeight w:val="414"/>
        </w:trPr>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30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234"/>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300" w:type="dxa"/>
            <w:vAlign w:val="bottom"/>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0"/>
              </w:rPr>
              <w:t>Employment Agreement between Grand Canyon Education, Inc. and Dr. Kathy Player, dated September 1,</w:t>
            </w:r>
          </w:p>
        </w:tc>
      </w:tr>
      <w:tr>
        <w:trPr>
          <w:trHeight w:val="230"/>
        </w:trPr>
        <w:tc>
          <w:tcPr>
            <w:tcW w:w="1280" w:type="dxa"/>
            <w:vAlign w:val="bottom"/>
          </w:tcPr>
          <w:p>
            <w:pPr>
              <w:spacing w:after="0"/>
              <w:rPr>
                <w:sz w:val="20"/>
                <w:szCs w:val="20"/>
                <w:color w:val="auto"/>
              </w:rPr>
            </w:pPr>
          </w:p>
        </w:tc>
        <w:tc>
          <w:tcPr>
            <w:tcW w:w="8040" w:type="dxa"/>
            <w:vAlign w:val="bottom"/>
            <w:gridSpan w:val="2"/>
          </w:tcPr>
          <w:p>
            <w:pPr>
              <w:ind w:left="300"/>
              <w:spacing w:after="0"/>
              <w:rPr>
                <w:sz w:val="20"/>
                <w:szCs w:val="20"/>
                <w:color w:val="auto"/>
              </w:rPr>
            </w:pPr>
            <w:r>
              <w:rPr>
                <w:rFonts w:ascii="Arial" w:cs="Arial" w:eastAsia="Arial" w:hAnsi="Arial"/>
                <w:sz w:val="18"/>
                <w:szCs w:val="18"/>
                <w:color w:val="auto"/>
              </w:rPr>
              <w:t>2008</w:t>
            </w:r>
          </w:p>
        </w:tc>
      </w:tr>
      <w:tr>
        <w:trPr>
          <w:trHeight w:val="783"/>
        </w:trPr>
        <w:tc>
          <w:tcPr>
            <w:tcW w:w="1280" w:type="dxa"/>
            <w:vAlign w:val="bottom"/>
          </w:tcPr>
          <w:p>
            <w:pPr>
              <w:spacing w:after="0"/>
              <w:rPr>
                <w:sz w:val="24"/>
                <w:szCs w:val="24"/>
                <w:color w:val="auto"/>
              </w:rPr>
            </w:pPr>
          </w:p>
        </w:tc>
        <w:tc>
          <w:tcPr>
            <w:tcW w:w="8040" w:type="dxa"/>
            <w:vAlign w:val="bottom"/>
            <w:gridSpan w:val="2"/>
          </w:tcPr>
          <w:p>
            <w:pPr>
              <w:jc w:val="right"/>
              <w:ind w:right="453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9879"/>
          </w:cols>
          <w:pgMar w:left="580" w:top="1341" w:right="1440" w:bottom="1440" w:gutter="0" w:footer="0" w:header="0"/>
        </w:sectPr>
      </w:pPr>
    </w:p>
    <w:bookmarkStart w:id="5" w:name="page6"/>
    <w:bookmarkEnd w:id="5"/>
    <w:p>
      <w:pPr>
        <w:jc w:val="right"/>
        <w:ind w:right="5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EXECUTIVE EMPLOYMENT AGREEMENT</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(President)</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This Executive Employment Agreement (the “Agreement”) is entered into on September 1, 2008, by and between Grand Canyon Education, Inc., a Delaware corporation (the “Company”), and Dr. Kathy Player (“Executive”).</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parties agree as follows:</w:t>
      </w:r>
    </w:p>
    <w:p>
      <w:pPr>
        <w:spacing w:after="0" w:line="185" w:lineRule="exact"/>
        <w:rPr>
          <w:sz w:val="20"/>
          <w:szCs w:val="20"/>
          <w:color w:val="auto"/>
        </w:rPr>
      </w:pPr>
    </w:p>
    <w:p>
      <w:pPr>
        <w:ind w:left="8" w:right="559" w:hanging="8"/>
        <w:spacing w:after="0" w:line="277" w:lineRule="auto"/>
        <w:tabs>
          <w:tab w:leader="none" w:pos="18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employs Executive, and Executive hereby accepts such employment, upon the terms and conditions set forth herein.</w:t>
      </w:r>
    </w:p>
    <w:p>
      <w:pPr>
        <w:spacing w:after="0" w:line="143" w:lineRule="exact"/>
        <w:rPr>
          <w:rFonts w:ascii="Arial" w:cs="Arial" w:eastAsia="Arial" w:hAnsi="Arial"/>
          <w:sz w:val="18"/>
          <w:szCs w:val="18"/>
          <w:color w:val="auto"/>
        </w:rPr>
      </w:pPr>
    </w:p>
    <w:p>
      <w:pPr>
        <w:ind w:left="188" w:hanging="188"/>
        <w:spacing w:after="0"/>
        <w:tabs>
          <w:tab w:leader="none" w:pos="18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73"/>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President of the University and shall have the duties and responsibilities assigned by the Company’s Executive Chairman or Chief Executive Officer as may be reasonably assigned from time to time.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 below.</w:t>
      </w:r>
    </w:p>
    <w:p>
      <w:pPr>
        <w:spacing w:after="0" w:line="148" w:lineRule="exact"/>
        <w:rPr>
          <w:sz w:val="20"/>
          <w:szCs w:val="20"/>
          <w:color w:val="auto"/>
        </w:rPr>
      </w:pPr>
    </w:p>
    <w:p>
      <w:pPr>
        <w:jc w:val="both"/>
        <w:ind w:left="8" w:right="559" w:firstLine="373"/>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Best Efforts/Full-time</w:t>
      </w:r>
      <w:r>
        <w:rPr>
          <w:rFonts w:ascii="Arial" w:cs="Arial" w:eastAsia="Arial" w:hAnsi="Arial"/>
          <w:sz w:val="17"/>
          <w:szCs w:val="17"/>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Company in advance of Executive’s intent to engage in other paid work and receives the Company’s express written consent to do so. Notwithstanding the foregoing, Executive will be permitted to serve as an outside director on the board of directors for corporate, civic, nonprofit or charitable entities, so long as Executive obtains the consent of the Company and provided such entities are not competitive with the Company and subject to the provisions of section 9 below.</w:t>
      </w:r>
    </w:p>
    <w:p>
      <w:pPr>
        <w:spacing w:after="0" w:line="152"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130" w:lineRule="exact"/>
        <w:rPr>
          <w:sz w:val="20"/>
          <w:szCs w:val="20"/>
          <w:color w:val="auto"/>
        </w:rPr>
      </w:pPr>
    </w:p>
    <w:p>
      <w:pPr>
        <w:ind w:left="188" w:hanging="188"/>
        <w:spacing w:after="0"/>
        <w:tabs>
          <w:tab w:leader="none" w:pos="18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Term</w:t>
      </w:r>
      <w:r>
        <w:rPr>
          <w:rFonts w:ascii="Arial" w:cs="Arial" w:eastAsia="Arial" w:hAnsi="Arial"/>
          <w:sz w:val="18"/>
          <w:szCs w:val="18"/>
          <w:color w:val="auto"/>
        </w:rPr>
        <w:t>. The employment relationship pursuant to this Agreement shall be for an initial term commencing on September 1, 2008 (the “Effective Date”) and continuing for a period of four (4) years following such date (“lnitial Term”), unless sooner terminated in accordance with section 7 below.</w:t>
      </w:r>
    </w:p>
    <w:p>
      <w:pPr>
        <w:spacing w:after="0" w:line="154" w:lineRule="exact"/>
        <w:rPr>
          <w:sz w:val="20"/>
          <w:szCs w:val="20"/>
          <w:color w:val="auto"/>
        </w:rPr>
      </w:pPr>
    </w:p>
    <w:p>
      <w:pPr>
        <w:jc w:val="both"/>
        <w:ind w:left="8" w:right="559" w:firstLine="373"/>
        <w:spacing w:after="0" w:line="27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Renewal</w:t>
      </w:r>
      <w:r>
        <w:rPr>
          <w:rFonts w:ascii="Arial" w:cs="Arial" w:eastAsia="Arial" w:hAnsi="Arial"/>
          <w:sz w:val="17"/>
          <w:szCs w:val="17"/>
          <w:color w:val="auto"/>
        </w:rPr>
        <w:t>. On expiration of the Initial Term specified in subsection 3.1 above, this Agreement will automatically renew for subsequent one (1) year terms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unless either party provides thirty (30) days’ advance written notice to the other that the Company or Executive does not wish to renew the Agreement for subsequent Renewal Term. In the event either party gives notice of nonrenewal pursuant to this subsection 3.2, this Agreement will expire at the end of the then current term. The lnitial Term and each subsequent Renewal Term are referred to collectively as the “</w:t>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32" w:lineRule="exact"/>
        <w:rPr>
          <w:sz w:val="20"/>
          <w:szCs w:val="20"/>
          <w:color w:val="auto"/>
        </w:rPr>
      </w:pPr>
    </w:p>
    <w:p>
      <w:pPr>
        <w:ind w:left="188" w:hanging="188"/>
        <w:spacing w:after="0"/>
        <w:tabs>
          <w:tab w:leader="none" w:pos="18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73"/>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Base Salary</w:t>
      </w:r>
      <w:r>
        <w:rPr>
          <w:rFonts w:ascii="Arial" w:cs="Arial" w:eastAsia="Arial" w:hAnsi="Arial"/>
          <w:sz w:val="17"/>
          <w:szCs w:val="17"/>
          <w:color w:val="auto"/>
        </w:rPr>
        <w:t>. As compensation for Executive’s performance of Executive’s duties hereunder, the Company shall pay to Executive an initial Base Salary at the rate of Two-Hundred Seventy-Five Thousand Dollars ($275,000)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Company’s Board of Directors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626110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6" w:name="page7"/>
    <w:bookmarkEnd w:id="6"/>
    <w:p>
      <w:pPr>
        <w:jc w:val="both"/>
        <w:ind w:left="8" w:right="559" w:firstLine="373"/>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Incentive Compensation</w:t>
      </w:r>
      <w:r>
        <w:rPr>
          <w:rFonts w:ascii="Arial" w:cs="Arial" w:eastAsia="Arial" w:hAnsi="Arial"/>
          <w:sz w:val="16"/>
          <w:szCs w:val="16"/>
          <w:color w:val="auto"/>
        </w:rPr>
        <w:t>. For the fiscal year of the Company ending December 31, 2008, and provided Executive remains employed with the Company as of such date, Executive will be eligible to receive a bonus equal to Sixty-Eight Thousand Seven- Hundred Fifty Dollars ($68,750.00) unless the company does not complete an IPO in which case Executive will receive a bonus similar to the bonus paid to other members of the Company’s Cabinet. Thereafter, Executive will be eligible to earn incentive compensation in the form of an annual bonus for each fiscal year of the Company with a target amount of fifty percent (50%) of Executive’s Base Salary. The Compensation Committee will determine the actual amount of the bonus earned for any year, which will be based upon both the Company’s achievement of overall performance metrics for the year and Executive’s achievement of individual performance metrics as agreed upon by the Compensation Committee and the Executive. The Compensation Committee may, in its sole discretion, increase the Executive’s annual bonus above fifty percent (50%) of Base Salary if it determines that the performance of both the Executive and the Company significantly exceed the predetermined metrics. Bonus amounts, if any, are to be awarded annually and payment shall be made within two and one-half months following the end of the applicable Company fiscal year.</w:t>
      </w:r>
    </w:p>
    <w:p>
      <w:pPr>
        <w:spacing w:after="0" w:line="142" w:lineRule="exact"/>
        <w:rPr>
          <w:sz w:val="20"/>
          <w:szCs w:val="20"/>
          <w:color w:val="auto"/>
        </w:rPr>
      </w:pPr>
    </w:p>
    <w:p>
      <w:pPr>
        <w:jc w:val="both"/>
        <w:ind w:left="8" w:right="559" w:hanging="8"/>
        <w:spacing w:after="0" w:line="312" w:lineRule="auto"/>
        <w:tabs>
          <w:tab w:leader="none" w:pos="18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Customary Fringe Benefits</w:t>
      </w:r>
      <w:r>
        <w:rPr>
          <w:rFonts w:ascii="Arial" w:cs="Arial" w:eastAsia="Arial" w:hAnsi="Arial"/>
          <w:sz w:val="16"/>
          <w:szCs w:val="16"/>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06" w:lineRule="exact"/>
        <w:rPr>
          <w:rFonts w:ascii="Arial" w:cs="Arial" w:eastAsia="Arial" w:hAnsi="Arial"/>
          <w:sz w:val="16"/>
          <w:szCs w:val="16"/>
          <w:color w:val="auto"/>
        </w:rPr>
      </w:pPr>
    </w:p>
    <w:p>
      <w:pPr>
        <w:jc w:val="both"/>
        <w:ind w:left="8" w:right="559" w:hanging="8"/>
        <w:spacing w:after="0" w:line="273" w:lineRule="auto"/>
        <w:tabs>
          <w:tab w:leader="none" w:pos="2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137" w:lineRule="exact"/>
        <w:rPr>
          <w:rFonts w:ascii="Arial" w:cs="Arial" w:eastAsia="Arial" w:hAnsi="Arial"/>
          <w:sz w:val="17"/>
          <w:szCs w:val="17"/>
          <w:color w:val="auto"/>
        </w:rPr>
      </w:pPr>
    </w:p>
    <w:p>
      <w:pPr>
        <w:ind w:left="188" w:hanging="188"/>
        <w:spacing w:after="0"/>
        <w:tabs>
          <w:tab w:leader="none" w:pos="18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198" w:lineRule="exact"/>
        <w:rPr>
          <w:sz w:val="20"/>
          <w:szCs w:val="20"/>
          <w:color w:val="auto"/>
        </w:rPr>
      </w:pPr>
    </w:p>
    <w:p>
      <w:pPr>
        <w:jc w:val="both"/>
        <w:ind w:left="8" w:right="559" w:firstLine="373"/>
        <w:spacing w:after="0" w:line="28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w:t>
      </w:r>
    </w:p>
    <w:p>
      <w:pPr>
        <w:spacing w:after="0" w:line="2" w:lineRule="exact"/>
        <w:rPr>
          <w:sz w:val="20"/>
          <w:szCs w:val="20"/>
          <w:color w:val="auto"/>
        </w:rPr>
      </w:pPr>
    </w:p>
    <w:p>
      <w:pPr>
        <w:jc w:val="both"/>
        <w:ind w:left="8" w:right="559" w:hanging="8"/>
        <w:spacing w:after="0" w:line="265" w:lineRule="auto"/>
        <w:tabs>
          <w:tab w:leader="none" w:pos="274"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Executive’s breach of the Company’s Employee Nondisclosure and Assignment Agreement; (d) Executive’s conviction or entry of a plea of nolo contendere for fraud, misappropriation or embezzlement, or any felony or crime of moral turpitude;</w:t>
      </w:r>
    </w:p>
    <w:p>
      <w:pPr>
        <w:jc w:val="both"/>
        <w:ind w:left="8" w:right="559" w:hanging="8"/>
        <w:spacing w:after="0" w:line="285"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Executive’s inability to perform the essential functions of Executive’s position, with or without reasonable accommodation, due to a mental or physical disability; (f) Executive’s willful neglect of duties as determined in the sole and exclusive discretion of the Board of Directors, provided that Executive has received written notice of the action or omission giving rise to such determination and has failed to remedy such situation to the satisfaction of the Board of Directors within thirty (30) days following receipt of such written notice, unless Executive’s action or omission is not subject to cure, in which case no such notice shall be required, or (g) Executive’s death. In the event Executive’s employment is terminated in accordance with this subsection 7.1, Executive shall be entitled to receive only Executive’s Base Salary then in effect, prorated to the date of termination, and all fringe benefits through the date of termination. All other Company obligations to Executive pursuant to this Agreement will be automatically terminated and completely extinguished. Executive will not be entitled to receive the Severance Package described in subsection 7.2 below. Any termination pursuant to this subsection 7.1 shall be evidenced by a resolution or written consent of the Board of Directors of the Company, and the Company shall provide Executive with a copy of such resolution or written consent, certified by the Secretary of the Company, upon Executive’s written request.</w:t>
      </w:r>
    </w:p>
    <w:p>
      <w:pPr>
        <w:spacing w:after="0" w:line="132" w:lineRule="exact"/>
        <w:rPr>
          <w:sz w:val="20"/>
          <w:szCs w:val="20"/>
          <w:color w:val="auto"/>
        </w:rPr>
      </w:pPr>
    </w:p>
    <w:p>
      <w:pPr>
        <w:jc w:val="both"/>
        <w:ind w:left="8" w:right="559" w:firstLine="373"/>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Termination Without Cause by Company/Severance</w:t>
      </w:r>
      <w:r>
        <w:rPr>
          <w:rFonts w:ascii="Arial" w:cs="Arial" w:eastAsia="Arial" w:hAnsi="Arial"/>
          <w:sz w:val="16"/>
          <w:szCs w:val="16"/>
          <w:color w:val="auto"/>
        </w:rPr>
        <w:t>. The Company may terminate Executive’s employment under this Agreement without Cause at any time upon written notice to Executive. In the event of such termination, Executive will receive Executive’s Base Salary then in effect, prorated to the date of termination of employment. In addition, Executive will receive a “</w:t>
      </w:r>
      <w:r>
        <w:rPr>
          <w:rFonts w:ascii="Arial" w:cs="Arial" w:eastAsia="Arial" w:hAnsi="Arial"/>
          <w:sz w:val="16"/>
          <w:szCs w:val="16"/>
          <w:u w:val="single" w:color="auto"/>
          <w:color w:val="auto"/>
        </w:rPr>
        <w:t>Severance Package</w:t>
      </w:r>
      <w:r>
        <w:rPr>
          <w:rFonts w:ascii="Arial" w:cs="Arial" w:eastAsia="Arial" w:hAnsi="Arial"/>
          <w:sz w:val="16"/>
          <w:szCs w:val="16"/>
          <w:color w:val="auto"/>
        </w:rPr>
        <w:t>” that shall include (a) a severance payment equivalent to twelve (12) months of Executive’s Base Salary then in effect on the date of termination, payable in accordance with the Company’s regular payroll cycle commencing with the first payroll date occurring on or after the 60th day following the date of Executive’s termination of employment, and</w:t>
      </w:r>
    </w:p>
    <w:p>
      <w:pPr>
        <w:spacing w:after="0" w:line="5" w:lineRule="exact"/>
        <w:rPr>
          <w:sz w:val="20"/>
          <w:szCs w:val="20"/>
          <w:color w:val="auto"/>
        </w:rPr>
      </w:pPr>
    </w:p>
    <w:p>
      <w:pPr>
        <w:jc w:val="both"/>
        <w:ind w:left="8" w:right="559" w:hanging="8"/>
        <w:spacing w:after="0" w:line="287" w:lineRule="auto"/>
        <w:tabs>
          <w:tab w:leader="none" w:pos="264" w:val="left"/>
        </w:tabs>
        <w:numPr>
          <w:ilvl w:val="0"/>
          <w:numId w:val="8"/>
        </w:numPr>
        <w:rPr>
          <w:rFonts w:ascii="Arial" w:cs="Arial" w:eastAsia="Arial" w:hAnsi="Arial"/>
          <w:sz w:val="16"/>
          <w:szCs w:val="16"/>
          <w:color w:val="auto"/>
        </w:rPr>
      </w:pPr>
      <w:r>
        <w:rPr>
          <w:rFonts w:ascii="Arial" w:cs="Arial" w:eastAsia="Arial" w:hAnsi="Arial"/>
          <w:sz w:val="16"/>
          <w:szCs w:val="16"/>
          <w:color w:val="auto"/>
        </w:rPr>
        <w:t>payment by the Company of the premiums required to continue Executive’s group health care coverage for a period of twelve (1 2) months following Executive’s termination, under the applicable provisions of the Consolidated Omnibus Budget Reconciliation Act (“</w:t>
      </w:r>
      <w:r>
        <w:rPr>
          <w:rFonts w:ascii="Arial" w:cs="Arial" w:eastAsia="Arial" w:hAnsi="Arial"/>
          <w:sz w:val="16"/>
          <w:szCs w:val="16"/>
          <w:u w:val="single" w:color="auto"/>
          <w:color w:val="auto"/>
        </w:rPr>
        <w:t>COBRA</w:t>
      </w:r>
      <w:r>
        <w:rPr>
          <w:rFonts w:ascii="Arial" w:cs="Arial" w:eastAsia="Arial" w:hAnsi="Arial"/>
          <w:sz w:val="16"/>
          <w:szCs w:val="16"/>
          <w:color w:val="auto"/>
        </w:rPr>
        <w:t>”), provided that Executive timely elects to continue and remains eligible for these benefits under COBRA, and does not become eligible for health coverage through another employer during this period. Executive will only receive the Severance Package if Executive: (i) complies with all surviving provisions of this Agreement as specified in subsection 14.8 below; and (ii) executes a full general release, releasing all claims, known or unknown, that Executive may have against the Company arising out of or any way related to Executive’s employment or termination of employment with the Company, and such release has become effective in accordance with its terms prior to the 60th day following the termination date. All other Company obligations to Executive will be automatically terminated and completely extinguished.</w:t>
      </w:r>
    </w:p>
    <w:p>
      <w:pPr>
        <w:spacing w:after="0" w:line="200" w:lineRule="exact"/>
        <w:rPr>
          <w:sz w:val="20"/>
          <w:szCs w:val="20"/>
          <w:color w:val="auto"/>
        </w:rPr>
      </w:pPr>
    </w:p>
    <w:p>
      <w:pPr>
        <w:spacing w:after="0" w:line="331"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7" w:name="page8"/>
    <w:bookmarkEnd w:id="7"/>
    <w:p>
      <w:pPr>
        <w:jc w:val="both"/>
        <w:ind w:left="8" w:right="559" w:firstLine="373"/>
        <w:spacing w:after="0" w:line="28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Reason/Severance</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date of termination of employment, and the Severance Package described in subsection 7.2 above, provided Executive complies with all of the conditions described in subsection 7.2 above. All other Company obligations to Executive pursuant to this Agreement will be automatically terminated and completely extinguished.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w:t>
      </w:r>
    </w:p>
    <w:p>
      <w:pPr>
        <w:spacing w:after="0" w:line="3" w:lineRule="exact"/>
        <w:rPr>
          <w:sz w:val="20"/>
          <w:szCs w:val="20"/>
          <w:color w:val="auto"/>
        </w:rPr>
      </w:pPr>
    </w:p>
    <w:p>
      <w:pPr>
        <w:jc w:val="both"/>
        <w:ind w:left="8" w:right="559" w:hanging="8"/>
        <w:spacing w:after="0" w:line="255" w:lineRule="auto"/>
        <w:tabs>
          <w:tab w:leader="none" w:pos="354" w:val="left"/>
        </w:tabs>
        <w:numPr>
          <w:ilvl w:val="0"/>
          <w:numId w:val="9"/>
        </w:numPr>
        <w:rPr>
          <w:rFonts w:ascii="Arial" w:cs="Arial" w:eastAsia="Arial" w:hAnsi="Arial"/>
          <w:sz w:val="18"/>
          <w:szCs w:val="18"/>
          <w:color w:val="auto"/>
        </w:rPr>
      </w:pPr>
      <w:r>
        <w:rPr>
          <w:rFonts w:ascii="Arial" w:cs="Arial" w:eastAsia="Arial" w:hAnsi="Arial"/>
          <w:sz w:val="18"/>
          <w:szCs w:val="18"/>
          <w:color w:val="auto"/>
        </w:rPr>
        <w:t>miles. Executive will be deemed to have given consent to any condition(s) described in this subsection if Executive does not provide written notice to the Company of his intent to exercise his rights pursuant to this subsection within thirty (30) days following the first occurrence of such condition(s).</w:t>
      </w:r>
    </w:p>
    <w:p>
      <w:pPr>
        <w:spacing w:after="0" w:line="163" w:lineRule="exact"/>
        <w:rPr>
          <w:sz w:val="20"/>
          <w:szCs w:val="20"/>
          <w:color w:val="auto"/>
        </w:rPr>
      </w:pPr>
    </w:p>
    <w:p>
      <w:pPr>
        <w:jc w:val="both"/>
        <w:ind w:left="8" w:right="559" w:firstLine="373"/>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prorated to the date of termination of employment, and all fringe benefits through the date of termination. All other Company obligations to Executive pursuant to this Agreement will be automatically terminated and completely extinguished. In addition, Executive will not be entitled to receive the Severance Package described in subsection 7.2 above.</w:t>
      </w:r>
    </w:p>
    <w:p>
      <w:pPr>
        <w:spacing w:after="0" w:line="138" w:lineRule="exact"/>
        <w:rPr>
          <w:sz w:val="20"/>
          <w:szCs w:val="20"/>
          <w:color w:val="auto"/>
        </w:rPr>
      </w:pPr>
    </w:p>
    <w:p>
      <w:pPr>
        <w:ind w:left="368"/>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65"/>
        <w:spacing w:after="0" w:line="254" w:lineRule="auto"/>
        <w:tabs>
          <w:tab w:leader="none" w:pos="626"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Severance Payment; Option Vesting Acceleration</w:t>
      </w:r>
      <w:r>
        <w:rPr>
          <w:rFonts w:ascii="Arial" w:cs="Arial" w:eastAsia="Arial" w:hAnsi="Arial"/>
          <w:sz w:val="18"/>
          <w:szCs w:val="18"/>
          <w:color w:val="auto"/>
        </w:rPr>
        <w:t>. If, upon or within twelve (12) months after a Change in Control (as that term is defined below), Executive’s employment is terminated by the Company other than for Cause (as defined in subsection 7.1 above) or Executive resigns for Good Reason (as defined in subsection 7.3 above), then (i) Executive shall be entitled to receive (A) Executive’s Base Salary, prorated to the date of termination of employment, and (B) the Severance Package described in subsection 7.2 above, provided Executive complies with all of the conditions described in subsection 7.2 above, and (ii) to the extent not yet vested, any stock options or other equity grants granted to Executive by the Company shall vest in full as of the date of such termination of employment, provided Executive complies with the conditions described in subsection 7.2 above.</w:t>
      </w:r>
    </w:p>
    <w:p>
      <w:pPr>
        <w:spacing w:after="0" w:line="165" w:lineRule="exact"/>
        <w:rPr>
          <w:rFonts w:ascii="Arial" w:cs="Arial" w:eastAsia="Arial" w:hAnsi="Arial"/>
          <w:sz w:val="18"/>
          <w:szCs w:val="18"/>
          <w:color w:val="auto"/>
        </w:rPr>
      </w:pPr>
    </w:p>
    <w:p>
      <w:pPr>
        <w:jc w:val="both"/>
        <w:ind w:left="8" w:right="559" w:firstLine="365"/>
        <w:spacing w:after="0" w:line="257" w:lineRule="auto"/>
        <w:tabs>
          <w:tab w:leader="none" w:pos="663"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 If, due to the benefits provided under subsection 7.5(a) and any other payments or benefits, Executive would be subject to any excise tax pursuant to Section 4999 of the Internal Revenue Code of 1986, as amended (the “Code”) due to characterization of any such amounts as excess parachute payments pursuant to Section 280G of the Code, the amounts payable under subsection 7.5(a) will be reduced (to the least extent possible) in order to avoid any “excess parachute payment” under Section 280G(b)(l) of the Code.</w:t>
      </w:r>
    </w:p>
    <w:p>
      <w:pPr>
        <w:spacing w:after="0" w:line="147" w:lineRule="exact"/>
        <w:rPr>
          <w:rFonts w:ascii="Arial" w:cs="Arial" w:eastAsia="Arial" w:hAnsi="Arial"/>
          <w:sz w:val="18"/>
          <w:szCs w:val="18"/>
          <w:color w:val="auto"/>
        </w:rPr>
      </w:pPr>
    </w:p>
    <w:p>
      <w:pPr>
        <w:ind w:left="628" w:hanging="255"/>
        <w:spacing w:after="0"/>
        <w:tabs>
          <w:tab w:leader="none" w:pos="62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84" w:lineRule="exact"/>
        <w:rPr>
          <w:rFonts w:ascii="Arial" w:cs="Arial" w:eastAsia="Arial" w:hAnsi="Arial"/>
          <w:sz w:val="18"/>
          <w:szCs w:val="18"/>
          <w:color w:val="auto"/>
        </w:rPr>
      </w:pPr>
    </w:p>
    <w:p>
      <w:pPr>
        <w:jc w:val="both"/>
        <w:ind w:left="8" w:right="559" w:firstLine="739"/>
        <w:spacing w:after="0" w:line="283" w:lineRule="auto"/>
        <w:tabs>
          <w:tab w:leader="none" w:pos="991" w:val="left"/>
        </w:tabs>
        <w:numPr>
          <w:ilvl w:val="2"/>
          <w:numId w:val="10"/>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w:t>
      </w:r>
    </w:p>
    <w:p>
      <w:pPr>
        <w:spacing w:after="0" w:line="6" w:lineRule="exact"/>
        <w:rPr>
          <w:rFonts w:ascii="Arial" w:cs="Arial" w:eastAsia="Arial" w:hAnsi="Arial"/>
          <w:sz w:val="16"/>
          <w:szCs w:val="16"/>
          <w:color w:val="auto"/>
        </w:rPr>
      </w:pPr>
    </w:p>
    <w:p>
      <w:pPr>
        <w:ind w:left="8" w:right="559" w:hanging="8"/>
        <w:spacing w:after="0" w:line="261" w:lineRule="auto"/>
        <w:tabs>
          <w:tab w:leader="none" w:pos="2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acquisition of securities by an entity owned directly or indirectly by the stockholders of the Company in substantially the same proportions as their ownership of the voting securities of the Company; or</w:t>
      </w:r>
    </w:p>
    <w:p>
      <w:pPr>
        <w:spacing w:after="0" w:line="200" w:lineRule="exact"/>
        <w:rPr>
          <w:sz w:val="20"/>
          <w:szCs w:val="20"/>
          <w:color w:val="auto"/>
        </w:rPr>
      </w:pPr>
    </w:p>
    <w:p>
      <w:pPr>
        <w:spacing w:after="0" w:line="348"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8" w:name="page9"/>
    <w:bookmarkEnd w:id="8"/>
    <w:p>
      <w:pPr>
        <w:ind w:left="8" w:right="559" w:firstLine="739"/>
        <w:spacing w:after="0" w:line="277" w:lineRule="auto"/>
        <w:tabs>
          <w:tab w:leader="none" w:pos="10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43" w:lineRule="exact"/>
        <w:rPr>
          <w:rFonts w:ascii="Arial" w:cs="Arial" w:eastAsia="Arial" w:hAnsi="Arial"/>
          <w:sz w:val="18"/>
          <w:szCs w:val="18"/>
          <w:color w:val="auto"/>
        </w:rPr>
      </w:pPr>
    </w:p>
    <w:p>
      <w:pPr>
        <w:jc w:val="both"/>
        <w:ind w:left="8" w:right="559" w:firstLine="739"/>
        <w:spacing w:after="0" w:line="279" w:lineRule="auto"/>
        <w:tabs>
          <w:tab w:leader="none" w:pos="10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30" w:lineRule="exact"/>
        <w:rPr>
          <w:rFonts w:ascii="Arial" w:cs="Arial" w:eastAsia="Arial" w:hAnsi="Arial"/>
          <w:sz w:val="17"/>
          <w:szCs w:val="17"/>
          <w:color w:val="auto"/>
        </w:rPr>
      </w:pPr>
    </w:p>
    <w:p>
      <w:pPr>
        <w:ind w:left="1048" w:hanging="301"/>
        <w:spacing w:after="0"/>
        <w:tabs>
          <w:tab w:leader="none" w:pos="10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85" w:lineRule="exact"/>
        <w:rPr>
          <w:sz w:val="20"/>
          <w:szCs w:val="20"/>
          <w:color w:val="auto"/>
        </w:rPr>
      </w:pPr>
    </w:p>
    <w:p>
      <w:pPr>
        <w:jc w:val="both"/>
        <w:ind w:left="8" w:right="559" w:firstLine="373"/>
        <w:spacing w:after="0" w:line="273"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Termination of Employment Upon Nonrenewal</w:t>
      </w:r>
      <w:r>
        <w:rPr>
          <w:rFonts w:ascii="Arial" w:cs="Arial" w:eastAsia="Arial" w:hAnsi="Arial"/>
          <w:sz w:val="17"/>
          <w:szCs w:val="17"/>
          <w:color w:val="auto"/>
        </w:rPr>
        <w:t>. In the event either party decides not to renew this Agreement for a subsequent term in accordance with subsection 3.2 above, this Agreement will expire, Executive’s employment with the Company will terminate and Executive will only be entitled to Executive’s Base Salary then in effect paid through the last day of the then current term. All other Company obligations to Executive pursuant to this Agreement will be automatically terminated and completely extinguished. Executive will not be entitled to receive the Severance Package described in subsection 7.2 above, but shall be subject to the surviving provisions of this Agreement as set forth in section 14.8 below.</w:t>
      </w:r>
    </w:p>
    <w:p>
      <w:pPr>
        <w:spacing w:after="0" w:line="151"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41" w:lineRule="exact"/>
        <w:rPr>
          <w:sz w:val="20"/>
          <w:szCs w:val="20"/>
          <w:color w:val="auto"/>
        </w:rPr>
      </w:pPr>
    </w:p>
    <w:p>
      <w:pPr>
        <w:ind w:left="368"/>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65"/>
        <w:spacing w:after="0" w:line="270" w:lineRule="auto"/>
        <w:tabs>
          <w:tab w:leader="none" w:pos="6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7"/>
          <w:szCs w:val="17"/>
          <w:u w:val="single" w:color="auto"/>
          <w:color w:val="auto"/>
        </w:rPr>
        <w:t>Section 409A Regulations</w:t>
      </w:r>
      <w:r>
        <w:rPr>
          <w:rFonts w:ascii="Arial" w:cs="Arial" w:eastAsia="Arial" w:hAnsi="Arial"/>
          <w:sz w:val="17"/>
          <w:szCs w:val="17"/>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7"/>
          <w:szCs w:val="17"/>
          <w:u w:val="single" w:color="auto"/>
          <w:color w:val="auto"/>
        </w:rPr>
        <w:t>Delayed Payment Date</w:t>
      </w:r>
      <w:r>
        <w:rPr>
          <w:rFonts w:ascii="Arial" w:cs="Arial" w:eastAsia="Arial" w:hAnsi="Arial"/>
          <w:sz w:val="17"/>
          <w:szCs w:val="17"/>
          <w:color w:val="auto"/>
        </w:rPr>
        <w:t>”) which is first day of the seventh month after the date of Executive’s separation from service or, if earlier, the date of Executive’s death following such separation from service. All such amounts that would, but for this subsection, become payable prior to the Delayed Payment Date will be accumulated and paid on the Delayed Payment Date.</w:t>
      </w:r>
    </w:p>
    <w:p>
      <w:pPr>
        <w:spacing w:after="0" w:line="150" w:lineRule="exact"/>
        <w:rPr>
          <w:rFonts w:ascii="Arial" w:cs="Arial" w:eastAsia="Arial" w:hAnsi="Arial"/>
          <w:sz w:val="17"/>
          <w:szCs w:val="17"/>
          <w:color w:val="auto"/>
        </w:rPr>
      </w:pPr>
    </w:p>
    <w:p>
      <w:pPr>
        <w:jc w:val="both"/>
        <w:ind w:left="8" w:right="559" w:firstLine="365"/>
        <w:spacing w:after="0" w:line="255"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However, the Company does not guarantee any particular tax effect for income provided to Executive pursuant to this Agreement. In any event, except 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148" w:lineRule="exact"/>
        <w:rPr>
          <w:rFonts w:ascii="Arial" w:cs="Arial" w:eastAsia="Arial" w:hAnsi="Arial"/>
          <w:sz w:val="18"/>
          <w:szCs w:val="18"/>
          <w:color w:val="auto"/>
        </w:rPr>
      </w:pPr>
    </w:p>
    <w:p>
      <w:pPr>
        <w:jc w:val="both"/>
        <w:ind w:left="8" w:right="559" w:hanging="8"/>
        <w:spacing w:after="0" w:line="255" w:lineRule="auto"/>
        <w:tabs>
          <w:tab w:leader="none" w:pos="18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48" w:lineRule="exact"/>
        <w:rPr>
          <w:rFonts w:ascii="Arial" w:cs="Arial" w:eastAsia="Arial" w:hAnsi="Arial"/>
          <w:sz w:val="18"/>
          <w:szCs w:val="18"/>
          <w:color w:val="auto"/>
        </w:rPr>
      </w:pPr>
    </w:p>
    <w:p>
      <w:pPr>
        <w:ind w:left="8" w:right="559" w:hanging="8"/>
        <w:spacing w:after="0" w:line="277" w:lineRule="auto"/>
        <w:tabs>
          <w:tab w:leader="none" w:pos="18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143" w:lineRule="exact"/>
        <w:rPr>
          <w:sz w:val="20"/>
          <w:szCs w:val="20"/>
          <w:color w:val="auto"/>
        </w:rPr>
      </w:pPr>
    </w:p>
    <w:p>
      <w:pPr>
        <w:jc w:val="both"/>
        <w:ind w:left="8" w:right="559" w:firstLine="373"/>
        <w:spacing w:after="0" w:line="297" w:lineRule="auto"/>
        <w:rPr>
          <w:sz w:val="20"/>
          <w:szCs w:val="20"/>
          <w:color w:val="auto"/>
        </w:rPr>
      </w:pPr>
      <w:r>
        <w:rPr>
          <w:rFonts w:ascii="Arial" w:cs="Arial" w:eastAsia="Arial" w:hAnsi="Arial"/>
          <w:sz w:val="16"/>
          <w:szCs w:val="16"/>
          <w:color w:val="auto"/>
        </w:rPr>
        <w:t>9.1 During the Term of Executive’s employment with the Company,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200" w:lineRule="exact"/>
        <w:rPr>
          <w:sz w:val="20"/>
          <w:szCs w:val="20"/>
          <w:color w:val="auto"/>
        </w:rPr>
      </w:pPr>
    </w:p>
    <w:p>
      <w:pPr>
        <w:spacing w:after="0" w:line="309"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 w:name="page10"/>
    <w:bookmarkEnd w:id="9"/>
    <w:p>
      <w:pPr>
        <w:jc w:val="both"/>
        <w:ind w:left="8" w:right="559" w:firstLine="373"/>
        <w:spacing w:after="0" w:line="271" w:lineRule="auto"/>
        <w:rPr>
          <w:sz w:val="20"/>
          <w:szCs w:val="20"/>
          <w:color w:val="auto"/>
        </w:rPr>
      </w:pPr>
      <w:r>
        <w:rPr>
          <w:rFonts w:ascii="Arial" w:cs="Arial" w:eastAsia="Arial" w:hAnsi="Arial"/>
          <w:sz w:val="17"/>
          <w:szCs w:val="17"/>
          <w:color w:val="auto"/>
        </w:rPr>
        <w:t>9.2 During the Term of Executive’s employment with the Company,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of Executive’s employment with the Company, as may be determined by the Company in its sole discretion. If the Company believes such a conflict exists during the term of this Agreement, the Company may ask Executive to choose to discontinue the other work or activity or resign employment with the Company.</w:t>
      </w:r>
    </w:p>
    <w:p>
      <w:pPr>
        <w:spacing w:after="0" w:line="152"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9.3 During the Term of Executive’s employment with the Company and after the termination thereof, neither Executive nor the Company will disparage each other, or the Company’s products, services, agents or employees.</w:t>
      </w:r>
    </w:p>
    <w:p>
      <w:pPr>
        <w:spacing w:after="0" w:line="130" w:lineRule="exact"/>
        <w:rPr>
          <w:sz w:val="20"/>
          <w:szCs w:val="20"/>
          <w:color w:val="auto"/>
        </w:rPr>
      </w:pPr>
    </w:p>
    <w:p>
      <w:pPr>
        <w:jc w:val="both"/>
        <w:ind w:left="8" w:right="559" w:firstLine="373"/>
        <w:spacing w:after="0" w:line="257" w:lineRule="auto"/>
        <w:rPr>
          <w:sz w:val="20"/>
          <w:szCs w:val="20"/>
          <w:color w:val="auto"/>
        </w:rPr>
      </w:pPr>
      <w:r>
        <w:rPr>
          <w:rFonts w:ascii="Arial" w:cs="Arial" w:eastAsia="Arial" w:hAnsi="Arial"/>
          <w:sz w:val="18"/>
          <w:szCs w:val="18"/>
          <w:color w:val="auto"/>
        </w:rPr>
        <w:t>9.4 During the Term of Executive’s employment with the Company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48" w:lineRule="exact"/>
        <w:rPr>
          <w:sz w:val="20"/>
          <w:szCs w:val="20"/>
          <w:color w:val="auto"/>
        </w:rPr>
      </w:pPr>
    </w:p>
    <w:p>
      <w:pPr>
        <w:ind w:left="8" w:right="559" w:hanging="8"/>
        <w:spacing w:after="0" w:line="308" w:lineRule="auto"/>
        <w:tabs>
          <w:tab w:leader="none" w:pos="27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Confidentiality and Proprietary Rights</w:t>
      </w:r>
      <w:r>
        <w:rPr>
          <w:rFonts w:ascii="Arial" w:cs="Arial" w:eastAsia="Arial" w:hAnsi="Arial"/>
          <w:sz w:val="17"/>
          <w:szCs w:val="17"/>
          <w:color w:val="auto"/>
        </w:rPr>
        <w:t>. Executive agrees to read, sign and abide by the Company’s Employee Nondisclosure and Assignment Agreement, which is provided with this Agreement and incorporated herein by reference.</w:t>
      </w:r>
    </w:p>
    <w:p>
      <w:pPr>
        <w:spacing w:after="0" w:line="119" w:lineRule="exact"/>
        <w:rPr>
          <w:rFonts w:ascii="Arial" w:cs="Arial" w:eastAsia="Arial" w:hAnsi="Arial"/>
          <w:sz w:val="17"/>
          <w:szCs w:val="17"/>
          <w:color w:val="auto"/>
        </w:rPr>
      </w:pPr>
    </w:p>
    <w:p>
      <w:pPr>
        <w:jc w:val="both"/>
        <w:ind w:left="8" w:right="559" w:hanging="8"/>
        <w:spacing w:after="0" w:line="285" w:lineRule="auto"/>
        <w:tabs>
          <w:tab w:leader="none" w:pos="27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29" w:lineRule="exact"/>
        <w:rPr>
          <w:rFonts w:ascii="Arial" w:cs="Arial" w:eastAsia="Arial" w:hAnsi="Arial"/>
          <w:sz w:val="16"/>
          <w:szCs w:val="16"/>
          <w:color w:val="auto"/>
        </w:rPr>
      </w:pPr>
    </w:p>
    <w:p>
      <w:pPr>
        <w:jc w:val="both"/>
        <w:ind w:left="8" w:right="559" w:hanging="8"/>
        <w:spacing w:after="0" w:line="257" w:lineRule="auto"/>
        <w:tabs>
          <w:tab w:leader="none" w:pos="30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Executive acknowledges that Executive’s breach of the covenants contained in sections 9-1 1 hereof (collectively “</w:t>
      </w:r>
      <w:r>
        <w:rPr>
          <w:rFonts w:ascii="Arial" w:cs="Arial" w:eastAsia="Arial" w:hAnsi="Arial"/>
          <w:sz w:val="18"/>
          <w:szCs w:val="18"/>
          <w:u w:val="single" w:color="auto"/>
          <w:color w:val="auto"/>
        </w:rPr>
        <w:t>Covenants</w:t>
      </w:r>
      <w:r>
        <w:rPr>
          <w:rFonts w:ascii="Arial" w:cs="Arial" w:eastAsia="Arial" w:hAnsi="Arial"/>
          <w:sz w:val="18"/>
          <w:szCs w:val="18"/>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47" w:lineRule="exact"/>
        <w:rPr>
          <w:rFonts w:ascii="Arial" w:cs="Arial" w:eastAsia="Arial" w:hAnsi="Arial"/>
          <w:sz w:val="18"/>
          <w:szCs w:val="18"/>
          <w:color w:val="auto"/>
        </w:rPr>
      </w:pPr>
    </w:p>
    <w:p>
      <w:pPr>
        <w:ind w:left="268" w:hanging="268"/>
        <w:spacing w:after="0"/>
        <w:tabs>
          <w:tab w:leader="none" w:pos="26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198" w:lineRule="exact"/>
        <w:rPr>
          <w:sz w:val="20"/>
          <w:szCs w:val="20"/>
          <w:color w:val="auto"/>
        </w:rPr>
      </w:pPr>
    </w:p>
    <w:p>
      <w:pPr>
        <w:ind w:left="8" w:right="559" w:firstLine="373"/>
        <w:spacing w:after="0" w:line="277" w:lineRule="auto"/>
        <w:rPr>
          <w:sz w:val="20"/>
          <w:szCs w:val="20"/>
          <w:color w:val="auto"/>
        </w:rPr>
      </w:pPr>
      <w:r>
        <w:rPr>
          <w:rFonts w:ascii="Arial" w:cs="Arial" w:eastAsia="Arial" w:hAnsi="Arial"/>
          <w:sz w:val="18"/>
          <w:szCs w:val="18"/>
          <w:color w:val="auto"/>
        </w:rPr>
        <w:t>13.1 During the Term of Executive’s employment hereunder, Executive will be covered by the Company’s director and officer insurance policy to the same extent as all other senior executive officers of the Company.</w:t>
      </w:r>
    </w:p>
    <w:p>
      <w:pPr>
        <w:spacing w:after="0" w:line="200" w:lineRule="exact"/>
        <w:rPr>
          <w:sz w:val="20"/>
          <w:szCs w:val="20"/>
          <w:color w:val="auto"/>
        </w:rPr>
      </w:pPr>
    </w:p>
    <w:p>
      <w:pPr>
        <w:spacing w:after="0" w:line="322"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0" w:name="page11"/>
    <w:bookmarkEnd w:id="10"/>
    <w:p>
      <w:pPr>
        <w:jc w:val="both"/>
        <w:ind w:left="8" w:right="559" w:firstLine="373"/>
        <w:spacing w:after="0" w:line="264" w:lineRule="auto"/>
        <w:rPr>
          <w:sz w:val="20"/>
          <w:szCs w:val="20"/>
          <w:color w:val="auto"/>
        </w:rPr>
      </w:pPr>
      <w:r>
        <w:rPr>
          <w:rFonts w:ascii="Arial" w:cs="Arial" w:eastAsia="Arial" w:hAnsi="Arial"/>
          <w:sz w:val="18"/>
          <w:szCs w:val="18"/>
          <w:color w:val="auto"/>
        </w:rPr>
        <w:t>13.2 Following the execution of this Agreement, the Company will execute and deliver a director and officer indemnification agreement with Executive in a form approved by the Board of Directors for the senior executive officers of the Company.</w:t>
      </w:r>
    </w:p>
    <w:p>
      <w:pPr>
        <w:spacing w:after="0" w:line="154" w:lineRule="exact"/>
        <w:rPr>
          <w:sz w:val="20"/>
          <w:szCs w:val="20"/>
          <w:color w:val="auto"/>
        </w:rPr>
      </w:pPr>
    </w:p>
    <w:p>
      <w:pPr>
        <w:ind w:left="268" w:hanging="268"/>
        <w:spacing w:after="0"/>
        <w:tabs>
          <w:tab w:leader="none" w:pos="26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41" w:lineRule="exact"/>
        <w:rPr>
          <w:sz w:val="20"/>
          <w:szCs w:val="20"/>
          <w:color w:val="auto"/>
        </w:rPr>
      </w:pPr>
    </w:p>
    <w:p>
      <w:pPr>
        <w:jc w:val="both"/>
        <w:ind w:left="8" w:right="559" w:firstLine="373"/>
        <w:spacing w:after="0" w:line="34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Waiver</w:t>
      </w:r>
      <w:r>
        <w:rPr>
          <w:rFonts w:ascii="Arial" w:cs="Arial" w:eastAsia="Arial" w:hAnsi="Arial"/>
          <w:sz w:val="16"/>
          <w:szCs w:val="16"/>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97"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30" w:lineRule="exact"/>
        <w:rPr>
          <w:sz w:val="20"/>
          <w:szCs w:val="20"/>
          <w:color w:val="auto"/>
        </w:rPr>
      </w:pPr>
    </w:p>
    <w:p>
      <w:pPr>
        <w:jc w:val="both"/>
        <w:ind w:left="8" w:right="559" w:firstLine="373"/>
        <w:spacing w:after="0" w:line="276"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32" w:lineRule="exact"/>
        <w:rPr>
          <w:sz w:val="20"/>
          <w:szCs w:val="20"/>
          <w:color w:val="auto"/>
        </w:rPr>
      </w:pPr>
    </w:p>
    <w:p>
      <w:pPr>
        <w:jc w:val="both"/>
        <w:ind w:left="8" w:right="559" w:firstLine="373"/>
        <w:spacing w:after="0" w:line="25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66" w:lineRule="exact"/>
        <w:rPr>
          <w:sz w:val="20"/>
          <w:szCs w:val="20"/>
          <w:color w:val="auto"/>
        </w:rPr>
      </w:pPr>
    </w:p>
    <w:p>
      <w:pPr>
        <w:jc w:val="both"/>
        <w:ind w:left="8" w:right="559" w:firstLine="373"/>
        <w:spacing w:after="0" w:line="25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48" w:lineRule="exact"/>
        <w:rPr>
          <w:sz w:val="20"/>
          <w:szCs w:val="20"/>
          <w:color w:val="auto"/>
        </w:rPr>
      </w:pPr>
    </w:p>
    <w:p>
      <w:pPr>
        <w:jc w:val="both"/>
        <w:ind w:left="8" w:right="559" w:firstLine="373"/>
        <w:spacing w:after="0" w:line="288"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w:t>
      </w:r>
    </w:p>
    <w:p>
      <w:pPr>
        <w:ind w:left="8" w:right="559" w:hanging="8"/>
        <w:spacing w:after="0" w:line="261" w:lineRule="auto"/>
        <w:tabs>
          <w:tab w:leader="none" w:pos="2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certified or registered mail, return receipt requested, upon verification of receipt. Notice shall be sent to the addresses set forth under the signatures below, or such other address as either party may specify in writing.</w:t>
      </w:r>
    </w:p>
    <w:p>
      <w:pPr>
        <w:spacing w:after="0" w:line="143" w:lineRule="exact"/>
        <w:rPr>
          <w:sz w:val="20"/>
          <w:szCs w:val="20"/>
          <w:color w:val="auto"/>
        </w:rPr>
      </w:pPr>
    </w:p>
    <w:p>
      <w:pPr>
        <w:jc w:val="both"/>
        <w:ind w:left="8" w:right="559" w:firstLine="373"/>
        <w:spacing w:after="0" w:line="286"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u w:val="single" w:color="auto"/>
          <w:color w:val="auto"/>
        </w:rPr>
        <w:t>Survival</w:t>
      </w:r>
      <w:r>
        <w:rPr>
          <w:rFonts w:ascii="Arial" w:cs="Arial" w:eastAsia="Arial" w:hAnsi="Arial"/>
          <w:sz w:val="17"/>
          <w:szCs w:val="17"/>
          <w:color w:val="auto"/>
        </w:rPr>
        <w:t>. Sections 9 (“Other Covenants”), 10 (“Confidentiality and Proprietary Rights”), 11 (“Non-Competition; Nonsolicitation”), 12 (“Injunctive Relief”), 13 (“Insurance; Indemnification”), 14 (“General Provisions”) and 15 (“Entire Agreement”) of this Agreement shall survive termination of Executive’s employment with the Company.</w:t>
      </w:r>
    </w:p>
    <w:p>
      <w:pPr>
        <w:spacing w:after="0" w:line="139" w:lineRule="exact"/>
        <w:rPr>
          <w:sz w:val="20"/>
          <w:szCs w:val="20"/>
          <w:color w:val="auto"/>
        </w:rPr>
      </w:pPr>
    </w:p>
    <w:p>
      <w:pPr>
        <w:jc w:val="both"/>
        <w:ind w:left="8" w:right="559" w:hanging="8"/>
        <w:spacing w:after="0" w:line="257" w:lineRule="auto"/>
        <w:tabs>
          <w:tab w:leader="none" w:pos="27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Employee Nondisclosure and Assignment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200" w:lineRule="exact"/>
        <w:rPr>
          <w:sz w:val="20"/>
          <w:szCs w:val="20"/>
          <w:color w:val="auto"/>
        </w:rPr>
      </w:pPr>
    </w:p>
    <w:p>
      <w:pPr>
        <w:spacing w:after="0" w:line="339"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1" w:name="page12"/>
    <w:bookmarkEnd w:id="11"/>
    <w:p>
      <w:pPr>
        <w:jc w:val="both"/>
        <w:ind w:right="559"/>
        <w:spacing w:after="0" w:line="264" w:lineRule="auto"/>
        <w:rPr>
          <w:sz w:val="20"/>
          <w:szCs w:val="20"/>
          <w:color w:val="auto"/>
        </w:rPr>
      </w:pPr>
      <w:r>
        <w:rPr>
          <w:rFonts w:ascii="Arial" w:cs="Arial" w:eastAsia="Arial" w:hAnsi="Arial"/>
          <w:sz w:val="18"/>
          <w:szCs w:val="18"/>
          <w:color w:val="auto"/>
        </w:rPr>
        <w:t>THE PARTIES TO THlS AGREEMENT HAVE READ THE FOREGOING AGREEMENT AND FULLY UNDERSTAND EACH AND EVERY PROVISION CONTAINED HEREIN. WHEREFORE, THE PARTIES HAVE EXECUTED THlS AGREEMENT ON THE DATES SHOWN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100" w:type="dxa"/>
            <w:vAlign w:val="bottom"/>
            <w:gridSpan w:val="3"/>
          </w:tcPr>
          <w:p>
            <w:pPr>
              <w:ind w:left="1260"/>
              <w:spacing w:after="0"/>
              <w:rPr>
                <w:sz w:val="20"/>
                <w:szCs w:val="20"/>
                <w:color w:val="auto"/>
              </w:rPr>
            </w:pPr>
            <w:r>
              <w:rPr>
                <w:rFonts w:ascii="Arial" w:cs="Arial" w:eastAsia="Arial" w:hAnsi="Arial"/>
                <w:sz w:val="18"/>
                <w:szCs w:val="18"/>
                <w:b w:val="1"/>
                <w:bCs w:val="1"/>
                <w:color w:val="auto"/>
              </w:rPr>
              <w:t>DR. KATHY PLAYER</w:t>
            </w:r>
          </w:p>
        </w:tc>
        <w:tc>
          <w:tcPr>
            <w:tcW w:w="20" w:type="dxa"/>
            <w:vAlign w:val="bottom"/>
          </w:tcPr>
          <w:p>
            <w:pPr>
              <w:spacing w:after="0"/>
              <w:rPr>
                <w:sz w:val="20"/>
                <w:szCs w:val="20"/>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Dated: September 1, 2008</w:t>
            </w:r>
          </w:p>
        </w:tc>
        <w:tc>
          <w:tcPr>
            <w:tcW w:w="5100" w:type="dxa"/>
            <w:vAlign w:val="bottom"/>
            <w:gridSpan w:val="3"/>
          </w:tcPr>
          <w:p>
            <w:pPr>
              <w:ind w:left="1260"/>
              <w:spacing w:after="0"/>
              <w:rPr>
                <w:sz w:val="20"/>
                <w:szCs w:val="20"/>
                <w:color w:val="auto"/>
              </w:rPr>
            </w:pPr>
            <w:r>
              <w:rPr>
                <w:rFonts w:ascii="Arial" w:cs="Arial" w:eastAsia="Arial" w:hAnsi="Arial"/>
                <w:sz w:val="18"/>
                <w:szCs w:val="18"/>
                <w:color w:val="auto"/>
              </w:rPr>
              <w:t>By: /s/ Dr. Kathy Player</w:t>
            </w:r>
          </w:p>
        </w:tc>
        <w:tc>
          <w:tcPr>
            <w:tcW w:w="20" w:type="dxa"/>
            <w:vAlign w:val="bottom"/>
          </w:tcPr>
          <w:p>
            <w:pPr>
              <w:spacing w:after="0"/>
              <w:rPr>
                <w:sz w:val="24"/>
                <w:szCs w:val="24"/>
                <w:color w:val="auto"/>
              </w:rPr>
            </w:pPr>
          </w:p>
        </w:tc>
      </w:tr>
      <w:tr>
        <w:trPr>
          <w:trHeight w:val="20"/>
        </w:trPr>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2940" w:type="dxa"/>
            <w:vAlign w:val="bottom"/>
          </w:tcPr>
          <w:p>
            <w:pPr>
              <w:spacing w:after="0"/>
              <w:rPr>
                <w:sz w:val="24"/>
                <w:szCs w:val="24"/>
                <w:color w:val="auto"/>
              </w:rPr>
            </w:pPr>
          </w:p>
        </w:tc>
        <w:tc>
          <w:tcPr>
            <w:tcW w:w="5100" w:type="dxa"/>
            <w:vAlign w:val="bottom"/>
            <w:gridSpan w:val="3"/>
          </w:tcPr>
          <w:p>
            <w:pPr>
              <w:ind w:left="1060"/>
              <w:spacing w:after="0"/>
              <w:rPr>
                <w:sz w:val="20"/>
                <w:szCs w:val="20"/>
                <w:color w:val="auto"/>
              </w:rPr>
            </w:pPr>
            <w:r>
              <w:rPr>
                <w:rFonts w:ascii="Arial" w:cs="Arial" w:eastAsia="Arial" w:hAnsi="Arial"/>
                <w:sz w:val="18"/>
                <w:szCs w:val="18"/>
                <w:color w:val="auto"/>
              </w:rPr>
              <w:t>Address: 3300 W. Camelback Road</w:t>
            </w:r>
          </w:p>
        </w:tc>
        <w:tc>
          <w:tcPr>
            <w:tcW w:w="2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Phoenix, Arizona 85017</w:t>
            </w:r>
          </w:p>
        </w:tc>
        <w:tc>
          <w:tcPr>
            <w:tcW w:w="2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100" w:type="dxa"/>
            <w:vAlign w:val="bottom"/>
            <w:gridSpan w:val="3"/>
          </w:tcPr>
          <w:p>
            <w:pPr>
              <w:ind w:left="1160"/>
              <w:spacing w:after="0"/>
              <w:rPr>
                <w:sz w:val="20"/>
                <w:szCs w:val="20"/>
                <w:color w:val="auto"/>
              </w:rPr>
            </w:pPr>
            <w:r>
              <w:rPr>
                <w:rFonts w:ascii="Arial" w:cs="Arial" w:eastAsia="Arial" w:hAnsi="Arial"/>
                <w:sz w:val="18"/>
                <w:szCs w:val="18"/>
                <w:b w:val="1"/>
                <w:bCs w:val="1"/>
                <w:color w:val="auto"/>
              </w:rPr>
              <w:t>GRAND CANYON EDUCATION, INC.</w:t>
            </w:r>
          </w:p>
        </w:tc>
        <w:tc>
          <w:tcPr>
            <w:tcW w:w="20" w:type="dxa"/>
            <w:vAlign w:val="bottom"/>
          </w:tcPr>
          <w:p>
            <w:pPr>
              <w:spacing w:after="0"/>
              <w:rPr>
                <w:sz w:val="24"/>
                <w:szCs w:val="24"/>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Dated: September 1, 2008</w:t>
            </w:r>
          </w:p>
        </w:tc>
        <w:tc>
          <w:tcPr>
            <w:tcW w:w="5100" w:type="dxa"/>
            <w:vAlign w:val="bottom"/>
            <w:gridSpan w:val="3"/>
          </w:tcPr>
          <w:p>
            <w:pPr>
              <w:ind w:left="1160"/>
              <w:spacing w:after="0"/>
              <w:rPr>
                <w:sz w:val="20"/>
                <w:szCs w:val="20"/>
                <w:color w:val="auto"/>
              </w:rPr>
            </w:pPr>
            <w:r>
              <w:rPr>
                <w:rFonts w:ascii="Arial" w:cs="Arial" w:eastAsia="Arial" w:hAnsi="Arial"/>
                <w:sz w:val="18"/>
                <w:szCs w:val="18"/>
                <w:color w:val="auto"/>
              </w:rPr>
              <w:t>By: /s/ Brian E. Mueller</w:t>
            </w:r>
          </w:p>
        </w:tc>
        <w:tc>
          <w:tcPr>
            <w:tcW w:w="20" w:type="dxa"/>
            <w:vAlign w:val="bottom"/>
          </w:tcPr>
          <w:p>
            <w:pPr>
              <w:spacing w:after="0"/>
              <w:rPr>
                <w:sz w:val="24"/>
                <w:szCs w:val="24"/>
                <w:color w:val="auto"/>
              </w:rPr>
            </w:pPr>
          </w:p>
        </w:tc>
      </w:tr>
      <w:tr>
        <w:trPr>
          <w:trHeight w:val="195"/>
        </w:trPr>
        <w:tc>
          <w:tcPr>
            <w:tcW w:w="2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Brian E. Mueller</w:t>
            </w:r>
          </w:p>
        </w:tc>
        <w:tc>
          <w:tcPr>
            <w:tcW w:w="20" w:type="dxa"/>
            <w:vAlign w:val="bottom"/>
            <w:tcBorders>
              <w:top w:val="single" w:sz="8" w:color="auto"/>
            </w:tcBorders>
          </w:tcPr>
          <w:p>
            <w:pPr>
              <w:spacing w:after="0"/>
              <w:rPr>
                <w:sz w:val="16"/>
                <w:szCs w:val="16"/>
                <w:color w:val="auto"/>
              </w:rPr>
            </w:pPr>
          </w:p>
        </w:tc>
      </w:tr>
      <w:tr>
        <w:trPr>
          <w:trHeight w:val="230"/>
        </w:trPr>
        <w:tc>
          <w:tcPr>
            <w:tcW w:w="2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20" w:type="dxa"/>
            <w:vAlign w:val="bottom"/>
          </w:tcPr>
          <w:p>
            <w:pPr>
              <w:spacing w:after="0"/>
              <w:rPr>
                <w:sz w:val="20"/>
                <w:szCs w:val="20"/>
                <w:color w:val="auto"/>
              </w:rPr>
            </w:pPr>
          </w:p>
        </w:tc>
      </w:tr>
      <w:tr>
        <w:trPr>
          <w:trHeight w:val="418"/>
        </w:trPr>
        <w:tc>
          <w:tcPr>
            <w:tcW w:w="2940" w:type="dxa"/>
            <w:vAlign w:val="bottom"/>
          </w:tcPr>
          <w:p>
            <w:pPr>
              <w:spacing w:after="0"/>
              <w:rPr>
                <w:sz w:val="24"/>
                <w:szCs w:val="24"/>
                <w:color w:val="auto"/>
              </w:rPr>
            </w:pPr>
          </w:p>
        </w:tc>
        <w:tc>
          <w:tcPr>
            <w:tcW w:w="5100" w:type="dxa"/>
            <w:vAlign w:val="bottom"/>
            <w:gridSpan w:val="3"/>
          </w:tcPr>
          <w:p>
            <w:pPr>
              <w:ind w:left="1320"/>
              <w:spacing w:after="0"/>
              <w:rPr>
                <w:sz w:val="20"/>
                <w:szCs w:val="20"/>
                <w:color w:val="auto"/>
              </w:rPr>
            </w:pPr>
            <w:r>
              <w:rPr>
                <w:rFonts w:ascii="Arial" w:cs="Arial" w:eastAsia="Arial" w:hAnsi="Arial"/>
                <w:sz w:val="18"/>
                <w:szCs w:val="18"/>
                <w:color w:val="auto"/>
              </w:rPr>
              <w:t>Address:  3300 West Camelback Road</w:t>
            </w:r>
          </w:p>
        </w:tc>
        <w:tc>
          <w:tcPr>
            <w:tcW w:w="2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ind w:left="460"/>
              <w:spacing w:after="0"/>
              <w:rPr>
                <w:sz w:val="20"/>
                <w:szCs w:val="20"/>
                <w:color w:val="auto"/>
              </w:rPr>
            </w:pPr>
            <w:r>
              <w:rPr>
                <w:rFonts w:ascii="Arial" w:cs="Arial" w:eastAsia="Arial" w:hAnsi="Arial"/>
                <w:sz w:val="18"/>
                <w:szCs w:val="18"/>
                <w:color w:val="auto"/>
              </w:rPr>
              <w:t>Phoenix, Arizona 85017</w:t>
            </w:r>
          </w:p>
        </w:tc>
        <w:tc>
          <w:tcPr>
            <w:tcW w:w="20" w:type="dxa"/>
            <w:vAlign w:val="bottom"/>
          </w:tcPr>
          <w:p>
            <w:pPr>
              <w:spacing w:after="0"/>
              <w:rPr>
                <w:sz w:val="20"/>
                <w:szCs w:val="20"/>
                <w:color w:val="auto"/>
              </w:rPr>
            </w:pPr>
          </w:p>
        </w:tc>
      </w:tr>
      <w:tr>
        <w:trPr>
          <w:trHeight w:val="797"/>
        </w:trPr>
        <w:tc>
          <w:tcPr>
            <w:tcW w:w="2940" w:type="dxa"/>
            <w:vAlign w:val="bottom"/>
          </w:tcPr>
          <w:p>
            <w:pPr>
              <w:spacing w:after="0"/>
              <w:rPr>
                <w:sz w:val="24"/>
                <w:szCs w:val="24"/>
                <w:color w:val="auto"/>
              </w:rPr>
            </w:pPr>
          </w:p>
        </w:tc>
        <w:tc>
          <w:tcPr>
            <w:tcW w:w="5100" w:type="dxa"/>
            <w:vAlign w:val="bottom"/>
            <w:gridSpan w:val="3"/>
          </w:tcPr>
          <w:p>
            <w:pPr>
              <w:ind w:left="16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lowerLetter"/>
      <w:start w:val="3"/>
    </w:lvl>
  </w:abstractNum>
  <w:abstractNum w:abstractNumId="6">
    <w:nsid w:val="140E0F76"/>
    <w:multiLevelType w:val="hybridMultilevel"/>
    <w:lvl w:ilvl="0">
      <w:lvlJc w:val="left"/>
      <w:lvlText w:val="(%1)"/>
      <w:numFmt w:val="lowerLetter"/>
      <w:start w:val="5"/>
    </w:lvl>
  </w:abstractNum>
  <w:abstractNum w:abstractNumId="7">
    <w:nsid w:val="3352255A"/>
    <w:multiLevelType w:val="hybridMultilevel"/>
    <w:lvl w:ilvl="0">
      <w:lvlJc w:val="left"/>
      <w:lvlText w:val="(%1)"/>
      <w:numFmt w:val="lowerLetter"/>
      <w:start w:val="2"/>
    </w:lvl>
  </w:abstractNum>
  <w:abstractNum w:abstractNumId="8">
    <w:nsid w:val="109CF92E"/>
    <w:multiLevelType w:val="hybridMultilevel"/>
    <w:lvl w:ilvl="0">
      <w:lvlJc w:val="left"/>
      <w:lvlText w:val="(%1)"/>
      <w:numFmt w:val="decimal"/>
      <w:start w:val="50"/>
    </w:lvl>
  </w:abstractNum>
  <w:abstractNum w:abstractNumId="9">
    <w:nsid w:val="DED726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0">
    <w:nsid w:val="7FDCC233"/>
    <w:multiLevelType w:val="hybridMultilevel"/>
    <w:lvl w:ilvl="0">
      <w:lvlJc w:val="left"/>
      <w:lvlText w:val="(%1)"/>
      <w:numFmt w:val="upperLetter"/>
      <w:start w:val="5"/>
    </w:lvl>
    <w:lvl w:ilvl="1">
      <w:lvlJc w:val="left"/>
      <w:lvlText w:val="%2"/>
      <w:numFmt w:val="lowerLetter"/>
      <w:start w:val="1"/>
    </w:lvl>
    <w:lvl w:ilvl="2">
      <w:lvlJc w:val="left"/>
      <w:lvlText w:val="%3"/>
      <w:numFmt w:val="lowerLetter"/>
      <w:start w:val="1"/>
    </w:lvl>
  </w:abstractNum>
  <w:abstractNum w:abstractNumId="11">
    <w:nsid w:val="1BEFD79F"/>
    <w:multiLevelType w:val="hybridMultilevel"/>
    <w:lvl w:ilvl="0">
      <w:lvlJc w:val="left"/>
      <w:lvlText w:val="(%1)"/>
      <w:numFmt w:val="lowerRoman"/>
      <w:start w:val="2"/>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8"/>
    </w:lvl>
    <w:lvl w:ilvl="1">
      <w:lvlJc w:val="left"/>
      <w:lvlText w:val="%2"/>
      <w:numFmt w:val="lowerLetter"/>
      <w:start w:val="1"/>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decimal"/>
      <w:start w:val="14"/>
    </w:lvl>
  </w:abstractNum>
  <w:abstractNum w:abstractNumId="16">
    <w:nsid w:val="519B500D"/>
    <w:multiLevelType w:val="hybridMultilevel"/>
    <w:lvl w:ilvl="0">
      <w:lvlJc w:val="left"/>
      <w:lvlText w:val="(%1)"/>
      <w:numFmt w:val="lowerLetter"/>
      <w:start w:val="4"/>
    </w:lvl>
  </w:abstractNum>
  <w:abstractNum w:abstractNumId="17">
    <w:nsid w:val="431BD7B7"/>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2019-12-11T03:31:53Z</dcterms:created>
  <dcterms:modified xsi:type="dcterms:W3CDTF">2019-12-11T03:31:53Z</dcterms:modified>
</cp:coreProperties>
</file>