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AND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2015</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3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940" w:type="dxa"/>
        <w:tblCellMar>
          <w:top w:w="0" w:type="dxa"/>
          <w:left w:w="0" w:type="dxa"/>
          <w:bottom w:w="0" w:type="dxa"/>
          <w:right w:w="0" w:type="dxa"/>
        </w:tblCellMar>
      </w:tblPr>
      <w:tr>
        <w:trPr>
          <w:trHeight w:val="214"/>
        </w:trPr>
        <w:tc>
          <w:tcPr>
            <w:tcW w:w="4020" w:type="dxa"/>
            <w:vAlign w:val="bottom"/>
          </w:tcPr>
          <w:p>
            <w:pPr>
              <w:jc w:val="center"/>
              <w:ind w:right="204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8"/>
                <w:szCs w:val="18"/>
                <w:b w:val="1"/>
                <w:bCs w:val="1"/>
                <w:color w:val="auto"/>
                <w:w w:val="98"/>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2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3300 W. Camelback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Arizona 85017</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(602) 639-7500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92"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definitions of “large accelerated filer,” “accelerated filer” and “smaller reporting company” in Rule 12b-2 of the Exchange Act. (Check one):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total number of shares of common stock outstanding as of October 23, 2015, was 47,139,356.</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bl>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20" w:type="dxa"/>
            <w:vAlign w:val="bottom"/>
            <w:gridSpan w:val="18"/>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 FINANCIAL INFORMATION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1020" w:type="dxa"/>
            <w:vAlign w:val="bottom"/>
            <w:gridSpan w:val="18"/>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w:t>
              </w:r>
            </w:hyperlink>
          </w:p>
        </w:tc>
        <w:tc>
          <w:tcPr>
            <w:tcW w:w="786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40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3 Quantitative and Qualitative Disclosures About Market Risk</w:t>
              </w:r>
            </w:hyperlink>
          </w:p>
        </w:tc>
        <w:tc>
          <w:tcPr>
            <w:tcW w:w="61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Item 4 Controls and Procedures</w:t>
              </w:r>
            </w:hyperlink>
          </w:p>
        </w:tc>
        <w:tc>
          <w:tcPr>
            <w:tcW w:w="87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20" w:type="dxa"/>
            <w:vAlign w:val="bottom"/>
            <w:gridSpan w:val="18"/>
          </w:tcPr>
          <w:p>
            <w:pPr>
              <w:spacing w:after="0"/>
              <w:rPr>
                <w:rFonts w:ascii="Times New Roman" w:cs="Times New Roman" w:eastAsia="Times New Roman" w:hAnsi="Times New Roman"/>
                <w:sz w:val="18"/>
                <w:szCs w:val="18"/>
                <w:b w:val="1"/>
                <w:bCs w:val="1"/>
                <w:color w:val="0000EE"/>
              </w:rPr>
            </w:pPr>
            <w:hyperlink w:anchor="page26">
              <w:r>
                <w:rPr>
                  <w:rFonts w:ascii="Times New Roman" w:cs="Times New Roman" w:eastAsia="Times New Roman" w:hAnsi="Times New Roman"/>
                  <w:sz w:val="18"/>
                  <w:szCs w:val="18"/>
                  <w:b w:val="1"/>
                  <w:bCs w:val="1"/>
                  <w:color w:val="0000EE"/>
                </w:rPr>
                <w:t>PART II – OTHER INFORMATION</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Item 1 Legal Proceedings</w:t>
              </w:r>
            </w:hyperlink>
          </w:p>
        </w:tc>
        <w:tc>
          <w:tcPr>
            <w:tcW w:w="1000" w:type="dxa"/>
            <w:vAlign w:val="bottom"/>
            <w:tcBorders>
              <w:top w:val="single" w:sz="8" w:color="0000EE"/>
            </w:tcBorders>
            <w:gridSpan w:val="6"/>
          </w:tcPr>
          <w:p>
            <w:pPr>
              <w:spacing w:after="0"/>
              <w:rPr>
                <w:sz w:val="24"/>
                <w:szCs w:val="24"/>
                <w:color w:val="auto"/>
              </w:rPr>
            </w:pPr>
          </w:p>
        </w:tc>
        <w:tc>
          <w:tcPr>
            <w:tcW w:w="81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Item 1A Risk Factors</w:t>
              </w:r>
            </w:hyperlink>
          </w:p>
        </w:tc>
        <w:tc>
          <w:tcPr>
            <w:tcW w:w="94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2 Unregistered Sales of Equity Securities and Use of Proceeds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3</w:t>
              </w:r>
            </w:hyperlink>
          </w:p>
        </w:tc>
        <w:tc>
          <w:tcPr>
            <w:tcW w:w="4360" w:type="dxa"/>
            <w:vAlign w:val="bottom"/>
            <w:tcBorders>
              <w:top w:val="single" w:sz="8" w:color="0000EE"/>
            </w:tcBorders>
            <w:gridSpan w:val="14"/>
          </w:tcPr>
          <w:p>
            <w:pPr>
              <w:ind w:left="20"/>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Defaults Upon Senior Securities</w:t>
              </w:r>
            </w:hyperlink>
          </w:p>
        </w:tc>
        <w:tc>
          <w:tcPr>
            <w:tcW w:w="61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4</w:t>
              </w:r>
            </w:hyperlink>
          </w:p>
        </w:tc>
        <w:tc>
          <w:tcPr>
            <w:tcW w:w="2340" w:type="dxa"/>
            <w:vAlign w:val="bottom"/>
            <w:tcBorders>
              <w:top w:val="single" w:sz="8" w:color="0000EE"/>
            </w:tcBorders>
            <w:gridSpan w:val="10"/>
          </w:tcPr>
          <w:p>
            <w:pPr>
              <w:ind w:left="20"/>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Mine Safety Disclosures</w:t>
              </w:r>
            </w:hyperlink>
          </w:p>
        </w:tc>
        <w:tc>
          <w:tcPr>
            <w:tcW w:w="81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74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6</w:t>
              </w:r>
            </w:hyperlink>
          </w:p>
        </w:tc>
        <w:tc>
          <w:tcPr>
            <w:tcW w:w="620" w:type="dxa"/>
            <w:vAlign w:val="bottom"/>
            <w:tcBorders>
              <w:bottom w:val="single" w:sz="8" w:color="0000EE"/>
            </w:tcBorders>
            <w:gridSpan w:val="2"/>
          </w:tcPr>
          <w:p>
            <w:pPr>
              <w:ind w:left="20"/>
              <w:spacing w:after="0" w:line="196"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Exhibits</w:t>
              </w:r>
            </w:hyperlink>
          </w:p>
        </w:tc>
        <w:tc>
          <w:tcPr>
            <w:tcW w:w="99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SIGNATURES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76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101.</w:t>
            </w:r>
            <w:r>
              <w:rPr>
                <w:rFonts w:ascii="Times New Roman" w:cs="Times New Roman" w:eastAsia="Times New Roman" w:hAnsi="Times New Roman"/>
                <w:sz w:val="18"/>
                <w:szCs w:val="18"/>
                <w:u w:val="single" w:color="auto"/>
                <w:color w:val="auto"/>
                <w:w w:val="99"/>
              </w:rPr>
              <w:t>INSXBRL</w:t>
            </w:r>
            <w:r>
              <w:rPr>
                <w:rFonts w:ascii="Times New Roman" w:cs="Times New Roman" w:eastAsia="Times New Roman" w:hAnsi="Times New Roman"/>
                <w:sz w:val="18"/>
                <w:szCs w:val="18"/>
                <w:color w:val="auto"/>
                <w:w w:val="99"/>
              </w:rPr>
              <w:t xml:space="preserve"> Instance Document</w:t>
            </w:r>
          </w:p>
        </w:tc>
        <w:tc>
          <w:tcPr>
            <w:tcW w:w="8480" w:type="dxa"/>
            <w:vAlign w:val="bottom"/>
            <w:gridSpan w:val="8"/>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auto"/>
              </w:rPr>
              <w:t>SCHXBRL</w:t>
            </w:r>
            <w:r>
              <w:rPr>
                <w:rFonts w:ascii="Times New Roman" w:cs="Times New Roman" w:eastAsia="Times New Roman" w:hAnsi="Times New Roman"/>
                <w:sz w:val="18"/>
                <w:szCs w:val="18"/>
                <w:color w:val="auto"/>
              </w:rPr>
              <w:t xml:space="preserve"> Taxonomy Extension Schema</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101.CALXBRL Taxonomy Extension Calculation Linkbase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101.LABXBRL Taxonomy Extension Label Linkbase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101.PREXBRL Taxonomy Extension Presentation Linkbase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101.DEFXBRL Taxonomy Extension Definition Linkbase</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20"/>
          </w:cols>
          <w:pgMar w:left="240" w:top="45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60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4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69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4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GRAND CANYON EDUCATION, INC.</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14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Consolidated Income Statements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4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4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4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5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193,393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175,056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562,246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501,082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Instructional costs and services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83,180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237,224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210,239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gridSpan w:val="4"/>
          </w:tcPr>
          <w:p>
            <w:pPr>
              <w:ind w:left="340"/>
              <w:spacing w:after="0" w:line="198" w:lineRule="exact"/>
              <w:rPr>
                <w:sz w:val="20"/>
                <w:szCs w:val="20"/>
                <w:color w:val="auto"/>
              </w:rPr>
            </w:pPr>
            <w:r>
              <w:rPr>
                <w:rFonts w:ascii="Times New Roman" w:cs="Times New Roman" w:eastAsia="Times New Roman" w:hAnsi="Times New Roman"/>
                <w:sz w:val="18"/>
                <w:szCs w:val="18"/>
                <w:color w:val="auto"/>
              </w:rPr>
              <w:t>Admissions advisory and related, including $412 and $762 for the three months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2015 and 2014, respectively, and $1,406 and $2,373 for the nine months ended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2015 and 2014, respectively, to related parties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27,506</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57,810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Marketing and promotional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31,466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29,188</w:t>
            </w:r>
          </w:p>
        </w:tc>
        <w:tc>
          <w:tcPr>
            <w:tcW w:w="0" w:type="dxa"/>
            <w:vAlign w:val="bottom"/>
          </w:tcPr>
          <w:p>
            <w:pPr>
              <w:spacing w:after="0"/>
              <w:rPr>
                <w:sz w:val="1"/>
                <w:szCs w:val="1"/>
                <w:color w:val="auto"/>
              </w:rPr>
            </w:pPr>
          </w:p>
        </w:tc>
      </w:tr>
      <w:tr>
        <w:trPr>
          <w:trHeight w:val="20"/>
        </w:trPr>
        <w:tc>
          <w:tcPr>
            <w:tcW w:w="74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4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144,409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129,100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415,020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373,803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7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48,984</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45,956</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147,226</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127,279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74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4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45,423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146,977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53,680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47,828</w:t>
            </w:r>
          </w:p>
        </w:tc>
        <w:tc>
          <w:tcPr>
            <w:tcW w:w="0" w:type="dxa"/>
            <w:vAlign w:val="bottom"/>
          </w:tcPr>
          <w:p>
            <w:pPr>
              <w:spacing w:after="0"/>
              <w:rPr>
                <w:sz w:val="1"/>
                <w:szCs w:val="1"/>
                <w:color w:val="auto"/>
              </w:rPr>
            </w:pPr>
          </w:p>
        </w:tc>
      </w:tr>
      <w:tr>
        <w:trPr>
          <w:trHeight w:val="20"/>
        </w:trPr>
        <w:tc>
          <w:tcPr>
            <w:tcW w:w="74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4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33,342</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93,297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46,063</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45,651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45,956</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Diluted weighted average shares outstanding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47,320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47,262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18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2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980" w:type="dxa"/>
            <w:vAlign w:val="bottom"/>
            <w:gridSpan w:val="3"/>
            <w:vMerge w:val="continue"/>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70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$33,342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$29,016</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$93,297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$78,373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6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gains (losses) on available-for-sale securities, net of taxes of $74 and $8 for the three</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months ended September 30, 2015 and 2014, respectively, and $7 and $10 for the nine months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ended September 30, 2015 and 2014, respectively</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6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gains (losses) on hedging derivatives, net of taxes of $154 and $39 for the three months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ended September 30, 2015 and 2014, respectively, and $267 and $73 for the nine months ended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September 30, 2015 and 2014, respectively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708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33,203</w:t>
            </w: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29,089</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92,878</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708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080" w:type="dxa"/>
            <w:vAlign w:val="bottom"/>
            <w:shd w:val="clear" w:color="auto" w:fill="CCEEFF"/>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78,177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 cash equivalents and investments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64,737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84,016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9,500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5,651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21,152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19,429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0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263,233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639,631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royalties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2,941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912,611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7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080" w:type="dxa"/>
            <w:vAlign w:val="bottom"/>
            <w:shd w:val="clear" w:color="auto" w:fill="CCEEFF"/>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41,482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21,580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14,819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Student deposits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65,978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86,712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Due to related parties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238,783</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3,689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14,590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 less current portion</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75,759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79,877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0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332,974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279,481</w:t>
            </w:r>
          </w:p>
        </w:tc>
        <w:tc>
          <w:tcPr>
            <w:tcW w:w="0" w:type="dxa"/>
            <w:vAlign w:val="bottom"/>
          </w:tcPr>
          <w:p>
            <w:pPr>
              <w:spacing w:after="0"/>
              <w:rPr>
                <w:sz w:val="1"/>
                <w:szCs w:val="1"/>
                <w:color w:val="auto"/>
              </w:rPr>
            </w:pPr>
          </w:p>
        </w:tc>
      </w:tr>
      <w:tr>
        <w:trPr>
          <w:trHeight w:val="291"/>
        </w:trPr>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 shares authorized; 0 shares issued and outstanding at September 30, 2015 and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December 31, 2014</w:t>
            </w:r>
          </w:p>
        </w:tc>
        <w:tc>
          <w:tcPr>
            <w:tcW w:w="18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 authorized; 50,247 and 49,746 shares issued and 47,138 and 46,744</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at September 30, 2015 and December 31, 2014, respectively</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3,109 and 3,002 shares of common stock at September 30, 2015 and December 31, 2014,</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(58,000)</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173,301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464,288</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579,637</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476,232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0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912,611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5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700" w:type="dxa"/>
            <w:vAlign w:val="bottom"/>
            <w:gridSpan w:val="6"/>
            <w:vMerge w:val="continue"/>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Par Value</w:t>
            </w:r>
          </w:p>
        </w:tc>
        <w:tc>
          <w:tcPr>
            <w:tcW w:w="28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78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49,746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497</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$(53,770)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$158,549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$370,991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$476,232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93,297</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2,869</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benefits</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3,515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(4,230)</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8,368</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1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50,247</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502</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3,109</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(58,000)</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173,301</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464,288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579,637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9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19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4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w:t>
            </w:r>
          </w:p>
        </w:tc>
        <w:tc>
          <w:tcPr>
            <w:tcW w:w="8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93,297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bad debts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11,412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25,360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royalty impairment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including fixed asset impairments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Restricted cash, cash equivalents and investments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(13,307)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Due to/from related parties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Accrued liabilities and employee related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Income taxes receivable/payable</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rent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49,844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Student deposits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91"/>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169,010</w:t>
            </w:r>
          </w:p>
        </w:tc>
        <w:tc>
          <w:tcPr>
            <w:tcW w:w="4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(169,706)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(35,547)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 or maturity of investments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52,315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82,479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(152,938)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(159,923)</w:t>
            </w:r>
          </w:p>
        </w:tc>
        <w:tc>
          <w:tcPr>
            <w:tcW w:w="0" w:type="dxa"/>
            <w:vAlign w:val="bottom"/>
          </w:tcPr>
          <w:p>
            <w:pPr>
              <w:spacing w:after="0"/>
              <w:rPr>
                <w:sz w:val="1"/>
                <w:szCs w:val="1"/>
                <w:color w:val="auto"/>
              </w:rPr>
            </w:pPr>
          </w:p>
        </w:tc>
      </w:tr>
      <w:tr>
        <w:trPr>
          <w:trHeight w:val="291"/>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flows (used in) provided by financing activities:</w:t>
            </w: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notes payable and capital lease obligations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Repurchase of common shares including shares withheld in lieu of income taxes</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proceeds from exercise of stock options</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3,839</w:t>
            </w:r>
          </w:p>
        </w:tc>
        <w:tc>
          <w:tcPr>
            <w:tcW w:w="0" w:type="dxa"/>
            <w:vAlign w:val="bottom"/>
          </w:tcPr>
          <w:p>
            <w:pPr>
              <w:spacing w:after="0"/>
              <w:rPr>
                <w:sz w:val="1"/>
                <w:szCs w:val="1"/>
                <w:color w:val="auto"/>
              </w:rPr>
            </w:pPr>
          </w:p>
        </w:tc>
      </w:tr>
      <w:tr>
        <w:trPr>
          <w:trHeight w:val="291"/>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12,939</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78,177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80" w:type="dxa"/>
            <w:vAlign w:val="bottom"/>
          </w:tcPr>
          <w:p>
            <w:pPr>
              <w:spacing w:after="0"/>
              <w:rPr>
                <w:sz w:val="5"/>
                <w:szCs w:val="5"/>
                <w:color w:val="auto"/>
              </w:rPr>
            </w:pPr>
          </w:p>
        </w:tc>
        <w:tc>
          <w:tcPr>
            <w:tcW w:w="85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54,408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received for income tax refunds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23,212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equipment through capital lease and note payable obligations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 benefit of Spirit warrant intangible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Shortfall tax expense from share-based compensation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5"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Grand Canyon Education, Inc. (together with its subsidiaries, the “University”, “we” or “us”) is a comprehensive regionally accredited university that offers over 160 graduate and undergraduate degree programs across eight colleges both online and on ground at our 200+ acre campus in Phoenix, Arizona, at leased facilities and at facilities owned by third party employers of our students. Our undergraduate programs are designed to be innovative and to meet the future needs of employers, while providing students with the needed critical thinking and effective communication skills developed through a Christian,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The University is accredited by The Higher Learning Commission. The University’s wholly-owned subsidiaries are primarily used to facilitate expansion of the University campus.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University and its wholly-owned subsidiaries. Intercompany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University have been prepared in accordance with U.S. generally accepted accounting principles and pursuant to the rules and regulations of the United States Securities and Exchange Commission and the instructions to Form 10-Q and Article 10 of the Securities Exchange Act of 1934, consistent in all material respects with those applied in its financial statements included in its Annual Report on Form 10-K for the fiscal year ended December 31, 2014.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2014 from which the December 31, 2014 balance sheet information was derived.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Cash Equivalents and Investments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 significant portion of the University’s revenue is received from students who participate in government financial aid and assistance programs. Restricted cash, cash equivalents and investments primarily represent amounts received from the federal and state governments under various student aid grant and loan programs, such as Title IV (“Title IV”) of the Higher Education Act of 1965, as amended (the “Higher Education Act”).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cash equivalents and investments. The majority of these funds remains as restricted for an average of 60 to 90 days from the date of receipt.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University considers its investments in municipal bond, mutual funds and municipal securities as available-for-sale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Receivable</w:t>
      </w:r>
    </w:p>
    <w:p>
      <w:pPr>
        <w:spacing w:after="0" w:line="121" w:lineRule="exact"/>
        <w:rPr>
          <w:sz w:val="20"/>
          <w:szCs w:val="20"/>
          <w:color w:val="auto"/>
        </w:rPr>
      </w:pPr>
    </w:p>
    <w:p>
      <w:pPr>
        <w:ind w:right="180" w:firstLine="456"/>
        <w:spacing w:after="0" w:line="257" w:lineRule="auto"/>
        <w:rPr>
          <w:sz w:val="20"/>
          <w:szCs w:val="20"/>
          <w:color w:val="auto"/>
        </w:rPr>
      </w:pPr>
      <w:r>
        <w:rPr>
          <w:rFonts w:ascii="Times New Roman" w:cs="Times New Roman" w:eastAsia="Times New Roman" w:hAnsi="Times New Roman"/>
          <w:sz w:val="18"/>
          <w:szCs w:val="18"/>
          <w:color w:val="auto"/>
        </w:rPr>
        <w:t>The University purchased a note receivable from a financial institution at fair market value in the fourth quarter of 2012 for $27,000. The note bore interest at 11%, which represented the 6% rate of the loan plus the 5% default rate. The principal and most of the interest due on the note was paid in March 2013 resulting in the full return on investment of the note receivable and an additional gain in interest income and other income of $2,187 on the</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loan. However, the borrower has disputed certain amounts remaining due under the note agreement, including default interest in the amount of $432, a late payment penalty in the amount of $1,392, and a statutory trustee’s fee in the amount of $139. The funds disputed by the borrower, plus interest thereon, were deposited into an escrow account with the clerk of the Maricopa County Superior Court pending resolution of the disputed issues. In the third quarter of 2013, the court ruled in favor of the University with respect to the late penalty and default interest accrued thereon. Accordingly, the University recorded interest and other income of $1,459 for the year ended December 31, 2013. The court ordered the late penalty funds and interest thereon to be released to the University on October 28, 2013 unless prior to said date, borrower filed with the court a formal notice of appeal and simultaneously deposited an additional $344 into escrow with the clerk of the court representing continued interest accruing on the late penalty pending an appeal. On October 28, 2013 borrower deposited with the clerk of the court the required cash bond in the amount of $344 and filed its formal notice of appeal. The briefing and oral argument phases of the appeal have been completed and the University is awaiting a written decision from the Court of Appeals. Following a bench trial, the trial court ruled in favor of the University with respect to remaining default interest and other fees totaling $697. Should the borrower appeal the trial court’s judgment in favor of the University, the $697 will remain on deposit with the clerk of the court, provided the borrower deposits additional interest thereon in an amount determined by the court, as a cash bond pending any appeal.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80"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such institutions are expected to perform fully under the terms of the agreements.</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February 27, 2013, the University entered into an interest rate corridor to manage its 30 Day LIBOR interest exposure related to its variable rate debt. The fair value of the interest rate corridor instrument as of September 30, 2015 and December 31, 2014 was $630 and $1,332, respectively, which is included in other assets. The fair value of this derivative instrument was determined using a hypothetical derivative transaction and Level 2 of the hierarchy of valuation inputs. This derivative instrument was originally designated as a cash flow hedge of variable rate debt obligations. The adjustment of $699 for the nine months ended September 30, 2015, for the effective portion of the loss on the derivative is included as a component of other comprehensive income, net of taxes.</w:t>
      </w:r>
    </w:p>
    <w:p>
      <w:pPr>
        <w:spacing w:after="0" w:line="188"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interest rate corridor instrument reduces variable interest rate risk starting March 1, 2013 through December 20, 2019 with a notional amount of $81,667 as of September 30, 2015.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8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As of September 30, 2015, no derivative ineffectiveness was identified. Any ineffectiveness in the University’s derivative instrument designated as a hedge is reported in interest expense in the income statement. For the nine months ended September 30, 2015, $3 of credit risk was recorded in interest expense for the interest rate corridor. At September 30, 2015, the University does not expect to reclassify gains or losses on derivative instruments from accumulated other comprehensive income (loss) into earnings during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As of September 30, 2015, the carrying value of cash and cash equivalents, investments, accounts receivable, accounts payable and accrued compensation and benefits and accrued liabilities approximate their fair value based on the liquidity or the short-term maturities of these instruments. The carrying value of notes payable approximates fair value as it is based on a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ectPr>
          <w:pgSz w:w="11900" w:h="16838" w:orient="portrait"/>
          <w:cols w:equalWidth="0" w:num="1">
            <w:col w:w="11420"/>
          </w:cols>
          <w:pgMar w:left="240" w:top="455"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fair value of investments, primarily municipal securities (including municipal bond portfolios), were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 Because these securities are held by the University as investments, assessment of non-performance risk is not applicable as such considerations are only applicable in evaluating the fair value measurements for liabilities.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Net revenues consist primarily of tuition and fees derived from courses taught by the University online, on ground at its approximately 200+ acre campus in Phoenix, Arizona, at leased facilities and at facilities owned by third party employers of our students,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nine months ended September 30, 2015 and 2014, the University’s revenue was reduced by approximately $114,660 and $96,188, respectively, as a result of scholarships that the University offered to students. The University also maintains an institutional tuition refund policy, which provides for the refund of all or a portion of a student’s tuition if the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of such money to the Department of Education (a “Return to Title IV”) is required as a result of his or her withdrawal, the University recognizes revenue after a student withdraws only at the time of cash collection.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The University accelerates the write off of inactive student accounts such that the accounts are written off by day 150.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 (other than goodwill)</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The University evaluates the recoverability of our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Instructional Costs and Services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Admissions Advisory and Related</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Admissions advisory and related expenses include salaries and benefits for admissions advisory personnel and revenue share expense. This category also includes an allocation of depreciation, amortization, rent and occupancy costs attributable to the admissions advisory personnel.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Advertising expenses include brand advertising, marketing leads and other branding activities. Advertising costs are expensed as incurred.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Promotional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Marketing and promotional expenses include salaries, benefits and share-based compensation for marketing personnel, and other promotional expenses.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category also includes an allocation of depreciation, amortization, rent, and occupancy costs attributable to marketing and promotional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and promotional costs are expensed as incurred.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121"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“Revenue from Contracts with Customers.”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After the FASB amended the standard in July 2015, the standard is effective for us January 1, 2018 and early adoption is permitted effective January 1, 2017. The University is currently evaluating the impact that the standard will have on our financial condition, results of operations and disclosures.</w:t>
      </w:r>
    </w:p>
    <w:p>
      <w:pPr>
        <w:spacing w:after="0" w:line="182"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April 2015, the FASB issued Accounting Standards Update (ASU) No.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The guidance requires that debt issuance costs related to a recognized debt liability be presented in the balance sheet as a direct deduction from the carrying amount of that debt liability, consistent with debt discounts. The guidance will be effective for the University’s annual reporting period beginning January 1, 2016, and applied on a retrospective basis. Early adoption is also permitted. The University does not expect adoption of this guidance to have a material impact on its financial condition, results of operations, or disclosures.</w:t>
      </w:r>
    </w:p>
    <w:p>
      <w:pPr>
        <w:spacing w:after="0" w:line="1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In April 2015, the FASB issued ASU No. 2015-05, </w:t>
      </w:r>
      <w:r>
        <w:rPr>
          <w:rFonts w:ascii="Times New Roman" w:cs="Times New Roman" w:eastAsia="Times New Roman" w:hAnsi="Times New Roman"/>
          <w:sz w:val="18"/>
          <w:szCs w:val="18"/>
          <w:i w:val="1"/>
          <w:iCs w:val="1"/>
          <w:color w:val="auto"/>
        </w:rPr>
        <w:t>Intangibles-Goodwill and Other-Internal-Use Software, Customer’s Accounting for Fees Paid in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Cloud Computing Arrangement</w:t>
      </w:r>
      <w:r>
        <w:rPr>
          <w:rFonts w:ascii="Times New Roman" w:cs="Times New Roman" w:eastAsia="Times New Roman" w:hAnsi="Times New Roman"/>
          <w:sz w:val="18"/>
          <w:szCs w:val="18"/>
          <w:color w:val="auto"/>
        </w:rPr>
        <w:t>. The guidance requires customers to determine whether a cloud computing arrangement contains a software license.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contains a software license, customers must account for fees related to the software license element in a manner consistent with how the acquisition of other software licenses is accounted for under ASC 350-40; if the arrangement does not contain a software license, customers must account for the arrangement as a service contract. The standard will take effect for the University for the year ending December 31, 2016 and all interim periods therein. Entities may adopt this guidance retrospectively, or prospectively for arrangements entered into, or materially modified, after the standard’s effective date. The University does not expect adoption of this guidance to have a material impact on its financial condition, results of operations, or disclosures.</w:t>
      </w:r>
    </w:p>
    <w:p>
      <w:pPr>
        <w:spacing w:after="0" w:line="185"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University has determined that no other recent accounting pronouncements have a potential material impact to its operations or otherwise would have a material impact on its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summary of amounts included in restricted and unrestricted investments as of September 30, 2015 and December 31, 2014. The University considered all investments as available for sale.</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2015</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9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$ 84,007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94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 mutual fund</w:t>
            </w:r>
          </w:p>
        </w:tc>
        <w:tc>
          <w:tcPr>
            <w:tcW w:w="2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55,621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55,506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restricted and unrestricted investments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139,628</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90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1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$ 83,364</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51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$ 83,238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 mutual fund</w:t>
            </w:r>
          </w:p>
        </w:tc>
        <w:tc>
          <w:tcPr>
            <w:tcW w:w="2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85,386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85,386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restricted and unrestricted investments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168,750</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cash flows of municipal securities are backed by the issuing municipality’s credit worthiness. All municipal securities are due in one year or less as of September 30, 2015. As of September 30, 2015, the net unrealized loss on available-for-sale securities was $64, net of taxes.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Common Share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table below reflects the calculation of the weighted average number of common shares outstanding, on an as if converted basis, used in computing basic and diluted earnings per common share.</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7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280" w:type="dxa"/>
            <w:vAlign w:val="bottom"/>
          </w:tcPr>
          <w:p>
            <w:pPr>
              <w:spacing w:after="0"/>
              <w:rPr>
                <w:sz w:val="15"/>
                <w:szCs w:val="15"/>
                <w:color w:val="auto"/>
              </w:rPr>
            </w:pPr>
          </w:p>
        </w:tc>
        <w:tc>
          <w:tcPr>
            <w:tcW w:w="17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2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46,063</w:t>
            </w:r>
          </w:p>
        </w:tc>
        <w:tc>
          <w:tcPr>
            <w:tcW w:w="3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45,651</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45,956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45,486</w:t>
            </w:r>
          </w:p>
        </w:tc>
      </w:tr>
      <w:tr>
        <w:trPr>
          <w:trHeight w:val="216"/>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stock options and restricted stock</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r>
      <w:tr>
        <w:trPr>
          <w:trHeight w:val="20"/>
        </w:trPr>
        <w:tc>
          <w:tcPr>
            <w:tcW w:w="7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47,320</w:t>
            </w:r>
          </w:p>
        </w:tc>
        <w:tc>
          <w:tcPr>
            <w:tcW w:w="3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47,051</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47,262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46,962</w:t>
            </w:r>
          </w:p>
        </w:tc>
      </w:tr>
      <w:tr>
        <w:trPr>
          <w:trHeight w:val="20"/>
        </w:trPr>
        <w:tc>
          <w:tcPr>
            <w:tcW w:w="7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Diluted weighted average shares outstanding exclude the incremental effect of shares that would be issued upon the assumed exercise of stock options and vesting of restricted stock. For the nine months ended September 30, 2015 and 2014, approximately 373 and 155, respectively, of the University’s stock options outstanding were excluded from the calculation of diluted earnings per share as their inclusion would have been anti-dilutive. These options and restricted stock awards could be dilutive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Allowance for Doubtful Accounts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400" w:type="dxa"/>
            <w:vAlign w:val="bottom"/>
            <w:gridSpan w:val="6"/>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Deductions</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ended September 30, 2015</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11,412</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7"/>
              </w:rPr>
              <w:t>(12,089)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Nine months ended September 30, 2014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9,678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10,835</w:t>
            </w:r>
          </w:p>
        </w:tc>
        <w:tc>
          <w:tcPr>
            <w:tcW w:w="360" w:type="dxa"/>
            <w:vAlign w:val="bottom"/>
          </w:tcPr>
          <w:p>
            <w:pPr>
              <w:spacing w:after="0"/>
              <w:rPr>
                <w:sz w:val="20"/>
                <w:szCs w:val="20"/>
                <w:color w:val="auto"/>
              </w:rPr>
            </w:pPr>
          </w:p>
        </w:tc>
        <w:tc>
          <w:tcPr>
            <w:tcW w:w="112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(13,036)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441"/>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Deductions represent accounts written off, net of recoveries.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9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76,537</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387,988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298,124</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69,071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under capital leases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38,162</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42,776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774,888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591,383</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(135,257)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(113,213)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920" w:type="dxa"/>
            <w:vAlign w:val="bottom"/>
            <w:vMerge w:val="restart"/>
          </w:tcPr>
          <w:p>
            <w:pPr>
              <w:spacing w:after="0"/>
              <w:rPr>
                <w:sz w:val="6"/>
                <w:szCs w:val="6"/>
                <w:color w:val="auto"/>
              </w:rPr>
            </w:pPr>
          </w:p>
        </w:tc>
        <w:tc>
          <w:tcPr>
            <w:tcW w:w="4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639,631</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478,170</w:t>
            </w:r>
          </w:p>
        </w:tc>
        <w:tc>
          <w:tcPr>
            <w:tcW w:w="12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20"/>
          </w:cols>
          <w:pgMar w:left="240" w:top="45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University leases certain land, buildings and equipment under non-cancelable operating leases expiring at various dates through 2022. Future minimum lease payments under operating leases due each year are as follows at September 30, 2015:</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 (remaining three months)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payments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Total rent expense and related taxes and operating expenses under operating leases for the nine months ended September 30, 2015 and 2014 were $5,837 and $6,359,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right="60" w:firstLine="456"/>
        <w:spacing w:after="0" w:line="274" w:lineRule="auto"/>
        <w:rPr>
          <w:sz w:val="20"/>
          <w:szCs w:val="20"/>
          <w:color w:val="auto"/>
        </w:rPr>
      </w:pPr>
      <w:r>
        <w:rPr>
          <w:rFonts w:ascii="Times New Roman" w:cs="Times New Roman" w:eastAsia="Times New Roman" w:hAnsi="Times New Roman"/>
          <w:sz w:val="17"/>
          <w:szCs w:val="17"/>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74"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Reserves, Non-Income Tax Related</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From time to time the University has exposure to various non-income tax related matters that arise in the ordinary course of business. At September 30, 2015 and December 31, 2014, the University reserved approximately $0 and $659, respectively, for tax matters where its ultimate exposure is considered probable and the potential loss can be reasonably estimated.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Plan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2015, the University granted 315 shares of common stock with a service vesting condition to certain of its executives, officers, faculty and employees. The restricted shares have voting rights and vest in five annual installments of 20% starting on March 1, 2016 and each of the four anniversaries of the vesting date following the date of grant. Upon vesting, shares will be held in lieu of taxes equivalent to the minimum statutory tax withholding required to be paid when the restricted stock vests. During the nine months ended September 30, 2015, the University withheld 92 shares of common stock in lieu of taxes at a cost of $4,230 on the restricted stock vesting dates. In May 2015, the University granted 9 shares of common stock to certain of the non-employee members of the University’s board of directors. The restricted shares granted to these directors have voting rights and vest on the earlier of (a) the one year anniversary of the date of grant or (b) immediately prior to the following year’s annual stockholders’ meeting.</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activity related to restricted stock granted under the University’s Incentive Plan since December 31, 2014 is as follows: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3"/>
                <w:szCs w:val="13"/>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2014</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4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2015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nine months ended September 30, 2015, no options were granted. A summary of the activity related to stock options granted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University’s Incentive Plan since December 31, 2014 is as follows: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Summary of Stock Options Outstanding</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540" w:type="dxa"/>
            <w:vAlign w:val="bottom"/>
          </w:tcPr>
          <w:p>
            <w:pPr>
              <w:spacing w:after="0"/>
              <w:rPr>
                <w:sz w:val="10"/>
                <w:szCs w:val="10"/>
                <w:color w:val="auto"/>
              </w:rPr>
            </w:pPr>
          </w:p>
        </w:tc>
        <w:tc>
          <w:tcPr>
            <w:tcW w:w="136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4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2014</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canceled or expired</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30, 2015</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9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52,701</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as of September 30, 2015</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80" w:type="dxa"/>
            <w:vAlign w:val="bottom"/>
            <w:gridSpan w:val="2"/>
            <w:vMerge w:val="continue"/>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9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 for issuance as of September 30, 2015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intrinsic value represents the value of the University’s closing stock price on September 30, 2015 ($37.99) in excess of the exercise price multiplied by the number of shares underlying options outstanding or exercisable, as applicable.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table below outlines share-based compensation expense for the nine months ended September 30, 2015 and 2014 related to restricted stock and stock options granted:</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5"/>
                <w:szCs w:val="15"/>
                <w:color w:val="auto"/>
              </w:rPr>
            </w:pPr>
          </w:p>
        </w:tc>
        <w:tc>
          <w:tcPr>
            <w:tcW w:w="8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Instructional costs and services</w:t>
            </w:r>
          </w:p>
        </w:tc>
        <w:tc>
          <w:tcPr>
            <w:tcW w:w="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$ 5,054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Admissions advisory and related</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promotional</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6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Share-based compensation expense included in operating expenses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share-based compensation</w:t>
            </w:r>
          </w:p>
        </w:tc>
        <w:tc>
          <w:tcPr>
            <w:tcW w:w="15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(3,369)</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75"/>
        </w:trPr>
        <w:tc>
          <w:tcPr>
            <w:tcW w:w="6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Share-based compensation expense, net of tax</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$ 5,054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4240"/>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455" w:right="5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Regulatory</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University is subject to extensive regulation by federal and state governmental agencies and accrediting bodies. In particular,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w:t>
      </w:r>
    </w:p>
    <w:p>
      <w:pPr>
        <w:spacing w:after="0" w:line="17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To participate in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September 30, 2015, management believes the University is in compliance with the applicable regulations in all material respects.</w:t>
      </w:r>
    </w:p>
    <w:p>
      <w:pPr>
        <w:spacing w:after="0" w:line="188"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Because the University operates in a highly regulated industry, like other industry participants, it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Treasury Stock</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Board of Directors has authorized the University to repurchase up to $75,000 in aggregate of common stock, from time to time, depending on market conditions and other considerations. The expiration date on the repurchase authorization has been extended to September 30, 2016.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2,787 shares of common stock at an aggregate cost of $49,135. During the nine months ended September 30, 2015 the University did not repurchase any shares of common stock. At September 30, 2015, there remained $25,865 available under its share repurchase authorization. Shares repurchased in lieu of taxes are not included in the repurchase plan totals as they were approved in conjunction with the restricted share awards.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1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This Quarterly Report on Form 10-Q, including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8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89" w:lineRule="exact"/>
        <w:rPr>
          <w:sz w:val="20"/>
          <w:szCs w:val="20"/>
          <w:color w:val="auto"/>
        </w:rPr>
      </w:pPr>
    </w:p>
    <w:p>
      <w:pPr>
        <w:ind w:left="900" w:right="2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students to obtain federal Title IV funds, state financial aid, and private financing;</w:t>
      </w:r>
    </w:p>
    <w:p>
      <w:pPr>
        <w:spacing w:after="0" w:line="130" w:lineRule="exact"/>
        <w:rPr>
          <w:rFonts w:ascii="Times New Roman" w:cs="Times New Roman" w:eastAsia="Times New Roman" w:hAnsi="Times New Roman"/>
          <w:sz w:val="18"/>
          <w:szCs w:val="18"/>
          <w:color w:val="auto"/>
        </w:rPr>
      </w:pPr>
    </w:p>
    <w:p>
      <w:pPr>
        <w:ind w:left="900" w:right="140" w:hanging="325"/>
        <w:spacing w:after="0" w:line="313"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damage to our reputation or other adverse effects as a result of negative publicity in the media, in the industry or in connection with governmental reports or investigations, lawsuits, or otherwise, affecting us or other companies in the for-profit postsecondary education sector;</w:t>
      </w:r>
    </w:p>
    <w:p>
      <w:pPr>
        <w:spacing w:after="0" w:line="43" w:lineRule="exact"/>
        <w:rPr>
          <w:rFonts w:ascii="Times New Roman" w:cs="Times New Roman" w:eastAsia="Times New Roman" w:hAnsi="Times New Roman"/>
          <w:sz w:val="17"/>
          <w:szCs w:val="17"/>
          <w:color w:val="auto"/>
        </w:rPr>
      </w:pPr>
    </w:p>
    <w:p>
      <w:pPr>
        <w:ind w:left="900" w:right="42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changes in applicable federal and state laws and regulations and accrediting commission standards, including pending rulemaking by the Department of Education;</w:t>
      </w:r>
    </w:p>
    <w:p>
      <w:pPr>
        <w:spacing w:after="0" w:line="67" w:lineRule="exact"/>
        <w:rPr>
          <w:rFonts w:ascii="Times New Roman" w:cs="Times New Roman" w:eastAsia="Times New Roman" w:hAnsi="Times New Roman"/>
          <w:sz w:val="18"/>
          <w:szCs w:val="18"/>
          <w:color w:val="auto"/>
        </w:rPr>
      </w:pPr>
    </w:p>
    <w:p>
      <w:pPr>
        <w:ind w:left="900" w:right="280" w:hanging="325"/>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risks and challenges associated with strategic initiatives, including the potential conversion of our university operations to non-profit status, the expansion of our campus, potential acquisitions of, or investments in, new businesses, acquisitions of new properties, or the development of new campuses;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train new, and develop and train existing employees and faculty;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growth of our enrollment;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prospective students to enrolled students and to retain active students;</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updating and expanding the content of existing programs and developing new programs in a cost-effective manner or on a timely basis;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competition, including competition for students and for qualified executives and other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competitive environment for marketing our programs;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our part to keep up with advances in technology that could enhance the online experience of our students;</w:t>
      </w:r>
    </w:p>
    <w:p>
      <w:pPr>
        <w:spacing w:after="0" w:line="130"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 effectively;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adverse economic conditions or other developments that affect the job prospects of our students.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40"/>
          </w:cols>
          <w:pgMar w:left="240" w:top="455" w:right="3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2014,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40" w:top="455" w:right="3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are a comprehensive regionally accredited university that offers over 160 graduate and undergraduate degree programs across eight colleges both online and on ground at our 200+ acre campus in Phoenix, Arizona, at leased facilities and at facilities owned by third party employers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w:t>
      </w:r>
    </w:p>
    <w:p>
      <w:pPr>
        <w:spacing w:after="0" w:line="188"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End-of-period enrollment increased 10.2% between September 30, 2015 and September 30, 2014, as ground enrollment increased 19.9% and online enrollment increased 7.9%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the public universities in the state of Arizona as an in-state student. Our online students pay tuition and fees in an amount that is often less than the cost of other high service online programs such as ours. For example, our largest local competitor’s undergraduate tuition for online programs ranges from $490 to $553 per credit hour and its graduate tuition for online programs ranges from $492 to $852 per credit hour while our online tuition per credit hour ranges from $355 to $470 for undergraduate programs and $330 to $640 for graduate programs. There are online programs that are less expensive than ours but those programs generally do not provide the full level of support services that we provide to our students.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Net revenues increased 12.2% for the nine months ended September 30, 2015 over the first nine months of the prior year primarily due to the enrollment growth and due to an increase in ancillary revenues resulting from the increased traditional student enrollment (e.g., housing, food, etc.). We did not raise tuition in any of our programs for our 2014-2015 academic year. A tuition increase of approximately 1% was implemented for the majority of online programs for our 2015-2016 academic year. We have not raised our tuition for our traditional ground programs in seven years. Operating income was $147.2 million for the nine months ended September 30, 2015, an increase of 15.7% over the $127.3 million in operating income for the nine months ended September 30, 2014.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student enrollment at September 30, 2015 and 2014 by degree type and by instructional delivery method:</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r>
              <w:rPr>
                <w:rFonts w:ascii="Times New Roman" w:cs="Times New Roman" w:eastAsia="Times New Roman" w:hAnsi="Times New Roman"/>
                <w:sz w:val="12"/>
                <w:szCs w:val="12"/>
                <w:b w:val="1"/>
                <w:bCs w:val="1"/>
                <w:color w:val="auto"/>
              </w:rPr>
              <w:t>(1)</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2014</w:t>
            </w:r>
            <w:r>
              <w:rPr>
                <w:rFonts w:ascii="Times New Roman" w:cs="Times New Roman" w:eastAsia="Times New Roman" w:hAnsi="Times New Roman"/>
                <w:sz w:val="12"/>
                <w:szCs w:val="12"/>
                <w:b w:val="1"/>
                <w:bCs w:val="1"/>
                <w:color w:val="auto"/>
              </w:rPr>
              <w:t>(1)</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gridSpan w:val="4"/>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Students</w:t>
            </w:r>
          </w:p>
        </w:tc>
        <w:tc>
          <w:tcPr>
            <w:tcW w:w="380" w:type="dxa"/>
            <w:vAlign w:val="bottom"/>
            <w:tcBorders>
              <w:bottom w:val="single" w:sz="8" w:color="CCEEFF"/>
            </w:tcBorders>
            <w:gridSpan w:val="2"/>
          </w:tcPr>
          <w:p>
            <w:pPr>
              <w:spacing w:after="0"/>
              <w:rPr>
                <w:sz w:val="15"/>
                <w:szCs w:val="15"/>
                <w:color w:val="auto"/>
              </w:rPr>
            </w:pPr>
          </w:p>
        </w:tc>
        <w:tc>
          <w:tcPr>
            <w:tcW w:w="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Students</w:t>
            </w:r>
          </w:p>
        </w:tc>
        <w:tc>
          <w:tcPr>
            <w:tcW w:w="3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Graduate degrees</w:t>
            </w:r>
            <w:r>
              <w:rPr>
                <w:rFonts w:ascii="Times New Roman" w:cs="Times New Roman" w:eastAsia="Times New Roman" w:hAnsi="Times New Roman"/>
                <w:sz w:val="15"/>
                <w:szCs w:val="15"/>
                <w:color w:val="auto"/>
              </w:rPr>
              <w:t>(2)</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26,007</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Undergraduate degree</w:t>
            </w:r>
          </w:p>
        </w:tc>
        <w:tc>
          <w:tcPr>
            <w:tcW w:w="9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45,771</w:t>
            </w:r>
          </w:p>
        </w:tc>
        <w:tc>
          <w:tcPr>
            <w:tcW w:w="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61.0%</w:t>
            </w:r>
          </w:p>
        </w:tc>
        <w:tc>
          <w:tcPr>
            <w:tcW w:w="94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42,115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75,073</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68,122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2015</w:t>
            </w:r>
            <w:r>
              <w:rPr>
                <w:rFonts w:ascii="Times New Roman" w:cs="Times New Roman" w:eastAsia="Times New Roman" w:hAnsi="Times New Roman"/>
                <w:sz w:val="12"/>
                <w:szCs w:val="12"/>
                <w:b w:val="1"/>
                <w:bCs w:val="1"/>
                <w:color w:val="auto"/>
              </w:rPr>
              <w:t>(1)</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2014</w:t>
            </w:r>
            <w:r>
              <w:rPr>
                <w:rFonts w:ascii="Times New Roman" w:cs="Times New Roman" w:eastAsia="Times New Roman" w:hAnsi="Times New Roman"/>
                <w:sz w:val="12"/>
                <w:szCs w:val="12"/>
                <w:b w:val="1"/>
                <w:bCs w:val="1"/>
                <w:color w:val="auto"/>
              </w:rPr>
              <w:t>(1)</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4"/>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4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5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4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Students</w:t>
            </w:r>
          </w:p>
        </w:tc>
        <w:tc>
          <w:tcPr>
            <w:tcW w:w="38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tcBorders>
              <w:bottom w:val="single" w:sz="8" w:color="CCEEFF"/>
            </w:tcBorders>
            <w:gridSpan w:val="2"/>
          </w:tcPr>
          <w:p>
            <w:pPr>
              <w:spacing w:after="0"/>
              <w:rPr>
                <w:sz w:val="15"/>
                <w:szCs w:val="15"/>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Students</w:t>
            </w:r>
          </w:p>
        </w:tc>
        <w:tc>
          <w:tcPr>
            <w:tcW w:w="400" w:type="dxa"/>
            <w:vAlign w:val="bottom"/>
            <w:tcBorders>
              <w:bottom w:val="single" w:sz="8" w:color="CCEEFF"/>
            </w:tcBorders>
            <w:gridSpan w:val="2"/>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w:t>
            </w:r>
            <w:r>
              <w:rPr>
                <w:rFonts w:ascii="Times New Roman" w:cs="Times New Roman" w:eastAsia="Times New Roman" w:hAnsi="Times New Roman"/>
                <w:sz w:val="15"/>
                <w:szCs w:val="15"/>
                <w:color w:val="auto"/>
              </w:rPr>
              <w:t>(3)</w:t>
            </w:r>
          </w:p>
        </w:tc>
        <w:tc>
          <w:tcPr>
            <w:tcW w:w="5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59,600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79.4%</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55,218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Ground</w:t>
            </w:r>
            <w:r>
              <w:rPr>
                <w:rFonts w:ascii="Times New Roman" w:cs="Times New Roman" w:eastAsia="Times New Roman" w:hAnsi="Times New Roman"/>
                <w:sz w:val="15"/>
                <w:szCs w:val="15"/>
                <w:color w:val="auto"/>
              </w:rPr>
              <w:t>(4)</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15,473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20.6%</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6"/>
              </w:rPr>
              <w:t>12,904</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75,073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68,122</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40" w:hanging="452"/>
        <w:spacing w:after="0" w:line="261" w:lineRule="auto"/>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Enrollment at September 30, 2015 and 2014 represents individual students who attended a course during the last two months of the calendar quarter. Included in enrollment at September 30, 2015 and 2014 are students pursuing non-degree certificates of 716 and 621, respectively.</w:t>
      </w:r>
    </w:p>
    <w:p>
      <w:pPr>
        <w:ind w:left="460" w:hanging="452"/>
        <w:spacing w:after="0"/>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6,259 and 5,336 students pursuing doctoral degrees at September 30, 2015 and 2014, respectively.</w:t>
      </w:r>
    </w:p>
    <w:p>
      <w:pPr>
        <w:spacing w:after="0" w:line="9" w:lineRule="exact"/>
        <w:rPr>
          <w:rFonts w:ascii="Times New Roman" w:cs="Times New Roman" w:eastAsia="Times New Roman" w:hAnsi="Times New Roman"/>
          <w:sz w:val="15"/>
          <w:szCs w:val="15"/>
          <w:color w:val="auto"/>
        </w:rPr>
      </w:pPr>
    </w:p>
    <w:p>
      <w:pPr>
        <w:ind w:left="460" w:right="380" w:hanging="452"/>
        <w:spacing w:after="0" w:line="250" w:lineRule="auto"/>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September 30, 2015 and 2014, 47.5% and 45.2%, respectively, of our working adult students (online and professional studies students) were pursuing graduate degrees.</w:t>
      </w:r>
    </w:p>
    <w:p>
      <w:pPr>
        <w:ind w:left="460" w:hanging="452"/>
        <w:spacing w:after="0"/>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both our traditional on-campus ground students and our professional studies students.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disclosed in our Annual Report on Form 10-K for the fiscal year ended December 31, 2014. During the nine months ended September 30, 2015, there have been no significant changes in our critical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Developments and Challenges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key trends, developments and challenges facing the University are disclosed in our Annual Report on Form 10-K for the fiscal year ended December 31, 2014. During the nine months ended September 30, 2015, there have been no significant changes in these trends. See Item 7, “Management’s Discussion and Analysis of Financial Condition and Results of Operations – Key Trends, Developments and Challenges” in our Annual Report on Form 10-K for our fiscal year ended December 31, 2014, which is incorporated herein by reference.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income statement data as a percentage of net revenue for each of the periods indicated:</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19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9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4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Instructional costs and services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41.0</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42.2</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Admissions advisory and related</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4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15.6</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14.8</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Advertising</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9.4</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and promotional</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4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w:t>
            </w:r>
          </w:p>
        </w:tc>
        <w:tc>
          <w:tcPr>
            <w:tcW w:w="46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73.7</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73.8</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6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26.3</w:t>
            </w: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26.2</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(0.1)</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46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25.9</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26.1</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16.6</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16.6</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2015 Compared to Three Months Ended September 30, 2014</w:t>
      </w:r>
    </w:p>
    <w:p>
      <w:pPr>
        <w:spacing w:after="0" w:line="11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Our net revenue for the three months ended September 30, 2015 was $193.4 million, an increase of $18.3 million, or 10.5%,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net revenue of $175.1 million for the three months ended September 30, 2014. This increase was primarily due to an increase in enrollment and, to a lesser extent, an increase in room and board and other student fees, partially offset by an increase in institutional scholarships. We did not raise tuition in any of our programs for our 2014-2015 academic year. A tuition increase of approximately 1% was implemented for the majority of our online programs for our 2015-2016 academic year. We have not raised our tuition for our traditional ground programs in seven years. End-of-period enrollment increased 10.2% between September 30, 2015 and September 30, 2014, as ground enrollment increased 19.9%, and online enrollment increased 7.9% over the prior year. The majority of the ground enrollment growth between the third quarter of 2014 and the third quarter of 2015 is due to an increase in the number of our residential students at our ground traditional campus in Phoenix, Arizona.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8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t>Instructional costs and services expenses</w:t>
      </w:r>
      <w:r>
        <w:rPr>
          <w:rFonts w:ascii="Times New Roman" w:cs="Times New Roman" w:eastAsia="Times New Roman" w:hAnsi="Times New Roman"/>
          <w:sz w:val="18"/>
          <w:szCs w:val="18"/>
          <w:color w:val="auto"/>
        </w:rPr>
        <w:t>. Our instructional costs and services expenses for the three months ended September 30, 2015 were $83.2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 increase of $11.5 million, or 16.0%, as compared to instructional costs and services expenses of $71.7 million for the three months ended September 30, 2014. This increase was primarily due to increases in employee compensation and related expenses including share based compensation, faculty compensation, dues, fees and subscriptions and other instructional supplies, and depreciation and amortization and occupancy expense, and increases in other instructional related expenses in these categories, of $5.4 million, $1.7 million, $1.6 million, $0.8 million, and $2.0 million, respectively. The increase in employee compensation and related expenses and faculty compensation are primarily due to the increase in the number of staff and faculty needed to support the increasing number of students attending the University. In addition, we have incurred an increase in employee benefit costs between years. The increase in dues, fees, subscriptions and other instructional supplies is primarily due to increased licensing fees related to educational resources and increased food costs associated with a higher number of residential students. The increase in depreciation and amortization and occupancy costs is the result of our placing into service additional buildings in the Fall of 2015 and 2014 to support the growing number of ground traditional students. Other instructional costs and services during the three months ended September 30, 2015 and 2014 include $1.2 million and $0.4 million, respectively, of fixed asset disposals related to the removal of older campus buildings as those buildings will be replaced with new campus infrastructure. Our instructional costs and services expenses as a percentage of net revenues increased 2.0% to 43.0% for the three months ended September 30, 2015, from 41.0% for the three months ended September 30, 2014 primarily due to increases in employee compensation and related expenses and other instructional related expenses as a percentage of revenue between years. The increase in employee compensation and related expenses as a percentage of revenue is primarily due to headcount increases needed to support the increasing number of ground traditional students. We expect these costs to continue to grow, as a percentage of revenue, on a year over year basis in the second and third fiscal quarters as revenues are lowest in these quarters due to the seasonal enrollment decline in these students between Spring and Fall semesters as only a small percentage take classes in the Summer, whereas most of the payroll costs are fixed. The increase in other instructional related expenses as a percentage of revenue between years is primarily due to the increase in the fixed asset disposals. Bad debt expense improved from 2.2% of net revenues for the three months ended September 30, 2014 to 2.1% for the three months ended September 30, 2015, which resulted primarily from improved student retention and improved collection efforts.</w:t>
      </w:r>
    </w:p>
    <w:p>
      <w:pPr>
        <w:sectPr>
          <w:pgSz w:w="11900" w:h="16838" w:orient="portrait"/>
          <w:cols w:equalWidth="0" w:num="1">
            <w:col w:w="11420"/>
          </w:cols>
          <w:pgMar w:left="240" w:top="455" w:right="239" w:bottom="77"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77"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Admissions advisory and related expenses</w:t>
      </w:r>
      <w:r>
        <w:rPr>
          <w:rFonts w:ascii="Times New Roman" w:cs="Times New Roman" w:eastAsia="Times New Roman" w:hAnsi="Times New Roman"/>
          <w:sz w:val="18"/>
          <w:szCs w:val="18"/>
          <w:color w:val="auto"/>
        </w:rPr>
        <w:t>. Our admissions advisory and related expenses for the three months ended September 30, 2015 were $27.5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 increase of $0.2 million, or 0.7%, as compared to admissions advisory and related expenses of $27.3 million for the three months ended September 30, 2014. This increase is primarily the result of increases in employee compensation and related expenses including share based compensation primarily due to increased headcount between years of $1.1 million, partially offset by a decrease in other admissions advisory related expenses of $0.9 million between years. Our admissions advisory and related expenses as a percentage of revenue decreased 1.4% to 14.2% for the three months ended September 30, 2015, from 15.6% for the three months ended September 30, 2014 primarily due to our ability to leverage our admissions advisory personnel across an increasing revenue base.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Advertising expenses</w:t>
      </w:r>
      <w:r>
        <w:rPr>
          <w:rFonts w:ascii="Times New Roman" w:cs="Times New Roman" w:eastAsia="Times New Roman" w:hAnsi="Times New Roman"/>
          <w:sz w:val="18"/>
          <w:szCs w:val="18"/>
          <w:color w:val="auto"/>
        </w:rPr>
        <w:t>. Our advertising expenses for the three months ended September 30, 2015 were $19.4 million, an increase of $2.9 million,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17.4%, as compared to advertising expenses of $16.5 million for the three months ended September 30, 2014. This increase is primarily the result of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media and branding advertising focused on the southwestern United States region. Our advertising expenses as a percentage of net revenue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0.6% to 10.0% for the three months ended September 30, 2015, from 9.4% for the three months ended September 30, 2014 as we have intentionally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our advertising spend to increase brand awareness.</w:t>
      </w:r>
    </w:p>
    <w:p>
      <w:pPr>
        <w:spacing w:after="0" w:line="205"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Marketing and promotional expenses</w:t>
      </w:r>
      <w:r>
        <w:rPr>
          <w:rFonts w:ascii="Times New Roman" w:cs="Times New Roman" w:eastAsia="Times New Roman" w:hAnsi="Times New Roman"/>
          <w:sz w:val="18"/>
          <w:szCs w:val="18"/>
          <w:color w:val="auto"/>
        </w:rPr>
        <w:t>. Our marketing and promotional expenses for the three months ended September 30, 2015 were $1.8 million,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$0.1 million, or 5.3%, as compared to marketing and promotional expenses of $1.9 million for the three months ended September 30, 2014. This decrease is primarily the result of decreases in other promotional expenses between years. Our marketing and promotional expenses as a percentage of net revenue decreased 0.2% to 0.9% for the three months ended September 30, 2015, from 1.1% for the three months ended September 30, 2014.</w:t>
      </w:r>
    </w:p>
    <w:p>
      <w:pPr>
        <w:spacing w:after="0" w:line="18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for the three months ended September 30, 2015 were $12.5 million,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$0.9 million, or 7.7%, as compared to general and administrative expenses of $11.6 million for the three months ended September 30, 2014. This increase was primarily due to increases in legal, audit and insurance expenses and our continued increases in charitable contributions including the funding of the rehabilitation of residential neighborhoods near our Phoenix, Arizona campus. During both the third quarter of 2015 and 2014 we contributed $2.8 million to private school tuition organizations in lieu of state income taxes. Our general and administrative expenses as a percentage of net revenue decreased by 0.1% to 6.5% for the three months ended September 30, 2015, from 6.6% for the three months ended September 30, 2014.</w:t>
      </w:r>
    </w:p>
    <w:p>
      <w:pPr>
        <w:spacing w:after="0" w:line="183"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the three months ended September 30, 2015 was $0.3 million, a decrease of $0.3 million, as compared to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$0.6 million for the three months ended September 30, 2014. This decrease was primarily due to an increase in ongoing construction projects, resulting in higher capitalized interest and a decrease in the average balance of our credit facility between periods due to scheduled monthly principal payments. Our interest expense decreased as a percentage of net revenue by 0.1% to 0.2% for the three months ended September 30, 2015, from 0.3% for the three months ended September 30, 2014.</w:t>
      </w:r>
    </w:p>
    <w:p>
      <w:pPr>
        <w:spacing w:after="0" w:line="180" w:lineRule="exact"/>
        <w:rPr>
          <w:sz w:val="20"/>
          <w:szCs w:val="20"/>
          <w:color w:val="auto"/>
        </w:rPr>
      </w:pPr>
    </w:p>
    <w:p>
      <w:pPr>
        <w:jc w:val="both"/>
        <w:ind w:right="1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Interest and other income for the three months ended September 30, 2015 was $0.2 million, an increase of $0.2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interest and other income of $0.0 million in the three months ended September 30, 2014. The increase was primarily due to average investment balances and higher investment returns period over period.</w:t>
      </w:r>
    </w:p>
    <w:p>
      <w:pPr>
        <w:spacing w:after="0" w:line="174"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for the three months ended September 30, 2015 was $15.5 million, a decrease of $0.9 million, or 5.3%,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income tax expense of $16.4 million for the three months ended September 30, 2014. Our effective tax rate was 31.8% during the third quarter of 2015 compared to 36.1% during the third quarter of 2014. The variance in the effective tax rate is attributable to non-recurring favorable items in the third quarter of 2015. The tax rate for both periods is less than the annual effective tax rates due to the contributions made in lieu of state income taxes in the third quarter of both years.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4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Our net income for the three months ended September 30, 2015 was $33.3 million, an increase of $4.3 million, as compared to $29.0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2014, due to the factors discussed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2015 Compared to Nine Months Ended September 30, 2014</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Our net revenue for the nine months ended September 30, 2015 was $562.2 million, an increase of $61.1 million, or 12.2%,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net revenue of $501.1 million for the nine months ended September 30, 2014. This increase was primarily due to an increase in enrollment and, to a lesser extent, an increase in room and board and other student fees, partially offset by an increase in institutional scholarships. We did not raise tuition in any of our programs for our 2014-2015 academic year. A tuition increase of approximately 1% was implemented for the majority of our online programs for our 2015-2016 academic year. We have not raised our tuition for our traditional ground programs in seven years. End-of-period enrollment increased 10.2% between September 30, 2015 and September 30, 2014, as ground enrollment increased 19.9%, and online enrollment increased 7.9% over the prior year. The majority of the ground enrollment growth between the third quarter of 2014 and the third quarter of 2015 is due to an increase in the number of our residential students at our ground traditional campus in Phoenix, Arizona.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86"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t>Instructional costs and services expenses</w:t>
      </w:r>
      <w:r>
        <w:rPr>
          <w:rFonts w:ascii="Times New Roman" w:cs="Times New Roman" w:eastAsia="Times New Roman" w:hAnsi="Times New Roman"/>
          <w:sz w:val="18"/>
          <w:szCs w:val="18"/>
          <w:color w:val="auto"/>
        </w:rPr>
        <w:t>. Our instructional costs and services expenses for the nine months ended September 30, 2015 were $237.2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 increase of $27.0 million, or 12.8%, as compared to instructional costs and services expenses of $210.2 million for the nine months ended September 30, 2014. This increase was primarily due to increases in employee compensation and related expenses including share based compensation, faculty compensation, dues, fees and subscriptions and other instructional supplies, depreciation and amortization and occupancy expense, and other instructional compensation and related expenses in these categories, of $11.2 million, $5.1 million, $5.4 million, $5.1 million, and $0.2 million, respectively. The increase in employee compensation and related expenses and faculty compensation are primarily due to the increase in the number of staff and faculty needed to support the increasing number of students attending the University. In addition, we have incurred an increase in employee benefit costs between years. The increase in depreciation and amortization and occupancy costs is the result of our placing into service additional buildings in the Fall of 2015 and 2014 to support the growing number of ground traditional students.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revenues increased 0.2% to 42.2% for the nine months ended September 30, 2015, from 42.0% for the nine months ended September 30, 2014, primarily due to increases in employee compensation and related expenses, dues, fees and subscriptions and other instructional supplies and depreciation and amortization and occupancy expense as a percentage of revenue between years. The increase in employee compensation and related expenses as a percentage of revenue is primarily due to headcount increases needed to support the increasing number of ground traditional students. The increase in dues, fees and subscriptions and other instructional supplies as a percentage of revenue is primarily due to increased board revenue, as the margin on our food operations is much lower than the margin on our overall operations. The increase in depreciation and amortization and occupancy costs as a percentage of revenue is primarily related to the continued buildout of our traditional ground campus. We expect these costs to continue to grow, as a percentage of revenue, on a year over year basis in the second and third fiscal quarters as revenues are lowest in these quarters due to the seasonal enrollment decline in these students between Spring and Fall semesters as only a small percentage take classes in the Summer, whereas most of these payroll costs are fixed. Bad debt expense improved from 2.2% of net revenues for the nine months ended September 30, 2014 to 2.0% for the nine months ended September 30, 2015, which resulted primarily from improved student retention and improved collection efforts.</w:t>
      </w:r>
    </w:p>
    <w:p>
      <w:pPr>
        <w:spacing w:after="0" w:line="19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Admissions advisory and related expenses</w:t>
      </w:r>
      <w:r>
        <w:rPr>
          <w:rFonts w:ascii="Times New Roman" w:cs="Times New Roman" w:eastAsia="Times New Roman" w:hAnsi="Times New Roman"/>
          <w:sz w:val="18"/>
          <w:szCs w:val="18"/>
          <w:color w:val="auto"/>
        </w:rPr>
        <w:t>. Our admissions advisory and related expenses for the nine months ended September 30, 2015 were $83.2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 increase of $3.4 million, or 4.3%, as compared to admissions advisory and related expenses of $79.8 million for the nine months ended September 30, 2014. This increase is primarily the result of increases in employee compensation and related expenses including share based compensation of $4.3 million primarily due to increased headcount between years, partially offset by a decrease in other admissions advisory related expense of $0.9 million between years. Our admissions advisory and related expenses as a percentage of revenue decreased 1.1% to 14.8% for the nine months ended September 30, 2015, from 15.9% for the nine months ended September 30, 2014 primarily due to our ability to leverage costs related to our admissions advisory personnel across an increasing revenue base.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Advertising expenses</w:t>
      </w:r>
      <w:r>
        <w:rPr>
          <w:rFonts w:ascii="Times New Roman" w:cs="Times New Roman" w:eastAsia="Times New Roman" w:hAnsi="Times New Roman"/>
          <w:sz w:val="18"/>
          <w:szCs w:val="18"/>
          <w:color w:val="auto"/>
        </w:rPr>
        <w:t>. Our advertising expenses for the nine months ended September 30, 2015 were $57.8 million, an increase of $8.8 million,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18.1%, as compared to advertising expenses of $49.0 million for the nine months ended September 30, 2014. This increase is primarily the result of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digital media and branding advertising focused on the southwestern United States region. Our advertising expenses as a percentage of net revenue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0.5% to 10.3% for the nine months ended September 30, 2015, from 9.8% for the nine months ended September 30, 2014 as we have intentionally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our advertising spend to increase brand awareness.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Marketing and promotional expenses</w:t>
      </w:r>
      <w:r>
        <w:rPr>
          <w:rFonts w:ascii="Times New Roman" w:cs="Times New Roman" w:eastAsia="Times New Roman" w:hAnsi="Times New Roman"/>
          <w:sz w:val="18"/>
          <w:szCs w:val="18"/>
          <w:color w:val="auto"/>
        </w:rPr>
        <w:t>. Our marketing and promotional expenses for the nine months ended September 30, 2015 were $5.3 million,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$0.3 million, or 5.7%, as compared to marketing and promotional expenses of $5.6 million for the nine months ended September 30, 2014. This decrease is primarily the result of decreases in other promotional expenses of $0.5 million partially offset by a slight increase in employee compensation of $0.2 million between years. Our marketing and promotional expenses as a percentage of net revenue decreased 0.2% to 0.9% for the nine months ended September 30, 2015, from 1.1% for the nine months ended September 30, 2014.</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for the nine months ended September 30, 2015 were $31.5 million,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$2.3 million, or 7.8%, as compared to general and administrative expenses of $29.2 million for the nine months ended September 30, 2014. This increase was primarily due to increases in legal, audit and insurance expenses and other general and administrative expenses between periods. Increased other general and administrative expenses is primarily related to increased charitable contributions including the funding of the rehabilitation of residential neighborhoods near our Phoenix, Arizona campus. Additionally, during both the third quarter of 2015 and 2014 we contributed $2.8 million to private school tuition organizations in lieu of state income taxes. Our general and administrative expenses as a percentage of net revenue decreased by 0.2% to 5.6% for the nine months ended September 30, 2015, from 5.8% for the nine months ended September 30, 2014, due to our ability to leverage the fixed costs structure of our general and administrative expenses across an increasing revenue base.</w:t>
      </w:r>
    </w:p>
    <w:p>
      <w:pPr>
        <w:spacing w:after="0" w:line="185"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the nine months ended September 30, 2015 was $0.8 million, a decrease of $0.7 million, as compared to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of $1.5 million for the nine months ended September 30, 2014. This decrease was primarily due to an increase in ongoing construction projects resulting in higher capitalized interest and a decrease in the average balance of our credit facility between periods due to scheduled monthly principal payments. Our interest expense decreased as a percentage of net revenue by 0.2% to 0.1% for the nine months ended September 30, 2015, from 0.3% for the nine months ended September 30, 2014.</w:t>
      </w:r>
    </w:p>
    <w:p>
      <w:pPr>
        <w:spacing w:after="0" w:line="180" w:lineRule="exact"/>
        <w:rPr>
          <w:sz w:val="20"/>
          <w:szCs w:val="20"/>
          <w:color w:val="auto"/>
        </w:rPr>
      </w:pPr>
    </w:p>
    <w:p>
      <w:pPr>
        <w:jc w:val="both"/>
        <w:ind w:right="2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Interest and other income for the nine months ended September 30, 2015 was $0.6 million, an increase of $0.2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interest and other income of $0.4 million in the nine months ended September 30, 2014. The increase was primarily due to differences in the investment balances and returns period over period.</w:t>
      </w:r>
    </w:p>
    <w:p>
      <w:pPr>
        <w:spacing w:after="0" w:line="174"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for the nine months ended September 30, 2015 was $53.7 million, an increase of $5.9 million, or 12.2%,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income tax expense of $47.8 million for the nine months ended September 30, 2014. Our effective tax rate decreased to 36.5% during the nine months ended September 30, 2015 from 37.9% during the nine months ended September 30, 2014 due to non-recurring favorable items in the third quarter of 2015. The tax rate for both periods is less than the annual effective tax rates due to the contributions made in lieu of state income taxes in the third quarter of both years.</w:t>
      </w:r>
    </w:p>
    <w:p>
      <w:pPr>
        <w:spacing w:after="0" w:line="180" w:lineRule="exact"/>
        <w:rPr>
          <w:sz w:val="20"/>
          <w:szCs w:val="20"/>
          <w:color w:val="auto"/>
        </w:rPr>
      </w:pPr>
    </w:p>
    <w:p>
      <w:pPr>
        <w:ind w:right="4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Our net income for the nine months ended September 30, 2015 was $93.3 million, an increase of $14.9 million, as compared to $78.4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2014, due to the factors discussed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prior years, this summer effect lessened. However, during the past year we increased, and over the next few years we intend to continue to increase, the relative proportion of our students that are ground traditional students.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We financed our operating activities and capital expenditures during the nine months ended September 30, 2015 and 2014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provided by operating activities. Our unrestricted cash and cash equivalents and investments were $162.2 million and $166.0 million at September 30, 2015 and December 31, 2014, respectively. Our restricted cash, cash equivalents and investments at September 30, 2015 and December 31, 2014 were $64.7 million and $67.8 million, respectively.</w:t>
      </w:r>
    </w:p>
    <w:p>
      <w:pPr>
        <w:spacing w:after="0" w:line="182" w:lineRule="exact"/>
        <w:rPr>
          <w:sz w:val="20"/>
          <w:szCs w:val="20"/>
          <w:color w:val="auto"/>
        </w:rPr>
      </w:pPr>
    </w:p>
    <w:p>
      <w:pPr>
        <w:ind w:right="40" w:firstLine="456"/>
        <w:spacing w:after="0" w:line="289" w:lineRule="auto"/>
        <w:rPr>
          <w:sz w:val="20"/>
          <w:szCs w:val="20"/>
          <w:color w:val="auto"/>
        </w:rPr>
      </w:pPr>
      <w:r>
        <w:rPr>
          <w:rFonts w:ascii="Times New Roman" w:cs="Times New Roman" w:eastAsia="Times New Roman" w:hAnsi="Times New Roman"/>
          <w:sz w:val="17"/>
          <w:szCs w:val="17"/>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 No amounts were borrowed on the $50.0 million revolving line of credit as of September 30, 2015.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Our Board of Directors has authorized the University to repurchase up to an aggregate of $75.0 million of our common stock, from time to time, depending on market conditions and other considerations. The expiration date on the repurchase authorization has been extended to September 30, 2016. Repurchases occur at the University’s discretion.</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Since the inception of our share repurchase program, the University has purchased 2.8 million shares of common stock at an aggregate cost of $49.1 million. During the nine months ended September 30, 2015 the University did not repurchase any shares of common stock. At September 30, 2015, there remains $25.9 million available under our share repurchase authorization.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jc w:val="both"/>
        <w:ind w:right="4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provided by operating activities for the nine months ended September 30, 2015 was $169.0 million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$156.7 million for the nine months ended September 30, 2014. The increase in cash generated from operating activities between the nine months ended September 30, 2014 and the nine months ended September 30, 2015 is primarily due to increased net income.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Net cash used in investing activities was $152.9 million and $159.9 million for the nine months ended September 30, 2015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respectively. Our cash used in investing activities was primarily related to capital expenditures. Capital expenditures were $169.7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$141.2 million for the nine months ended September 30, 2015 and 2014, respectively. During the nine-month period for 2015, capital expenditures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consisted of ground campus building projects such as the construction of four additional dormitories, an additional classroom building for our College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Science, Engineering and Technology, a new parking structure and land purchases adjacent to our Phoenix campus to support our growing traditional student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enrollment as well as purchases of computer equipment, other internal use software projects and furniture and equipment to support our increasing employee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headcount. During the nine-month period for 2014, capital expenditures primarily consisted of ground campus building projects such as the construction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classroom building, additional residence halls, the expansion of our arena, and land purchases adjacent to our Phoenix campus to support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growing traditional student enrollment as well as purchases of computer equipment, other internal use software projects and furniture and equipment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our increasing employee headcount. Also included in investing activities is the net short-term investment activity. In the first nine months of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the sale of short-term investments exceeded purchases by $16.8 million, whereas in the first nine months of 2014 purchases exceeded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$18.7 million.</w:t>
      </w:r>
    </w:p>
    <w:p>
      <w:pPr>
        <w:spacing w:after="0" w:line="20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Net cash used in financing activities was $3.1 million for the nine months ended September 30, 2015, whereas net cash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financing activities was $3.8 million for the nine months ended September 30, 2014. During the first nine months of 2015, $4.2 million was used to purchase common shares withheld in lieu of income taxes resulting from restricted share awards while principal payments on notes payable and capital leases totaled $5.1 million. These uses were partially offset by proceeds from the exercise of stock options of $2.9 million and excess tax benefits from share-based compensation of $3.3 million. During the first nine months of 2014, proceeds from the exercise of stock options of $7.0 million and excess tax benefits from share-based compensation of $7.2 million were partially offset by $3.6 million used to purchase common shares withheld in lieu of income taxes resulting from restricted share awards, $1.7 million used to purchase treasury stock in accordance with the university’s share repurchase program and principal payments on notes payable and capital leases totaled $5.0 million.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September 30, 2015, the aggregate amounts of our significant contractual obligations and commitments with definitive payment terms due in each of the periods presented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24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240" w:type="dxa"/>
            <w:vAlign w:val="bottom"/>
          </w:tcPr>
          <w:p>
            <w:pPr>
              <w:spacing w:after="0"/>
              <w:rPr>
                <w:sz w:val="10"/>
                <w:szCs w:val="10"/>
                <w:color w:val="auto"/>
              </w:rPr>
            </w:pP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 Year (1)</w:t>
            </w:r>
          </w:p>
        </w:tc>
        <w:tc>
          <w:tcPr>
            <w:tcW w:w="2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notes payable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86.4</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56.8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3"/>
              </w:rPr>
              <w:t>192.3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due in less than one year represent expected expenditures from October 1, 2015 through December 31, 2015.</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obligation amounts include expected spending by period under contracts that were in effect at September 30, 2015.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9" w:lineRule="exact"/>
        <w:rPr>
          <w:sz w:val="20"/>
          <w:szCs w:val="20"/>
          <w:color w:val="auto"/>
        </w:rPr>
      </w:pPr>
    </w:p>
    <w:p>
      <w:pPr>
        <w:ind w:right="1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Impact of inflation. </w:t>
      </w:r>
      <w:r>
        <w:rPr>
          <w:rFonts w:ascii="Times New Roman" w:cs="Times New Roman" w:eastAsia="Times New Roman" w:hAnsi="Times New Roman"/>
          <w:sz w:val="18"/>
          <w:szCs w:val="18"/>
          <w:color w:val="auto"/>
        </w:rPr>
        <w:t>We believe that inflation has not had a material impact on our results of operations for the nine months ended September 30,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2014. There can be no assurance that future inflation will not have an adverse impact on our operating results and financial condition.</w:t>
      </w:r>
    </w:p>
    <w:p>
      <w:pPr>
        <w:spacing w:after="0" w:line="158"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Market risk</w:t>
      </w:r>
      <w:r>
        <w:rPr>
          <w:rFonts w:ascii="Times New Roman" w:cs="Times New Roman" w:eastAsia="Times New Roman" w:hAnsi="Times New Roman"/>
          <w:sz w:val="18"/>
          <w:szCs w:val="18"/>
          <w:color w:val="auto"/>
        </w:rPr>
        <w:t>. On February 27, 2013 we entered into an interest rate corridor to manage our 30 Day LIBOR interest exposure from our variable rate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debt matures in December 2019. The corridor instrument, which hedges variable interest rate risk starting March 1, 2013 through December 20, 2019 with a notional amount of $81.7 million as of September 30, 2015, permits us to hedge our interest rate risk at several thresholds. Under this arrangement, in addition to the credit spread we will pay variable interest monthly based on the 30 Day LIBOR rates, until that index reaches 1.5%. If 30 Day LIBOR is equal to 1.5% through 3.0%, we will continue to pay 1.5%. If 30 Day LIBOR exceeds 3.0%, we will pay actual 30 Day LIBOR less 1.5%.</w:t>
      </w:r>
    </w:p>
    <w:p>
      <w:pPr>
        <w:spacing w:after="0" w:line="182"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60"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Interest rate risk</w:t>
      </w:r>
      <w:r>
        <w:rPr>
          <w:rFonts w:ascii="Times New Roman" w:cs="Times New Roman" w:eastAsia="Times New Roman" w:hAnsi="Times New Roman"/>
          <w:sz w:val="18"/>
          <w:szCs w:val="18"/>
          <w:color w:val="auto"/>
        </w:rPr>
        <w:t>. We manage interest rate risk through the instruments noted above and by investing excess funds in cash equivalents, A 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municipal bonds and municipal mutual funds bearing variable interest rates, which are tied to various market indices or individual bond coupon rates. Our future investment income may fall short of expectations due to changes in interest rates or we may suffer losses in principal if we are forced to sell securities that have declined in market value due to changes in interest rates. At September 30, 2015, a 10% increase or decrease in interest rates would not have a material impact on our future earnings, fair values, or cash flows. For information regarding our variable rate debt, see “Market risk” above.</w:t>
      </w:r>
    </w:p>
    <w:p>
      <w:pPr>
        <w:spacing w:after="0" w:line="32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September 30, 2015,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“Risk Factors” section of our Annual Report on Form 10-K for the year ended December 31, 2014, as updated in our Quarterly Report on Form 10-Q for the quarters ended March 31, 2015 and June 30, 2015.</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Board of Directors has authorized the University to repurchase up to an aggregate of $75.0 million of common stock, from time to time, depending on market conditions and other considerations. The expiration date on the repurchase authorization has been extended to September 30, 2016.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nine months ended September 30, 2015, we did not repurchase any shares of common stock. At September 30, 2015, there remains $25.9 million available under our share repurchase authorization.</w:t>
      </w:r>
    </w:p>
    <w:p>
      <w:pPr>
        <w:spacing w:after="0" w:line="188"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third quarter of fiscal 2015:</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72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72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6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7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1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20" w:type="dxa"/>
            <w:vAlign w:val="bottom"/>
            <w:gridSpan w:val="2"/>
            <w:vMerge w:val="continue"/>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7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72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3"/>
        </w:trPr>
        <w:tc>
          <w:tcPr>
            <w:tcW w:w="4120" w:type="dxa"/>
            <w:vAlign w:val="bottom"/>
            <w:gridSpan w:val="5"/>
            <w:vMerge w:val="continue"/>
          </w:tcPr>
          <w:p>
            <w:pPr>
              <w:spacing w:after="0"/>
              <w:rPr>
                <w:sz w:val="15"/>
                <w:szCs w:val="15"/>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84"/>
              </w:rPr>
              <w:t>Share</w:t>
            </w:r>
          </w:p>
        </w:tc>
        <w:tc>
          <w:tcPr>
            <w:tcW w:w="1060" w:type="dxa"/>
            <w:vAlign w:val="bottom"/>
            <w:tcBorders>
              <w:top w:val="single" w:sz="8" w:color="CCEEFF"/>
              <w:bottom w:val="single" w:sz="8" w:color="auto"/>
            </w:tcBorders>
            <w:gridSpan w:val="2"/>
            <w:shd w:val="clear" w:color="auto" w:fill="CCEEFF"/>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w w:val="97"/>
              </w:rPr>
              <w:t>Repurchases</w:t>
            </w:r>
          </w:p>
        </w:tc>
        <w:tc>
          <w:tcPr>
            <w:tcW w:w="264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July 1, 2015 – July 31, 2015</w:t>
            </w:r>
          </w:p>
        </w:tc>
        <w:tc>
          <w:tcPr>
            <w:tcW w:w="18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 August 31, 2015</w:t>
            </w:r>
          </w:p>
        </w:tc>
        <w:tc>
          <w:tcPr>
            <w:tcW w:w="18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September 1, 2015 – September 30, 2015</w:t>
            </w:r>
          </w:p>
        </w:tc>
        <w:tc>
          <w:tcPr>
            <w:tcW w:w="18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25,865,000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10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25,865,000</w:t>
            </w:r>
          </w:p>
        </w:tc>
        <w:tc>
          <w:tcPr>
            <w:tcW w:w="0" w:type="dxa"/>
            <w:vAlign w:val="bottom"/>
          </w:tcPr>
          <w:p>
            <w:pPr>
              <w:spacing w:after="0"/>
              <w:rPr>
                <w:sz w:val="1"/>
                <w:szCs w:val="1"/>
                <w:color w:val="auto"/>
              </w:rPr>
            </w:pPr>
          </w:p>
        </w:tc>
      </w:tr>
      <w:tr>
        <w:trPr>
          <w:trHeight w:val="250"/>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Tax Withholdings</w:t>
            </w:r>
          </w:p>
        </w:tc>
        <w:tc>
          <w:tcPr>
            <w:tcW w:w="1100" w:type="dxa"/>
            <w:vAlign w:val="bottom"/>
            <w:tcBorders>
              <w:top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2015 – July 31, 2015</w:t>
            </w:r>
          </w:p>
        </w:tc>
        <w:tc>
          <w:tcPr>
            <w:tcW w:w="18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August 1, 2015 – August 31, 2015</w:t>
            </w:r>
          </w:p>
        </w:tc>
        <w:tc>
          <w:tcPr>
            <w:tcW w:w="18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2015 – September 30, 2015</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12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0" w:type="dxa"/>
            <w:vAlign w:val="bottom"/>
          </w:tcPr>
          <w:p>
            <w:pPr>
              <w:spacing w:after="0"/>
              <w:rPr>
                <w:sz w:val="20"/>
                <w:szCs w:val="20"/>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r>
      <w:tr>
        <w:trPr>
          <w:trHeight w:val="324"/>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581"/>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0" w:type="dxa"/>
            <w:vAlign w:val="bottom"/>
          </w:tcPr>
          <w:p>
            <w:pPr>
              <w:spacing w:after="0"/>
              <w:rPr>
                <w:sz w:val="24"/>
                <w:szCs w:val="24"/>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r>
      <w:tr>
        <w:trPr>
          <w:trHeight w:val="324"/>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581"/>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40" w:type="dxa"/>
            <w:vAlign w:val="bottom"/>
          </w:tcPr>
          <w:p>
            <w:pPr>
              <w:spacing w:after="0"/>
              <w:rPr>
                <w:sz w:val="24"/>
                <w:szCs w:val="24"/>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324"/>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581"/>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0" w:type="dxa"/>
            <w:vAlign w:val="bottom"/>
          </w:tcPr>
          <w:p>
            <w:pPr>
              <w:spacing w:after="0"/>
              <w:rPr>
                <w:sz w:val="24"/>
                <w:szCs w:val="24"/>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6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 Exhibits</w:t>
            </w:r>
          </w:p>
        </w:tc>
      </w:tr>
      <w:tr>
        <w:trPr>
          <w:trHeight w:val="405"/>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24"/>
                <w:szCs w:val="24"/>
                <w:color w:val="auto"/>
              </w:rPr>
            </w:pPr>
          </w:p>
        </w:tc>
        <w:tc>
          <w:tcPr>
            <w:tcW w:w="50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r>
      <w:tr>
        <w:trPr>
          <w:trHeight w:val="75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Third Amended and Restated Bylaws.</w:t>
            </w:r>
          </w:p>
        </w:tc>
      </w:tr>
      <w:tr>
        <w:trPr>
          <w:trHeight w:val="54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Specimen of Stock Certificate.</w:t>
            </w:r>
          </w:p>
        </w:tc>
      </w:tr>
      <w:tr>
        <w:trPr>
          <w:trHeight w:val="7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w:t>
            </w:r>
          </w:p>
        </w:tc>
      </w:tr>
      <w:tr>
        <w:trPr>
          <w:trHeight w:val="216"/>
        </w:trPr>
        <w:tc>
          <w:tcPr>
            <w:tcW w:w="920" w:type="dxa"/>
            <w:vAlign w:val="bottom"/>
          </w:tcPr>
          <w:p>
            <w:pPr>
              <w:spacing w:after="0"/>
              <w:rPr>
                <w:sz w:val="18"/>
                <w:szCs w:val="18"/>
                <w:color w:val="auto"/>
              </w:rPr>
            </w:pP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14(a) and 15d-14(a), as adopted pursuant to Section 302 of the</w:t>
            </w:r>
          </w:p>
        </w:tc>
      </w:tr>
      <w:tr>
        <w:trPr>
          <w:trHeight w:val="234"/>
        </w:trPr>
        <w:tc>
          <w:tcPr>
            <w:tcW w:w="920" w:type="dxa"/>
            <w:vAlign w:val="bottom"/>
          </w:tcPr>
          <w:p>
            <w:pPr>
              <w:spacing w:after="0"/>
              <w:rPr>
                <w:sz w:val="20"/>
                <w:szCs w:val="20"/>
                <w:color w:val="auto"/>
              </w:rPr>
            </w:pP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3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w:t>
            </w:r>
          </w:p>
        </w:tc>
      </w:tr>
      <w:tr>
        <w:trPr>
          <w:trHeight w:val="216"/>
        </w:trPr>
        <w:tc>
          <w:tcPr>
            <w:tcW w:w="920" w:type="dxa"/>
            <w:vAlign w:val="bottom"/>
          </w:tcPr>
          <w:p>
            <w:pPr>
              <w:spacing w:after="0"/>
              <w:rPr>
                <w:sz w:val="18"/>
                <w:szCs w:val="18"/>
                <w:color w:val="auto"/>
              </w:rPr>
            </w:pP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14(a) and 15d-14(a), as adopted pursuant to Section 302 of the</w:t>
            </w:r>
          </w:p>
        </w:tc>
      </w:tr>
      <w:tr>
        <w:trPr>
          <w:trHeight w:val="234"/>
        </w:trPr>
        <w:tc>
          <w:tcPr>
            <w:tcW w:w="920" w:type="dxa"/>
            <w:vAlign w:val="bottom"/>
          </w:tcPr>
          <w:p>
            <w:pPr>
              <w:spacing w:after="0"/>
              <w:rPr>
                <w:sz w:val="20"/>
                <w:szCs w:val="20"/>
                <w:color w:val="auto"/>
              </w:rPr>
            </w:pP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3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w:t>
            </w:r>
          </w:p>
        </w:tc>
      </w:tr>
      <w:tr>
        <w:trPr>
          <w:trHeight w:val="216"/>
        </w:trPr>
        <w:tc>
          <w:tcPr>
            <w:tcW w:w="920" w:type="dxa"/>
            <w:vAlign w:val="bottom"/>
          </w:tcPr>
          <w:p>
            <w:pPr>
              <w:spacing w:after="0"/>
              <w:rPr>
                <w:sz w:val="18"/>
                <w:szCs w:val="18"/>
                <w:color w:val="auto"/>
              </w:rPr>
            </w:pP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r>
      <w:tr>
        <w:trPr>
          <w:trHeight w:val="234"/>
        </w:trPr>
        <w:tc>
          <w:tcPr>
            <w:tcW w:w="920" w:type="dxa"/>
            <w:vAlign w:val="bottom"/>
          </w:tcPr>
          <w:p>
            <w:pPr>
              <w:spacing w:after="0"/>
              <w:rPr>
                <w:sz w:val="20"/>
                <w:szCs w:val="20"/>
                <w:color w:val="auto"/>
              </w:rPr>
            </w:pP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Oxley Act of 2002. ††</w:t>
            </w:r>
          </w:p>
        </w:tc>
      </w:tr>
      <w:tr>
        <w:trPr>
          <w:trHeight w:val="30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w:t>
            </w:r>
          </w:p>
        </w:tc>
      </w:tr>
      <w:tr>
        <w:trPr>
          <w:trHeight w:val="216"/>
        </w:trPr>
        <w:tc>
          <w:tcPr>
            <w:tcW w:w="920" w:type="dxa"/>
            <w:vAlign w:val="bottom"/>
          </w:tcPr>
          <w:p>
            <w:pPr>
              <w:spacing w:after="0"/>
              <w:rPr>
                <w:sz w:val="18"/>
                <w:szCs w:val="18"/>
                <w:color w:val="auto"/>
              </w:rPr>
            </w:pP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r>
      <w:tr>
        <w:trPr>
          <w:trHeight w:val="234"/>
        </w:trPr>
        <w:tc>
          <w:tcPr>
            <w:tcW w:w="920" w:type="dxa"/>
            <w:vAlign w:val="bottom"/>
          </w:tcPr>
          <w:p>
            <w:pPr>
              <w:spacing w:after="0"/>
              <w:rPr>
                <w:sz w:val="20"/>
                <w:szCs w:val="20"/>
                <w:color w:val="auto"/>
              </w:rPr>
            </w:pPr>
          </w:p>
        </w:tc>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Oxley Act of 2002.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32156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3.1 to Amendment No. 6 to the University’s Registration Statement on Form S-1 filed with the SEC on November 12, 2008.</w:t>
      </w:r>
    </w:p>
    <w:p>
      <w:pPr>
        <w:spacing w:after="0" w:line="68"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Incorporated by reference to Exhibit 3.1 to the University’s Current Report on Form 8-K filed with the SEC on October 29, 2014.</w:t>
      </w:r>
    </w:p>
    <w:p>
      <w:pPr>
        <w:spacing w:after="0" w:line="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4.1 to Amendment No. 2 to the University’s Registration Statement on Form S-1 filed with the SEC on September 29, 2008.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59" w:lineRule="exact"/>
        <w:rPr>
          <w:sz w:val="20"/>
          <w:szCs w:val="20"/>
          <w:color w:val="auto"/>
        </w:rPr>
      </w:pPr>
    </w:p>
    <w:p>
      <w:pPr>
        <w:sectPr>
          <w:pgSz w:w="11900" w:h="16838" w:orient="portrait"/>
          <w:cols w:equalWidth="0" w:num="2">
            <w:col w:w="6020" w:space="340"/>
            <w:col w:w="4900"/>
          </w:cols>
          <w:pgMar w:left="240" w:top="455" w:right="399" w:bottom="1440" w:gutter="0" w:footer="0" w:header="0"/>
        </w:sectPr>
      </w:pPr>
    </w:p>
    <w:p>
      <w:pPr>
        <w:spacing w:after="0" w:line="25" w:lineRule="exact"/>
        <w:rPr>
          <w:sz w:val="20"/>
          <w:szCs w:val="20"/>
          <w:color w:val="auto"/>
        </w:rPr>
      </w:pPr>
    </w:p>
    <w:p>
      <w:pPr>
        <w:ind w:left="460" w:right="26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60"/>
          </w:cols>
          <w:pgMar w:left="240" w:top="455" w:right="39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ectPr>
          <w:pgSz w:w="11900" w:h="16838" w:orient="portrait"/>
          <w:cols w:equalWidth="0" w:num="1">
            <w:col w:w="10740"/>
          </w:cols>
          <w:pgMar w:left="240" w:top="455" w:right="91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17145</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E. Bachus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ectPr>
          <w:pgSz w:w="11900" w:h="16838" w:orient="portrait"/>
          <w:cols w:equalWidth="0" w:num="2">
            <w:col w:w="5800" w:space="300"/>
            <w:col w:w="4640"/>
          </w:cols>
          <w:pgMar w:left="240" w:top="455" w:right="91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EXHIBIT INDEX</w:t>
      </w:r>
    </w:p>
    <w:p>
      <w:pPr>
        <w:sectPr>
          <w:pgSz w:w="11900" w:h="16838" w:orient="portrait"/>
          <w:cols w:equalWidth="0" w:num="1">
            <w:col w:w="11260"/>
          </w:cols>
          <w:pgMar w:left="240" w:top="455" w:right="399" w:bottom="1440" w:gutter="0" w:footer="0" w:header="0"/>
        </w:sect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50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r>
      <w:tr>
        <w:trPr>
          <w:trHeight w:val="7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Third Amended and Restated Bylaws.</w:t>
            </w:r>
          </w:p>
        </w:tc>
      </w:tr>
      <w:tr>
        <w:trPr>
          <w:trHeight w:val="54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Specimen of Stock Certificate.</w:t>
            </w:r>
          </w:p>
        </w:tc>
      </w:tr>
      <w:tr>
        <w:trPr>
          <w:trHeight w:val="73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w:t>
            </w:r>
          </w:p>
        </w:tc>
      </w:tr>
      <w:tr>
        <w:trPr>
          <w:trHeight w:val="216"/>
        </w:trPr>
        <w:tc>
          <w:tcPr>
            <w:tcW w:w="74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14(a) and 15d-14(a), as adopted pursuant to Section 302 of the</w:t>
            </w:r>
          </w:p>
        </w:tc>
      </w:tr>
      <w:tr>
        <w:trPr>
          <w:trHeight w:val="234"/>
        </w:trPr>
        <w:tc>
          <w:tcPr>
            <w:tcW w:w="740" w:type="dxa"/>
            <w:vAlign w:val="bottom"/>
          </w:tcPr>
          <w:p>
            <w:pPr>
              <w:spacing w:after="0"/>
              <w:rPr>
                <w:sz w:val="20"/>
                <w:szCs w:val="20"/>
                <w:color w:val="auto"/>
              </w:rPr>
            </w:pP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30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w:t>
            </w:r>
          </w:p>
        </w:tc>
      </w:tr>
      <w:tr>
        <w:trPr>
          <w:trHeight w:val="216"/>
        </w:trPr>
        <w:tc>
          <w:tcPr>
            <w:tcW w:w="74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14(a) and 15d-14(a), as adopted pursuant to Section 302 of the</w:t>
            </w:r>
          </w:p>
        </w:tc>
      </w:tr>
      <w:tr>
        <w:trPr>
          <w:trHeight w:val="234"/>
        </w:trPr>
        <w:tc>
          <w:tcPr>
            <w:tcW w:w="740" w:type="dxa"/>
            <w:vAlign w:val="bottom"/>
          </w:tcPr>
          <w:p>
            <w:pPr>
              <w:spacing w:after="0"/>
              <w:rPr>
                <w:sz w:val="20"/>
                <w:szCs w:val="20"/>
                <w:color w:val="auto"/>
              </w:rPr>
            </w:pP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Sarbanes-Oxley Act of 2002.</w:t>
            </w:r>
          </w:p>
        </w:tc>
      </w:tr>
      <w:tr>
        <w:trPr>
          <w:trHeight w:val="30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w:t>
            </w:r>
          </w:p>
        </w:tc>
      </w:tr>
      <w:tr>
        <w:trPr>
          <w:trHeight w:val="216"/>
        </w:trPr>
        <w:tc>
          <w:tcPr>
            <w:tcW w:w="74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r>
      <w:tr>
        <w:trPr>
          <w:trHeight w:val="234"/>
        </w:trPr>
        <w:tc>
          <w:tcPr>
            <w:tcW w:w="740" w:type="dxa"/>
            <w:vAlign w:val="bottom"/>
          </w:tcPr>
          <w:p>
            <w:pPr>
              <w:spacing w:after="0"/>
              <w:rPr>
                <w:sz w:val="20"/>
                <w:szCs w:val="20"/>
                <w:color w:val="auto"/>
              </w:rPr>
            </w:pP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Oxley Act of 2002. ††</w:t>
            </w:r>
          </w:p>
        </w:tc>
      </w:tr>
      <w:tr>
        <w:trPr>
          <w:trHeight w:val="30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w:t>
            </w:r>
          </w:p>
        </w:tc>
      </w:tr>
      <w:tr>
        <w:trPr>
          <w:trHeight w:val="216"/>
        </w:trPr>
        <w:tc>
          <w:tcPr>
            <w:tcW w:w="740" w:type="dxa"/>
            <w:vAlign w:val="bottom"/>
          </w:tcPr>
          <w:p>
            <w:pPr>
              <w:spacing w:after="0"/>
              <w:rPr>
                <w:sz w:val="18"/>
                <w:szCs w:val="18"/>
                <w:color w:val="auto"/>
              </w:rPr>
            </w:pP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r>
      <w:tr>
        <w:trPr>
          <w:trHeight w:val="234"/>
        </w:trPr>
        <w:tc>
          <w:tcPr>
            <w:tcW w:w="740" w:type="dxa"/>
            <w:vAlign w:val="bottom"/>
          </w:tcPr>
          <w:p>
            <w:pPr>
              <w:spacing w:after="0"/>
              <w:rPr>
                <w:sz w:val="20"/>
                <w:szCs w:val="20"/>
                <w:color w:val="auto"/>
              </w:rPr>
            </w:pPr>
          </w:p>
        </w:tc>
        <w:tc>
          <w:tcPr>
            <w:tcW w:w="5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Oxley Act of 2002. ††</w:t>
            </w:r>
          </w:p>
        </w:tc>
      </w:tr>
    </w:tbl>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16510</wp:posOffset>
            </wp:positionV>
            <wp:extent cx="3215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3.1 to Amendment No. 6 to the University’s Registration Statement on Form S-1 filed with the SEC on November 12, 2008.</w:t>
      </w:r>
    </w:p>
    <w:p>
      <w:pPr>
        <w:spacing w:after="0" w:line="68"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Incorporated by reference to Exhibit 3.1 to the University’s Current Report on Form 8-K filed with the SEC on October 29, 2014.</w:t>
      </w:r>
    </w:p>
    <w:p>
      <w:pPr>
        <w:spacing w:after="0" w:line="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Incorporated by reference to Exhibit 4.1 to Amendment No. 2 to the University’s Registration Statement on Form S-1 filed with the SEC on September 29, 2008.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659" w:lineRule="exact"/>
        <w:rPr>
          <w:sz w:val="20"/>
          <w:szCs w:val="20"/>
          <w:color w:val="auto"/>
        </w:rPr>
      </w:pPr>
    </w:p>
    <w:p>
      <w:pPr>
        <w:sectPr>
          <w:pgSz w:w="11900" w:h="16838" w:orient="portrait"/>
          <w:cols w:equalWidth="0" w:num="2">
            <w:col w:w="6020" w:space="340"/>
            <w:col w:w="4900"/>
          </w:cols>
          <w:pgMar w:left="240" w:top="455" w:right="399" w:bottom="1440" w:gutter="0" w:footer="0" w:header="0"/>
          <w:type w:val="continuous"/>
        </w:sectPr>
      </w:pPr>
    </w:p>
    <w:p>
      <w:pPr>
        <w:spacing w:after="0" w:line="25" w:lineRule="exact"/>
        <w:rPr>
          <w:sz w:val="20"/>
          <w:szCs w:val="20"/>
          <w:color w:val="auto"/>
        </w:rPr>
      </w:pPr>
    </w:p>
    <w:p>
      <w:pPr>
        <w:ind w:left="460" w:right="26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60"/>
          </w:cols>
          <w:pgMar w:left="240" w:top="455" w:right="399" w:bottom="1440" w:gutter="0" w:footer="0" w:header="0"/>
          <w:type w:val="continuous"/>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0F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ending September 30, 2015 of Grand Canyon Education, Inc.;</w:t>
      </w:r>
    </w:p>
    <w:p>
      <w:pPr>
        <w:spacing w:after="0" w:line="117"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60" w:firstLine="464"/>
        <w:spacing w:after="0" w:line="266"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100" w:firstLine="921"/>
        <w:spacing w:after="0" w:line="266" w:lineRule="auto"/>
        <w:tabs>
          <w:tab w:leader="none" w:pos="10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921"/>
        <w:spacing w:after="0" w:line="266" w:lineRule="auto"/>
        <w:tabs>
          <w:tab w:leader="none" w:pos="11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620" w:firstLine="921"/>
        <w:spacing w:after="0" w:line="282" w:lineRule="auto"/>
        <w:tabs>
          <w:tab w:leader="none" w:pos="10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80" w:firstLine="921"/>
        <w:spacing w:after="0" w:line="266" w:lineRule="auto"/>
        <w:tabs>
          <w:tab w:leader="none" w:pos="11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firstLine="464"/>
        <w:spacing w:after="0" w:line="282"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firstLine="921"/>
        <w:spacing w:after="0" w:line="282" w:lineRule="auto"/>
        <w:tabs>
          <w:tab w:leader="none" w:pos="10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520" w:firstLine="921"/>
        <w:spacing w:after="0" w:line="282" w:lineRule="auto"/>
        <w:tabs>
          <w:tab w:leader="none" w:pos="10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October 28, 2015</w:t>
      </w:r>
      <w:r>
        <w:rPr>
          <w:sz w:val="20"/>
          <w:szCs w:val="20"/>
          <w:color w:val="auto"/>
        </w:rPr>
        <w:tab/>
      </w:r>
      <w:r>
        <w:rPr>
          <w:rFonts w:ascii="Times New Roman" w:cs="Times New Roman" w:eastAsia="Times New Roman" w:hAnsi="Times New Roman"/>
          <w:sz w:val="17"/>
          <w:szCs w:val="17"/>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Brian E. Mueller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0F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ending September 30, 2015 of Grand Canyon Education, Inc.;</w:t>
      </w:r>
    </w:p>
    <w:p>
      <w:pPr>
        <w:spacing w:after="0" w:line="117"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260" w:firstLine="464"/>
        <w:spacing w:after="0" w:line="266"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right="100" w:firstLine="921"/>
        <w:spacing w:after="0" w:line="266" w:lineRule="auto"/>
        <w:tabs>
          <w:tab w:leader="none" w:pos="10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right="20" w:firstLine="921"/>
        <w:spacing w:after="0" w:line="266" w:lineRule="auto"/>
        <w:tabs>
          <w:tab w:leader="none" w:pos="11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right="620" w:firstLine="921"/>
        <w:spacing w:after="0" w:line="282" w:lineRule="auto"/>
        <w:tabs>
          <w:tab w:leader="none" w:pos="10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80" w:firstLine="921"/>
        <w:spacing w:after="0" w:line="266" w:lineRule="auto"/>
        <w:tabs>
          <w:tab w:leader="none" w:pos="11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firstLine="464"/>
        <w:spacing w:after="0" w:line="282"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firstLine="921"/>
        <w:spacing w:after="0" w:line="282" w:lineRule="auto"/>
        <w:tabs>
          <w:tab w:leader="none" w:pos="10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520" w:firstLine="921"/>
        <w:spacing w:after="0" w:line="282" w:lineRule="auto"/>
        <w:tabs>
          <w:tab w:leader="none" w:pos="109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October 28, 2015</w:t>
      </w:r>
      <w:r>
        <w:rPr>
          <w:sz w:val="20"/>
          <w:szCs w:val="20"/>
          <w:color w:val="auto"/>
        </w:rPr>
        <w:tab/>
      </w:r>
      <w:r>
        <w:rPr>
          <w:rFonts w:ascii="Times New Roman" w:cs="Times New Roman" w:eastAsia="Times New Roman" w:hAnsi="Times New Roman"/>
          <w:sz w:val="17"/>
          <w:szCs w:val="17"/>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Daniel E. Bachus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420"/>
          </w:cols>
          <w:pgMar w:left="240" w:top="117"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Grand Canyon Education, Inc. (the “University”) for the quarter ended September 30, 2015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82" w:lineRule="exact"/>
        <w:rPr>
          <w:sz w:val="20"/>
          <w:szCs w:val="20"/>
          <w:color w:val="auto"/>
        </w:rPr>
      </w:pPr>
    </w:p>
    <w:p>
      <w:pPr>
        <w:ind w:left="460" w:right="2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(15 U.S.C. 78m or 78o); and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University.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E. Mueller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ectPr>
          <w:pgSz w:w="11900" w:h="16838" w:orient="portrait"/>
          <w:cols w:equalWidth="0" w:num="1">
            <w:col w:w="11420"/>
          </w:cols>
          <w:pgMar w:left="240" w:top="117"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Grand Canyon Education, Inc. (the “University”) for the quarter ended September 30, 2015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82" w:lineRule="exact"/>
        <w:rPr>
          <w:sz w:val="20"/>
          <w:szCs w:val="20"/>
          <w:color w:val="auto"/>
        </w:rPr>
      </w:pPr>
    </w:p>
    <w:p>
      <w:pPr>
        <w:ind w:left="460" w:right="2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(15 U.S.C. 78m or 78o); and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University.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845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E. Bachus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Principal Accounting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2019-12-29T16:17:42Z</dcterms:created>
  <dcterms:modified xsi:type="dcterms:W3CDTF">2019-12-29T16:17:42Z</dcterms:modified>
</cp:coreProperties>
</file>