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Exchange Act of 1934 (Amendment No. __)</w:t>
      </w:r>
    </w:p>
    <w:p>
      <w:pPr>
        <w:spacing w:after="0" w:line="6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Grand Canyon Education, Inc.</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4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right="259" w:hanging="379"/>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520" w:right="419" w:hanging="188"/>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-5113020</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-4546600</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-3843655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-3277870</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-2711450</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-1459230</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-893445</wp:posOffset>
            </wp:positionV>
            <wp:extent cx="581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-327660</wp:posOffset>
            </wp:positionV>
            <wp:extent cx="581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238125</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478"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4673600" cy="883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736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(602) 639-7500</w:t>
      </w:r>
    </w:p>
    <w:p>
      <w:pPr>
        <w:spacing w:after="0" w:line="170"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March 28, 2011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jc w:val="both"/>
        <w:ind w:left="340" w:right="539" w:firstLine="778"/>
        <w:spacing w:after="0" w:line="286" w:lineRule="auto"/>
        <w:rPr>
          <w:sz w:val="20"/>
          <w:szCs w:val="20"/>
          <w:color w:val="auto"/>
        </w:rPr>
      </w:pPr>
      <w:r>
        <w:rPr>
          <w:rFonts w:ascii="Arial" w:cs="Arial" w:eastAsia="Arial" w:hAnsi="Arial"/>
          <w:sz w:val="17"/>
          <w:szCs w:val="17"/>
          <w:color w:val="auto"/>
        </w:rPr>
        <w:t>You are cordially invited to attend the 2011 Annual Meeting of Stockholders (the “Annual Meeting”) of Grand Canyon Education, Inc. (the “Company”) to be held at McKinley Hall on the campus of Grand Canyon University at 3300 W. Camelback Road, Phoenix, Arizona 85017, commencing at 10:00 a.m., local time, on Tuesday, May 17, 2011.</w:t>
      </w:r>
    </w:p>
    <w:p>
      <w:pPr>
        <w:spacing w:after="0" w:line="125" w:lineRule="exact"/>
        <w:rPr>
          <w:sz w:val="20"/>
          <w:szCs w:val="20"/>
          <w:color w:val="auto"/>
        </w:rPr>
      </w:pPr>
    </w:p>
    <w:p>
      <w:pPr>
        <w:ind w:left="340" w:right="259" w:firstLine="778"/>
        <w:spacing w:after="0" w:line="302" w:lineRule="auto"/>
        <w:rPr>
          <w:sz w:val="20"/>
          <w:szCs w:val="20"/>
          <w:color w:val="auto"/>
        </w:rPr>
      </w:pPr>
      <w:r>
        <w:rPr>
          <w:rFonts w:ascii="Arial" w:cs="Arial" w:eastAsia="Arial" w:hAnsi="Arial"/>
          <w:sz w:val="16"/>
          <w:szCs w:val="16"/>
          <w:color w:val="auto"/>
        </w:rPr>
        <w:t>The notice of annual meeting and the proxy statement that follow describe the matters to come before the Annual Meeting. Each holder of record of shares of the Company’s common stock (NasdaqGM: LOPE) at the close of business on March 28, 2011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14" w:lineRule="exact"/>
        <w:rPr>
          <w:sz w:val="20"/>
          <w:szCs w:val="20"/>
          <w:color w:val="auto"/>
        </w:rPr>
      </w:pPr>
    </w:p>
    <w:p>
      <w:pPr>
        <w:ind w:left="340" w:right="239" w:firstLine="778"/>
        <w:spacing w:after="0" w:line="297" w:lineRule="auto"/>
        <w:rPr>
          <w:sz w:val="20"/>
          <w:szCs w:val="20"/>
          <w:color w:val="auto"/>
        </w:rPr>
      </w:pPr>
      <w:r>
        <w:rPr>
          <w:rFonts w:ascii="Arial" w:cs="Arial" w:eastAsia="Arial" w:hAnsi="Arial"/>
          <w:sz w:val="16"/>
          <w:szCs w:val="16"/>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152400</wp:posOffset>
            </wp:positionV>
            <wp:extent cx="142367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is dated March 28, 2011, and is first being sent or made available to stockholders on or about April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663575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VOTING METHODS</w:t>
      </w:r>
    </w:p>
    <w:p>
      <w:pPr>
        <w:spacing w:after="0" w:line="202" w:lineRule="exact"/>
        <w:rPr>
          <w:sz w:val="20"/>
          <w:szCs w:val="20"/>
          <w:color w:val="auto"/>
        </w:rPr>
      </w:pPr>
    </w:p>
    <w:p>
      <w:pPr>
        <w:ind w:left="340" w:right="239" w:firstLine="778"/>
        <w:spacing w:after="0" w:line="276" w:lineRule="auto"/>
        <w:rPr>
          <w:sz w:val="20"/>
          <w:szCs w:val="20"/>
          <w:color w:val="auto"/>
        </w:rPr>
      </w:pPr>
      <w:r>
        <w:rPr>
          <w:rFonts w:ascii="Arial" w:cs="Arial" w:eastAsia="Arial" w:hAnsi="Arial"/>
          <w:sz w:val="17"/>
          <w:szCs w:val="17"/>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128" w:lineRule="exact"/>
        <w:rPr>
          <w:sz w:val="20"/>
          <w:szCs w:val="20"/>
          <w:color w:val="auto"/>
        </w:rPr>
      </w:pPr>
    </w:p>
    <w:p>
      <w:pPr>
        <w:ind w:left="1480" w:hanging="378"/>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188" w:lineRule="exact"/>
        <w:rPr>
          <w:rFonts w:ascii="Arial" w:cs="Arial" w:eastAsia="Arial" w:hAnsi="Arial"/>
          <w:sz w:val="18"/>
          <w:szCs w:val="18"/>
          <w:color w:val="auto"/>
        </w:rPr>
      </w:pPr>
    </w:p>
    <w:p>
      <w:pPr>
        <w:ind w:left="1880" w:right="399" w:hanging="386"/>
        <w:spacing w:after="0" w:line="277" w:lineRule="auto"/>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May 16, 2011.</w:t>
      </w:r>
    </w:p>
    <w:p>
      <w:pPr>
        <w:spacing w:after="0" w:line="102" w:lineRule="exact"/>
        <w:rPr>
          <w:rFonts w:ascii="Arial" w:cs="Arial" w:eastAsia="Arial" w:hAnsi="Arial"/>
          <w:sz w:val="18"/>
          <w:szCs w:val="18"/>
          <w:color w:val="auto"/>
        </w:rPr>
      </w:pPr>
    </w:p>
    <w:p>
      <w:pPr>
        <w:ind w:left="1880" w:hanging="386"/>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57" w:lineRule="exact"/>
        <w:rPr>
          <w:rFonts w:ascii="Arial" w:cs="Arial" w:eastAsia="Arial" w:hAnsi="Arial"/>
          <w:sz w:val="18"/>
          <w:szCs w:val="18"/>
          <w:color w:val="auto"/>
        </w:rPr>
      </w:pPr>
    </w:p>
    <w:p>
      <w:pPr>
        <w:ind w:left="1880" w:hanging="386"/>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94" w:lineRule="exact"/>
        <w:rPr>
          <w:rFonts w:ascii="Arial" w:cs="Arial" w:eastAsia="Arial" w:hAnsi="Arial"/>
          <w:sz w:val="18"/>
          <w:szCs w:val="18"/>
          <w:color w:val="auto"/>
        </w:rPr>
      </w:pPr>
    </w:p>
    <w:p>
      <w:pPr>
        <w:ind w:left="1480" w:hanging="378"/>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188" w:lineRule="exact"/>
        <w:rPr>
          <w:rFonts w:ascii="Arial" w:cs="Arial" w:eastAsia="Arial" w:hAnsi="Arial"/>
          <w:sz w:val="18"/>
          <w:szCs w:val="18"/>
          <w:color w:val="auto"/>
        </w:rPr>
      </w:pPr>
    </w:p>
    <w:p>
      <w:pPr>
        <w:ind w:left="1880" w:right="519" w:hanging="386"/>
        <w:spacing w:after="0" w:line="277" w:lineRule="auto"/>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Go to the web site at www.investorvote.com, 24 hours a day, seven days a week, through 11:00 p.m. (PT) on May 16, 2011.</w:t>
      </w:r>
    </w:p>
    <w:p>
      <w:pPr>
        <w:spacing w:after="0" w:line="102" w:lineRule="exact"/>
        <w:rPr>
          <w:rFonts w:ascii="Arial" w:cs="Arial" w:eastAsia="Arial" w:hAnsi="Arial"/>
          <w:sz w:val="18"/>
          <w:szCs w:val="18"/>
          <w:color w:val="auto"/>
        </w:rPr>
      </w:pPr>
    </w:p>
    <w:p>
      <w:pPr>
        <w:ind w:left="1880" w:hanging="386"/>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57" w:lineRule="exact"/>
        <w:rPr>
          <w:rFonts w:ascii="Arial" w:cs="Arial" w:eastAsia="Arial" w:hAnsi="Arial"/>
          <w:sz w:val="18"/>
          <w:szCs w:val="18"/>
          <w:color w:val="auto"/>
        </w:rPr>
      </w:pPr>
    </w:p>
    <w:p>
      <w:pPr>
        <w:ind w:left="1880" w:hanging="386"/>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80" w:lineRule="exact"/>
        <w:rPr>
          <w:rFonts w:ascii="Arial" w:cs="Arial" w:eastAsia="Arial" w:hAnsi="Arial"/>
          <w:sz w:val="18"/>
          <w:szCs w:val="18"/>
          <w:color w:val="auto"/>
        </w:rPr>
      </w:pPr>
    </w:p>
    <w:p>
      <w:pPr>
        <w:ind w:left="1480" w:hanging="378"/>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202" w:lineRule="exact"/>
        <w:rPr>
          <w:rFonts w:ascii="Arial" w:cs="Arial" w:eastAsia="Arial" w:hAnsi="Arial"/>
          <w:sz w:val="18"/>
          <w:szCs w:val="18"/>
          <w:color w:val="auto"/>
        </w:rPr>
      </w:pPr>
    </w:p>
    <w:p>
      <w:pPr>
        <w:ind w:left="1880" w:hanging="386"/>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57" w:lineRule="exact"/>
        <w:rPr>
          <w:rFonts w:ascii="Arial" w:cs="Arial" w:eastAsia="Arial" w:hAnsi="Arial"/>
          <w:sz w:val="18"/>
          <w:szCs w:val="18"/>
          <w:color w:val="auto"/>
        </w:rPr>
      </w:pPr>
    </w:p>
    <w:p>
      <w:pPr>
        <w:ind w:left="1880" w:hanging="386"/>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185" w:lineRule="exact"/>
        <w:rPr>
          <w:sz w:val="20"/>
          <w:szCs w:val="20"/>
          <w:color w:val="auto"/>
        </w:rPr>
      </w:pPr>
    </w:p>
    <w:p>
      <w:pPr>
        <w:ind w:left="340" w:right="419" w:firstLine="778"/>
        <w:spacing w:after="0" w:line="277"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Your vote is important. Thank you for submitting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655955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to be held on May 17, 2011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left="340" w:right="179" w:firstLine="778"/>
        <w:spacing w:after="0" w:line="264" w:lineRule="auto"/>
        <w:rPr>
          <w:sz w:val="20"/>
          <w:szCs w:val="20"/>
          <w:color w:val="auto"/>
        </w:rPr>
      </w:pPr>
      <w:r>
        <w:rPr>
          <w:rFonts w:ascii="Arial" w:cs="Arial" w:eastAsia="Arial" w:hAnsi="Arial"/>
          <w:sz w:val="18"/>
          <w:szCs w:val="18"/>
          <w:color w:val="auto"/>
        </w:rPr>
        <w:t>The 2011 Annual Meeting of Stockholders (the “Annual Meeting”) of Grand Canyon Education, Inc. (the “Company”), will be held at McKinley Hall on the campus of Grand Canyon University at 3300 W. Camelback Road, Phoenix, Arizona 85017, commencing at 10:00 a.m., local time, on Tuesday, May 17, 2011, for the following purposes:</w:t>
      </w:r>
    </w:p>
    <w:p>
      <w:pPr>
        <w:spacing w:after="0" w:line="141" w:lineRule="exact"/>
        <w:rPr>
          <w:sz w:val="20"/>
          <w:szCs w:val="20"/>
          <w:color w:val="auto"/>
        </w:rPr>
      </w:pPr>
    </w:p>
    <w:p>
      <w:pPr>
        <w:ind w:left="1480" w:right="179" w:hanging="378"/>
        <w:spacing w:after="0" w:line="308" w:lineRule="auto"/>
        <w:tabs>
          <w:tab w:leader="none" w:pos="1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a Board of Directors of eight directors, each to serve until the 2012 annual meeting of stockholders or until his or her successor has been duly elected and qualified or until his or her earlier resignation or removal;</w:t>
      </w:r>
    </w:p>
    <w:p>
      <w:pPr>
        <w:spacing w:after="0" w:line="79" w:lineRule="exact"/>
        <w:rPr>
          <w:rFonts w:ascii="Arial" w:cs="Arial" w:eastAsia="Arial" w:hAnsi="Arial"/>
          <w:sz w:val="17"/>
          <w:szCs w:val="17"/>
          <w:color w:val="auto"/>
        </w:rPr>
      </w:pPr>
    </w:p>
    <w:p>
      <w:pPr>
        <w:ind w:left="1480" w:hanging="37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Annual Cash Incentive Plan in accordance with Internal Revenue Code Section 162(m);</w:t>
      </w:r>
    </w:p>
    <w:p>
      <w:pPr>
        <w:spacing w:after="0" w:line="157" w:lineRule="exact"/>
        <w:rPr>
          <w:rFonts w:ascii="Arial" w:cs="Arial" w:eastAsia="Arial" w:hAnsi="Arial"/>
          <w:sz w:val="18"/>
          <w:szCs w:val="18"/>
          <w:color w:val="auto"/>
        </w:rPr>
      </w:pPr>
    </w:p>
    <w:p>
      <w:pPr>
        <w:ind w:left="1480" w:right="599" w:hanging="378"/>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grant limitation within our 2008 Equity Incentive Plan in accordance with Internal Revenue Code Section 162(m);</w:t>
      </w:r>
    </w:p>
    <w:p>
      <w:pPr>
        <w:spacing w:after="0" w:line="102" w:lineRule="exact"/>
        <w:rPr>
          <w:rFonts w:ascii="Arial" w:cs="Arial" w:eastAsia="Arial" w:hAnsi="Arial"/>
          <w:sz w:val="18"/>
          <w:szCs w:val="18"/>
          <w:color w:val="auto"/>
        </w:rPr>
      </w:pPr>
    </w:p>
    <w:p>
      <w:pPr>
        <w:ind w:left="1480" w:right="179" w:hanging="378"/>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spacing w:after="0" w:line="102" w:lineRule="exact"/>
        <w:rPr>
          <w:rFonts w:ascii="Arial" w:cs="Arial" w:eastAsia="Arial" w:hAnsi="Arial"/>
          <w:sz w:val="18"/>
          <w:szCs w:val="18"/>
          <w:color w:val="auto"/>
        </w:rPr>
      </w:pPr>
    </w:p>
    <w:p>
      <w:pPr>
        <w:ind w:left="1480" w:hanging="37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recommend, on an advisory basis, the frequency of the advisory vote on executive compensation;</w:t>
      </w:r>
    </w:p>
    <w:p>
      <w:pPr>
        <w:spacing w:after="0" w:line="157" w:lineRule="exact"/>
        <w:rPr>
          <w:rFonts w:ascii="Arial" w:cs="Arial" w:eastAsia="Arial" w:hAnsi="Arial"/>
          <w:sz w:val="18"/>
          <w:szCs w:val="18"/>
          <w:color w:val="auto"/>
        </w:rPr>
      </w:pPr>
    </w:p>
    <w:p>
      <w:pPr>
        <w:ind w:left="1480" w:right="419" w:hanging="378"/>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2011; and</w:t>
      </w:r>
    </w:p>
    <w:p>
      <w:pPr>
        <w:spacing w:after="0" w:line="102" w:lineRule="exact"/>
        <w:rPr>
          <w:rFonts w:ascii="Arial" w:cs="Arial" w:eastAsia="Arial" w:hAnsi="Arial"/>
          <w:sz w:val="18"/>
          <w:szCs w:val="18"/>
          <w:color w:val="auto"/>
        </w:rPr>
      </w:pPr>
    </w:p>
    <w:p>
      <w:pPr>
        <w:ind w:left="1480" w:right="379" w:hanging="378"/>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143" w:lineRule="exact"/>
        <w:rPr>
          <w:sz w:val="20"/>
          <w:szCs w:val="20"/>
          <w:color w:val="auto"/>
        </w:rPr>
      </w:pPr>
    </w:p>
    <w:p>
      <w:pPr>
        <w:ind w:left="340" w:right="279" w:firstLine="778"/>
        <w:spacing w:after="0" w:line="276" w:lineRule="auto"/>
        <w:rPr>
          <w:sz w:val="20"/>
          <w:szCs w:val="20"/>
          <w:color w:val="auto"/>
        </w:rPr>
      </w:pPr>
      <w:r>
        <w:rPr>
          <w:rFonts w:ascii="Arial" w:cs="Arial" w:eastAsia="Arial" w:hAnsi="Arial"/>
          <w:sz w:val="17"/>
          <w:szCs w:val="17"/>
          <w:color w:val="auto"/>
        </w:rPr>
        <w:t>Our Board of Directors has fixed March 28, 2011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General Counsel, 3300 W. Camelback Road, Phoenix, Arizona 85017 between the hours of 8:30 a.m. and 5:00 p.m., local time, each weekday. Such list will also be available at the Annual Meeting.</w:t>
      </w:r>
    </w:p>
    <w:p>
      <w:pPr>
        <w:spacing w:after="0" w:line="128" w:lineRule="exact"/>
        <w:rPr>
          <w:sz w:val="20"/>
          <w:szCs w:val="20"/>
          <w:color w:val="auto"/>
        </w:rPr>
      </w:pPr>
    </w:p>
    <w:p>
      <w:pPr>
        <w:ind w:left="340" w:right="219" w:firstLine="778"/>
        <w:spacing w:after="0" w:line="295" w:lineRule="auto"/>
        <w:rPr>
          <w:sz w:val="20"/>
          <w:szCs w:val="20"/>
          <w:color w:val="auto"/>
        </w:rPr>
      </w:pPr>
      <w:r>
        <w:rPr>
          <w:rFonts w:ascii="Arial" w:cs="Arial" w:eastAsia="Arial" w:hAnsi="Arial"/>
          <w:sz w:val="16"/>
          <w:szCs w:val="16"/>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 you received a paper copy of the proxy card by mail, you may also date,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sign and mail the proxy card in the postage-paid envelope that is provided.</w:t>
      </w:r>
      <w:r>
        <w:rPr>
          <w:rFonts w:ascii="Arial" w:cs="Arial" w:eastAsia="Arial" w:hAnsi="Arial"/>
          <w:sz w:val="16"/>
          <w:szCs w:val="16"/>
          <w:b w:val="1"/>
          <w:bCs w:val="1"/>
          <w:color w:val="auto"/>
        </w:rPr>
        <w:t xml:space="preserve"> 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239" w:firstLine="778"/>
        <w:spacing w:after="0" w:line="298"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Stockholder Meeting to Be Held on May 17, 2011. </w:t>
      </w:r>
      <w:r>
        <w:rPr>
          <w:rFonts w:ascii="Arial" w:cs="Arial" w:eastAsia="Arial" w:hAnsi="Arial"/>
          <w:sz w:val="16"/>
          <w:szCs w:val="16"/>
          <w:color w:val="auto"/>
        </w:rPr>
        <w:t>Our Proxy Statement is attached. Financial and other information concerning Grand Canyon Education, Inc. is contained in our</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Report to Stockholders for the fiscal year ended December 31, 2010.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6"/>
          <w:szCs w:val="16"/>
          <w:b w:val="1"/>
          <w:bCs w:val="1"/>
          <w:color w:val="auto"/>
        </w:rPr>
        <w:t>, are available and may be viewed at www.edocumentview.com/LOPE.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152400</wp:posOffset>
            </wp:positionV>
            <wp:extent cx="15779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Christopher C. Richardson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Secretary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380" w:type="dxa"/>
            <w:vAlign w:val="bottom"/>
            <w:gridSpan w:val="3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9"/>
          </w:tcPr>
          <w:p>
            <w:pPr>
              <w:ind w:left="2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304"/>
        </w:trPr>
        <w:tc>
          <w:tcPr>
            <w:tcW w:w="34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GENERAL INFORMATION</w:t>
              </w:r>
            </w:hyperlink>
          </w:p>
        </w:tc>
        <w:tc>
          <w:tcPr>
            <w:tcW w:w="6920" w:type="dxa"/>
            <w:vAlign w:val="bottom"/>
            <w:gridSpan w:val="2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Notice of Internet Availability</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Borders>
              <w:top w:val="single" w:sz="8" w:color="0000EE"/>
            </w:tcBorders>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Record Date and Quorum</w:t>
              </w:r>
            </w:hyperlink>
          </w:p>
        </w:tc>
        <w:tc>
          <w:tcPr>
            <w:tcW w:w="6680" w:type="dxa"/>
            <w:vAlign w:val="bottom"/>
            <w:gridSpan w:val="2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Submission of Proxies; Revocation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Deadlines for Stockholder Proposals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Quorum</w:t>
              </w:r>
            </w:hyperlink>
          </w:p>
        </w:tc>
        <w:tc>
          <w:tcPr>
            <w:tcW w:w="2020" w:type="dxa"/>
            <w:vAlign w:val="bottom"/>
            <w:tcBorders>
              <w:top w:val="single" w:sz="8" w:color="0000EE"/>
            </w:tcBorders>
            <w:gridSpan w:val="15"/>
          </w:tcPr>
          <w:p>
            <w:pPr>
              <w:spacing w:after="0"/>
              <w:rPr>
                <w:sz w:val="24"/>
                <w:szCs w:val="24"/>
                <w:color w:val="auto"/>
              </w:rPr>
            </w:pPr>
          </w:p>
        </w:tc>
        <w:tc>
          <w:tcPr>
            <w:tcW w:w="622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Vote Required</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Adjournment or Postponement of Meeting</w:t>
              </w:r>
            </w:hyperlink>
          </w:p>
        </w:tc>
        <w:tc>
          <w:tcPr>
            <w:tcW w:w="578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Expenses of Soliciting Proxies</w:t>
              </w:r>
            </w:hyperlink>
          </w:p>
        </w:tc>
        <w:tc>
          <w:tcPr>
            <w:tcW w:w="6640" w:type="dxa"/>
            <w:vAlign w:val="bottom"/>
            <w:gridSpan w:val="2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340" w:type="dxa"/>
            <w:vAlign w:val="bottom"/>
          </w:tcPr>
          <w:p>
            <w:pPr>
              <w:spacing w:after="0"/>
              <w:rPr>
                <w:sz w:val="24"/>
                <w:szCs w:val="24"/>
                <w:color w:val="auto"/>
              </w:rPr>
            </w:pPr>
          </w:p>
        </w:tc>
        <w:tc>
          <w:tcPr>
            <w:tcW w:w="9040" w:type="dxa"/>
            <w:vAlign w:val="bottom"/>
            <w:gridSpan w:val="3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 AND BOARD MATTERS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3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100" w:type="dxa"/>
            <w:vAlign w:val="bottom"/>
            <w:tcBorders>
              <w:top w:val="single" w:sz="8" w:color="0000EE"/>
            </w:tcBorders>
            <w:gridSpan w:val="2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 Philosophy</w:t>
              </w:r>
            </w:hyperlink>
          </w:p>
        </w:tc>
        <w:tc>
          <w:tcPr>
            <w:tcW w:w="474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of Directors Meetings and Attendance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Director Independence</w:t>
              </w:r>
            </w:hyperlink>
          </w:p>
        </w:tc>
        <w:tc>
          <w:tcPr>
            <w:tcW w:w="1580" w:type="dxa"/>
            <w:vAlign w:val="bottom"/>
            <w:tcBorders>
              <w:top w:val="single" w:sz="8" w:color="0000EE"/>
            </w:tcBorders>
            <w:gridSpan w:val="18"/>
          </w:tcPr>
          <w:p>
            <w:pPr>
              <w:spacing w:after="0"/>
              <w:rPr>
                <w:sz w:val="24"/>
                <w:szCs w:val="24"/>
                <w:color w:val="auto"/>
              </w:rPr>
            </w:pPr>
          </w:p>
        </w:tc>
        <w:tc>
          <w:tcPr>
            <w:tcW w:w="562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Leadership Structure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Committees of Our Board of Directors</w:t>
              </w:r>
            </w:hyperlink>
          </w:p>
        </w:tc>
        <w:tc>
          <w:tcPr>
            <w:tcW w:w="606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Code of Conduct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Risk Oversight</w:t>
              </w:r>
            </w:hyperlink>
          </w:p>
        </w:tc>
        <w:tc>
          <w:tcPr>
            <w:tcW w:w="140" w:type="dxa"/>
            <w:vAlign w:val="bottom"/>
            <w:tcBorders>
              <w:top w:val="single" w:sz="8" w:color="0000EE"/>
            </w:tcBorders>
          </w:tcPr>
          <w:p>
            <w:pPr>
              <w:spacing w:after="0"/>
              <w:rPr>
                <w:sz w:val="24"/>
                <w:szCs w:val="24"/>
                <w:color w:val="auto"/>
              </w:rPr>
            </w:pPr>
          </w:p>
        </w:tc>
        <w:tc>
          <w:tcPr>
            <w:tcW w:w="7620" w:type="dxa"/>
            <w:vAlign w:val="bottom"/>
            <w:gridSpan w:val="2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Director Nomination Process</w:t>
              </w:r>
            </w:hyperlink>
          </w:p>
        </w:tc>
        <w:tc>
          <w:tcPr>
            <w:tcW w:w="6740" w:type="dxa"/>
            <w:vAlign w:val="bottom"/>
            <w:gridSpan w:val="2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Compensation Committee Interlocks and Insider Participation</w:t>
              </w:r>
            </w:hyperlink>
          </w:p>
        </w:tc>
        <w:tc>
          <w:tcPr>
            <w:tcW w:w="438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Stockholder Communications with the Board of Directors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tcBorders>
              <w:top w:val="single" w:sz="8" w:color="0000EE"/>
            </w:tcBorders>
            <w:gridSpan w:val="2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Director Stock Ownership Guidelines</w:t>
              </w:r>
            </w:hyperlink>
          </w:p>
        </w:tc>
        <w:tc>
          <w:tcPr>
            <w:tcW w:w="46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Borders>
              <w:top w:val="single" w:sz="8" w:color="0000EE"/>
            </w:tcBorders>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of Directors</w:t>
              </w:r>
            </w:hyperlink>
          </w:p>
        </w:tc>
        <w:tc>
          <w:tcPr>
            <w:tcW w:w="614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2010 Director Compensation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364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PROPOSAL NO. 1 ELECTION OF DIRECTORS</w:t>
              </w:r>
            </w:hyperlink>
          </w:p>
        </w:tc>
        <w:tc>
          <w:tcPr>
            <w:tcW w:w="540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Composition of our Board of Directors</w:t>
              </w:r>
            </w:hyperlink>
          </w:p>
        </w:tc>
        <w:tc>
          <w:tcPr>
            <w:tcW w:w="604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Directors and Director Nominees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1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7960" w:type="dxa"/>
            <w:vAlign w:val="bottom"/>
            <w:tcBorders>
              <w:bottom w:val="single" w:sz="8" w:color="0000EE"/>
            </w:tcBorders>
            <w:gridSpan w:val="31"/>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PROPOSAL NO. 2 APPROVAL OF OUR ANNUAL CASH INCENTIVE PLAN IN ACCORDANCE WITH</w:t>
              </w:r>
            </w:hyperlink>
          </w:p>
        </w:tc>
        <w:tc>
          <w:tcPr>
            <w:tcW w:w="10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SECTION 162(M) OF THE INTERNAL REVENUE CODE</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Summary of the Cash Incentive Plan</w:t>
              </w:r>
            </w:hyperlink>
          </w:p>
        </w:tc>
        <w:tc>
          <w:tcPr>
            <w:tcW w:w="1740" w:type="dxa"/>
            <w:vAlign w:val="bottom"/>
            <w:tcBorders>
              <w:top w:val="single" w:sz="8" w:color="0000EE"/>
            </w:tcBorders>
            <w:gridSpan w:val="11"/>
          </w:tcPr>
          <w:p>
            <w:pPr>
              <w:spacing w:after="0"/>
              <w:rPr>
                <w:sz w:val="24"/>
                <w:szCs w:val="24"/>
                <w:color w:val="auto"/>
              </w:rPr>
            </w:pPr>
          </w:p>
        </w:tc>
        <w:tc>
          <w:tcPr>
            <w:tcW w:w="446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1"/>
        </w:trPr>
        <w:tc>
          <w:tcPr>
            <w:tcW w:w="340" w:type="dxa"/>
            <w:vAlign w:val="bottom"/>
          </w:tcPr>
          <w:p>
            <w:pPr>
              <w:spacing w:after="0"/>
              <w:rPr>
                <w:sz w:val="24"/>
                <w:szCs w:val="24"/>
                <w:color w:val="auto"/>
              </w:rPr>
            </w:pPr>
          </w:p>
        </w:tc>
        <w:tc>
          <w:tcPr>
            <w:tcW w:w="9040" w:type="dxa"/>
            <w:vAlign w:val="bottom"/>
            <w:gridSpan w:val="3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NO. 3 APPROVAL OF THE SECTION 162(M) LIMITS OF OUR 2008 EQUITY INCENTIVE PLAN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1"/>
        </w:trPr>
        <w:tc>
          <w:tcPr>
            <w:tcW w:w="3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20" w:type="dxa"/>
            <w:vAlign w:val="bottom"/>
            <w:tcBorders>
              <w:top w:val="single" w:sz="8" w:color="0000EE"/>
            </w:tcBorders>
            <w:gridSpan w:val="3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Summary of the 2008 Equity Incentive Plan</w:t>
              </w:r>
            </w:hyperlink>
          </w:p>
        </w:tc>
        <w:tc>
          <w:tcPr>
            <w:tcW w:w="62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U.S. Federal Income Tax Consequences</w:t>
              </w:r>
            </w:hyperlink>
          </w:p>
        </w:tc>
        <w:tc>
          <w:tcPr>
            <w:tcW w:w="280" w:type="dxa"/>
            <w:vAlign w:val="bottom"/>
            <w:tcBorders>
              <w:top w:val="single" w:sz="8" w:color="0000EE"/>
            </w:tcBorders>
            <w:gridSpan w:val="2"/>
          </w:tcPr>
          <w:p>
            <w:pPr>
              <w:spacing w:after="0"/>
              <w:rPr>
                <w:sz w:val="24"/>
                <w:szCs w:val="24"/>
                <w:color w:val="auto"/>
              </w:rPr>
            </w:pPr>
          </w:p>
        </w:tc>
        <w:tc>
          <w:tcPr>
            <w:tcW w:w="568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1"/>
        </w:trPr>
        <w:tc>
          <w:tcPr>
            <w:tcW w:w="340" w:type="dxa"/>
            <w:vAlign w:val="bottom"/>
          </w:tcPr>
          <w:p>
            <w:pPr>
              <w:spacing w:after="0"/>
              <w:rPr>
                <w:sz w:val="24"/>
                <w:szCs w:val="24"/>
                <w:color w:val="auto"/>
              </w:rPr>
            </w:pPr>
          </w:p>
        </w:tc>
        <w:tc>
          <w:tcPr>
            <w:tcW w:w="8260" w:type="dxa"/>
            <w:vAlign w:val="bottom"/>
            <w:tcBorders>
              <w:bottom w:val="single" w:sz="8" w:color="0000EE"/>
            </w:tcBorders>
            <w:gridSpan w:val="32"/>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PROPOSAL NO. 4 ADVISORY (NON-BINDING) VOTE ON EXECUTIVE COMPENSATION (SAY-ON-PAY)</w:t>
              </w:r>
            </w:hyperlink>
          </w:p>
        </w:tc>
        <w:tc>
          <w:tcPr>
            <w:tcW w:w="78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1"/>
        </w:trPr>
        <w:tc>
          <w:tcPr>
            <w:tcW w:w="340" w:type="dxa"/>
            <w:vAlign w:val="bottom"/>
          </w:tcPr>
          <w:p>
            <w:pPr>
              <w:spacing w:after="0"/>
              <w:rPr>
                <w:sz w:val="24"/>
                <w:szCs w:val="24"/>
                <w:color w:val="auto"/>
              </w:rPr>
            </w:pPr>
          </w:p>
        </w:tc>
        <w:tc>
          <w:tcPr>
            <w:tcW w:w="9040" w:type="dxa"/>
            <w:vAlign w:val="bottom"/>
            <w:gridSpan w:val="3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PROPOSAL NO. 5 ADVISORY (NON-BINDING) VOTE ON THE FREQUENCY OF AN ADVISORY VOTE ON</w:t>
              </w:r>
            </w:hyperlink>
          </w:p>
        </w:tc>
        <w:tc>
          <w:tcPr>
            <w:tcW w:w="5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EXECUTIVE COMPENSATION</w:t>
              </w:r>
            </w:hyperlink>
          </w:p>
        </w:tc>
        <w:tc>
          <w:tcPr>
            <w:tcW w:w="5780" w:type="dxa"/>
            <w:vAlign w:val="bottom"/>
            <w:tcBorders>
              <w:top w:val="single" w:sz="8" w:color="0000EE"/>
            </w:tcBorders>
            <w:gridSpan w:val="18"/>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9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385"/>
        </w:trPr>
        <w:tc>
          <w:tcPr>
            <w:tcW w:w="904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PROPOSAL NO. 6 RATIFICATION OF INDEPENDENT REGISTERED PUBLIC ACCOUNTING FIRM</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1"/>
        </w:trPr>
        <w:tc>
          <w:tcPr>
            <w:tcW w:w="200" w:type="dxa"/>
            <w:vAlign w:val="bottom"/>
            <w:tcBorders>
              <w:top w:val="single" w:sz="8" w:color="0000EE"/>
            </w:tcBorders>
          </w:tcPr>
          <w:p>
            <w:pPr>
              <w:spacing w:after="0"/>
              <w:rPr>
                <w:sz w:val="24"/>
                <w:szCs w:val="24"/>
                <w:color w:val="auto"/>
              </w:rPr>
            </w:pPr>
          </w:p>
        </w:tc>
        <w:tc>
          <w:tcPr>
            <w:tcW w:w="7580" w:type="dxa"/>
            <w:vAlign w:val="bottom"/>
            <w:tcBorders>
              <w:top w:val="single" w:sz="8" w:color="0000EE"/>
            </w:tcBorders>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Fees</w:t>
              </w:r>
            </w:hyperlink>
          </w:p>
        </w:tc>
        <w:tc>
          <w:tcPr>
            <w:tcW w:w="1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20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Approval of Independent Registered Public Accounting Firm Services and Fees</w:t>
              </w:r>
            </w:hyperlink>
          </w:p>
        </w:tc>
        <w:tc>
          <w:tcPr>
            <w:tcW w:w="310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1"/>
        </w:trPr>
        <w:tc>
          <w:tcPr>
            <w:tcW w:w="240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AUDIT COMMITTEE REPORT</w:t>
              </w:r>
            </w:hyperlink>
          </w:p>
        </w:tc>
        <w:tc>
          <w:tcPr>
            <w:tcW w:w="664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1"/>
        </w:trPr>
        <w:tc>
          <w:tcPr>
            <w:tcW w:w="90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EXECUTIVE OFFICERS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24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EXECUTIVE COMPENSATION</w:t>
              </w:r>
            </w:hyperlink>
          </w:p>
        </w:tc>
        <w:tc>
          <w:tcPr>
            <w:tcW w:w="660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1"/>
        </w:trPr>
        <w:tc>
          <w:tcPr>
            <w:tcW w:w="200" w:type="dxa"/>
            <w:vAlign w:val="bottom"/>
          </w:tcPr>
          <w:p>
            <w:pPr>
              <w:spacing w:after="0"/>
              <w:rPr>
                <w:sz w:val="24"/>
                <w:szCs w:val="24"/>
                <w:color w:val="auto"/>
              </w:rPr>
            </w:pPr>
          </w:p>
        </w:tc>
        <w:tc>
          <w:tcPr>
            <w:tcW w:w="884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Compensation Discussion and Analysis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1"/>
        </w:trPr>
        <w:tc>
          <w:tcPr>
            <w:tcW w:w="20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tcPr>
          <w:p>
            <w:pPr>
              <w:spacing w:after="0"/>
              <w:rPr>
                <w:sz w:val="24"/>
                <w:szCs w:val="24"/>
                <w:color w:val="auto"/>
              </w:rPr>
            </w:pPr>
          </w:p>
        </w:tc>
        <w:tc>
          <w:tcPr>
            <w:tcW w:w="600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1"/>
        </w:trPr>
        <w:tc>
          <w:tcPr>
            <w:tcW w:w="200" w:type="dxa"/>
            <w:vAlign w:val="bottom"/>
          </w:tcPr>
          <w:p>
            <w:pPr>
              <w:spacing w:after="0"/>
              <w:rPr>
                <w:sz w:val="24"/>
                <w:szCs w:val="24"/>
                <w:color w:val="auto"/>
              </w:rPr>
            </w:pPr>
          </w:p>
        </w:tc>
        <w:tc>
          <w:tcPr>
            <w:tcW w:w="3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Compensation of Named Executive Officers</w:t>
              </w:r>
            </w:hyperlink>
          </w:p>
        </w:tc>
        <w:tc>
          <w:tcPr>
            <w:tcW w:w="564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1"/>
        </w:trPr>
        <w:tc>
          <w:tcPr>
            <w:tcW w:w="200" w:type="dxa"/>
            <w:vAlign w:val="bottom"/>
          </w:tcPr>
          <w:p>
            <w:pPr>
              <w:spacing w:after="0"/>
              <w:rPr>
                <w:sz w:val="24"/>
                <w:szCs w:val="24"/>
                <w:color w:val="auto"/>
              </w:rPr>
            </w:pPr>
          </w:p>
        </w:tc>
        <w:tc>
          <w:tcPr>
            <w:tcW w:w="42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Potential Payments upon Termination or Change in Control</w:t>
              </w:r>
            </w:hyperlink>
          </w:p>
        </w:tc>
        <w:tc>
          <w:tcPr>
            <w:tcW w:w="456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1"/>
        </w:trPr>
        <w:tc>
          <w:tcPr>
            <w:tcW w:w="39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BENEFICIAL OWNERSHIP OF COMMON STOCK</w:t>
              </w:r>
            </w:hyperlink>
          </w:p>
        </w:tc>
        <w:tc>
          <w:tcPr>
            <w:tcW w:w="512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31"/>
        </w:trPr>
        <w:tc>
          <w:tcPr>
            <w:tcW w:w="48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CERTAIN RELATIONSHIPS AND RELATED TRANSACTIONS</w:t>
              </w:r>
            </w:hyperlink>
          </w:p>
        </w:tc>
        <w:tc>
          <w:tcPr>
            <w:tcW w:w="418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31"/>
        </w:trPr>
        <w:tc>
          <w:tcPr>
            <w:tcW w:w="200" w:type="dxa"/>
            <w:vAlign w:val="bottom"/>
          </w:tcPr>
          <w:p>
            <w:pPr>
              <w:spacing w:after="0"/>
              <w:rPr>
                <w:sz w:val="24"/>
                <w:szCs w:val="24"/>
                <w:color w:val="auto"/>
              </w:rPr>
            </w:pPr>
          </w:p>
        </w:tc>
        <w:tc>
          <w:tcPr>
            <w:tcW w:w="884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Policies and Procedures for Related Party Transactions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31"/>
        </w:trPr>
        <w:tc>
          <w:tcPr>
            <w:tcW w:w="200" w:type="dxa"/>
            <w:vAlign w:val="bottom"/>
          </w:tcPr>
          <w:p>
            <w:pPr>
              <w:spacing w:after="0"/>
              <w:rPr>
                <w:sz w:val="24"/>
                <w:szCs w:val="24"/>
                <w:color w:val="auto"/>
              </w:rPr>
            </w:pPr>
          </w:p>
        </w:tc>
        <w:tc>
          <w:tcPr>
            <w:tcW w:w="3940" w:type="dxa"/>
            <w:vAlign w:val="bottom"/>
            <w:tcBorders>
              <w:top w:val="single" w:sz="8" w:color="0000EE"/>
            </w:tcBorders>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Certain Transactions</w:t>
              </w:r>
            </w:hyperlink>
          </w:p>
        </w:tc>
        <w:tc>
          <w:tcPr>
            <w:tcW w:w="49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904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SECTION 16(a) BENEFICIAL OWNERSHIP REPORTING COMPLIANCE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1"/>
        </w:trPr>
        <w:tc>
          <w:tcPr>
            <w:tcW w:w="34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gridSpan w:val="5"/>
          </w:tcPr>
          <w:p>
            <w:pPr>
              <w:spacing w:after="0"/>
              <w:rPr>
                <w:sz w:val="24"/>
                <w:szCs w:val="24"/>
                <w:color w:val="auto"/>
              </w:rPr>
            </w:pPr>
          </w:p>
        </w:tc>
        <w:tc>
          <w:tcPr>
            <w:tcW w:w="34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1"/>
        </w:trPr>
        <w:tc>
          <w:tcPr>
            <w:tcW w:w="24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ADDITIONAL INFORMATION</w:t>
              </w:r>
            </w:hyperlink>
          </w:p>
        </w:tc>
        <w:tc>
          <w:tcPr>
            <w:tcW w:w="664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1"/>
        </w:trPr>
        <w:tc>
          <w:tcPr>
            <w:tcW w:w="716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59">
              <w:r>
                <w:rPr>
                  <w:rFonts w:ascii="Arial" w:cs="Arial" w:eastAsia="Arial" w:hAnsi="Arial"/>
                  <w:sz w:val="18"/>
                  <w:szCs w:val="18"/>
                  <w:color w:val="0000EE"/>
                  <w:w w:val="98"/>
                </w:rPr>
                <w:t>APPENDIX A — GRAND CANYON EDUCATION, INC. ANNUAL CASH INCENTIVE PLAN</w:t>
              </w:r>
            </w:hyperlink>
          </w:p>
        </w:tc>
        <w:tc>
          <w:tcPr>
            <w:tcW w:w="188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Phoenix, Arizona 85017</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ind w:left="340" w:right="359" w:firstLine="778"/>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Tuesday, May 17, 2011, at McKinley Hall on the Company’s campus at 3300 W. Camelback Road, Phoenix, Arizona 85017, commencing at 10:00 a.m., local time, and at any adjournment or postponement thereof.</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Notice of Internet Availability</w:t>
      </w:r>
    </w:p>
    <w:p>
      <w:pPr>
        <w:spacing w:after="0" w:line="189" w:lineRule="exact"/>
        <w:rPr>
          <w:sz w:val="20"/>
          <w:szCs w:val="20"/>
          <w:color w:val="auto"/>
        </w:rPr>
      </w:pPr>
    </w:p>
    <w:p>
      <w:pPr>
        <w:ind w:left="340" w:right="199" w:firstLine="778"/>
        <w:spacing w:after="0" w:line="287" w:lineRule="auto"/>
        <w:rPr>
          <w:sz w:val="20"/>
          <w:szCs w:val="20"/>
          <w:color w:val="auto"/>
        </w:rPr>
      </w:pPr>
      <w:r>
        <w:rPr>
          <w:rFonts w:ascii="Arial" w:cs="Arial" w:eastAsia="Arial" w:hAnsi="Arial"/>
          <w:sz w:val="16"/>
          <w:szCs w:val="16"/>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April 9, 2011,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the Company’s Investor Relations website at </w:t>
      </w:r>
      <w:r>
        <w:rPr>
          <w:rFonts w:ascii="Arial" w:cs="Arial" w:eastAsia="Arial" w:hAnsi="Arial"/>
          <w:sz w:val="16"/>
          <w:szCs w:val="16"/>
          <w:u w:val="single" w:color="auto"/>
          <w:color w:val="auto"/>
        </w:rPr>
        <w:t>www.gcu.edu</w:t>
      </w:r>
      <w:r>
        <w:rPr>
          <w:rFonts w:ascii="Arial" w:cs="Arial" w:eastAsia="Arial" w:hAnsi="Arial"/>
          <w:sz w:val="16"/>
          <w:szCs w:val="16"/>
          <w:color w:val="auto"/>
        </w:rPr>
        <w: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Record Date and Quorum</w:t>
      </w:r>
    </w:p>
    <w:p>
      <w:pPr>
        <w:spacing w:after="0" w:line="202" w:lineRule="exact"/>
        <w:rPr>
          <w:sz w:val="20"/>
          <w:szCs w:val="20"/>
          <w:color w:val="auto"/>
        </w:rPr>
      </w:pPr>
    </w:p>
    <w:p>
      <w:pPr>
        <w:ind w:left="340" w:right="399" w:firstLine="778"/>
        <w:spacing w:after="0" w:line="276" w:lineRule="auto"/>
        <w:rPr>
          <w:sz w:val="20"/>
          <w:szCs w:val="20"/>
          <w:color w:val="auto"/>
        </w:rPr>
      </w:pPr>
      <w:r>
        <w:rPr>
          <w:rFonts w:ascii="Arial" w:cs="Arial" w:eastAsia="Arial" w:hAnsi="Arial"/>
          <w:sz w:val="17"/>
          <w:szCs w:val="17"/>
          <w:color w:val="auto"/>
        </w:rPr>
        <w:t>Only stockholders of record at the close of business on March 28, 2011, will be entitled to notice of and to vote at the Annual Meeting and any adjournment or postponement thereof. At the close of business on the record date, we had approximately 45,020,905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Submission of Proxies; Revocation</w:t>
      </w:r>
    </w:p>
    <w:p>
      <w:pPr>
        <w:spacing w:after="0" w:line="189" w:lineRule="exact"/>
        <w:rPr>
          <w:sz w:val="20"/>
          <w:szCs w:val="20"/>
          <w:color w:val="auto"/>
        </w:rPr>
      </w:pPr>
    </w:p>
    <w:p>
      <w:pPr>
        <w:ind w:left="340" w:right="179" w:firstLine="778"/>
        <w:spacing w:after="0" w:line="270" w:lineRule="auto"/>
        <w:rPr>
          <w:sz w:val="20"/>
          <w:szCs w:val="20"/>
          <w:color w:val="auto"/>
        </w:rPr>
      </w:pPr>
      <w:r>
        <w:rPr>
          <w:rFonts w:ascii="Arial" w:cs="Arial" w:eastAsia="Arial" w:hAnsi="Arial"/>
          <w:sz w:val="17"/>
          <w:szCs w:val="17"/>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Deadlines for Stockholder Proposals</w:t>
      </w:r>
    </w:p>
    <w:p>
      <w:pPr>
        <w:spacing w:after="0" w:line="202" w:lineRule="exact"/>
        <w:rPr>
          <w:sz w:val="20"/>
          <w:szCs w:val="20"/>
          <w:color w:val="auto"/>
        </w:rPr>
      </w:pPr>
    </w:p>
    <w:p>
      <w:pPr>
        <w:ind w:left="340" w:right="199" w:firstLine="778"/>
        <w:spacing w:after="0" w:line="268" w:lineRule="auto"/>
        <w:rPr>
          <w:sz w:val="20"/>
          <w:szCs w:val="20"/>
          <w:color w:val="auto"/>
        </w:rPr>
      </w:pPr>
      <w:r>
        <w:rPr>
          <w:rFonts w:ascii="Arial" w:cs="Arial" w:eastAsia="Arial" w:hAnsi="Arial"/>
          <w:sz w:val="17"/>
          <w:szCs w:val="17"/>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date of our proxy statement released to stockholders in connection with the previous year’s annual meeting. Accordingly, for a stockholder proposal to be included in our proxy materials for our 2012 Annual Meeting of Stockholders, the proposal must be received at our principal executive offices, addressed to our Secretary, not later than the close of business on November 29, 2011.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2012 Annual Meeting of Stockholders, proper notice of business that is not intended for inclusion in our proxy statement must be received not earlier than the close of business on January 21, 2012, nor later than the close of business on February 20, 2012.</w:t>
      </w:r>
    </w:p>
    <w:p>
      <w:pPr>
        <w:spacing w:after="0" w:line="145" w:lineRule="exact"/>
        <w:rPr>
          <w:sz w:val="20"/>
          <w:szCs w:val="20"/>
          <w:color w:val="auto"/>
        </w:rPr>
      </w:pPr>
    </w:p>
    <w:p>
      <w:pPr>
        <w:ind w:left="340" w:right="239" w:firstLine="778"/>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w:t>
      </w:r>
    </w:p>
    <w:p>
      <w:pPr>
        <w:spacing w:after="0" w:line="3" w:lineRule="exact"/>
        <w:rPr>
          <w:sz w:val="20"/>
          <w:szCs w:val="20"/>
          <w:color w:val="auto"/>
        </w:rPr>
      </w:pPr>
    </w:p>
    <w:p>
      <w:pPr>
        <w:ind w:left="340" w:right="199" w:hanging="8"/>
        <w:spacing w:after="0" w:line="281" w:lineRule="auto"/>
        <w:tabs>
          <w:tab w:leader="none" w:pos="64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w:t>
      </w:r>
    </w:p>
    <w:p>
      <w:pPr>
        <w:spacing w:after="0" w:line="2" w:lineRule="exact"/>
        <w:rPr>
          <w:rFonts w:ascii="Arial" w:cs="Arial" w:eastAsia="Arial" w:hAnsi="Arial"/>
          <w:sz w:val="16"/>
          <w:szCs w:val="16"/>
          <w:color w:val="auto"/>
        </w:rPr>
      </w:pPr>
    </w:p>
    <w:p>
      <w:pPr>
        <w:ind w:left="340" w:right="179"/>
        <w:spacing w:after="0" w:line="284" w:lineRule="auto"/>
        <w:rPr>
          <w:rFonts w:ascii="Arial" w:cs="Arial" w:eastAsia="Arial" w:hAnsi="Arial"/>
          <w:sz w:val="16"/>
          <w:szCs w:val="16"/>
          <w:color w:val="auto"/>
        </w:rPr>
      </w:pPr>
      <w:r>
        <w:rPr>
          <w:rFonts w:ascii="Arial" w:cs="Arial" w:eastAsia="Arial" w:hAnsi="Arial"/>
          <w:sz w:val="16"/>
          <w:szCs w:val="16"/>
          <w:color w:val="auto"/>
        </w:rPr>
        <w:t>(A)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Quorum</w:t>
      </w:r>
    </w:p>
    <w:p>
      <w:pPr>
        <w:spacing w:after="0" w:line="202" w:lineRule="exact"/>
        <w:rPr>
          <w:sz w:val="20"/>
          <w:szCs w:val="20"/>
          <w:color w:val="auto"/>
        </w:rPr>
      </w:pPr>
    </w:p>
    <w:p>
      <w:pPr>
        <w:ind w:left="340" w:right="239" w:firstLine="778"/>
        <w:spacing w:after="0" w:line="273" w:lineRule="auto"/>
        <w:rPr>
          <w:sz w:val="20"/>
          <w:szCs w:val="20"/>
          <w:color w:val="auto"/>
        </w:rPr>
      </w:pPr>
      <w:r>
        <w:rPr>
          <w:rFonts w:ascii="Arial" w:cs="Arial" w:eastAsia="Arial" w:hAnsi="Arial"/>
          <w:sz w:val="17"/>
          <w:szCs w:val="17"/>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Vote Required</w:t>
      </w:r>
    </w:p>
    <w:p>
      <w:pPr>
        <w:spacing w:after="0" w:line="202" w:lineRule="exact"/>
        <w:rPr>
          <w:sz w:val="20"/>
          <w:szCs w:val="20"/>
          <w:color w:val="auto"/>
        </w:rPr>
      </w:pPr>
    </w:p>
    <w:p>
      <w:pPr>
        <w:ind w:left="340" w:right="239" w:firstLine="778"/>
        <w:spacing w:after="0" w:line="288"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the ratification of our independent public accountants. However, your record holder cannot vote your shares without your specific instructions on the election of directors or on matters that relate to executive compensation, including the advisory votes described below on the compensation of our named executive officers and on the frequency of the advisory vote on executive compensation.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 encourage you to provide instructions to your broker regarding the voting of your shares.</w:t>
      </w:r>
      <w:r>
        <w:rPr>
          <w:rFonts w:ascii="Arial" w:cs="Arial" w:eastAsia="Arial" w:hAnsi="Arial"/>
          <w:sz w:val="16"/>
          <w:szCs w:val="16"/>
          <w:color w:val="auto"/>
        </w:rPr>
        <w:t xml:space="preserve"> Our stockholders have no dissenter’s or appraisal rights in connection with any of the proposals described herein.</w:t>
      </w:r>
    </w:p>
    <w:p>
      <w:pPr>
        <w:spacing w:after="0" w:line="129" w:lineRule="exact"/>
        <w:rPr>
          <w:sz w:val="20"/>
          <w:szCs w:val="20"/>
          <w:color w:val="auto"/>
        </w:rPr>
      </w:pPr>
    </w:p>
    <w:p>
      <w:pPr>
        <w:ind w:left="340" w:right="199" w:firstLine="778"/>
        <w:spacing w:after="0" w:line="259"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The affirmative vote of a plurality of the shares of common stock present in person or by proxy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and entitled to vote is required for the election to the Board of Directors of each of the nominees for director. Stockholders do not have the right to cumulate their votes in the election of directors. Votes that are withheld, abstentions, and broker non-votes will have no effect on the outcome of the election.</w:t>
      </w:r>
    </w:p>
    <w:p>
      <w:pPr>
        <w:spacing w:after="0" w:line="146"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i w:val="1"/>
          <w:iCs w:val="1"/>
          <w:color w:val="auto"/>
        </w:rPr>
        <w:t xml:space="preserve">Approve the Annual Cash Incentive Plan in accordance with Internal Revenue Code Section 162(m). </w:t>
      </w:r>
      <w:r>
        <w:rPr>
          <w:rFonts w:ascii="Arial" w:cs="Arial" w:eastAsia="Arial" w:hAnsi="Arial"/>
          <w:sz w:val="18"/>
          <w:szCs w:val="18"/>
          <w:color w:val="auto"/>
        </w:rPr>
        <w:t>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Incentive Plan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Approve the grant limitation within our 2008 Equity Incentive Plan in accordance with Internal Revenue Code</w:t>
      </w:r>
    </w:p>
    <w:p>
      <w:pPr>
        <w:spacing w:after="0" w:line="23"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Approval of the grant limitation within our 2008 Equity Incentive Plan requires the affirmative vote of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represented by proxy at the Annual Meeting and entitled to vote. Broker non-votes will have no effect on the outcome of this proposal, while abstentions will have the effect of a vote against this proposal.</w:t>
      </w:r>
    </w:p>
    <w:p>
      <w:pPr>
        <w:spacing w:after="0" w:line="150" w:lineRule="exact"/>
        <w:rPr>
          <w:sz w:val="20"/>
          <w:szCs w:val="20"/>
          <w:color w:val="auto"/>
        </w:rPr>
      </w:pPr>
    </w:p>
    <w:p>
      <w:pPr>
        <w:ind w:left="340" w:right="179" w:firstLine="778"/>
        <w:spacing w:after="0" w:line="273" w:lineRule="auto"/>
        <w:rPr>
          <w:sz w:val="20"/>
          <w:szCs w:val="20"/>
          <w:color w:val="auto"/>
        </w:rPr>
      </w:pPr>
      <w:r>
        <w:rPr>
          <w:rFonts w:ascii="Arial" w:cs="Arial" w:eastAsia="Arial" w:hAnsi="Arial"/>
          <w:sz w:val="17"/>
          <w:szCs w:val="17"/>
          <w:i w:val="1"/>
          <w:iCs w:val="1"/>
          <w:color w:val="auto"/>
        </w:rPr>
        <w:t xml:space="preserve">Advisory vote on the compensation of our named executive officers. </w:t>
      </w:r>
      <w:r>
        <w:rPr>
          <w:rFonts w:ascii="Arial" w:cs="Arial" w:eastAsia="Arial" w:hAnsi="Arial"/>
          <w:sz w:val="17"/>
          <w:szCs w:val="17"/>
          <w:color w:val="auto"/>
        </w:rPr>
        <w:t>Approval of the proposal to approve, on an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basis,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38" w:lineRule="exact"/>
        <w:rPr>
          <w:sz w:val="20"/>
          <w:szCs w:val="20"/>
          <w:color w:val="auto"/>
        </w:rPr>
      </w:pPr>
    </w:p>
    <w:p>
      <w:pPr>
        <w:ind w:left="340" w:right="179" w:firstLine="778"/>
        <w:spacing w:after="0" w:line="255" w:lineRule="auto"/>
        <w:rPr>
          <w:sz w:val="20"/>
          <w:szCs w:val="20"/>
          <w:color w:val="auto"/>
        </w:rPr>
      </w:pPr>
      <w:r>
        <w:rPr>
          <w:rFonts w:ascii="Arial" w:cs="Arial" w:eastAsia="Arial" w:hAnsi="Arial"/>
          <w:sz w:val="18"/>
          <w:szCs w:val="18"/>
          <w:i w:val="1"/>
          <w:iCs w:val="1"/>
          <w:color w:val="auto"/>
        </w:rPr>
        <w:t xml:space="preserve">Advisory vote on the frequency of the advisory vote on executive compensation. </w:t>
      </w:r>
      <w:r>
        <w:rPr>
          <w:rFonts w:ascii="Arial" w:cs="Arial" w:eastAsia="Arial" w:hAnsi="Arial"/>
          <w:sz w:val="18"/>
          <w:szCs w:val="18"/>
          <w:color w:val="auto"/>
        </w:rPr>
        <w:t>Approval of the proposal to 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vote to approve the compensation our named executive officers on a triennial basis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the Compensation Committee will consider the outcome, along with other relevant factors, in recommending a voting frequency to the Board of Directors.</w:t>
      </w:r>
    </w:p>
    <w:p>
      <w:pPr>
        <w:spacing w:after="0" w:line="166" w:lineRule="exact"/>
        <w:rPr>
          <w:sz w:val="20"/>
          <w:szCs w:val="20"/>
          <w:color w:val="auto"/>
        </w:rPr>
      </w:pPr>
    </w:p>
    <w:p>
      <w:pPr>
        <w:ind w:left="340" w:right="179" w:firstLine="778"/>
        <w:spacing w:after="0" w:line="257"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Committee’s appointment of Ernst &amp; Young LLP as our independent registered public accounting firm for the fiscal year ending December 31, 2011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202"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Expenses of Soliciting Proxies</w:t>
      </w:r>
    </w:p>
    <w:p>
      <w:pPr>
        <w:spacing w:after="0" w:line="189" w:lineRule="exact"/>
        <w:rPr>
          <w:sz w:val="20"/>
          <w:szCs w:val="20"/>
          <w:color w:val="auto"/>
        </w:rPr>
      </w:pPr>
    </w:p>
    <w:p>
      <w:pPr>
        <w:ind w:left="340" w:right="239" w:firstLine="778"/>
        <w:spacing w:after="0" w:line="264" w:lineRule="auto"/>
        <w:rPr>
          <w:sz w:val="20"/>
          <w:szCs w:val="20"/>
          <w:color w:val="auto"/>
        </w:rPr>
      </w:pPr>
      <w:r>
        <w:rPr>
          <w:rFonts w:ascii="Arial" w:cs="Arial" w:eastAsia="Arial" w:hAnsi="Arial"/>
          <w:sz w:val="18"/>
          <w:szCs w:val="18"/>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Governance Philosophy</w:t>
      </w:r>
    </w:p>
    <w:p>
      <w:pPr>
        <w:spacing w:after="0" w:line="189" w:lineRule="exact"/>
        <w:rPr>
          <w:sz w:val="20"/>
          <w:szCs w:val="20"/>
          <w:color w:val="auto"/>
        </w:rPr>
      </w:pPr>
    </w:p>
    <w:p>
      <w:pPr>
        <w:ind w:left="340" w:right="219" w:firstLine="778"/>
        <w:spacing w:after="0" w:line="255"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strives to ensure the success and continuity of business through the selection of qualified management. It is also responsible for ensuring that the Company’s activities are conducted in a responsible and ethical manner. The Company is committed to having sound corporate governance principles.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02" w:lineRule="exact"/>
        <w:rPr>
          <w:sz w:val="20"/>
          <w:szCs w:val="20"/>
          <w:color w:val="auto"/>
        </w:rPr>
      </w:pPr>
    </w:p>
    <w:p>
      <w:pPr>
        <w:ind w:left="340" w:right="259" w:firstLine="778"/>
        <w:spacing w:after="0" w:line="259" w:lineRule="auto"/>
        <w:rPr>
          <w:sz w:val="20"/>
          <w:szCs w:val="20"/>
          <w:color w:val="auto"/>
        </w:rPr>
      </w:pPr>
      <w:r>
        <w:rPr>
          <w:rFonts w:ascii="Arial" w:cs="Arial" w:eastAsia="Arial" w:hAnsi="Arial"/>
          <w:sz w:val="18"/>
          <w:szCs w:val="18"/>
          <w:color w:val="auto"/>
        </w:rPr>
        <w:t>During our 2010 fiscal year, our Board of Directors held eight meetings and acted by written consent one time and each of our directors attended more than 75% of such meetings. We do not have a formal policy regarding attendance of our directors at annual meetings of our stockholders, but we do encourage each of our directors to attend. Six of our eight directors attended our 2010 annual meeting.</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left="340" w:right="199" w:firstLine="778"/>
        <w:spacing w:after="0" w:line="289"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Our Board of Directors has affirmatively determined that each director other than Brent D. Richardson, who is our Executive Chairman, Brian E. Mueller, who is our Chief Executive Officer, and Christopher C. Richardson, who is our General Counsel,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40" w:lineRule="exact"/>
        <w:rPr>
          <w:sz w:val="20"/>
          <w:szCs w:val="20"/>
          <w:color w:val="auto"/>
        </w:rPr>
      </w:pPr>
    </w:p>
    <w:p>
      <w:pPr>
        <w:ind w:left="340" w:right="239" w:firstLine="778"/>
        <w:spacing w:after="0" w:line="290" w:lineRule="auto"/>
        <w:rPr>
          <w:sz w:val="20"/>
          <w:szCs w:val="20"/>
          <w:color w:val="auto"/>
        </w:rPr>
      </w:pPr>
      <w:r>
        <w:rPr>
          <w:rFonts w:ascii="Arial" w:cs="Arial" w:eastAsia="Arial" w:hAnsi="Arial"/>
          <w:sz w:val="16"/>
          <w:szCs w:val="16"/>
          <w:color w:val="auto"/>
        </w:rPr>
        <w:t>With respect to Messrs. Chad N. Heath and D. Mark Dorman, our Board of Directors considers their roles as managing directors of Endeavour Capital IV, LLC, which is the general partner of certain affiliated investment funds (the “Endeavour Entities”), and the fact that the Endeavour Entities own 11.0% of our outstanding shares of our capital stock. See “Beneficial Ownership of Common Stock.” After reviewing these relationships between and among the Company, the Endeavour Entities, and Messrs. Heath and Dorman, and considering that the affiliation between Messrs. Heath and Dorman and the Endeavour Entities will positively align their interests with those of our public stockholders, our Board of Directors has affirmatively determined (with Messrs. Heath and Dorman abstaining) that, in its judgment, Messrs. Heath and Dorman meet the applicable independence standards established by the Nasdaq Stock Market and that these relationships do not interfere with the exercise of independent judgment by these directors.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Board Leadership Structure</w:t>
      </w:r>
    </w:p>
    <w:p>
      <w:pPr>
        <w:spacing w:after="0" w:line="189" w:lineRule="exact"/>
        <w:rPr>
          <w:sz w:val="20"/>
          <w:szCs w:val="20"/>
          <w:color w:val="auto"/>
        </w:rPr>
      </w:pPr>
    </w:p>
    <w:p>
      <w:pPr>
        <w:ind w:left="340" w:right="219" w:firstLine="778"/>
        <w:spacing w:after="0" w:line="270" w:lineRule="auto"/>
        <w:rPr>
          <w:sz w:val="20"/>
          <w:szCs w:val="20"/>
          <w:color w:val="auto"/>
        </w:rPr>
      </w:pPr>
      <w:r>
        <w:rPr>
          <w:rFonts w:ascii="Arial" w:cs="Arial" w:eastAsia="Arial" w:hAnsi="Arial"/>
          <w:sz w:val="17"/>
          <w:szCs w:val="17"/>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even though Mr. Richardson is an employee of the Company,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is an employee of the Company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02" w:lineRule="exact"/>
        <w:rPr>
          <w:sz w:val="20"/>
          <w:szCs w:val="20"/>
          <w:color w:val="auto"/>
        </w:rPr>
      </w:pPr>
    </w:p>
    <w:p>
      <w:pPr>
        <w:ind w:left="340" w:right="1420" w:firstLine="778"/>
        <w:spacing w:after="0" w:line="271" w:lineRule="auto"/>
        <w:rPr>
          <w:sz w:val="20"/>
          <w:szCs w:val="20"/>
          <w:color w:val="auto"/>
        </w:rPr>
      </w:pPr>
      <w:r>
        <w:rPr>
          <w:rFonts w:ascii="Arial" w:cs="Arial" w:eastAsia="Arial" w:hAnsi="Arial"/>
          <w:sz w:val="17"/>
          <w:szCs w:val="17"/>
          <w:color w:val="auto"/>
        </w:rPr>
        <w:t xml:space="preserve">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at least 75%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Arial" w:cs="Arial" w:eastAsia="Arial" w:hAnsi="Arial"/>
          <w:sz w:val="17"/>
          <w:szCs w:val="17"/>
          <w:i w:val="1"/>
          <w:iCs w:val="1"/>
          <w:color w:val="auto"/>
        </w:rPr>
        <w:t>www.gcu.edu.</w:t>
      </w:r>
    </w:p>
    <w:p>
      <w:pPr>
        <w:spacing w:after="0" w:line="138" w:lineRule="exact"/>
        <w:rPr>
          <w:sz w:val="20"/>
          <w:szCs w:val="20"/>
          <w:color w:val="auto"/>
        </w:rPr>
      </w:pPr>
    </w:p>
    <w:p>
      <w:pPr>
        <w:ind w:left="340" w:right="1560" w:firstLine="778"/>
        <w:spacing w:after="0" w:line="270"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Our Audit Committee consists of Messrs. Jack A. Henry (chair), David J. Johnson, and Gerald J.</w:t>
      </w:r>
      <w:r>
        <w:rPr>
          <w:rFonts w:ascii="Arial" w:cs="Arial" w:eastAsia="Arial" w:hAnsi="Arial"/>
          <w:sz w:val="17"/>
          <w:szCs w:val="17"/>
          <w:i w:val="1"/>
          <w:iCs w:val="1"/>
          <w:color w:val="auto"/>
        </w:rPr>
        <w:t xml:space="preserve"> </w:t>
      </w:r>
      <w:r>
        <w:rPr>
          <w:rFonts w:ascii="Arial" w:cs="Arial" w:eastAsia="Arial" w:hAnsi="Arial"/>
          <w:sz w:val="17"/>
          <w:szCs w:val="17"/>
          <w:color w:val="auto"/>
        </w:rPr>
        <w:t>Colangelo, each of whom our Board of Directors has determined is “independent,” as defined under and required by the rules of the Nasdaq Stock Market and the federal securities laws. Our Audit Committee met five times during 2010.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Johnson and Colangelo qualifies as an “Audit Committee financial expert,” as defined under applicable federal securities laws.</w:t>
      </w:r>
    </w:p>
    <w:p>
      <w:pPr>
        <w:spacing w:after="0" w:line="141" w:lineRule="exact"/>
        <w:rPr>
          <w:sz w:val="20"/>
          <w:szCs w:val="20"/>
          <w:color w:val="auto"/>
        </w:rPr>
      </w:pPr>
    </w:p>
    <w:p>
      <w:pPr>
        <w:ind w:left="340" w:right="1380" w:firstLine="778"/>
        <w:spacing w:after="0" w:line="293"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Chad N. Heath, and</w:t>
      </w:r>
      <w:r>
        <w:rPr>
          <w:rFonts w:ascii="Arial" w:cs="Arial" w:eastAsia="Arial" w:hAnsi="Arial"/>
          <w:sz w:val="16"/>
          <w:szCs w:val="16"/>
          <w:i w:val="1"/>
          <w:iCs w:val="1"/>
          <w:color w:val="auto"/>
        </w:rPr>
        <w:t xml:space="preserve"> </w:t>
      </w:r>
      <w:r>
        <w:rPr>
          <w:rFonts w:ascii="Arial" w:cs="Arial" w:eastAsia="Arial" w:hAnsi="Arial"/>
          <w:sz w:val="16"/>
          <w:szCs w:val="16"/>
          <w:color w:val="auto"/>
        </w:rPr>
        <w:t>D. Mark Dorman, each of whom the Board of Directors has determined is “independent,” as defined under and required by the rules of the Nasdaq Stock Market. Our Compensation Committee met eight times and acted by written consent one time during 2010. The Compensation Committee is responsible for, among other things, supervising and reviewing our affairs as they relate to the compensation and benefits of our executive officers.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38" w:lineRule="exact"/>
        <w:rPr>
          <w:sz w:val="20"/>
          <w:szCs w:val="20"/>
          <w:color w:val="auto"/>
        </w:rPr>
      </w:pPr>
    </w:p>
    <w:p>
      <w:pPr>
        <w:ind w:left="340" w:right="1520" w:firstLine="778"/>
        <w:spacing w:after="0" w:line="259" w:lineRule="auto"/>
        <w:rPr>
          <w:sz w:val="20"/>
          <w:szCs w:val="20"/>
          <w:color w:val="auto"/>
        </w:rPr>
      </w:pPr>
      <w:r>
        <w:rPr>
          <w:rFonts w:ascii="Arial" w:cs="Arial" w:eastAsia="Arial" w:hAnsi="Arial"/>
          <w:sz w:val="18"/>
          <w:szCs w:val="18"/>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as its compensation consultant and advisor to:</w:t>
      </w:r>
    </w:p>
    <w:p>
      <w:pPr>
        <w:spacing w:after="0" w:line="146" w:lineRule="exact"/>
        <w:rPr>
          <w:sz w:val="20"/>
          <w:szCs w:val="20"/>
          <w:color w:val="auto"/>
        </w:rPr>
      </w:pPr>
    </w:p>
    <w:p>
      <w:pPr>
        <w:ind w:left="1480" w:right="1500" w:hanging="378"/>
        <w:spacing w:after="0" w:line="277" w:lineRule="auto"/>
        <w:tabs>
          <w:tab w:leader="none" w:pos="14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Provide ongoing recommendations regarding executive compensation consistent with the Company’s business needs, pay philosophy, market trends and latest legal and regulatory considerations;</w:t>
      </w:r>
    </w:p>
    <w:p>
      <w:pPr>
        <w:spacing w:after="0" w:line="102" w:lineRule="exact"/>
        <w:rPr>
          <w:rFonts w:ascii="Arial" w:cs="Arial" w:eastAsia="Arial" w:hAnsi="Arial"/>
          <w:sz w:val="18"/>
          <w:szCs w:val="18"/>
          <w:b w:val="1"/>
          <w:bCs w:val="1"/>
          <w:color w:val="auto"/>
        </w:rPr>
      </w:pPr>
    </w:p>
    <w:p>
      <w:pPr>
        <w:ind w:left="1480" w:hanging="378"/>
        <w:spacing w:after="0"/>
        <w:tabs>
          <w:tab w:leader="none" w:pos="14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Provide market data for base salary, short-term incentive and long-term incentive decisions; and</w:t>
      </w:r>
    </w:p>
    <w:p>
      <w:pPr>
        <w:spacing w:after="0" w:line="157" w:lineRule="exact"/>
        <w:rPr>
          <w:rFonts w:ascii="Arial" w:cs="Arial" w:eastAsia="Arial" w:hAnsi="Arial"/>
          <w:sz w:val="18"/>
          <w:szCs w:val="18"/>
          <w:b w:val="1"/>
          <w:bCs w:val="1"/>
          <w:color w:val="auto"/>
        </w:rPr>
      </w:pPr>
    </w:p>
    <w:p>
      <w:pPr>
        <w:ind w:left="1480" w:hanging="378"/>
        <w:spacing w:after="0"/>
        <w:tabs>
          <w:tab w:leader="none" w:pos="14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Advise the Compensation Committee as to best practices.</w:t>
      </w:r>
    </w:p>
    <w:p>
      <w:pPr>
        <w:spacing w:after="0" w:line="185" w:lineRule="exact"/>
        <w:rPr>
          <w:sz w:val="20"/>
          <w:szCs w:val="20"/>
          <w:color w:val="auto"/>
        </w:rPr>
      </w:pPr>
    </w:p>
    <w:p>
      <w:pPr>
        <w:ind w:left="340" w:right="1380" w:firstLine="778"/>
        <w:spacing w:after="0" w:line="255" w:lineRule="auto"/>
        <w:rPr>
          <w:sz w:val="20"/>
          <w:szCs w:val="20"/>
          <w:color w:val="auto"/>
        </w:rPr>
      </w:pPr>
      <w:r>
        <w:rPr>
          <w:rFonts w:ascii="Arial" w:cs="Arial" w:eastAsia="Arial" w:hAnsi="Arial"/>
          <w:sz w:val="18"/>
          <w:szCs w:val="18"/>
          <w:color w:val="auto"/>
        </w:rPr>
        <w:t>In 2010, Mercer conducted a review of the Company’s executive compensation program, including an evaluation of the market positioning for total compensation and individual pay elements, and conducted interviews with representatives of management and the Compensation Committee to understand the peer group with which the Company competes for labor, capital and customers. In addition to these considerations, Mercer considered peers based on the Company’s industry and revenue. Mercer recommended a peer group of publicly traded education companies with median revenue near the Company’s revenue, which was approved. The peer group consists of the following companies: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ind w:left="1100"/>
              <w:spacing w:after="0"/>
              <w:rPr>
                <w:sz w:val="20"/>
                <w:szCs w:val="20"/>
                <w:color w:val="auto"/>
              </w:rPr>
            </w:pPr>
            <w:r>
              <w:rPr>
                <w:rFonts w:ascii="Arial" w:cs="Arial" w:eastAsia="Arial" w:hAnsi="Arial"/>
                <w:sz w:val="18"/>
                <w:szCs w:val="18"/>
                <w:b w:val="1"/>
                <w:bCs w:val="1"/>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Education Management Corporation;</w:t>
            </w:r>
          </w:p>
        </w:tc>
        <w:tc>
          <w:tcPr>
            <w:tcW w:w="1180" w:type="dxa"/>
            <w:vAlign w:val="bottom"/>
          </w:tcPr>
          <w:p>
            <w:pPr>
              <w:ind w:left="960"/>
              <w:spacing w:after="0"/>
              <w:rPr>
                <w:sz w:val="20"/>
                <w:szCs w:val="20"/>
                <w:color w:val="auto"/>
              </w:rPr>
            </w:pPr>
            <w:r>
              <w:rPr>
                <w:rFonts w:ascii="Arial" w:cs="Arial" w:eastAsia="Arial" w:hAnsi="Arial"/>
                <w:sz w:val="18"/>
                <w:szCs w:val="18"/>
                <w:b w:val="1"/>
                <w:bCs w:val="1"/>
                <w:color w:val="auto"/>
              </w:rPr>
              <w:t>•</w:t>
            </w:r>
          </w:p>
        </w:tc>
        <w:tc>
          <w:tcPr>
            <w:tcW w:w="5580" w:type="dxa"/>
            <w:vAlign w:val="bottom"/>
          </w:tcPr>
          <w:p>
            <w:pPr>
              <w:ind w:left="160"/>
              <w:spacing w:after="0"/>
              <w:rPr>
                <w:sz w:val="20"/>
                <w:szCs w:val="20"/>
                <w:color w:val="auto"/>
              </w:rPr>
            </w:pPr>
            <w:r>
              <w:rPr>
                <w:rFonts w:ascii="Arial" w:cs="Arial" w:eastAsia="Arial" w:hAnsi="Arial"/>
                <w:sz w:val="18"/>
                <w:szCs w:val="18"/>
                <w:color w:val="auto"/>
              </w:rPr>
              <w:t>Universal Technical Institute, Inc.</w:t>
            </w:r>
          </w:p>
        </w:tc>
      </w:tr>
      <w:tr>
        <w:trPr>
          <w:trHeight w:val="432"/>
        </w:trPr>
        <w:tc>
          <w:tcPr>
            <w:tcW w:w="1320" w:type="dxa"/>
            <w:vAlign w:val="bottom"/>
          </w:tcPr>
          <w:p>
            <w:pPr>
              <w:ind w:left="1100"/>
              <w:spacing w:after="0"/>
              <w:rPr>
                <w:sz w:val="20"/>
                <w:szCs w:val="20"/>
                <w:color w:val="auto"/>
              </w:rPr>
            </w:pPr>
            <w:r>
              <w:rPr>
                <w:rFonts w:ascii="Arial" w:cs="Arial" w:eastAsia="Arial" w:hAnsi="Arial"/>
                <w:sz w:val="18"/>
                <w:szCs w:val="18"/>
                <w:b w:val="1"/>
                <w:bCs w:val="1"/>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Career Education Corporation</w:t>
            </w:r>
          </w:p>
        </w:tc>
        <w:tc>
          <w:tcPr>
            <w:tcW w:w="1180" w:type="dxa"/>
            <w:vAlign w:val="bottom"/>
          </w:tcPr>
          <w:p>
            <w:pPr>
              <w:ind w:left="960"/>
              <w:spacing w:after="0"/>
              <w:rPr>
                <w:sz w:val="20"/>
                <w:szCs w:val="20"/>
                <w:color w:val="auto"/>
              </w:rPr>
            </w:pPr>
            <w:r>
              <w:rPr>
                <w:rFonts w:ascii="Arial" w:cs="Arial" w:eastAsia="Arial" w:hAnsi="Arial"/>
                <w:sz w:val="18"/>
                <w:szCs w:val="18"/>
                <w:b w:val="1"/>
                <w:bCs w:val="1"/>
                <w:color w:val="auto"/>
              </w:rPr>
              <w:t>•</w:t>
            </w:r>
          </w:p>
        </w:tc>
        <w:tc>
          <w:tcPr>
            <w:tcW w:w="5580" w:type="dxa"/>
            <w:vAlign w:val="bottom"/>
          </w:tcPr>
          <w:p>
            <w:pPr>
              <w:ind w:left="160"/>
              <w:spacing w:after="0"/>
              <w:rPr>
                <w:sz w:val="20"/>
                <w:szCs w:val="20"/>
                <w:color w:val="auto"/>
              </w:rPr>
            </w:pPr>
            <w:r>
              <w:rPr>
                <w:rFonts w:ascii="Arial" w:cs="Arial" w:eastAsia="Arial" w:hAnsi="Arial"/>
                <w:sz w:val="18"/>
                <w:szCs w:val="18"/>
                <w:color w:val="auto"/>
              </w:rPr>
              <w:t>Bridgepoint Education, Inc.</w:t>
            </w:r>
          </w:p>
        </w:tc>
      </w:tr>
      <w:tr>
        <w:trPr>
          <w:trHeight w:val="432"/>
        </w:trPr>
        <w:tc>
          <w:tcPr>
            <w:tcW w:w="1320" w:type="dxa"/>
            <w:vAlign w:val="bottom"/>
          </w:tcPr>
          <w:p>
            <w:pPr>
              <w:ind w:left="1100"/>
              <w:spacing w:after="0"/>
              <w:rPr>
                <w:sz w:val="20"/>
                <w:szCs w:val="20"/>
                <w:color w:val="auto"/>
              </w:rPr>
            </w:pPr>
            <w:r>
              <w:rPr>
                <w:rFonts w:ascii="Arial" w:cs="Arial" w:eastAsia="Arial" w:hAnsi="Arial"/>
                <w:sz w:val="18"/>
                <w:szCs w:val="18"/>
                <w:b w:val="1"/>
                <w:bCs w:val="1"/>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DeVry, Inc.</w:t>
            </w:r>
          </w:p>
        </w:tc>
        <w:tc>
          <w:tcPr>
            <w:tcW w:w="1180" w:type="dxa"/>
            <w:vAlign w:val="bottom"/>
          </w:tcPr>
          <w:p>
            <w:pPr>
              <w:ind w:left="960"/>
              <w:spacing w:after="0"/>
              <w:rPr>
                <w:sz w:val="20"/>
                <w:szCs w:val="20"/>
                <w:color w:val="auto"/>
              </w:rPr>
            </w:pPr>
            <w:r>
              <w:rPr>
                <w:rFonts w:ascii="Arial" w:cs="Arial" w:eastAsia="Arial" w:hAnsi="Arial"/>
                <w:sz w:val="18"/>
                <w:szCs w:val="18"/>
                <w:b w:val="1"/>
                <w:bCs w:val="1"/>
                <w:color w:val="auto"/>
              </w:rPr>
              <w:t>•</w:t>
            </w:r>
          </w:p>
        </w:tc>
        <w:tc>
          <w:tcPr>
            <w:tcW w:w="5580" w:type="dxa"/>
            <w:vAlign w:val="bottom"/>
          </w:tcPr>
          <w:p>
            <w:pPr>
              <w:ind w:left="160"/>
              <w:spacing w:after="0"/>
              <w:rPr>
                <w:sz w:val="20"/>
                <w:szCs w:val="20"/>
                <w:color w:val="auto"/>
              </w:rPr>
            </w:pPr>
            <w:r>
              <w:rPr>
                <w:rFonts w:ascii="Arial" w:cs="Arial" w:eastAsia="Arial" w:hAnsi="Arial"/>
                <w:sz w:val="18"/>
                <w:szCs w:val="18"/>
                <w:color w:val="auto"/>
              </w:rPr>
              <w:t>K12, Inc.</w:t>
            </w:r>
          </w:p>
        </w:tc>
      </w:tr>
      <w:tr>
        <w:trPr>
          <w:trHeight w:val="797"/>
        </w:trPr>
        <w:tc>
          <w:tcPr>
            <w:tcW w:w="1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5580" w:type="dxa"/>
            <w:vAlign w:val="bottom"/>
          </w:tcPr>
          <w:p>
            <w:pPr>
              <w:spacing w:after="0"/>
              <w:rPr>
                <w:sz w:val="24"/>
                <w:szCs w:val="24"/>
                <w:color w:val="auto"/>
              </w:rPr>
            </w:pPr>
          </w:p>
        </w:tc>
      </w:tr>
      <w:tr>
        <w:trPr>
          <w:trHeight w:val="226"/>
        </w:trPr>
        <w:tc>
          <w:tcPr>
            <w:tcW w:w="13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60" w:type="dxa"/>
            <w:vAlign w:val="bottom"/>
          </w:tcPr>
          <w:p>
            <w:pPr>
              <w:ind w:left="160"/>
              <w:spacing w:after="0"/>
              <w:rPr>
                <w:sz w:val="20"/>
                <w:szCs w:val="20"/>
                <w:color w:val="auto"/>
              </w:rPr>
            </w:pPr>
            <w:r>
              <w:rPr>
                <w:rFonts w:ascii="Arial" w:cs="Arial" w:eastAsia="Arial" w:hAnsi="Arial"/>
                <w:sz w:val="18"/>
                <w:szCs w:val="18"/>
                <w:color w:val="auto"/>
              </w:rPr>
              <w:t>Corinthian Colleges, Inc.</w:t>
            </w:r>
          </w:p>
        </w:tc>
        <w:tc>
          <w:tcPr>
            <w:tcW w:w="10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500" w:type="dxa"/>
            <w:vAlign w:val="bottom"/>
          </w:tcPr>
          <w:p>
            <w:pPr>
              <w:ind w:left="160"/>
              <w:spacing w:after="0"/>
              <w:rPr>
                <w:sz w:val="20"/>
                <w:szCs w:val="20"/>
                <w:color w:val="auto"/>
              </w:rPr>
            </w:pPr>
            <w:r>
              <w:rPr>
                <w:rFonts w:ascii="Arial" w:cs="Arial" w:eastAsia="Arial" w:hAnsi="Arial"/>
                <w:sz w:val="18"/>
                <w:szCs w:val="18"/>
                <w:color w:val="auto"/>
              </w:rPr>
              <w:t>Capella Education, Inc.</w:t>
            </w:r>
          </w:p>
        </w:tc>
      </w:tr>
      <w:tr>
        <w:trPr>
          <w:trHeight w:val="432"/>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60" w:type="dxa"/>
            <w:vAlign w:val="bottom"/>
          </w:tcPr>
          <w:p>
            <w:pPr>
              <w:ind w:left="160"/>
              <w:spacing w:after="0"/>
              <w:rPr>
                <w:sz w:val="20"/>
                <w:szCs w:val="20"/>
                <w:color w:val="auto"/>
              </w:rPr>
            </w:pPr>
            <w:r>
              <w:rPr>
                <w:rFonts w:ascii="Arial" w:cs="Arial" w:eastAsia="Arial" w:hAnsi="Arial"/>
                <w:sz w:val="18"/>
                <w:szCs w:val="18"/>
                <w:color w:val="auto"/>
              </w:rPr>
              <w:t>ITT Educational Services, Inc.</w:t>
            </w:r>
          </w:p>
        </w:tc>
        <w:tc>
          <w:tcPr>
            <w:tcW w:w="10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500" w:type="dxa"/>
            <w:vAlign w:val="bottom"/>
          </w:tcPr>
          <w:p>
            <w:pPr>
              <w:ind w:left="160"/>
              <w:spacing w:after="0"/>
              <w:rPr>
                <w:sz w:val="20"/>
                <w:szCs w:val="20"/>
                <w:color w:val="auto"/>
              </w:rPr>
            </w:pPr>
            <w:r>
              <w:rPr>
                <w:rFonts w:ascii="Arial" w:cs="Arial" w:eastAsia="Arial" w:hAnsi="Arial"/>
                <w:sz w:val="18"/>
                <w:szCs w:val="18"/>
                <w:color w:val="auto"/>
              </w:rPr>
              <w:t>Princeton Review, Inc.</w:t>
            </w:r>
          </w:p>
        </w:tc>
      </w:tr>
      <w:tr>
        <w:trPr>
          <w:trHeight w:val="432"/>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60" w:type="dxa"/>
            <w:vAlign w:val="bottom"/>
          </w:tcPr>
          <w:p>
            <w:pPr>
              <w:ind w:left="160"/>
              <w:spacing w:after="0"/>
              <w:rPr>
                <w:sz w:val="20"/>
                <w:szCs w:val="20"/>
                <w:color w:val="auto"/>
              </w:rPr>
            </w:pPr>
            <w:r>
              <w:rPr>
                <w:rFonts w:ascii="Arial" w:cs="Arial" w:eastAsia="Arial" w:hAnsi="Arial"/>
                <w:sz w:val="18"/>
                <w:szCs w:val="18"/>
                <w:color w:val="auto"/>
              </w:rPr>
              <w:t>Lincoln Educational Services, Inc.</w:t>
            </w:r>
          </w:p>
        </w:tc>
        <w:tc>
          <w:tcPr>
            <w:tcW w:w="10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500" w:type="dxa"/>
            <w:vAlign w:val="bottom"/>
          </w:tcPr>
          <w:p>
            <w:pPr>
              <w:ind w:left="160"/>
              <w:spacing w:after="0"/>
              <w:rPr>
                <w:sz w:val="20"/>
                <w:szCs w:val="20"/>
                <w:color w:val="auto"/>
              </w:rPr>
            </w:pPr>
            <w:r>
              <w:rPr>
                <w:rFonts w:ascii="Arial" w:cs="Arial" w:eastAsia="Arial" w:hAnsi="Arial"/>
                <w:sz w:val="18"/>
                <w:szCs w:val="18"/>
                <w:color w:val="auto"/>
                <w:w w:val="90"/>
              </w:rPr>
              <w:t>Learning Tree International, Inc.</w:t>
            </w:r>
          </w:p>
        </w:tc>
      </w:tr>
      <w:tr>
        <w:trPr>
          <w:trHeight w:val="432"/>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60" w:type="dxa"/>
            <w:vAlign w:val="bottom"/>
          </w:tcPr>
          <w:p>
            <w:pPr>
              <w:ind w:left="160"/>
              <w:spacing w:after="0"/>
              <w:rPr>
                <w:sz w:val="20"/>
                <w:szCs w:val="20"/>
                <w:color w:val="auto"/>
              </w:rPr>
            </w:pPr>
            <w:r>
              <w:rPr>
                <w:rFonts w:ascii="Arial" w:cs="Arial" w:eastAsia="Arial" w:hAnsi="Arial"/>
                <w:sz w:val="18"/>
                <w:szCs w:val="18"/>
                <w:color w:val="auto"/>
              </w:rPr>
              <w:t>Strayer Education, Inc.</w:t>
            </w:r>
          </w:p>
        </w:tc>
        <w:tc>
          <w:tcPr>
            <w:tcW w:w="10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500" w:type="dxa"/>
            <w:vAlign w:val="bottom"/>
          </w:tcPr>
          <w:p>
            <w:pPr>
              <w:ind w:left="160"/>
              <w:spacing w:after="0"/>
              <w:rPr>
                <w:sz w:val="20"/>
                <w:szCs w:val="20"/>
                <w:color w:val="auto"/>
              </w:rPr>
            </w:pPr>
            <w:r>
              <w:rPr>
                <w:rFonts w:ascii="Arial" w:cs="Arial" w:eastAsia="Arial" w:hAnsi="Arial"/>
                <w:sz w:val="18"/>
                <w:szCs w:val="18"/>
                <w:color w:val="auto"/>
                <w:w w:val="93"/>
              </w:rPr>
              <w:t>American Public Education Co.</w:t>
            </w:r>
          </w:p>
        </w:tc>
      </w:tr>
    </w:tbl>
    <w:p>
      <w:pPr>
        <w:spacing w:after="0" w:line="17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Compensation Committee expects to utilize Mercer’s peer group analyses in setting compensation for 2011 and future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years.</w:t>
      </w:r>
    </w:p>
    <w:p>
      <w:pPr>
        <w:spacing w:after="0" w:line="170" w:lineRule="exact"/>
        <w:rPr>
          <w:sz w:val="20"/>
          <w:szCs w:val="20"/>
          <w:color w:val="auto"/>
        </w:rPr>
      </w:pPr>
    </w:p>
    <w:p>
      <w:pPr>
        <w:ind w:left="340" w:right="179" w:firstLine="778"/>
        <w:spacing w:after="0" w:line="290"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w:t>
      </w:r>
      <w:r>
        <w:rPr>
          <w:rFonts w:ascii="Arial" w:cs="Arial" w:eastAsia="Arial" w:hAnsi="Arial"/>
          <w:sz w:val="16"/>
          <w:szCs w:val="16"/>
          <w:i w:val="1"/>
          <w:iCs w:val="1"/>
          <w:color w:val="auto"/>
        </w:rPr>
        <w:t xml:space="preserve"> </w:t>
      </w:r>
      <w:r>
        <w:rPr>
          <w:rFonts w:ascii="Arial" w:cs="Arial" w:eastAsia="Arial" w:hAnsi="Arial"/>
          <w:sz w:val="16"/>
          <w:szCs w:val="16"/>
          <w:color w:val="auto"/>
        </w:rPr>
        <w:t>Messrs. Chad N. Heath (chair) and D. Mark Dorman, each of whom our Board of Directors has determined is “independent,” as defined under and required by the rules of the Nasdaq Stock Market. Our Nominating and Corporate Governance Committee met three times during 2010.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evaluation of the Board of Directors and each committee.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Conduct</w:t>
      </w:r>
    </w:p>
    <w:p>
      <w:pPr>
        <w:spacing w:after="0" w:line="202" w:lineRule="exact"/>
        <w:rPr>
          <w:sz w:val="20"/>
          <w:szCs w:val="20"/>
          <w:color w:val="auto"/>
        </w:rPr>
      </w:pPr>
    </w:p>
    <w:p>
      <w:pPr>
        <w:ind w:left="340" w:right="239" w:firstLine="778"/>
        <w:spacing w:after="0" w:line="272" w:lineRule="auto"/>
        <w:rPr>
          <w:sz w:val="20"/>
          <w:szCs w:val="20"/>
          <w:color w:val="auto"/>
        </w:rPr>
      </w:pPr>
      <w:r>
        <w:rPr>
          <w:rFonts w:ascii="Arial" w:cs="Arial" w:eastAsia="Arial" w:hAnsi="Arial"/>
          <w:sz w:val="17"/>
          <w:szCs w:val="17"/>
          <w:color w:val="auto"/>
        </w:rPr>
        <w:t xml:space="preserve">We have adopted our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Oversight</w:t>
      </w:r>
    </w:p>
    <w:p>
      <w:pPr>
        <w:spacing w:after="0" w:line="189" w:lineRule="exact"/>
        <w:rPr>
          <w:sz w:val="20"/>
          <w:szCs w:val="20"/>
          <w:color w:val="auto"/>
        </w:rPr>
      </w:pPr>
    </w:p>
    <w:p>
      <w:pPr>
        <w:ind w:left="340" w:right="179" w:firstLine="778"/>
        <w:spacing w:after="0" w:line="270" w:lineRule="auto"/>
        <w:rPr>
          <w:sz w:val="20"/>
          <w:szCs w:val="20"/>
          <w:color w:val="auto"/>
        </w:rPr>
      </w:pPr>
      <w:r>
        <w:rPr>
          <w:rFonts w:ascii="Arial" w:cs="Arial" w:eastAsia="Arial" w:hAnsi="Arial"/>
          <w:sz w:val="17"/>
          <w:szCs w:val="17"/>
          <w:color w:val="auto"/>
        </w:rPr>
        <w:t>Our Board of Directors is responsible for oversight of our risk assessment and management process.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Nomination Process</w:t>
      </w:r>
    </w:p>
    <w:p>
      <w:pPr>
        <w:spacing w:after="0" w:line="189" w:lineRule="exact"/>
        <w:rPr>
          <w:sz w:val="20"/>
          <w:szCs w:val="20"/>
          <w:color w:val="auto"/>
        </w:rPr>
      </w:pPr>
    </w:p>
    <w:p>
      <w:pPr>
        <w:ind w:left="340" w:right="159" w:firstLine="778"/>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130" w:lineRule="exact"/>
        <w:rPr>
          <w:sz w:val="20"/>
          <w:szCs w:val="20"/>
          <w:color w:val="auto"/>
        </w:rPr>
      </w:pPr>
    </w:p>
    <w:p>
      <w:pPr>
        <w:ind w:left="1480" w:right="259" w:hanging="378"/>
        <w:spacing w:after="0" w:line="264"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identification of director candidates by our Nominating and Corporate Governance Committee based upon suggestions from current directors and senior management, recommendations by stockholders and/or use of a director search firm;</w:t>
      </w:r>
    </w:p>
    <w:p>
      <w:pPr>
        <w:spacing w:after="0" w:line="154" w:lineRule="exact"/>
        <w:rPr>
          <w:rFonts w:ascii="Arial" w:cs="Arial" w:eastAsia="Arial" w:hAnsi="Arial"/>
          <w:sz w:val="18"/>
          <w:szCs w:val="18"/>
          <w:b w:val="1"/>
          <w:bCs w:val="1"/>
          <w:color w:val="auto"/>
        </w:rPr>
      </w:pPr>
    </w:p>
    <w:p>
      <w:pPr>
        <w:ind w:left="1480" w:right="579" w:hanging="378"/>
        <w:spacing w:after="0" w:line="277"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review of the candidates’ qualifications by our Nominating and Corporate Governance Committee to determine which candidates best meet our Board of Directors’ required and desired criteria;</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80" w:right="859" w:hanging="378"/>
        <w:spacing w:after="0" w:line="308" w:lineRule="auto"/>
        <w:tabs>
          <w:tab w:leader="none" w:pos="14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interviews of interested candidates who best meet these criteria by the chair of the Nominating and Corporate Governance Committee, the chair of our Board of Directors, and/or certain other directors;</w:t>
      </w:r>
    </w:p>
    <w:p>
      <w:pPr>
        <w:spacing w:after="0" w:line="106" w:lineRule="exact"/>
        <w:rPr>
          <w:rFonts w:ascii="Arial" w:cs="Arial" w:eastAsia="Arial" w:hAnsi="Arial"/>
          <w:sz w:val="17"/>
          <w:szCs w:val="17"/>
          <w:b w:val="1"/>
          <w:bCs w:val="1"/>
          <w:color w:val="auto"/>
        </w:rPr>
      </w:pPr>
    </w:p>
    <w:p>
      <w:pPr>
        <w:ind w:left="1480" w:right="35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140"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formal nomination by our Board of Directors.</w:t>
      </w:r>
    </w:p>
    <w:p>
      <w:pPr>
        <w:spacing w:after="0" w:line="198" w:lineRule="exact"/>
        <w:rPr>
          <w:sz w:val="20"/>
          <w:szCs w:val="20"/>
          <w:color w:val="auto"/>
        </w:rPr>
      </w:pPr>
    </w:p>
    <w:p>
      <w:pPr>
        <w:ind w:left="340" w:right="259" w:firstLine="778"/>
        <w:spacing w:after="0" w:line="255"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153" w:lineRule="exact"/>
        <w:rPr>
          <w:sz w:val="20"/>
          <w:szCs w:val="20"/>
          <w:color w:val="auto"/>
        </w:rPr>
      </w:pPr>
    </w:p>
    <w:p>
      <w:pPr>
        <w:ind w:left="1480" w:right="859" w:hanging="378"/>
        <w:spacing w:after="0" w:line="277"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29" w:lineRule="exact"/>
        <w:rPr>
          <w:rFonts w:ascii="Arial" w:cs="Arial" w:eastAsia="Arial" w:hAnsi="Arial"/>
          <w:sz w:val="18"/>
          <w:szCs w:val="18"/>
          <w:b w:val="1"/>
          <w:bCs w:val="1"/>
          <w:color w:val="auto"/>
        </w:rPr>
      </w:pPr>
    </w:p>
    <w:p>
      <w:pPr>
        <w:ind w:left="1480" w:right="519" w:hanging="378"/>
        <w:spacing w:after="0" w:line="277"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the director/proposed nominee assists in achieving a mix of Board members that represents a diversity of background, perspective and experience;</w:t>
      </w:r>
    </w:p>
    <w:p>
      <w:pPr>
        <w:spacing w:after="0" w:line="143" w:lineRule="exact"/>
        <w:rPr>
          <w:rFonts w:ascii="Arial" w:cs="Arial" w:eastAsia="Arial" w:hAnsi="Arial"/>
          <w:sz w:val="18"/>
          <w:szCs w:val="18"/>
          <w:b w:val="1"/>
          <w:bCs w:val="1"/>
          <w:color w:val="auto"/>
        </w:rPr>
      </w:pPr>
    </w:p>
    <w:p>
      <w:pPr>
        <w:ind w:left="1480" w:right="399" w:hanging="378"/>
        <w:spacing w:after="0" w:line="277"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Whether the director/proposed nominee has the business experience relevant to an understanding of our business;</w:t>
      </w:r>
    </w:p>
    <w:p>
      <w:pPr>
        <w:spacing w:after="0" w:line="207" w:lineRule="exact"/>
        <w:rPr>
          <w:rFonts w:ascii="Arial" w:cs="Arial" w:eastAsia="Arial" w:hAnsi="Arial"/>
          <w:sz w:val="16"/>
          <w:szCs w:val="16"/>
          <w:b w:val="1"/>
          <w:bCs w:val="1"/>
          <w:color w:val="auto"/>
        </w:rPr>
      </w:pPr>
    </w:p>
    <w:p>
      <w:pPr>
        <w:ind w:left="1480" w:right="199" w:hanging="378"/>
        <w:spacing w:after="0" w:line="277"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143" w:lineRule="exact"/>
        <w:rPr>
          <w:rFonts w:ascii="Arial" w:cs="Arial" w:eastAsia="Arial" w:hAnsi="Arial"/>
          <w:sz w:val="18"/>
          <w:szCs w:val="18"/>
          <w:b w:val="1"/>
          <w:bCs w:val="1"/>
          <w:color w:val="auto"/>
        </w:rPr>
      </w:pPr>
    </w:p>
    <w:p>
      <w:pPr>
        <w:ind w:left="1480" w:right="559" w:hanging="378"/>
        <w:spacing w:after="0" w:line="308" w:lineRule="auto"/>
        <w:tabs>
          <w:tab w:leader="none" w:pos="14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Whether the director/proposed nominee, by virtue of particular technical expertise, experience or specialized skill relevant to our current or future business, will add specific value as a Board member; and</w:t>
      </w:r>
    </w:p>
    <w:p>
      <w:pPr>
        <w:spacing w:after="0" w:line="106" w:lineRule="exact"/>
        <w:rPr>
          <w:rFonts w:ascii="Arial" w:cs="Arial" w:eastAsia="Arial" w:hAnsi="Arial"/>
          <w:sz w:val="17"/>
          <w:szCs w:val="17"/>
          <w:b w:val="1"/>
          <w:bCs w:val="1"/>
          <w:color w:val="auto"/>
        </w:rPr>
      </w:pPr>
    </w:p>
    <w:p>
      <w:pPr>
        <w:ind w:left="1480" w:right="179" w:hanging="378"/>
        <w:spacing w:after="0" w:line="277"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30" w:lineRule="exact"/>
        <w:rPr>
          <w:sz w:val="20"/>
          <w:szCs w:val="20"/>
          <w:color w:val="auto"/>
        </w:rPr>
      </w:pPr>
    </w:p>
    <w:p>
      <w:pPr>
        <w:ind w:left="340" w:right="279" w:firstLine="778"/>
        <w:spacing w:after="0" w:line="297" w:lineRule="auto"/>
        <w:rPr>
          <w:sz w:val="20"/>
          <w:szCs w:val="20"/>
          <w:color w:val="auto"/>
        </w:rPr>
      </w:pPr>
      <w:r>
        <w:rPr>
          <w:rFonts w:ascii="Arial" w:cs="Arial" w:eastAsia="Arial" w:hAnsi="Arial"/>
          <w:sz w:val="16"/>
          <w:szCs w:val="16"/>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31" w:lineRule="exact"/>
        <w:rPr>
          <w:sz w:val="20"/>
          <w:szCs w:val="20"/>
          <w:color w:val="auto"/>
        </w:rPr>
      </w:pPr>
    </w:p>
    <w:p>
      <w:pPr>
        <w:ind w:left="340" w:right="239" w:firstLine="778"/>
        <w:spacing w:after="0" w:line="270" w:lineRule="auto"/>
        <w:rPr>
          <w:sz w:val="20"/>
          <w:szCs w:val="20"/>
          <w:color w:val="auto"/>
        </w:rPr>
      </w:pPr>
      <w:r>
        <w:rPr>
          <w:rFonts w:ascii="Arial" w:cs="Arial" w:eastAsia="Arial" w:hAnsi="Arial"/>
          <w:sz w:val="17"/>
          <w:szCs w:val="17"/>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2012 Annual Meeting of Stockholders, stockholder nominations must be received by December 7, 2011.</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firstLine="778"/>
        <w:spacing w:after="0" w:line="283" w:lineRule="auto"/>
        <w:rPr>
          <w:sz w:val="20"/>
          <w:szCs w:val="20"/>
          <w:color w:val="auto"/>
        </w:rPr>
      </w:pPr>
      <w:r>
        <w:rPr>
          <w:rFonts w:ascii="Arial" w:cs="Arial" w:eastAsia="Arial" w:hAnsi="Arial"/>
          <w:sz w:val="16"/>
          <w:szCs w:val="16"/>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w:t>
      </w:r>
    </w:p>
    <w:p>
      <w:pPr>
        <w:spacing w:after="0" w:line="5" w:lineRule="exact"/>
        <w:rPr>
          <w:sz w:val="20"/>
          <w:szCs w:val="20"/>
          <w:color w:val="auto"/>
        </w:rPr>
      </w:pPr>
    </w:p>
    <w:p>
      <w:pPr>
        <w:ind w:left="340" w:right="179" w:hanging="8"/>
        <w:spacing w:after="0" w:line="284"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340" w:right="319" w:firstLine="778"/>
        <w:spacing w:after="0" w:line="286" w:lineRule="auto"/>
        <w:rPr>
          <w:sz w:val="20"/>
          <w:szCs w:val="20"/>
          <w:color w:val="auto"/>
        </w:rPr>
      </w:pPr>
      <w:r>
        <w:rPr>
          <w:rFonts w:ascii="Arial" w:cs="Arial" w:eastAsia="Arial" w:hAnsi="Arial"/>
          <w:sz w:val="17"/>
          <w:szCs w:val="17"/>
          <w:color w:val="auto"/>
        </w:rPr>
        <w:t>During 2010, Messrs. Johnson, Heath and Dorman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89" w:lineRule="exact"/>
        <w:rPr>
          <w:sz w:val="20"/>
          <w:szCs w:val="20"/>
          <w:color w:val="auto"/>
        </w:rPr>
      </w:pPr>
    </w:p>
    <w:p>
      <w:pPr>
        <w:ind w:left="340" w:right="219" w:firstLine="778"/>
        <w:spacing w:after="0" w:line="272" w:lineRule="auto"/>
        <w:rPr>
          <w:sz w:val="20"/>
          <w:szCs w:val="20"/>
          <w:color w:val="auto"/>
        </w:rPr>
      </w:pPr>
      <w:r>
        <w:rPr>
          <w:rFonts w:ascii="Arial" w:cs="Arial" w:eastAsia="Arial" w:hAnsi="Arial"/>
          <w:sz w:val="17"/>
          <w:szCs w:val="17"/>
          <w:color w:val="auto"/>
        </w:rPr>
        <w:t>Stockholders may communicate with any of our directors, including our lead outside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Stock Ownership Guidelines</w:t>
      </w:r>
    </w:p>
    <w:p>
      <w:pPr>
        <w:spacing w:after="0" w:line="202" w:lineRule="exact"/>
        <w:rPr>
          <w:sz w:val="20"/>
          <w:szCs w:val="20"/>
          <w:color w:val="auto"/>
        </w:rPr>
      </w:pPr>
    </w:p>
    <w:p>
      <w:pPr>
        <w:ind w:left="340" w:right="159" w:firstLine="778"/>
        <w:spacing w:after="0" w:line="257" w:lineRule="auto"/>
        <w:rPr>
          <w:sz w:val="20"/>
          <w:szCs w:val="20"/>
          <w:color w:val="auto"/>
        </w:rPr>
      </w:pPr>
      <w:r>
        <w:rPr>
          <w:rFonts w:ascii="Arial" w:cs="Arial" w:eastAsia="Arial" w:hAnsi="Arial"/>
          <w:sz w:val="18"/>
          <w:szCs w:val="18"/>
          <w:color w:val="auto"/>
        </w:rPr>
        <w:t>The Board of Directors believes that each director should develop a meaningful ownership position in the Company. Therefore, in January 2011, the Board of Directors adopted stock ownership guidelines for directors. Pursuant to these guidelines, each director is expected to own at least $50,000 of our Common Stock. Current directors are expected to achieve the target ownership threshold within two years of the adoption of the policy, while future directors are expected to achieve the target ownership threshold within two years of their election to the Board of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ind w:left="340" w:right="179" w:firstLine="778"/>
        <w:spacing w:after="0" w:line="268" w:lineRule="auto"/>
        <w:rPr>
          <w:sz w:val="20"/>
          <w:szCs w:val="20"/>
          <w:color w:val="auto"/>
        </w:rPr>
      </w:pPr>
      <w:r>
        <w:rPr>
          <w:rFonts w:ascii="Arial" w:cs="Arial" w:eastAsia="Arial" w:hAnsi="Arial"/>
          <w:sz w:val="17"/>
          <w:szCs w:val="17"/>
          <w:color w:val="auto"/>
        </w:rPr>
        <w:t>We have a directors’ compensation policy for our non-employee directors, which utilizes annual retainers, per meeting fees, and restricted stock grants. For joining our Board of Directors, new non-employee directors receive an award of restricted stock under our 2008 Equity Incentive Plan (the “Equity Incentive Plan”) valued at $20,000, which vests on the one year anniversary of the date of grant, subject to accelerated vesting in the event of a change in control. For serving on the Board of Directors, our non-employee directors receive an annual retainer of $60,000 in cash or, at their election, an annual retainer consisting of $30,000 in cash and an award of restricted stock under our Equity Incentive Plan valued at $35,000.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outside director receives an annual cash retainer of $33,333, each non-employee director receives an annual cash retainer for service on a Board committee of $5,000, and each committee chair receives an additional annual cash retainer of $2,500, except for the chair of the Audit Committee, whose additional annual cash retainer is $5,000. Each of the annual retainers are payable in quarterly installments. We also pay our non-employee directors a fee of $2,000 per meeting for each quarterly meeting of the Board of Directors attended. We reimburse all of our directors for reasonable expenses incurred to attend our Board of Directors and committee meetings.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2010 Director Compensation</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following table provides information regarding the compensation paid to our non-employee directors in 2010:</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Fees Earned or</w:t>
            </w:r>
          </w:p>
        </w:tc>
        <w:tc>
          <w:tcPr>
            <w:tcW w:w="1600" w:type="dxa"/>
            <w:vAlign w:val="bottom"/>
            <w:gridSpan w:val="4"/>
          </w:tcPr>
          <w:p>
            <w:pPr>
              <w:ind w:left="180"/>
              <w:spacing w:after="0"/>
              <w:rPr>
                <w:sz w:val="20"/>
                <w:szCs w:val="20"/>
                <w:color w:val="auto"/>
              </w:rPr>
            </w:pPr>
            <w:r>
              <w:rPr>
                <w:rFonts w:ascii="Arial" w:cs="Arial" w:eastAsia="Arial" w:hAnsi="Arial"/>
                <w:sz w:val="18"/>
                <w:szCs w:val="18"/>
                <w:b w:val="1"/>
                <w:bCs w:val="1"/>
                <w:color w:val="auto"/>
              </w:rPr>
              <w:t>Equity-Based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Name (1)</w:t>
            </w:r>
          </w:p>
        </w:tc>
        <w:tc>
          <w:tcPr>
            <w:tcW w:w="28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 xml:space="preserve">Paid in Cash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1600" w:type="dxa"/>
            <w:vAlign w:val="bottom"/>
            <w:gridSpan w:val="4"/>
          </w:tcPr>
          <w:p>
            <w:pPr>
              <w:ind w:left="180"/>
              <w:spacing w:after="0"/>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Total ($)</w:t>
            </w:r>
          </w:p>
        </w:tc>
      </w:tr>
      <w:tr>
        <w:trPr>
          <w:trHeight w:val="20"/>
        </w:trPr>
        <w:tc>
          <w:tcPr>
            <w:tcW w:w="5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Chad N. Heath</w:t>
            </w: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80,500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 Mark Dorman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83,833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118,833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Jack A. Henry</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Gerald J. Colangelo</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76,000</w:t>
            </w:r>
          </w:p>
        </w:tc>
      </w:tr>
    </w:tbl>
    <w:p>
      <w:pPr>
        <w:spacing w:after="0" w:line="107" w:lineRule="exact"/>
        <w:rPr>
          <w:sz w:val="20"/>
          <w:szCs w:val="20"/>
          <w:color w:val="auto"/>
        </w:rPr>
      </w:pPr>
    </w:p>
    <w:p>
      <w:pPr>
        <w:ind w:left="720" w:right="199" w:hanging="388"/>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who are Company employees receive no additional compensation for serving on the Board of Directors. Compensation for Brent D. Richardson, Brian E. Mueller, and Christopher C. Richardson is reflected in the Summary Compensation Table set forth in “Executive Compensation” below.</w:t>
      </w:r>
    </w:p>
    <w:p>
      <w:pPr>
        <w:spacing w:after="0" w:line="32" w:lineRule="exact"/>
        <w:rPr>
          <w:rFonts w:ascii="Arial" w:cs="Arial" w:eastAsia="Arial" w:hAnsi="Arial"/>
          <w:sz w:val="18"/>
          <w:szCs w:val="18"/>
          <w:color w:val="auto"/>
        </w:rPr>
      </w:pPr>
    </w:p>
    <w:p>
      <w:pPr>
        <w:ind w:left="720" w:right="379" w:hanging="388"/>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part of their annual retainer, a restricted stock grant was made after our annual meeting of stockholders on May 18, 2010 to each of Messrs. Johnson, Henry and Colangelo valued at $35,000.</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39" w:firstLine="778"/>
        <w:spacing w:after="0" w:line="264" w:lineRule="auto"/>
        <w:rPr>
          <w:sz w:val="20"/>
          <w:szCs w:val="20"/>
          <w:color w:val="auto"/>
        </w:rPr>
      </w:pPr>
      <w:r>
        <w:rPr>
          <w:rFonts w:ascii="Arial" w:cs="Arial" w:eastAsia="Arial" w:hAnsi="Arial"/>
          <w:sz w:val="18"/>
          <w:szCs w:val="18"/>
          <w:color w:val="auto"/>
        </w:rPr>
        <w:t>The following table provides a break down of the cash compensation paid to our non-employee directors in 2010 in respect of their annual retainer for service on the Board of Directors, Board of Directors’ meeting fees, annual retainer for service on Board committees, and annual retainer for services as a Board committee chair:</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Committee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Board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Chair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Directors</w:t>
            </w:r>
          </w:p>
        </w:tc>
        <w:tc>
          <w:tcPr>
            <w:tcW w:w="1740" w:type="dxa"/>
            <w:vAlign w:val="bottom"/>
            <w:gridSpan w:val="4"/>
          </w:tcPr>
          <w:p>
            <w:pPr>
              <w:ind w:left="160"/>
              <w:spacing w:after="0"/>
              <w:rPr>
                <w:sz w:val="20"/>
                <w:szCs w:val="20"/>
                <w:color w:val="auto"/>
              </w:rPr>
            </w:pPr>
            <w:r>
              <w:rPr>
                <w:rFonts w:ascii="Arial" w:cs="Arial" w:eastAsia="Arial" w:hAnsi="Arial"/>
                <w:sz w:val="18"/>
                <w:szCs w:val="18"/>
                <w:b w:val="1"/>
                <w:bCs w:val="1"/>
                <w:color w:val="auto"/>
                <w:w w:val="98"/>
              </w:rPr>
              <w:t>Board of Directors</w:t>
            </w:r>
          </w:p>
        </w:tc>
        <w:tc>
          <w:tcPr>
            <w:tcW w:w="1680" w:type="dxa"/>
            <w:vAlign w:val="bottom"/>
            <w:gridSpan w:val="4"/>
          </w:tcPr>
          <w:p>
            <w:pPr>
              <w:ind w:left="160"/>
              <w:spacing w:after="0"/>
              <w:rPr>
                <w:sz w:val="20"/>
                <w:szCs w:val="20"/>
                <w:color w:val="auto"/>
              </w:rPr>
            </w:pPr>
            <w:r>
              <w:rPr>
                <w:rFonts w:ascii="Arial" w:cs="Arial" w:eastAsia="Arial" w:hAnsi="Arial"/>
                <w:sz w:val="18"/>
                <w:szCs w:val="18"/>
                <w:b w:val="1"/>
                <w:bCs w:val="1"/>
                <w:color w:val="auto"/>
                <w:w w:val="99"/>
              </w:rPr>
              <w:t>Board Committee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Annual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Annual Retainer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Meeting Fees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Annual Retainers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Retainer</w:t>
            </w:r>
          </w:p>
        </w:tc>
        <w:tc>
          <w:tcPr>
            <w:tcW w:w="320" w:type="dxa"/>
            <w:vAlign w:val="bottom"/>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Chad N. Heath</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80,500</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 Mark Dorman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78,000</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83,833</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Jack A. Henry(1)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Gerald J. Colangelo(1)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w:t>
            </w:r>
          </w:p>
        </w:tc>
      </w:tr>
    </w:tbl>
    <w:p>
      <w:pPr>
        <w:spacing w:after="0" w:line="107" w:lineRule="exact"/>
        <w:rPr>
          <w:sz w:val="20"/>
          <w:szCs w:val="20"/>
          <w:color w:val="auto"/>
        </w:rPr>
      </w:pPr>
    </w:p>
    <w:p>
      <w:pPr>
        <w:ind w:left="720" w:right="459" w:hanging="388"/>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for Mr. Johnson includes the additional annual retainer of $33,333 that he receives in his capacity as lead outside director. The amounts for Messrs. Johnson, Henry and Colangelo exclude their respective restricted stock grants valued at $35,000.</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ELECTION OF DIRECTORS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89" w:lineRule="exact"/>
        <w:rPr>
          <w:sz w:val="20"/>
          <w:szCs w:val="20"/>
          <w:color w:val="auto"/>
        </w:rPr>
      </w:pPr>
    </w:p>
    <w:p>
      <w:pPr>
        <w:ind w:left="340" w:right="219" w:firstLine="778"/>
        <w:spacing w:after="0" w:line="272" w:lineRule="auto"/>
        <w:rPr>
          <w:sz w:val="20"/>
          <w:szCs w:val="20"/>
          <w:color w:val="auto"/>
        </w:rPr>
      </w:pPr>
      <w:r>
        <w:rPr>
          <w:rFonts w:ascii="Arial" w:cs="Arial" w:eastAsia="Arial" w:hAnsi="Arial"/>
          <w:sz w:val="17"/>
          <w:szCs w:val="17"/>
          <w:color w:val="auto"/>
        </w:rPr>
        <w:t>Our bylaws provide that our business will be managed by or under the direction of a Board of Directors. The number of directors constituting our Board of Directors is determined from time to time by our Board of Directors. Currently, our Board of Directors consists of eight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eight persons named below for election as directors. Proxies solicited by our Board of Directors will, unless otherwise directed, be voted to elect the eight nominees named below to constitute the entire Board of Directors.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 and Director Nominees</w:t>
      </w:r>
    </w:p>
    <w:p>
      <w:pPr>
        <w:spacing w:after="0" w:line="202" w:lineRule="exact"/>
        <w:rPr>
          <w:sz w:val="20"/>
          <w:szCs w:val="20"/>
          <w:color w:val="auto"/>
        </w:rPr>
      </w:pPr>
    </w:p>
    <w:p>
      <w:pPr>
        <w:ind w:left="340" w:right="479" w:firstLine="778"/>
        <w:spacing w:after="0" w:line="259" w:lineRule="auto"/>
        <w:rPr>
          <w:sz w:val="20"/>
          <w:szCs w:val="20"/>
          <w:color w:val="auto"/>
        </w:rPr>
      </w:pPr>
      <w:r>
        <w:rPr>
          <w:rFonts w:ascii="Arial" w:cs="Arial" w:eastAsia="Arial" w:hAnsi="Arial"/>
          <w:sz w:val="18"/>
          <w:szCs w:val="18"/>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27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Position</w:t>
            </w:r>
          </w:p>
        </w:tc>
        <w:tc>
          <w:tcPr>
            <w:tcW w:w="200" w:type="dxa"/>
            <w:vAlign w:val="bottom"/>
          </w:tcPr>
          <w:p>
            <w:pPr>
              <w:spacing w:after="0"/>
              <w:rPr>
                <w:sz w:val="20"/>
                <w:szCs w:val="20"/>
                <w:color w:val="auto"/>
              </w:rPr>
            </w:pPr>
          </w:p>
        </w:tc>
        <w:tc>
          <w:tcPr>
            <w:tcW w:w="408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Committee Membership</w:t>
            </w: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48</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Brian E. Mueller</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Chief Executive Officer and Director</w:t>
            </w: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5"/>
              </w:rPr>
              <w:t>Christopher C. Richardson</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39</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Director</w:t>
            </w: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Chad N. Heath</w:t>
            </w:r>
          </w:p>
        </w:tc>
        <w:tc>
          <w:tcPr>
            <w:tcW w:w="50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89"/>
              </w:rPr>
              <w:t>36</w:t>
            </w:r>
          </w:p>
        </w:tc>
        <w:tc>
          <w:tcPr>
            <w:tcW w:w="20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Compensation</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Nominating and Corporate Governance (chair)</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 Mark Dorman</w:t>
            </w:r>
          </w:p>
        </w:tc>
        <w:tc>
          <w:tcPr>
            <w:tcW w:w="500" w:type="dxa"/>
            <w:vAlign w:val="bottom"/>
            <w:gridSpan w:val="2"/>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9"/>
              </w:rPr>
              <w:t>50</w:t>
            </w:r>
          </w:p>
        </w:tc>
        <w:tc>
          <w:tcPr>
            <w:tcW w:w="2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w:t>
            </w:r>
          </w:p>
        </w:tc>
      </w:tr>
      <w:tr>
        <w:trPr>
          <w:trHeight w:val="230"/>
        </w:trPr>
        <w:tc>
          <w:tcPr>
            <w:tcW w:w="2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David J. Johnson</w:t>
            </w:r>
          </w:p>
        </w:tc>
        <w:tc>
          <w:tcPr>
            <w:tcW w:w="50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Compensation (chair)</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Audit</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67</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Audit (chair)</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Gerald J. Colangelo</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71</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Audit</w:t>
            </w:r>
          </w:p>
        </w:tc>
      </w:tr>
    </w:tbl>
    <w:p>
      <w:pPr>
        <w:spacing w:after="0" w:line="147" w:lineRule="exact"/>
        <w:rPr>
          <w:sz w:val="20"/>
          <w:szCs w:val="20"/>
          <w:color w:val="auto"/>
        </w:rPr>
      </w:pPr>
    </w:p>
    <w:p>
      <w:pPr>
        <w:ind w:left="340" w:right="199" w:firstLine="778"/>
        <w:spacing w:after="0" w:line="270" w:lineRule="auto"/>
        <w:rPr>
          <w:sz w:val="20"/>
          <w:szCs w:val="20"/>
          <w:color w:val="auto"/>
        </w:rPr>
      </w:pPr>
      <w:r>
        <w:rPr>
          <w:rFonts w:ascii="Arial" w:cs="Arial" w:eastAsia="Arial" w:hAnsi="Arial"/>
          <w:sz w:val="17"/>
          <w:szCs w:val="17"/>
          <w:i w:val="1"/>
          <w:iCs w:val="1"/>
          <w:color w:val="auto"/>
        </w:rPr>
        <w:t xml:space="preserve">Brent D. Richardson </w:t>
      </w:r>
      <w:r>
        <w:rPr>
          <w:rFonts w:ascii="Arial" w:cs="Arial" w:eastAsia="Arial" w:hAnsi="Arial"/>
          <w:sz w:val="17"/>
          <w:szCs w:val="17"/>
          <w:color w:val="auto"/>
        </w:rPr>
        <w:t>has been serving as our Executive Chairman since July 1, 2008. Mr. Richardson previously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our Chief Executive Officer and 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received a Bachelor of Science degree in Finance from Eastern Illinois University. As our former Chief Executive Officer, and with more than 20 years of experience in the education industry, we believe that Mr. Richardson brings an extensive understanding of both our Company, in particular, and the education industry, in general, to the Board and serves as an invaluable resource for assessing and managing risks and planning for corporate strategy within the context of our overall corporate culture.</w:t>
      </w:r>
    </w:p>
    <w:p>
      <w:pPr>
        <w:spacing w:after="0" w:line="151" w:lineRule="exact"/>
        <w:rPr>
          <w:sz w:val="20"/>
          <w:szCs w:val="20"/>
          <w:color w:val="auto"/>
        </w:rPr>
      </w:pPr>
    </w:p>
    <w:p>
      <w:pPr>
        <w:ind w:left="340" w:right="199" w:firstLine="778"/>
        <w:spacing w:after="0" w:line="284"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 2008 and as a director since March 2009.</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1987 to 2008, Mr. Mueller was employed by Apollo Group, Inc., a for-profit, postsecondary education company and the parent company of the University of Phoenix, serving between January 2006 and June 2008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w:t>
      </w:r>
    </w:p>
    <w:p>
      <w:pPr>
        <w:spacing w:after="0" w:line="5" w:lineRule="exact"/>
        <w:rPr>
          <w:sz w:val="20"/>
          <w:szCs w:val="20"/>
          <w:color w:val="auto"/>
        </w:rPr>
      </w:pPr>
    </w:p>
    <w:p>
      <w:pPr>
        <w:ind w:left="340" w:right="199"/>
        <w:spacing w:after="0" w:line="270" w:lineRule="auto"/>
        <w:rPr>
          <w:sz w:val="20"/>
          <w:szCs w:val="20"/>
          <w:color w:val="auto"/>
        </w:rPr>
      </w:pPr>
      <w:r>
        <w:rPr>
          <w:rFonts w:ascii="Arial" w:cs="Arial" w:eastAsia="Arial" w:hAnsi="Arial"/>
          <w:sz w:val="17"/>
          <w:szCs w:val="17"/>
          <w:color w:val="auto"/>
        </w:rPr>
        <w:t>Mr. Mueller held several positions in operations management for Apollo Group. From 1983 to 1987, Mr. Mueller was a professor at Concordia University. Mr. Mueller received a Bachelor of Arts degree in Education and a Master of Arts in Education degree from Concordia University. We believe that Mr. Mueller’s past experience as a senior operating executive of Apollo Group, the largest company in our industry, and one of the persons directly responsible for the development and growth of online education in the United States, as well as his day to day leadership and intimate knowledge of our business and operations, provide the Board of Directors with both industry-wide and Company-specific experience and expertise.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firstLine="778"/>
        <w:spacing w:after="0" w:line="289" w:lineRule="auto"/>
        <w:rPr>
          <w:sz w:val="20"/>
          <w:szCs w:val="20"/>
          <w:color w:val="auto"/>
        </w:rPr>
      </w:pPr>
      <w:r>
        <w:rPr>
          <w:rFonts w:ascii="Arial" w:cs="Arial" w:eastAsia="Arial" w:hAnsi="Arial"/>
          <w:sz w:val="16"/>
          <w:szCs w:val="16"/>
          <w:i w:val="1"/>
          <w:iCs w:val="1"/>
          <w:color w:val="auto"/>
        </w:rPr>
        <w:t xml:space="preserve">Christopher C. Richardson </w:t>
      </w:r>
      <w:r>
        <w:rPr>
          <w:rFonts w:ascii="Arial" w:cs="Arial" w:eastAsia="Arial" w:hAnsi="Arial"/>
          <w:sz w:val="16"/>
          <w:szCs w:val="16"/>
          <w:color w:val="auto"/>
        </w:rPr>
        <w:t>has been serving as our General Counsel since 2007 and as a director since 2004. From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2007, Mr. Richardson served as legal counsel in our Office of General Counsel. Prior to 2004, Mr. Richardson served as the Chief Operating Officer for Masters Online, LLC, a company that provided online educational programs and marketing services to several regionally and nationally accredited universities. Mr. Richardson received a Bachelor of Arts degree in Political Science from Brigham Young University, and a Juris Doctorate from the University of Arizona College of Law, where he graduated summa cum laude. We believe that Mr. Richardson’s legal career, which has been focused both on general corporate matters and on the extensive regulatory issues associated with operating a business in the education industry, as well as his deep knowledge of our Company, has given him the experience and knowledge to guide our Board of Directors on a variety of legal and business matters affecting the Company, including corporate governance, regulatory issues and other corporate and litigation matters.</w:t>
      </w:r>
    </w:p>
    <w:p>
      <w:pPr>
        <w:spacing w:after="0" w:line="140" w:lineRule="exact"/>
        <w:rPr>
          <w:sz w:val="20"/>
          <w:szCs w:val="20"/>
          <w:color w:val="auto"/>
        </w:rPr>
      </w:pPr>
    </w:p>
    <w:p>
      <w:pPr>
        <w:ind w:left="340" w:right="179" w:firstLine="778"/>
        <w:spacing w:after="0" w:line="289" w:lineRule="auto"/>
        <w:rPr>
          <w:sz w:val="20"/>
          <w:szCs w:val="20"/>
          <w:color w:val="auto"/>
        </w:rPr>
      </w:pPr>
      <w:r>
        <w:rPr>
          <w:rFonts w:ascii="Arial" w:cs="Arial" w:eastAsia="Arial" w:hAnsi="Arial"/>
          <w:sz w:val="16"/>
          <w:szCs w:val="16"/>
          <w:i w:val="1"/>
          <w:iCs w:val="1"/>
          <w:color w:val="auto"/>
        </w:rPr>
        <w:t xml:space="preserve">Chad N. Heath </w:t>
      </w:r>
      <w:r>
        <w:rPr>
          <w:rFonts w:ascii="Arial" w:cs="Arial" w:eastAsia="Arial" w:hAnsi="Arial"/>
          <w:sz w:val="16"/>
          <w:szCs w:val="16"/>
          <w:color w:val="auto"/>
        </w:rPr>
        <w:t>has been serving as a member of our Board of Directors since 2005. Mr. Heath joined Endeavour Capital,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equity firm based in Portland, Oregon that currently manages over $1 billion in equity capital, in 2001 and has served as one of its Managing Directors since 2006.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Boards of Directors of three privately held companies: Tall Oak Learning, LLC, Barrett-Jackson Holdings, LLC, and Skagit Northwest Holdings, Inc. Mr. Heath received a Bachelor of Science in Business Administration degree, magna cum laude, from Georgetown University. We believe that Mr. Heath’s financial and investment banking background, long association with the Company, and extensive experience in investing in and serving as a director of companies in a variety of industries, brings valuable experience and insights to the Board of Directors.</w:t>
      </w:r>
    </w:p>
    <w:p>
      <w:pPr>
        <w:spacing w:after="0" w:line="126" w:lineRule="exact"/>
        <w:rPr>
          <w:sz w:val="20"/>
          <w:szCs w:val="20"/>
          <w:color w:val="auto"/>
        </w:rPr>
      </w:pPr>
    </w:p>
    <w:p>
      <w:pPr>
        <w:ind w:left="340" w:right="179" w:firstLine="778"/>
        <w:spacing w:after="0" w:line="270" w:lineRule="auto"/>
        <w:rPr>
          <w:sz w:val="20"/>
          <w:szCs w:val="20"/>
          <w:color w:val="auto"/>
        </w:rPr>
      </w:pPr>
      <w:r>
        <w:rPr>
          <w:rFonts w:ascii="Arial" w:cs="Arial" w:eastAsia="Arial" w:hAnsi="Arial"/>
          <w:sz w:val="17"/>
          <w:szCs w:val="17"/>
          <w:i w:val="1"/>
          <w:iCs w:val="1"/>
          <w:color w:val="auto"/>
        </w:rPr>
        <w:t xml:space="preserve">D. Mark Dorman </w:t>
      </w:r>
      <w:r>
        <w:rPr>
          <w:rFonts w:ascii="Arial" w:cs="Arial" w:eastAsia="Arial" w:hAnsi="Arial"/>
          <w:sz w:val="17"/>
          <w:szCs w:val="17"/>
          <w:color w:val="auto"/>
        </w:rPr>
        <w:t>has been serving as a member of our Board of Directors since 2005. Mr. Dorman joined Endeavour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1998 and has served as one of its Managing Directors since 2006. Prior to joining Endeavour Capital, Mr. Dorman served as an investment banker at Green Manning &amp; Bunch, a Denver-based investment banking firm focused on merger and acquisition transactions and advisory work for middle-market clients across the western United States. He also served in the investment banking groups of Boettcher &amp; Company and Morgan Stanley. Mr. Dorman currently sits on the Boards of Directors of the following privately held companies: Skagit Northwest Holdings, Inc.; Barrett-Jackson Holdings, LLC; Alpha Broadcasting, LLC; Providien, LLC and Nor-Cal Products Holdings, Inc. Mr. Dorman received a Bachelor of Science degree from Lewis &amp; Clark College and a Master of Business Administration degree from Harvard Business School. We believe that Mr. Dorman’s financial and investment banking background, long association with the Company, and extensive experience in investing in and serving as a director of companies in a variety of industries, brings valuable experience and insights to the Board of Directors.</w:t>
      </w:r>
    </w:p>
    <w:p>
      <w:pPr>
        <w:spacing w:after="0" w:line="137" w:lineRule="exact"/>
        <w:rPr>
          <w:sz w:val="20"/>
          <w:szCs w:val="20"/>
          <w:color w:val="auto"/>
        </w:rPr>
      </w:pPr>
    </w:p>
    <w:p>
      <w:pPr>
        <w:ind w:left="340" w:right="179" w:firstLine="778"/>
        <w:spacing w:after="0" w:line="269" w:lineRule="auto"/>
        <w:rPr>
          <w:sz w:val="20"/>
          <w:szCs w:val="20"/>
          <w:color w:val="auto"/>
        </w:rPr>
      </w:pPr>
      <w:r>
        <w:rPr>
          <w:rFonts w:ascii="Arial" w:cs="Arial" w:eastAsia="Arial" w:hAnsi="Arial"/>
          <w:sz w:val="17"/>
          <w:szCs w:val="17"/>
          <w:i w:val="1"/>
          <w:iCs w:val="1"/>
          <w:color w:val="auto"/>
        </w:rPr>
        <w:t xml:space="preserve">David J. Johnson </w:t>
      </w:r>
      <w:r>
        <w:rPr>
          <w:rFonts w:ascii="Arial" w:cs="Arial" w:eastAsia="Arial" w:hAnsi="Arial"/>
          <w:sz w:val="17"/>
          <w:szCs w:val="17"/>
          <w:color w:val="auto"/>
        </w:rPr>
        <w:t>has been serving as a member of our Board of Directors since November 2008. From 1997 to 2006,</w:t>
      </w:r>
      <w:r>
        <w:rPr>
          <w:rFonts w:ascii="Arial" w:cs="Arial" w:eastAsia="Arial" w:hAnsi="Arial"/>
          <w:sz w:val="17"/>
          <w:szCs w:val="17"/>
          <w:i w:val="1"/>
          <w:iCs w:val="1"/>
          <w:color w:val="auto"/>
        </w:rPr>
        <w:t xml:space="preserve"> </w:t>
      </w:r>
      <w:r>
        <w:rPr>
          <w:rFonts w:ascii="Arial" w:cs="Arial" w:eastAsia="Arial" w:hAnsi="Arial"/>
          <w:sz w:val="17"/>
          <w:szCs w:val="17"/>
          <w:color w:val="auto"/>
        </w:rPr>
        <w:t>Mr. Johnson served as Chief 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59" w:firstLine="778"/>
        <w:spacing w:after="0" w:line="291"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Managing Director of Sierra Blanca Ventures, LLC, a private investment and advisory firm. From 1966 to 2000,</w:t>
      </w:r>
    </w:p>
    <w:p>
      <w:pPr>
        <w:ind w:left="340" w:right="159"/>
        <w:spacing w:after="0" w:line="287" w:lineRule="auto"/>
        <w:rPr>
          <w:sz w:val="20"/>
          <w:szCs w:val="20"/>
          <w:color w:val="auto"/>
        </w:rPr>
      </w:pPr>
      <w:r>
        <w:rPr>
          <w:rFonts w:ascii="Arial" w:cs="Arial" w:eastAsia="Arial" w:hAnsi="Arial"/>
          <w:sz w:val="16"/>
          <w:szCs w:val="16"/>
          <w:color w:val="auto"/>
        </w:rPr>
        <w:t>Mr. Henry worked as a certified public accountant for Arthur Andersen, a national accounting firm, retiring in 2000 as the Managing Partner of the Phoenix, Arizona office. Mr. Henry currently serves on the Board of Directors of IA Global, a services and outsourcing company, and previously served on the Boards of Directors of the following companies: Point Blank Solutions, Inc., a designer and producer of protective technologies and body armor, VistaCare, Inc., a provider of hospice care services, and White Electronic Designs Corporation, a provider of defense electronics services. He also serves on the Boards of Directors of several private companies and as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39" w:lineRule="exact"/>
        <w:rPr>
          <w:sz w:val="20"/>
          <w:szCs w:val="20"/>
          <w:color w:val="auto"/>
        </w:rPr>
      </w:pPr>
    </w:p>
    <w:p>
      <w:pPr>
        <w:ind w:left="340" w:right="179" w:firstLine="778"/>
        <w:spacing w:after="0" w:line="284" w:lineRule="auto"/>
        <w:rPr>
          <w:sz w:val="20"/>
          <w:szCs w:val="20"/>
          <w:color w:val="auto"/>
        </w:rPr>
      </w:pPr>
      <w:r>
        <w:rPr>
          <w:rFonts w:ascii="Arial" w:cs="Arial" w:eastAsia="Arial" w:hAnsi="Arial"/>
          <w:sz w:val="16"/>
          <w:szCs w:val="16"/>
          <w:i w:val="1"/>
          <w:iCs w:val="1"/>
          <w:color w:val="auto"/>
        </w:rPr>
        <w:t xml:space="preserve">Gerald J. Colangelo </w:t>
      </w:r>
      <w:r>
        <w:rPr>
          <w:rFonts w:ascii="Arial" w:cs="Arial" w:eastAsia="Arial" w:hAnsi="Arial"/>
          <w:sz w:val="16"/>
          <w:szCs w:val="16"/>
          <w:color w:val="auto"/>
        </w:rPr>
        <w:t>has been serving as a member of our Board of Directors since October 2009. Mr. Colangelo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instrumental in the development of Arizona’s professional sports industry, as the face of the National Basketball Association’s Phoenix Suns franchise since its inaugural season in 1968 and for his role in bringing Major League Baseball to Phoenix in 1998. He served as the Chairman of the NBA’s Board of Governors, and served as a member of the league’s Finance Committee, Long Range Planning Committee, Expansion Committee and Competition and Rules Committee. He is currently Managing Director of the USA Basketball Men’s Senior National Team program, overseeing a program that achieved the gold medal at the 2008 Beijing Olympics.</w:t>
      </w:r>
    </w:p>
    <w:p>
      <w:pPr>
        <w:spacing w:after="0" w:line="5" w:lineRule="exact"/>
        <w:rPr>
          <w:sz w:val="20"/>
          <w:szCs w:val="20"/>
          <w:color w:val="auto"/>
        </w:rPr>
      </w:pPr>
    </w:p>
    <w:p>
      <w:pPr>
        <w:ind w:left="340" w:right="179"/>
        <w:spacing w:after="0" w:line="281" w:lineRule="auto"/>
        <w:rPr>
          <w:sz w:val="20"/>
          <w:szCs w:val="20"/>
          <w:color w:val="auto"/>
        </w:rPr>
      </w:pPr>
      <w:r>
        <w:rPr>
          <w:rFonts w:ascii="Arial" w:cs="Arial" w:eastAsia="Arial" w:hAnsi="Arial"/>
          <w:sz w:val="16"/>
          <w:szCs w:val="16"/>
          <w:color w:val="auto"/>
        </w:rPr>
        <w:t>Mr. Colangelo served as Chairman and Chief Executive Officer of the 2001 World Champion Arizona Diamondbacks, going from expansion team to World Champion in just four years. As with the NBA, Mr. Colangelo was involved with the governing of baseball, serving on the Legislative Committee and on the Board of Directors of the MLB Advanced Media arm of the league. He is currently a principal partner of JDM Partners LLC, a real estate development company. He is Chairman of the Board of the Council of Leadership Education; Vice Chairman of the Board of the Naismith Memorial Basketball Hall of Fame, the National Italian American Foundation, and Young Life International; and serves on the Boards of Directors of Southwest Leadership Foundation, the National Italian American Sports Hall of Fame and the Leadership Foundations of America. He has previously served on the Boards of Directors of the Phoenix Art Museum, the Greater Phoenix Economic Council, Athletes in Action, Phoenix Suns Charities, the Collaboration for a New Century, and the Phoenix Community Alliance, and is the past Vice President of the Downtown Phoenix Partnership.</w:t>
      </w:r>
    </w:p>
    <w:p>
      <w:pPr>
        <w:spacing w:after="0" w:line="6" w:lineRule="exact"/>
        <w:rPr>
          <w:sz w:val="20"/>
          <w:szCs w:val="20"/>
          <w:color w:val="auto"/>
        </w:rPr>
      </w:pPr>
    </w:p>
    <w:p>
      <w:pPr>
        <w:ind w:left="340" w:right="479"/>
        <w:spacing w:after="0" w:line="254" w:lineRule="auto"/>
        <w:rPr>
          <w:sz w:val="20"/>
          <w:szCs w:val="20"/>
          <w:color w:val="auto"/>
        </w:rPr>
      </w:pPr>
      <w:r>
        <w:rPr>
          <w:rFonts w:ascii="Arial" w:cs="Arial" w:eastAsia="Arial" w:hAnsi="Arial"/>
          <w:sz w:val="18"/>
          <w:szCs w:val="18"/>
          <w:color w:val="auto"/>
        </w:rPr>
        <w:t>Mr. Colangelo graduated from the University of Illinois. We believe that Mr. Colangelo’s long and successful business career, including as a professional sports team executive and owner and real estate developer, as well his extensive leadership roles with leading athletic, charitable and other organizations throughout Arizona and the United States, provides the Board of Directors with significant executive leadership and management experience.</w:t>
      </w:r>
    </w:p>
    <w:p>
      <w:pPr>
        <w:spacing w:after="0" w:line="149" w:lineRule="exact"/>
        <w:rPr>
          <w:sz w:val="20"/>
          <w:szCs w:val="20"/>
          <w:color w:val="auto"/>
        </w:rPr>
      </w:pPr>
    </w:p>
    <w:p>
      <w:pPr>
        <w:ind w:left="340" w:right="279" w:firstLine="778"/>
        <w:spacing w:after="0" w:line="277" w:lineRule="auto"/>
        <w:rPr>
          <w:sz w:val="20"/>
          <w:szCs w:val="20"/>
          <w:color w:val="auto"/>
        </w:rPr>
      </w:pPr>
      <w:r>
        <w:rPr>
          <w:rFonts w:ascii="Arial" w:cs="Arial" w:eastAsia="Arial" w:hAnsi="Arial"/>
          <w:sz w:val="18"/>
          <w:szCs w:val="18"/>
          <w:color w:val="auto"/>
        </w:rPr>
        <w:t>Other than Brent D. Richardson and Christopher C. Richardson, who are brothers, there are no family relationships among any of our directors or executive officers.</w:t>
      </w:r>
    </w:p>
    <w:p>
      <w:pPr>
        <w:spacing w:after="0" w:line="126" w:lineRule="exact"/>
        <w:rPr>
          <w:sz w:val="20"/>
          <w:szCs w:val="20"/>
          <w:color w:val="auto"/>
        </w:rPr>
      </w:pPr>
    </w:p>
    <w:p>
      <w:pPr>
        <w:ind w:left="340" w:right="399" w:firstLine="778"/>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eight nominees listed above to constitute our Board of Directors.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APPROVAL OF OUR ANNUAL CASH INCENTIVE PLAN IN ACCORDANCE WITH</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SECTION 162(M) OF THE INTERNAL REVENUE CODE</w:t>
      </w:r>
    </w:p>
    <w:p>
      <w:pPr>
        <w:spacing w:after="0" w:line="184" w:lineRule="exact"/>
        <w:rPr>
          <w:sz w:val="20"/>
          <w:szCs w:val="20"/>
          <w:color w:val="auto"/>
        </w:rPr>
      </w:pPr>
    </w:p>
    <w:p>
      <w:pPr>
        <w:ind w:left="340" w:right="679" w:firstLine="778"/>
        <w:spacing w:after="0" w:line="264" w:lineRule="auto"/>
        <w:rPr>
          <w:sz w:val="20"/>
          <w:szCs w:val="20"/>
          <w:color w:val="auto"/>
        </w:rPr>
      </w:pPr>
      <w:r>
        <w:rPr>
          <w:rFonts w:ascii="Arial" w:cs="Arial" w:eastAsia="Arial" w:hAnsi="Arial"/>
          <w:sz w:val="18"/>
          <w:szCs w:val="18"/>
          <w:color w:val="auto"/>
        </w:rPr>
        <w:t>Our Board of Directors has approved, upon the recommendation of the Compensation Committee and subject to the approval of our stockholders at the 2011 Annual Meeting of Stockholders, our Annual Cash Incentive Plan (the “Cash Incentive Plan”).</w:t>
      </w:r>
    </w:p>
    <w:p>
      <w:pPr>
        <w:spacing w:after="0" w:line="141" w:lineRule="exact"/>
        <w:rPr>
          <w:sz w:val="20"/>
          <w:szCs w:val="20"/>
          <w:color w:val="auto"/>
        </w:rPr>
      </w:pPr>
    </w:p>
    <w:p>
      <w:pPr>
        <w:ind w:left="340" w:right="239" w:firstLine="778"/>
        <w:spacing w:after="0" w:line="268" w:lineRule="auto"/>
        <w:rPr>
          <w:sz w:val="20"/>
          <w:szCs w:val="20"/>
          <w:color w:val="auto"/>
        </w:rPr>
      </w:pPr>
      <w:r>
        <w:rPr>
          <w:rFonts w:ascii="Arial" w:cs="Arial" w:eastAsia="Arial" w:hAnsi="Arial"/>
          <w:sz w:val="17"/>
          <w:szCs w:val="17"/>
          <w:color w:val="auto"/>
        </w:rPr>
        <w:t>Stockholders are being asked to approve the Cash Incentive Plan to ensure that annual cash bonuses paid to plan participants will qualify as “performance-based” compensation under Section 162(m) of the Internal Revenue Code of 1986, as amended (the “Code”) and thus be fully deductible by the Company for federal income tax purposes. Section 162(m) and related guidance generally preclude a publicly traded company from taking a tax deduction for compensation in excess of $1.0 million per individual paid to certain “covered employees.” These covered employees consist of our chief executive officer and our three other highest compensated officers, excluding our chief financial officer. The deduction limitation is subject to an exception for “performance-based” compensation that meets certain requirements, including a requirement that the “material terms of the performance goals” applicable to the covered employees must be disclosed to and approved by stockholders before any compensation is paid to them. Stockholder approval of the Cash Incentive Plan will constitute approval of the “material terms of the performance goals” under the plan within the meaning of the regulations under Section 162(m). By approving the Cash Incentive Plan, the stockholders will be approving, among other things, the participant eligibility requirements, the performance criteria on which incentive awards are based and the maximum dollar amount of compensation that may be paid under the plan to any covered employee in any fiscal year.</w:t>
      </w:r>
    </w:p>
    <w:p>
      <w:pPr>
        <w:spacing w:after="0" w:line="147" w:lineRule="exact"/>
        <w:rPr>
          <w:sz w:val="20"/>
          <w:szCs w:val="20"/>
          <w:color w:val="auto"/>
        </w:rPr>
      </w:pPr>
    </w:p>
    <w:p>
      <w:pPr>
        <w:ind w:left="340" w:right="399" w:firstLine="778"/>
        <w:spacing w:after="0" w:line="259" w:lineRule="auto"/>
        <w:rPr>
          <w:sz w:val="20"/>
          <w:szCs w:val="20"/>
          <w:color w:val="auto"/>
        </w:rPr>
      </w:pPr>
      <w:r>
        <w:rPr>
          <w:rFonts w:ascii="Arial" w:cs="Arial" w:eastAsia="Arial" w:hAnsi="Arial"/>
          <w:sz w:val="18"/>
          <w:szCs w:val="18"/>
          <w:color w:val="auto"/>
        </w:rPr>
        <w:t>If the Cash Incentive Plan is approved by stockholders, it will be effective for fiscal 2011, beginning January 1, 2011 and ending December 31, 2011, and will remain in effect for each fiscal year thereafter until terminated by our Board of Directors or Compensation Committee. If the stockholders do not approve the Cash Incentive Plan, we will not be able to provide annual cash incentives under the plan to our covered employees.</w:t>
      </w:r>
    </w:p>
    <w:p>
      <w:pPr>
        <w:spacing w:after="0" w:line="160" w:lineRule="exact"/>
        <w:rPr>
          <w:sz w:val="20"/>
          <w:szCs w:val="20"/>
          <w:color w:val="auto"/>
        </w:rPr>
      </w:pPr>
    </w:p>
    <w:p>
      <w:pPr>
        <w:ind w:left="340" w:right="399" w:firstLine="778"/>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and voting at the Annual Meeting and entitled to vote on the matter is required for approval of this proposal.</w:t>
      </w:r>
    </w:p>
    <w:p>
      <w:pPr>
        <w:spacing w:after="0" w:line="126" w:lineRule="exact"/>
        <w:rPr>
          <w:sz w:val="20"/>
          <w:szCs w:val="20"/>
          <w:color w:val="auto"/>
        </w:rPr>
      </w:pPr>
    </w:p>
    <w:p>
      <w:pPr>
        <w:ind w:left="340" w:right="1479" w:firstLine="778"/>
        <w:spacing w:after="0" w:line="464" w:lineRule="auto"/>
        <w:rPr>
          <w:sz w:val="20"/>
          <w:szCs w:val="20"/>
          <w:color w:val="auto"/>
        </w:rPr>
      </w:pPr>
      <w:r>
        <w:rPr>
          <w:rFonts w:ascii="Arial" w:cs="Arial" w:eastAsia="Arial" w:hAnsi="Arial"/>
          <w:sz w:val="18"/>
          <w:szCs w:val="18"/>
          <w:b w:val="1"/>
          <w:bCs w:val="1"/>
          <w:color w:val="auto"/>
        </w:rPr>
        <w:t xml:space="preserve">Our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Cash Incentive Plan. Summary of the Cash Incentive Plan</w:t>
      </w:r>
    </w:p>
    <w:p>
      <w:pPr>
        <w:ind w:left="340" w:right="219" w:firstLine="778"/>
        <w:spacing w:after="0" w:line="277" w:lineRule="auto"/>
        <w:rPr>
          <w:sz w:val="20"/>
          <w:szCs w:val="20"/>
          <w:color w:val="auto"/>
        </w:rPr>
      </w:pPr>
      <w:r>
        <w:rPr>
          <w:rFonts w:ascii="Arial" w:cs="Arial" w:eastAsia="Arial" w:hAnsi="Arial"/>
          <w:sz w:val="18"/>
          <w:szCs w:val="18"/>
          <w:color w:val="auto"/>
        </w:rPr>
        <w:t xml:space="preserve">The following is a summary of the Cash Incentive Plan. It is qualified in its entirety by reference to the full text of the Plan,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30"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Cash Incentive Plan will be administered by the Compensation Committee, consisting of at least two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each of whom satisfies the requirements for an “outside director” as the term is defined under Section 162(m). The Compensation Committee may delegate authority to a designee with respect to administration of awards which are not intended to be performance-based for purposes of Section 162(m).</w:t>
      </w:r>
    </w:p>
    <w:p>
      <w:pPr>
        <w:spacing w:after="0" w:line="146" w:lineRule="exact"/>
        <w:rPr>
          <w:sz w:val="20"/>
          <w:szCs w:val="20"/>
          <w:color w:val="auto"/>
        </w:rPr>
      </w:pPr>
    </w:p>
    <w:p>
      <w:pPr>
        <w:ind w:left="340" w:right="219" w:firstLine="778"/>
        <w:spacing w:after="0" w:line="279"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Compensation Committee will select participants in the Cash Incentive Plan from among the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regular employees of the Company and its subsidiaries. As of February 28, 2011, all employees (including all executive officers) were eligible to be designated to participate in the Cash Incentive Plan and, subject to stockholder approval of Proposal 2, were selected by the Compensation Committee to participate in the Cash Incentive Plan for 2011.</w:t>
      </w:r>
    </w:p>
    <w:p>
      <w:pPr>
        <w:spacing w:after="0" w:line="144" w:lineRule="exact"/>
        <w:rPr>
          <w:sz w:val="20"/>
          <w:szCs w:val="20"/>
          <w:color w:val="auto"/>
        </w:rPr>
      </w:pPr>
    </w:p>
    <w:p>
      <w:pPr>
        <w:ind w:left="340" w:right="199" w:firstLine="778"/>
        <w:spacing w:after="0" w:line="255" w:lineRule="auto"/>
        <w:rPr>
          <w:sz w:val="20"/>
          <w:szCs w:val="20"/>
          <w:color w:val="auto"/>
        </w:rPr>
      </w:pPr>
      <w:r>
        <w:rPr>
          <w:rFonts w:ascii="Arial" w:cs="Arial" w:eastAsia="Arial" w:hAnsi="Arial"/>
          <w:sz w:val="18"/>
          <w:szCs w:val="18"/>
          <w:i w:val="1"/>
          <w:iCs w:val="1"/>
          <w:color w:val="auto"/>
        </w:rPr>
        <w:t xml:space="preserve">Determination of awards under the Cash Incentive Plan. </w:t>
      </w:r>
      <w:r>
        <w:rPr>
          <w:rFonts w:ascii="Arial" w:cs="Arial" w:eastAsia="Arial" w:hAnsi="Arial"/>
          <w:sz w:val="18"/>
          <w:szCs w:val="18"/>
          <w:color w:val="auto"/>
        </w:rPr>
        <w:t>For each fiscal year, the Compensation Committee establishes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performance goals to be satisfied and the target bonus to be earned by each participant if those performance goals are satisfied. The target bonus may be either an absolute dollar amount or a specified percentage of base salary, as determined by the Compensation Committee. For those participants who are covered employees, the Compensation Committee generally must establish the applicable annual performance goals no later the 90 days after the commencement of the fiscal year and at a time when their outcome remains substantially uncertain.</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19" w:firstLine="778"/>
        <w:spacing w:after="0" w:line="271" w:lineRule="auto"/>
        <w:rPr>
          <w:sz w:val="20"/>
          <w:szCs w:val="20"/>
          <w:color w:val="auto"/>
        </w:rPr>
      </w:pPr>
      <w:r>
        <w:rPr>
          <w:rFonts w:ascii="Arial" w:cs="Arial" w:eastAsia="Arial" w:hAnsi="Arial"/>
          <w:sz w:val="17"/>
          <w:szCs w:val="17"/>
          <w:color w:val="auto"/>
        </w:rPr>
        <w:t>The performance goals for each fiscal year must be based on one or more of the following measures of Company performance: (i) revenue targets; (ii) adjusted EBITDA targets (as such term is defined from time to time in the Company’s periodic reports as filed with the Securities and Exchange Commission); (iii) return measures (including, but not limited to, return on assets, capital, investment, equity or sales, and total stockholder return); (iv) earnings per share; (v) net income (before or after taxes) or operating income; (vi) budget comparisons; (vii) regulatory compliance; (viii) productivity improvements; (ix) measures of student satisfaction or achievement; (x) any combination of, or a specified increase in, any of the foregoing; and (xi) the completion of corporate transactions intended to enhance the Company’s revenue or profitability. The Compensation Committee may also establish personal performance goals for any participant.</w:t>
      </w:r>
    </w:p>
    <w:p>
      <w:pPr>
        <w:spacing w:after="0" w:line="152" w:lineRule="exact"/>
        <w:rPr>
          <w:sz w:val="20"/>
          <w:szCs w:val="20"/>
          <w:color w:val="auto"/>
        </w:rPr>
      </w:pPr>
    </w:p>
    <w:p>
      <w:pPr>
        <w:ind w:left="340" w:right="259" w:firstLine="778"/>
        <w:spacing w:after="0" w:line="293" w:lineRule="auto"/>
        <w:rPr>
          <w:sz w:val="20"/>
          <w:szCs w:val="20"/>
          <w:color w:val="auto"/>
        </w:rPr>
      </w:pPr>
      <w:r>
        <w:rPr>
          <w:rFonts w:ascii="Arial" w:cs="Arial" w:eastAsia="Arial" w:hAnsi="Arial"/>
          <w:sz w:val="16"/>
          <w:szCs w:val="16"/>
          <w:color w:val="auto"/>
        </w:rPr>
        <w:t>Performance goals may be based upon the attainment of specified levels of the Company’s performance under one or more of the measures described above relative to a budget, an index or the performance of other entities and may also be based on the performance of any of the Company’s business units. Performance goals may include a minimum threshold level of performance below which no award will be earned, levels of performance at which specified portions of an award will be earned and a maximum level of credited performance above which no greater award may be earned. The measured attainment of performance goals may include or exclude certain extraordinary items or transactions, as determined by the Compensation Committee.</w:t>
      </w:r>
    </w:p>
    <w:p>
      <w:pPr>
        <w:spacing w:after="0" w:line="124" w:lineRule="exact"/>
        <w:rPr>
          <w:sz w:val="20"/>
          <w:szCs w:val="20"/>
          <w:color w:val="auto"/>
        </w:rPr>
      </w:pPr>
    </w:p>
    <w:p>
      <w:pPr>
        <w:ind w:left="340" w:right="239" w:firstLine="778"/>
        <w:spacing w:after="0" w:line="302" w:lineRule="auto"/>
        <w:rPr>
          <w:sz w:val="20"/>
          <w:szCs w:val="20"/>
          <w:color w:val="auto"/>
        </w:rPr>
      </w:pPr>
      <w:r>
        <w:rPr>
          <w:rFonts w:ascii="Arial" w:cs="Arial" w:eastAsia="Arial" w:hAnsi="Arial"/>
          <w:sz w:val="16"/>
          <w:szCs w:val="16"/>
          <w:color w:val="auto"/>
        </w:rPr>
        <w:t>The maximum bonus payable to any participant in a fiscal year may not be greater than 200% of the participant’s base salary for the year or exceed $2,000,000. This amount is greater than bonus levels paid by the Company in previous years. This bonus limit was set in part to allow the Cash Incentive Plan to accommodate continued growth of the Company. The Board believes that this limit will provide the Compensation Committee with sufficient flexibility to recognize exceptional individual performance.</w:t>
      </w:r>
    </w:p>
    <w:p>
      <w:pPr>
        <w:spacing w:after="0" w:line="114" w:lineRule="exact"/>
        <w:rPr>
          <w:sz w:val="20"/>
          <w:szCs w:val="20"/>
          <w:color w:val="auto"/>
        </w:rPr>
      </w:pPr>
    </w:p>
    <w:p>
      <w:pPr>
        <w:ind w:left="340" w:right="199" w:firstLine="778"/>
        <w:spacing w:after="0" w:line="271" w:lineRule="auto"/>
        <w:rPr>
          <w:sz w:val="20"/>
          <w:szCs w:val="20"/>
          <w:color w:val="auto"/>
        </w:rPr>
      </w:pPr>
      <w:r>
        <w:rPr>
          <w:rFonts w:ascii="Arial" w:cs="Arial" w:eastAsia="Arial" w:hAnsi="Arial"/>
          <w:sz w:val="17"/>
          <w:szCs w:val="17"/>
          <w:color w:val="auto"/>
        </w:rPr>
        <w:t>Final payouts for a fiscal year under the Cash Incentive Plan must be approved by the Compensation Committee and will occur as soon as practical after the close of the Company’s financial books for the fiscal year. To be eligible to receive a bonus payment, a participant must generally remain an employee as of the last day of the fiscal year. However, the Compensation Committee may authorized a prorated bonus payment based on actual achievement of the applicable performance goals for the full fiscal to any employee whose employment terminates during the year by reason of death, disability, retirement or involuntary termination due to a reduction in force after at least six months of service during the year. The Compensation Committee may adjust individual bonus payment up or down based on the individual’s personal performance, provided that no such upward adjustment may be made to any bonus payable to a covered employee.</w:t>
      </w:r>
    </w:p>
    <w:p>
      <w:pPr>
        <w:spacing w:after="0" w:line="152" w:lineRule="exact"/>
        <w:rPr>
          <w:sz w:val="20"/>
          <w:szCs w:val="20"/>
          <w:color w:val="auto"/>
        </w:rPr>
      </w:pPr>
    </w:p>
    <w:p>
      <w:pPr>
        <w:ind w:left="340" w:right="239" w:firstLine="778"/>
        <w:spacing w:after="0" w:line="259" w:lineRule="auto"/>
        <w:rPr>
          <w:sz w:val="20"/>
          <w:szCs w:val="20"/>
          <w:color w:val="auto"/>
        </w:rPr>
      </w:pPr>
      <w:r>
        <w:rPr>
          <w:rFonts w:ascii="Arial" w:cs="Arial" w:eastAsia="Arial" w:hAnsi="Arial"/>
          <w:sz w:val="18"/>
          <w:szCs w:val="18"/>
          <w:i w:val="1"/>
          <w:iCs w:val="1"/>
          <w:color w:val="auto"/>
        </w:rPr>
        <w:t xml:space="preserve">Deferral of bonuses. </w:t>
      </w:r>
      <w:r>
        <w:rPr>
          <w:rFonts w:ascii="Arial" w:cs="Arial" w:eastAsia="Arial" w:hAnsi="Arial"/>
          <w:sz w:val="18"/>
          <w:szCs w:val="18"/>
          <w:color w:val="auto"/>
        </w:rPr>
        <w:t>Bonuses earned under the Cash Incentive Plan generally must be paid no later than the 15th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month following the end of the fiscal year. However, the Compensation Committee may permit a participant to defer all or part of the bonus awarded to such participant under any Company sponsored deferred compensation plan for which that participant is eligible.</w:t>
      </w:r>
    </w:p>
    <w:p>
      <w:pPr>
        <w:spacing w:after="0" w:line="146" w:lineRule="exact"/>
        <w:rPr>
          <w:sz w:val="20"/>
          <w:szCs w:val="20"/>
          <w:color w:val="auto"/>
        </w:rPr>
      </w:pPr>
    </w:p>
    <w:p>
      <w:pPr>
        <w:ind w:left="340" w:right="359" w:firstLine="778"/>
        <w:spacing w:after="0" w:line="279" w:lineRule="auto"/>
        <w:rPr>
          <w:sz w:val="20"/>
          <w:szCs w:val="20"/>
          <w:color w:val="auto"/>
        </w:rPr>
      </w:pPr>
      <w:r>
        <w:rPr>
          <w:rFonts w:ascii="Arial" w:cs="Arial" w:eastAsia="Arial" w:hAnsi="Arial"/>
          <w:sz w:val="17"/>
          <w:szCs w:val="17"/>
          <w:i w:val="1"/>
          <w:iCs w:val="1"/>
          <w:color w:val="auto"/>
        </w:rPr>
        <w:t xml:space="preserve">Amendment or termination. </w:t>
      </w:r>
      <w:r>
        <w:rPr>
          <w:rFonts w:ascii="Arial" w:cs="Arial" w:eastAsia="Arial" w:hAnsi="Arial"/>
          <w:sz w:val="17"/>
          <w:szCs w:val="17"/>
          <w:color w:val="auto"/>
        </w:rPr>
        <w:t>The Company reserves the right, exercisable by the Compensation Committee, to amend the</w:t>
      </w:r>
      <w:r>
        <w:rPr>
          <w:rFonts w:ascii="Arial" w:cs="Arial" w:eastAsia="Arial" w:hAnsi="Arial"/>
          <w:sz w:val="17"/>
          <w:szCs w:val="17"/>
          <w:i w:val="1"/>
          <w:iCs w:val="1"/>
          <w:color w:val="auto"/>
        </w:rPr>
        <w:t xml:space="preserve"> </w:t>
      </w:r>
      <w:r>
        <w:rPr>
          <w:rFonts w:ascii="Arial" w:cs="Arial" w:eastAsia="Arial" w:hAnsi="Arial"/>
          <w:sz w:val="17"/>
          <w:szCs w:val="17"/>
          <w:color w:val="auto"/>
        </w:rPr>
        <w:t>Cash Incentive Plan at any time and in any respect or to discontinue and terminate the Cash Incentive Plan in whole or in part at any time; provided, however, that certain amendments to the Cash Incentive Plan will be subject to approval of the Company’s stockholders in such manner and with such frequency as shall be required under Section 162(m).</w:t>
      </w:r>
    </w:p>
    <w:p>
      <w:pPr>
        <w:spacing w:after="0" w:line="131" w:lineRule="exact"/>
        <w:rPr>
          <w:sz w:val="20"/>
          <w:szCs w:val="20"/>
          <w:color w:val="auto"/>
        </w:rPr>
      </w:pPr>
    </w:p>
    <w:p>
      <w:pPr>
        <w:ind w:left="340" w:right="259" w:firstLine="778"/>
        <w:spacing w:after="0" w:line="272" w:lineRule="auto"/>
        <w:rPr>
          <w:sz w:val="20"/>
          <w:szCs w:val="20"/>
          <w:color w:val="auto"/>
        </w:rPr>
      </w:pPr>
      <w:r>
        <w:rPr>
          <w:rFonts w:ascii="Arial" w:cs="Arial" w:eastAsia="Arial" w:hAnsi="Arial"/>
          <w:sz w:val="17"/>
          <w:szCs w:val="17"/>
          <w:i w:val="1"/>
          <w:iCs w:val="1"/>
          <w:color w:val="auto"/>
        </w:rPr>
        <w:t xml:space="preserve">Summary of federal income tax consequences. </w:t>
      </w:r>
      <w:r>
        <w:rPr>
          <w:rFonts w:ascii="Arial" w:cs="Arial" w:eastAsia="Arial" w:hAnsi="Arial"/>
          <w:sz w:val="17"/>
          <w:szCs w:val="17"/>
          <w:color w:val="auto"/>
        </w:rPr>
        <w:t>Under present federal income tax law, participants will realize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equal to the amount of the award paid to them, at the time of payment. That income will be subject to applicable income and employment tax withholding by the Company. The Company will receive a deduction for the amount constituting ordinary income to the participant, provided that the Cash Incentive Plan satisfies the requirements of Section 162(m), which imposes a $1,000,000 limitation on the income tax deductibility of non-performance-related compensation paid per individual in the group comprised of the Company’s chief executive officer and the three most highly compensated officers (other than the chief financial officer), and otherwise satisfies the requirements for deductibility under federal income tax law.</w:t>
      </w:r>
    </w:p>
    <w:p>
      <w:pPr>
        <w:spacing w:after="0" w:line="151" w:lineRule="exact"/>
        <w:rPr>
          <w:sz w:val="20"/>
          <w:szCs w:val="20"/>
          <w:color w:val="auto"/>
        </w:rPr>
      </w:pPr>
    </w:p>
    <w:p>
      <w:pPr>
        <w:ind w:left="340" w:right="219" w:firstLine="778"/>
        <w:spacing w:after="0" w:line="293" w:lineRule="auto"/>
        <w:rPr>
          <w:sz w:val="20"/>
          <w:szCs w:val="20"/>
          <w:color w:val="auto"/>
        </w:rPr>
      </w:pPr>
      <w:r>
        <w:rPr>
          <w:rFonts w:ascii="Arial" w:cs="Arial" w:eastAsia="Arial" w:hAnsi="Arial"/>
          <w:sz w:val="16"/>
          <w:szCs w:val="16"/>
          <w:i w:val="1"/>
          <w:iCs w:val="1"/>
          <w:color w:val="auto"/>
        </w:rPr>
        <w:t>Award amounts</w:t>
      </w:r>
      <w:r>
        <w:rPr>
          <w:rFonts w:ascii="Arial" w:cs="Arial" w:eastAsia="Arial" w:hAnsi="Arial"/>
          <w:sz w:val="16"/>
          <w:szCs w:val="16"/>
          <w:color w:val="auto"/>
        </w:rPr>
        <w:t>. Bonuses payable under the Cash Incentive Plan for fiscal year 2011 and future years cannot currently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because they will depend on the attainment by the Company and plan participants of the specified performance goals established by the Compensation Committee. If the Cash Incentive Plan as proposed herein had been in effect for fiscal year 2010, the amounts that would have been paid to named executive officers under the Cash Incentive Plan are the same as those that were actually paid to them under the cash incentive plan in effect for fiscal 2010, which amounts are set forth in the Compensation Discussion and Analysis section under the “Non-Equity Incentive Plan Compensation” column of the Summary Compensation Table.</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APPROVAL OF THE SECTION 162(M) LIMITS OF</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OUR 2008 EQUITY INCENTIVE PLAN</w:t>
      </w:r>
    </w:p>
    <w:p>
      <w:pPr>
        <w:spacing w:after="0" w:line="184" w:lineRule="exact"/>
        <w:rPr>
          <w:sz w:val="20"/>
          <w:szCs w:val="20"/>
          <w:color w:val="auto"/>
        </w:rPr>
      </w:pPr>
    </w:p>
    <w:p>
      <w:pPr>
        <w:ind w:left="340" w:right="319" w:firstLine="778"/>
        <w:spacing w:after="0" w:line="276" w:lineRule="auto"/>
        <w:rPr>
          <w:sz w:val="20"/>
          <w:szCs w:val="20"/>
          <w:color w:val="auto"/>
        </w:rPr>
      </w:pPr>
      <w:r>
        <w:rPr>
          <w:rFonts w:ascii="Arial" w:cs="Arial" w:eastAsia="Arial" w:hAnsi="Arial"/>
          <w:sz w:val="17"/>
          <w:szCs w:val="17"/>
          <w:color w:val="auto"/>
        </w:rPr>
        <w:t>Our stockholders have previously approved our 2008 Equity Incentive Plan (the “Equity Incentive Plan”), under which employees, officers, directors and consultants may be granted equity-based and cash-based awards. The stockholders now are being asked to approve certain provisions of the Equity Incentive Plan solely for the purpose of preserving the Company’s ability to deduct in full for federal income tax purposes the compensation recognized by our certain of our executive officers in connection with performance-based awards that may be granted to them in the future under the Equity Incentive Plan.</w:t>
      </w:r>
    </w:p>
    <w:p>
      <w:pPr>
        <w:spacing w:after="0" w:line="132" w:lineRule="exact"/>
        <w:rPr>
          <w:sz w:val="20"/>
          <w:szCs w:val="20"/>
          <w:color w:val="auto"/>
        </w:rPr>
      </w:pPr>
    </w:p>
    <w:p>
      <w:pPr>
        <w:ind w:left="340" w:right="199" w:firstLine="778"/>
        <w:spacing w:after="0" w:line="270" w:lineRule="auto"/>
        <w:rPr>
          <w:sz w:val="20"/>
          <w:szCs w:val="20"/>
          <w:color w:val="auto"/>
        </w:rPr>
      </w:pPr>
      <w:r>
        <w:rPr>
          <w:rFonts w:ascii="Arial" w:cs="Arial" w:eastAsia="Arial" w:hAnsi="Arial"/>
          <w:sz w:val="17"/>
          <w:szCs w:val="17"/>
          <w:color w:val="auto"/>
        </w:rPr>
        <w:t>As described in Proposal No. 2, under Section 162(m) of the Code and related guidance, we generally may not deduct for federal income tax purposes compensation paid to certain executive officers to the extent that any of these persons receive more than $1.0 million in compensation in any single year. However, if the compensation qualifies as “performance-based” for Section 162(m) purposes, we may deduct it for federal income tax purposes even if it exceeds $1.0 million in a single year. In general, for a grant under the Equity Incentive Plan to qualify as “performance-based,” certain material terms of the Equity Incentive Plan must have been approved by our public stockholders in a separate vote. Awards granted under the Equity Incentive Plan during a transition period following our initial public offering and ending on the earlier of the date of a material modification of the Equity Incentive Plan or the 2011 annual meeting are, however, exempt from the deduction disallowance rule of Section 162(m). The availability of the exemption for awards of performance-based compensation therefore depends upon obtaining approval of the Equity Incentive Plan by our public stockholders at the 2011 annual meeting.</w:t>
      </w:r>
    </w:p>
    <w:p>
      <w:pPr>
        <w:spacing w:after="0" w:line="137" w:lineRule="exact"/>
        <w:rPr>
          <w:sz w:val="20"/>
          <w:szCs w:val="20"/>
          <w:color w:val="auto"/>
        </w:rPr>
      </w:pPr>
    </w:p>
    <w:p>
      <w:pPr>
        <w:ind w:left="340" w:right="239" w:firstLine="778"/>
        <w:spacing w:after="0" w:line="257" w:lineRule="auto"/>
        <w:rPr>
          <w:sz w:val="20"/>
          <w:szCs w:val="20"/>
          <w:color w:val="auto"/>
        </w:rPr>
      </w:pPr>
      <w:r>
        <w:rPr>
          <w:rFonts w:ascii="Arial" w:cs="Arial" w:eastAsia="Arial" w:hAnsi="Arial"/>
          <w:sz w:val="18"/>
          <w:szCs w:val="18"/>
          <w:color w:val="auto"/>
        </w:rPr>
        <w:t>The Board of Directors believes that it is in the best interests of the Company and its stockholders to continue to preserve the ability of the Company to deduct in full compensation related to stock options, stock appreciation rights and other performance-based awards granted under the Equity Incentive Plan. Therefore, solely for the purpose of qualifying such compensation as performance-based under Section 162(m), the stockholders are asked to approve the following provisions of the Equity Incentive Plan (the “Section 162(m) Qualifying Provisions”):</w:t>
      </w:r>
    </w:p>
    <w:p>
      <w:pPr>
        <w:spacing w:after="0" w:line="161" w:lineRule="exact"/>
        <w:rPr>
          <w:sz w:val="20"/>
          <w:szCs w:val="20"/>
          <w:color w:val="auto"/>
        </w:rPr>
      </w:pPr>
    </w:p>
    <w:p>
      <w:pPr>
        <w:ind w:left="1080" w:right="439" w:hanging="370"/>
        <w:spacing w:after="0" w:line="312" w:lineRule="auto"/>
        <w:tabs>
          <w:tab w:leader="none" w:pos="108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All employees of the Company and any parent or subsidiary corporation of the Company or other affiliated entity are eligible to be granted stock options, stock appreciation rights, restricted stock, restricted stock units, performance shares, performance units, other stock-based awards and cash-based awards under the Equity Incentive Plan.</w:t>
      </w:r>
    </w:p>
    <w:p>
      <w:pPr>
        <w:spacing w:after="0" w:line="79" w:lineRule="exact"/>
        <w:rPr>
          <w:rFonts w:ascii="Arial" w:cs="Arial" w:eastAsia="Arial" w:hAnsi="Arial"/>
          <w:sz w:val="16"/>
          <w:szCs w:val="16"/>
          <w:b w:val="1"/>
          <w:bCs w:val="1"/>
          <w:color w:val="auto"/>
        </w:rPr>
      </w:pPr>
    </w:p>
    <w:p>
      <w:pPr>
        <w:jc w:val="both"/>
        <w:ind w:left="1080" w:right="439" w:hanging="370"/>
        <w:spacing w:after="0" w:line="286" w:lineRule="auto"/>
        <w:tabs>
          <w:tab w:leader="none" w:pos="108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No participant may receive in any fiscal year under the Equity Incentive Plan equity-based awards intended to qualify as “performance-based” for more than 2,000,000 shares of our common stock, provided that this limit will be appropriately adjusted for stock splits, stock dividends and similar changes to the Company’s capital structure.</w:t>
      </w:r>
    </w:p>
    <w:p>
      <w:pPr>
        <w:spacing w:after="0" w:line="97" w:lineRule="exact"/>
        <w:rPr>
          <w:rFonts w:ascii="Arial" w:cs="Arial" w:eastAsia="Arial" w:hAnsi="Arial"/>
          <w:sz w:val="17"/>
          <w:szCs w:val="17"/>
          <w:b w:val="1"/>
          <w:bCs w:val="1"/>
          <w:color w:val="auto"/>
        </w:rPr>
      </w:pPr>
    </w:p>
    <w:p>
      <w:pPr>
        <w:jc w:val="both"/>
        <w:ind w:left="1080" w:right="259" w:hanging="370"/>
        <w:spacing w:after="0" w:line="342" w:lineRule="auto"/>
        <w:tabs>
          <w:tab w:leader="none" w:pos="108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No participant may receive in any fiscal year under the Equity Incentive Plan cash-denominated awards intended to qualify as “performance-based” for more than $5,000,000 for each full fiscal year contained in the applicable performance period.</w:t>
      </w:r>
    </w:p>
    <w:p>
      <w:pPr>
        <w:spacing w:after="0" w:line="56" w:lineRule="exact"/>
        <w:rPr>
          <w:rFonts w:ascii="Arial" w:cs="Arial" w:eastAsia="Arial" w:hAnsi="Arial"/>
          <w:sz w:val="16"/>
          <w:szCs w:val="16"/>
          <w:b w:val="1"/>
          <w:bCs w:val="1"/>
          <w:color w:val="auto"/>
        </w:rPr>
      </w:pPr>
    </w:p>
    <w:p>
      <w:pPr>
        <w:ind w:left="1080" w:right="199" w:hanging="370"/>
        <w:spacing w:after="0" w:line="284" w:lineRule="auto"/>
        <w:tabs>
          <w:tab w:leader="none" w:pos="108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vesting of restricted stock, restricted stock units, performance share and performance unit awards and other stock-based awards and cash-based awards intended to qualify as “performance-based” may be made subject to the attainment of performance goals for a specified period of time relating to one or more of the following performance measures,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administrator in the award: (i) revenue, (ii) sales, (iii) expenses,</w:t>
      </w:r>
    </w:p>
    <w:p>
      <w:pPr>
        <w:spacing w:after="0" w:line="2" w:lineRule="exact"/>
        <w:rPr>
          <w:rFonts w:ascii="Arial" w:cs="Arial" w:eastAsia="Arial" w:hAnsi="Arial"/>
          <w:sz w:val="16"/>
          <w:szCs w:val="16"/>
          <w:b w:val="1"/>
          <w:bCs w:val="1"/>
          <w:color w:val="auto"/>
        </w:rPr>
      </w:pPr>
    </w:p>
    <w:p>
      <w:pPr>
        <w:ind w:left="1080" w:right="259" w:firstLine="8"/>
        <w:spacing w:after="0" w:line="281" w:lineRule="auto"/>
        <w:tabs>
          <w:tab w:leader="none" w:pos="1385" w:val="left"/>
        </w:tabs>
        <w:numPr>
          <w:ilvl w:val="1"/>
          <w:numId w:val="14"/>
        </w:numPr>
        <w:rPr>
          <w:rFonts w:ascii="Arial" w:cs="Arial" w:eastAsia="Arial" w:hAnsi="Arial"/>
          <w:sz w:val="16"/>
          <w:szCs w:val="16"/>
          <w:color w:val="auto"/>
        </w:rPr>
      </w:pPr>
      <w:r>
        <w:rPr>
          <w:rFonts w:ascii="Arial" w:cs="Arial" w:eastAsia="Arial" w:hAnsi="Arial"/>
          <w:sz w:val="16"/>
          <w:szCs w:val="16"/>
          <w:color w:val="auto"/>
        </w:rPr>
        <w:t>operating income, (v) gross margin, (vi) operating margin, (vii) earnings before any one or more of: stock-based compensation expense, interest, taxes, depreciation and amortization, (viii) pre-tax profit, (ix) net operating income, (x) net income, (xi) economic value added, (xii) free cash flow, (xiii) operating cash flow, (xiv) balance of cash, cash equivalents and marketable securities, (xv) stock price, (xvi) earnings per share, (xvii) return on stockholder equity, (xviii) return on capital, (xix) return on assets, (xx) return on investment, (xxi) employee satisfaction, (xxii) employee retention,</w:t>
      </w:r>
    </w:p>
    <w:p>
      <w:pPr>
        <w:spacing w:after="0" w:line="3" w:lineRule="exact"/>
        <w:rPr>
          <w:rFonts w:ascii="Arial" w:cs="Arial" w:eastAsia="Arial" w:hAnsi="Arial"/>
          <w:sz w:val="16"/>
          <w:szCs w:val="16"/>
          <w:color w:val="auto"/>
        </w:rPr>
      </w:pPr>
    </w:p>
    <w:p>
      <w:pPr>
        <w:ind w:left="1580" w:hanging="492"/>
        <w:spacing w:after="0"/>
        <w:tabs>
          <w:tab w:leader="none" w:pos="1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market share, (xxiv) customer satisfaction, (xxv) product development, (xxvi) research and development expenses,</w:t>
      </w:r>
    </w:p>
    <w:p>
      <w:pPr>
        <w:spacing w:after="0" w:line="32" w:lineRule="exact"/>
        <w:rPr>
          <w:rFonts w:ascii="Arial" w:cs="Arial" w:eastAsia="Arial" w:hAnsi="Arial"/>
          <w:sz w:val="16"/>
          <w:szCs w:val="16"/>
          <w:color w:val="auto"/>
        </w:rPr>
      </w:pPr>
    </w:p>
    <w:p>
      <w:pPr>
        <w:ind w:left="1620" w:hanging="532"/>
        <w:spacing w:after="0"/>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completion of an identified special project, or (xxviii) completion of a joint venture or other corporate transaction.</w:t>
      </w: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79" w:firstLine="778"/>
        <w:spacing w:after="0" w:line="264" w:lineRule="auto"/>
        <w:rPr>
          <w:sz w:val="20"/>
          <w:szCs w:val="20"/>
          <w:color w:val="auto"/>
        </w:rPr>
      </w:pPr>
      <w:r>
        <w:rPr>
          <w:rFonts w:ascii="Arial" w:cs="Arial" w:eastAsia="Arial" w:hAnsi="Arial"/>
          <w:sz w:val="18"/>
          <w:szCs w:val="18"/>
          <w:color w:val="auto"/>
        </w:rPr>
        <w:t>While we believe that compensation provided by such awards under the Equity Incentive Plan generally will be deductible by the Company for federal income tax purposes, under certain circumstances, such as a change in control of the Company, compensation paid in settlement of certain awards may not qualify as performance-based.</w:t>
      </w:r>
    </w:p>
    <w:p>
      <w:pPr>
        <w:spacing w:after="0" w:line="154" w:lineRule="exact"/>
        <w:rPr>
          <w:sz w:val="20"/>
          <w:szCs w:val="20"/>
          <w:color w:val="auto"/>
        </w:rPr>
      </w:pPr>
    </w:p>
    <w:p>
      <w:pPr>
        <w:ind w:left="340" w:right="219" w:firstLine="778"/>
        <w:spacing w:after="0" w:line="279" w:lineRule="auto"/>
        <w:rPr>
          <w:sz w:val="20"/>
          <w:szCs w:val="20"/>
          <w:color w:val="auto"/>
        </w:rPr>
      </w:pPr>
      <w:r>
        <w:rPr>
          <w:rFonts w:ascii="Arial" w:cs="Arial" w:eastAsia="Arial" w:hAnsi="Arial"/>
          <w:sz w:val="17"/>
          <w:szCs w:val="17"/>
          <w:color w:val="auto"/>
        </w:rPr>
        <w:t>We believe that we must retain the flexibility to respond to changes in the market for top executive officers and offer compensation packages that are competitive with those offered by others in our industry. In the event we are motivated by competitive forces to offer compensation in excess of $1.0 million to executive officers, our Board of Directors believes it would be in our best interests and those of our stockholders to be able to deduct such compensation for federal income tax purposes.</w:t>
      </w:r>
    </w:p>
    <w:p>
      <w:pPr>
        <w:spacing w:after="0" w:line="131" w:lineRule="exact"/>
        <w:rPr>
          <w:sz w:val="20"/>
          <w:szCs w:val="20"/>
          <w:color w:val="auto"/>
        </w:rPr>
      </w:pPr>
    </w:p>
    <w:p>
      <w:pPr>
        <w:jc w:val="both"/>
        <w:ind w:left="340" w:right="179" w:firstLine="778"/>
        <w:spacing w:after="0" w:line="286" w:lineRule="auto"/>
        <w:rPr>
          <w:sz w:val="20"/>
          <w:szCs w:val="20"/>
          <w:color w:val="auto"/>
        </w:rPr>
      </w:pPr>
      <w:r>
        <w:rPr>
          <w:rFonts w:ascii="Arial" w:cs="Arial" w:eastAsia="Arial" w:hAnsi="Arial"/>
          <w:sz w:val="17"/>
          <w:szCs w:val="17"/>
          <w:color w:val="auto"/>
        </w:rPr>
        <w:t>If stockholder approval of this proposal is not obtained, we will not make any further grants under the Equity Incentive Plan to our Chief Executive Officer and our other named executive officers who are “covered employees” as defined in Section 162(m), or their successors, until such time, if any, as stockholder approval of a subsequent similar proposal is obtained.</w:t>
      </w:r>
    </w:p>
    <w:p>
      <w:pPr>
        <w:spacing w:after="0" w:line="125" w:lineRule="exact"/>
        <w:rPr>
          <w:sz w:val="20"/>
          <w:szCs w:val="20"/>
          <w:color w:val="auto"/>
        </w:rPr>
      </w:pPr>
    </w:p>
    <w:p>
      <w:pPr>
        <w:ind w:left="340" w:right="399" w:firstLine="778"/>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and voting at the Annual Meeting and entitled to vote on the matter is required for approval of this proposal.</w:t>
      </w:r>
    </w:p>
    <w:p>
      <w:pPr>
        <w:spacing w:after="0" w:line="139" w:lineRule="exact"/>
        <w:rPr>
          <w:sz w:val="20"/>
          <w:szCs w:val="20"/>
          <w:color w:val="auto"/>
        </w:rPr>
      </w:pPr>
    </w:p>
    <w:p>
      <w:pPr>
        <w:ind w:left="340" w:right="839" w:firstLine="778"/>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provisions of our 2008 equity incentive plan setting forth the Section 162(m) limits.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the 2008 Equity Incentive Plan</w:t>
      </w:r>
    </w:p>
    <w:p>
      <w:pPr>
        <w:spacing w:after="0" w:line="189" w:lineRule="exact"/>
        <w:rPr>
          <w:sz w:val="20"/>
          <w:szCs w:val="20"/>
          <w:color w:val="auto"/>
        </w:rPr>
      </w:pPr>
    </w:p>
    <w:p>
      <w:pPr>
        <w:ind w:left="340" w:right="279" w:firstLine="778"/>
        <w:spacing w:after="0" w:line="302" w:lineRule="auto"/>
        <w:rPr>
          <w:sz w:val="20"/>
          <w:szCs w:val="20"/>
          <w:color w:val="auto"/>
        </w:rPr>
      </w:pPr>
      <w:r>
        <w:rPr>
          <w:rFonts w:ascii="Arial" w:cs="Arial" w:eastAsia="Arial" w:hAnsi="Arial"/>
          <w:sz w:val="16"/>
          <w:szCs w:val="16"/>
          <w:color w:val="auto"/>
        </w:rPr>
        <w:t>The following summary of the Equity Incentive Plan as currently in effect is qualified in its entirety by the specific language of the Equity Incentive Plan. Copies of the Equity Incentive Plan are available to any stockholder upon request addressed to Investor Relations, Grand Canyon Education, Inc., 3300 West Camelback Road, Phoenix, Arizona 85017. The Equity Incentive Plan may also be viewed without charge on the Securities and Exchange Commission website at www.sec.gov.</w:t>
      </w:r>
    </w:p>
    <w:p>
      <w:pPr>
        <w:spacing w:after="0" w:line="127" w:lineRule="exact"/>
        <w:rPr>
          <w:sz w:val="20"/>
          <w:szCs w:val="20"/>
          <w:color w:val="auto"/>
        </w:rPr>
      </w:pPr>
    </w:p>
    <w:p>
      <w:pPr>
        <w:ind w:left="340" w:right="199" w:firstLine="778"/>
        <w:spacing w:after="0" w:line="276"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Our Board of Directors and stockholders previously adopted the Equity Incentive Plan to enhance the link</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creation of stockholder value and executive incentive compensation and to give our directors, executive officers and other employees appropriate motivation and rewards for achieving increases in share value. These incentives are provided through the grant of stock options, stock appreciation rights, restricted stock, restricted stock units, performance shares, performance units, other stock-based awards, cash-based awards, and nonemployee director awards.</w:t>
      </w:r>
    </w:p>
    <w:p>
      <w:pPr>
        <w:spacing w:after="0" w:line="132" w:lineRule="exact"/>
        <w:rPr>
          <w:sz w:val="20"/>
          <w:szCs w:val="20"/>
          <w:color w:val="auto"/>
        </w:rPr>
      </w:pPr>
    </w:p>
    <w:p>
      <w:pPr>
        <w:ind w:left="340" w:right="199" w:firstLine="778"/>
        <w:spacing w:after="0" w:line="288" w:lineRule="auto"/>
        <w:rPr>
          <w:sz w:val="20"/>
          <w:szCs w:val="20"/>
          <w:color w:val="auto"/>
        </w:rPr>
      </w:pPr>
      <w:r>
        <w:rPr>
          <w:rFonts w:ascii="Arial" w:cs="Arial" w:eastAsia="Arial" w:hAnsi="Arial"/>
          <w:sz w:val="16"/>
          <w:szCs w:val="16"/>
          <w:i w:val="1"/>
          <w:iCs w:val="1"/>
          <w:color w:val="auto"/>
        </w:rPr>
        <w:t>Shares reserved for issuance under the plan</w:t>
      </w:r>
      <w:r>
        <w:rPr>
          <w:rFonts w:ascii="Arial" w:cs="Arial" w:eastAsia="Arial" w:hAnsi="Arial"/>
          <w:sz w:val="16"/>
          <w:szCs w:val="16"/>
          <w:color w:val="auto"/>
        </w:rPr>
        <w:t>. As of February 28, 2011, we had authorized and reserved a total of 7,622,034</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for issuance under the Equity Incentive Plan. This reserve automatically increases on a cumulative basis on January 1 of each year through 2018, by an amount equal to the smaller of (a) 2.5% of the number of shares of common stock issued and outstanding on the immediately preceding December 31, or (b) an amount determined by our Board of Directors. We will make appropriate adjustments in the number of authorized shares and other numerical limits in the Equity Incentive Plan and in outstanding awards to prevent dilution or enlargement of participants’ rights in the event of a stock split or other change in our capital structure. Shares subject to awards that expire or are cancelled or forfeited will again become available for issuance under the Equity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Equity Incentive Plan.</w:t>
      </w: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99" w:firstLine="778"/>
        <w:spacing w:after="0" w:line="259" w:lineRule="auto"/>
        <w:rPr>
          <w:sz w:val="20"/>
          <w:szCs w:val="20"/>
          <w:color w:val="auto"/>
        </w:rPr>
      </w:pPr>
      <w:r>
        <w:rPr>
          <w:rFonts w:ascii="Arial" w:cs="Arial" w:eastAsia="Arial" w:hAnsi="Arial"/>
          <w:sz w:val="18"/>
          <w:szCs w:val="18"/>
          <w:i w:val="1"/>
          <w:iCs w:val="1"/>
          <w:color w:val="auto"/>
        </w:rPr>
        <w:t xml:space="preserve">Certain award limits. </w:t>
      </w:r>
      <w:r>
        <w:rPr>
          <w:rFonts w:ascii="Arial" w:cs="Arial" w:eastAsia="Arial" w:hAnsi="Arial"/>
          <w:sz w:val="18"/>
          <w:szCs w:val="18"/>
          <w:color w:val="auto"/>
        </w:rPr>
        <w:t>To enable compensation provided in connection with certain types of awards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within the meaning of Section 162(m) of the Code, the Board of Directors has amended the Equity Incentive Plan to establish limits on the maximum aggregate number of shares or dollar value for which such awards may be granted to an employee in any fiscal year, as follows:</w:t>
      </w:r>
    </w:p>
    <w:p>
      <w:pPr>
        <w:spacing w:after="0" w:line="160" w:lineRule="exact"/>
        <w:rPr>
          <w:sz w:val="20"/>
          <w:szCs w:val="20"/>
          <w:color w:val="auto"/>
        </w:rPr>
      </w:pPr>
    </w:p>
    <w:p>
      <w:pPr>
        <w:ind w:left="1880" w:hanging="386"/>
        <w:spacing w:after="0"/>
        <w:tabs>
          <w:tab w:leader="none" w:pos="18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No more than 2,000,000 shares under equity-based awards.</w:t>
      </w:r>
    </w:p>
    <w:p>
      <w:pPr>
        <w:spacing w:after="0" w:line="184" w:lineRule="exact"/>
        <w:rPr>
          <w:rFonts w:ascii="Arial" w:cs="Arial" w:eastAsia="Arial" w:hAnsi="Arial"/>
          <w:sz w:val="18"/>
          <w:szCs w:val="18"/>
          <w:b w:val="1"/>
          <w:bCs w:val="1"/>
          <w:color w:val="auto"/>
        </w:rPr>
      </w:pPr>
    </w:p>
    <w:p>
      <w:pPr>
        <w:ind w:left="1880" w:right="319" w:hanging="386"/>
        <w:spacing w:after="0" w:line="277" w:lineRule="auto"/>
        <w:tabs>
          <w:tab w:leader="none" w:pos="18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No more than $5,000,000 for each full fiscal year contained in the performance period under cash-denominated awards.</w:t>
      </w:r>
    </w:p>
    <w:p>
      <w:pPr>
        <w:spacing w:after="0" w:line="130" w:lineRule="exact"/>
        <w:rPr>
          <w:sz w:val="20"/>
          <w:szCs w:val="20"/>
          <w:color w:val="auto"/>
        </w:rPr>
      </w:pPr>
    </w:p>
    <w:p>
      <w:pPr>
        <w:ind w:left="340" w:right="179" w:firstLine="778"/>
        <w:spacing w:after="0" w:line="257" w:lineRule="auto"/>
        <w:rPr>
          <w:sz w:val="20"/>
          <w:szCs w:val="20"/>
          <w:color w:val="auto"/>
        </w:rPr>
      </w:pPr>
      <w:r>
        <w:rPr>
          <w:rFonts w:ascii="Arial" w:cs="Arial" w:eastAsia="Arial" w:hAnsi="Arial"/>
          <w:sz w:val="18"/>
          <w:szCs w:val="18"/>
          <w:color w:val="auto"/>
        </w:rPr>
        <w:t>In addition, to comply with applicable tax rules, the Equity Incentive Plan also limits to 4,199,937 the number of shares that may be issued upon the exercise of incentive stock options granted under the Equity Incentive Plan, provided that this limit automatically increases on a cumulative basis on January 1 of each year through 2018, by an amount equal to the smaller of (a) the annual increase described above or (b) 4,199,937 shares. These award limits are subject to appropriate adjustments in the event of a stock split or other change in our capital structure.</w:t>
      </w:r>
    </w:p>
    <w:p>
      <w:pPr>
        <w:spacing w:after="0" w:line="161" w:lineRule="exact"/>
        <w:rPr>
          <w:sz w:val="20"/>
          <w:szCs w:val="20"/>
          <w:color w:val="auto"/>
        </w:rPr>
      </w:pPr>
    </w:p>
    <w:p>
      <w:pPr>
        <w:ind w:left="340" w:right="319" w:firstLine="778"/>
        <w:spacing w:after="0" w:line="259"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Equity Incentive Plan is administered by our Compensation Committee or, if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by our Board of Directors acting as the Compensation Committee. The Compensation Committee has the complete discretion to make all decisions relating to the Equity Incentive Plan, including modifying outstanding awards. All such decisions shall be final and binding unless fraudulent or made in bad faith.</w:t>
      </w:r>
    </w:p>
    <w:p>
      <w:pPr>
        <w:spacing w:after="0" w:line="146" w:lineRule="exact"/>
        <w:rPr>
          <w:sz w:val="20"/>
          <w:szCs w:val="20"/>
          <w:color w:val="auto"/>
        </w:rPr>
      </w:pPr>
    </w:p>
    <w:p>
      <w:pPr>
        <w:ind w:left="340" w:right="339" w:firstLine="778"/>
        <w:spacing w:after="0" w:line="30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We may grant awards under the Equity Incentive Plan to our employees, officers, directors, or consultants,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14" w:lineRule="exact"/>
        <w:rPr>
          <w:sz w:val="20"/>
          <w:szCs w:val="20"/>
          <w:color w:val="auto"/>
        </w:rPr>
      </w:pPr>
    </w:p>
    <w:p>
      <w:pPr>
        <w:ind w:left="340" w:right="339" w:firstLine="778"/>
        <w:spacing w:after="0" w:line="276" w:lineRule="auto"/>
        <w:rPr>
          <w:sz w:val="20"/>
          <w:szCs w:val="20"/>
          <w:color w:val="auto"/>
        </w:rPr>
      </w:pPr>
      <w:r>
        <w:rPr>
          <w:rFonts w:ascii="Arial" w:cs="Arial" w:eastAsia="Arial" w:hAnsi="Arial"/>
          <w:sz w:val="17"/>
          <w:szCs w:val="17"/>
          <w:i w:val="1"/>
          <w:iCs w:val="1"/>
          <w:color w:val="auto"/>
        </w:rPr>
        <w:t>Description of options</w:t>
      </w:r>
      <w:r>
        <w:rPr>
          <w:rFonts w:ascii="Arial" w:cs="Arial" w:eastAsia="Arial" w:hAnsi="Arial"/>
          <w:sz w:val="17"/>
          <w:szCs w:val="17"/>
          <w:color w:val="auto"/>
        </w:rPr>
        <w:t>. Subject to plan limits, the Compensation Committee has discretion to determine the terms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and the number of shares covered by each option, and the vesting term for each option. In most cases, options will expire not more than 10 years after they are granted, though options generally expire earlier if the participant’s service terminates earlier. The total fair market value of the shares (as of the date of grant) with respect to which incentive stock options are exercisable for the first time by any participant during any calendar year may not exceed $100,000.</w:t>
      </w:r>
    </w:p>
    <w:p>
      <w:pPr>
        <w:spacing w:after="0" w:line="146" w:lineRule="exact"/>
        <w:rPr>
          <w:sz w:val="20"/>
          <w:szCs w:val="20"/>
          <w:color w:val="auto"/>
        </w:rPr>
      </w:pPr>
    </w:p>
    <w:p>
      <w:pPr>
        <w:ind w:left="340" w:right="219" w:firstLine="778"/>
        <w:spacing w:after="0" w:line="264" w:lineRule="auto"/>
        <w:rPr>
          <w:sz w:val="20"/>
          <w:szCs w:val="20"/>
          <w:color w:val="auto"/>
        </w:rPr>
      </w:pPr>
      <w:r>
        <w:rPr>
          <w:rFonts w:ascii="Arial" w:cs="Arial" w:eastAsia="Arial" w:hAnsi="Arial"/>
          <w:sz w:val="18"/>
          <w:szCs w:val="18"/>
          <w:i w:val="1"/>
          <w:iCs w:val="1"/>
          <w:color w:val="auto"/>
        </w:rPr>
        <w:t>Type of stock option grants permitted</w:t>
      </w:r>
      <w:r>
        <w:rPr>
          <w:rFonts w:ascii="Arial" w:cs="Arial" w:eastAsia="Arial" w:hAnsi="Arial"/>
          <w:sz w:val="18"/>
          <w:szCs w:val="18"/>
          <w:color w:val="auto"/>
        </w:rPr>
        <w:t>. The Equity Incentive Plan permits us to grant incentive stock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options. After we grant an option, the principal differences to the participant between an incentive stock option and a nonstatutory stock option relate to federal income tax consequences, which are described below.</w:t>
      </w:r>
    </w:p>
    <w:p>
      <w:pPr>
        <w:spacing w:after="0" w:line="141" w:lineRule="exact"/>
        <w:rPr>
          <w:sz w:val="20"/>
          <w:szCs w:val="20"/>
          <w:color w:val="auto"/>
        </w:rPr>
      </w:pPr>
    </w:p>
    <w:p>
      <w:pPr>
        <w:ind w:left="340" w:right="399" w:firstLine="778"/>
        <w:spacing w:after="0" w:line="259" w:lineRule="auto"/>
        <w:rPr>
          <w:sz w:val="20"/>
          <w:szCs w:val="20"/>
          <w:color w:val="auto"/>
        </w:rPr>
      </w:pPr>
      <w:r>
        <w:rPr>
          <w:rFonts w:ascii="Arial" w:cs="Arial" w:eastAsia="Arial" w:hAnsi="Arial"/>
          <w:sz w:val="18"/>
          <w:szCs w:val="18"/>
          <w:i w:val="1"/>
          <w:iCs w:val="1"/>
          <w:color w:val="auto"/>
        </w:rPr>
        <w:t>Exercise price of stock options</w:t>
      </w:r>
      <w:r>
        <w:rPr>
          <w:rFonts w:ascii="Arial" w:cs="Arial" w:eastAsia="Arial" w:hAnsi="Arial"/>
          <w:sz w:val="18"/>
          <w:szCs w:val="18"/>
          <w:color w:val="auto"/>
        </w:rPr>
        <w:t>. The Compensation Committee determines the option exercise price of each option.</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exercise price may not be less than the fair market value of the shares on the date of grant; provided however, that exercise price of any incentive stock option granted to a person who is also a 10% stockholder of our common stock will not be less than 110% of the fair market value of the shares on the date of grant.</w:t>
      </w:r>
    </w:p>
    <w:p>
      <w:pPr>
        <w:spacing w:after="0" w:line="146" w:lineRule="exact"/>
        <w:rPr>
          <w:sz w:val="20"/>
          <w:szCs w:val="20"/>
          <w:color w:val="auto"/>
        </w:rPr>
      </w:pPr>
    </w:p>
    <w:p>
      <w:pPr>
        <w:ind w:left="340" w:right="199" w:firstLine="778"/>
        <w:spacing w:after="0" w:line="276" w:lineRule="auto"/>
        <w:rPr>
          <w:sz w:val="20"/>
          <w:szCs w:val="20"/>
          <w:color w:val="auto"/>
        </w:rPr>
      </w:pPr>
      <w:r>
        <w:rPr>
          <w:rFonts w:ascii="Arial" w:cs="Arial" w:eastAsia="Arial" w:hAnsi="Arial"/>
          <w:sz w:val="17"/>
          <w:szCs w:val="17"/>
          <w:color w:val="auto"/>
        </w:rPr>
        <w:t>Each option is exercisable at the time or times and under the restrictions and conditions that the Compensation Committee determines in its discretion; provided, however, that no option will be exercisable after the expiration of 10 years from the date the option is granted; and provided, further, that no incentive stock option granted to a person who directly or by attribution owns more than 10% of the total combined voting power of all classes of our stock or any parent or subsidiary of ours will be exercisable after the expiration of five years from the date the incentive stock option is granted.</w:t>
      </w:r>
    </w:p>
    <w:p>
      <w:pPr>
        <w:spacing w:after="0" w:line="146" w:lineRule="exact"/>
        <w:rPr>
          <w:sz w:val="20"/>
          <w:szCs w:val="20"/>
          <w:color w:val="auto"/>
        </w:rPr>
      </w:pPr>
    </w:p>
    <w:p>
      <w:pPr>
        <w:ind w:left="340" w:right="179" w:firstLine="778"/>
        <w:spacing w:after="0" w:line="254" w:lineRule="auto"/>
        <w:rPr>
          <w:sz w:val="20"/>
          <w:szCs w:val="20"/>
          <w:color w:val="auto"/>
        </w:rPr>
      </w:pPr>
      <w:r>
        <w:rPr>
          <w:rFonts w:ascii="Arial" w:cs="Arial" w:eastAsia="Arial" w:hAnsi="Arial"/>
          <w:sz w:val="18"/>
          <w:szCs w:val="18"/>
          <w:i w:val="1"/>
          <w:iCs w:val="1"/>
          <w:color w:val="auto"/>
        </w:rPr>
        <w:t>Description of stock appreciation rights</w:t>
      </w:r>
      <w:r>
        <w:rPr>
          <w:rFonts w:ascii="Arial" w:cs="Arial" w:eastAsia="Arial" w:hAnsi="Arial"/>
          <w:sz w:val="18"/>
          <w:szCs w:val="18"/>
          <w:color w:val="auto"/>
        </w:rPr>
        <w:t>. Stock appreciation rights provide for payment of any appreciation in the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a specified number of shares of our common stock between the grant date and the date on which a stock appreciation right is exercised after it has vested. The amount of any payments received under a stock appreciation right will fluctuate up and down with changes in our share price. The amount of stock price appreciation may be paid in cash, in shares of our common stock having a fair market value equal to the amount of appreciation to be paid, or in a combination of cash and shares of stock. The form of payment will be determined by the Compensation Committee, in its discretion. Stock appreciation rights may be awarded in combination with options, and such an award may provide that the stock appreciation rights will not be exercisable unless the related options are forfeited.</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firstLine="778"/>
        <w:spacing w:after="0" w:line="259" w:lineRule="auto"/>
        <w:rPr>
          <w:sz w:val="20"/>
          <w:szCs w:val="20"/>
          <w:color w:val="auto"/>
        </w:rPr>
      </w:pPr>
      <w:r>
        <w:rPr>
          <w:rFonts w:ascii="Arial" w:cs="Arial" w:eastAsia="Arial" w:hAnsi="Arial"/>
          <w:sz w:val="18"/>
          <w:szCs w:val="18"/>
          <w:color w:val="auto"/>
        </w:rPr>
        <w:t>Each stock appreciation right is exercisable at the time or times and under the restrictions and conditions that the Compensation Committee determines in its discretion; provided, however, that no stock appreciation right will be exercisable after the expiration of 10 years from the date the stock appreciation right is granted. Stock appreciation rights granted in combination with options shall expire on the date the related options expire.</w:t>
      </w:r>
    </w:p>
    <w:p>
      <w:pPr>
        <w:spacing w:after="0" w:line="160"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i w:val="1"/>
          <w:iCs w:val="1"/>
          <w:color w:val="auto"/>
        </w:rPr>
        <w:t>Exercise price of stock appreciation rights</w:t>
      </w:r>
      <w:r>
        <w:rPr>
          <w:rFonts w:ascii="Arial" w:cs="Arial" w:eastAsia="Arial" w:hAnsi="Arial"/>
          <w:sz w:val="18"/>
          <w:szCs w:val="18"/>
          <w:color w:val="auto"/>
        </w:rPr>
        <w:t>. The Compensation Committee determines the exercise price of each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However, the exercise price for each stock appreciation right granted in combination with a stock option will be the same as the exercise price of the related stock option. The exercise price per share of a freestanding stock appreciation right will not be less than the fair market value of a share of stock on the date the right is granted.</w:t>
      </w:r>
    </w:p>
    <w:p>
      <w:pPr>
        <w:spacing w:after="0" w:line="146" w:lineRule="exact"/>
        <w:rPr>
          <w:sz w:val="20"/>
          <w:szCs w:val="20"/>
          <w:color w:val="auto"/>
        </w:rPr>
      </w:pPr>
    </w:p>
    <w:p>
      <w:pPr>
        <w:ind w:left="340" w:right="179" w:firstLine="778"/>
        <w:spacing w:after="0" w:line="276" w:lineRule="auto"/>
        <w:rPr>
          <w:sz w:val="20"/>
          <w:szCs w:val="20"/>
          <w:color w:val="auto"/>
        </w:rPr>
      </w:pPr>
      <w:r>
        <w:rPr>
          <w:rFonts w:ascii="Arial" w:cs="Arial" w:eastAsia="Arial" w:hAnsi="Arial"/>
          <w:sz w:val="17"/>
          <w:szCs w:val="17"/>
          <w:i w:val="1"/>
          <w:iCs w:val="1"/>
          <w:color w:val="auto"/>
        </w:rPr>
        <w:t>Description of restricted stock awards</w:t>
      </w:r>
      <w:r>
        <w:rPr>
          <w:rFonts w:ascii="Arial" w:cs="Arial" w:eastAsia="Arial" w:hAnsi="Arial"/>
          <w:sz w:val="17"/>
          <w:szCs w:val="17"/>
          <w:color w:val="auto"/>
        </w:rPr>
        <w:t>. The Compensation Committee may approve a restricted stock award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 restricted stock bonus, restricted stock purchase right or restricted stock unit. A restricted stock bonus is a grant of stock which does not generally require payment of any monetary purchase price, a restricted stock purchase right is an award which permits the Equity Incentive Plan participant to elect during a short period of time to purchase a specified number of shares at a specified price, and a restricted stock unit is simply a promise by us to issue shares at or after vesting of the units.</w:t>
      </w:r>
    </w:p>
    <w:p>
      <w:pPr>
        <w:spacing w:after="0" w:line="132" w:lineRule="exact"/>
        <w:rPr>
          <w:sz w:val="20"/>
          <w:szCs w:val="20"/>
          <w:color w:val="auto"/>
        </w:rPr>
      </w:pPr>
    </w:p>
    <w:p>
      <w:pPr>
        <w:ind w:left="340" w:right="199" w:firstLine="778"/>
        <w:spacing w:after="0" w:line="271" w:lineRule="auto"/>
        <w:rPr>
          <w:sz w:val="20"/>
          <w:szCs w:val="20"/>
          <w:color w:val="auto"/>
        </w:rPr>
      </w:pPr>
      <w:r>
        <w:rPr>
          <w:rFonts w:ascii="Arial" w:cs="Arial" w:eastAsia="Arial" w:hAnsi="Arial"/>
          <w:sz w:val="17"/>
          <w:szCs w:val="17"/>
          <w:color w:val="auto"/>
        </w:rPr>
        <w:t>The purchase price for shares of stock issuable under a restricted stock purchase right is established by the Compensation Committee in its discretion. Generally, no monetary payment is required for the issuance of shares under a restricted stock bonus award or a restricted stock unit award, the consideration for which will be services already rendered by the Equity Incentive Plan participant. However, a participant granted a restricted stock bonus or a restricted stock unit award may be required to furnish consideration in the form of cash or past services rendered in the amount of the par value of the shares subject to the award. Generally, the vesting of restricted stock awards will cease upon termination of the participant. The Compensation Committee, in its discretion, can determine the period during which a participant may exercise its restricted stock purchase right, though such period cannot exceed 30 days from the date of grant of the award.</w:t>
      </w:r>
    </w:p>
    <w:p>
      <w:pPr>
        <w:spacing w:after="0" w:line="152" w:lineRule="exact"/>
        <w:rPr>
          <w:sz w:val="20"/>
          <w:szCs w:val="20"/>
          <w:color w:val="auto"/>
        </w:rPr>
      </w:pPr>
    </w:p>
    <w:p>
      <w:pPr>
        <w:ind w:left="340" w:right="219" w:firstLine="778"/>
        <w:spacing w:after="0" w:line="273" w:lineRule="auto"/>
        <w:rPr>
          <w:sz w:val="20"/>
          <w:szCs w:val="20"/>
          <w:color w:val="auto"/>
        </w:rPr>
      </w:pPr>
      <w:r>
        <w:rPr>
          <w:rFonts w:ascii="Arial" w:cs="Arial" w:eastAsia="Arial" w:hAnsi="Arial"/>
          <w:sz w:val="17"/>
          <w:szCs w:val="17"/>
          <w:i w:val="1"/>
          <w:iCs w:val="1"/>
          <w:color w:val="auto"/>
        </w:rPr>
        <w:t>Description of performance awards</w:t>
      </w:r>
      <w:r>
        <w:rPr>
          <w:rFonts w:ascii="Arial" w:cs="Arial" w:eastAsia="Arial" w:hAnsi="Arial"/>
          <w:sz w:val="17"/>
          <w:szCs w:val="17"/>
          <w:color w:val="auto"/>
        </w:rPr>
        <w:t>. Performance awards may be granted in the form of either performance shares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units. These awards are contractual rights that provide the holder with a payment in shares or cash if certain performance goals established by the Compensation Committee are attained within a specified time period. The Compensation Committee decides, in its discretion, whether or not a participant will be granted a performance award, and if so, the type of award, the number of performance shares or units subject to the award, the applicable performance goals and the performance period. The number of performance shares or performance units a participant is awarded is set forth in an award agreement.</w:t>
      </w:r>
    </w:p>
    <w:p>
      <w:pPr>
        <w:spacing w:after="0" w:line="138" w:lineRule="exact"/>
        <w:rPr>
          <w:sz w:val="20"/>
          <w:szCs w:val="20"/>
          <w:color w:val="auto"/>
        </w:rPr>
      </w:pPr>
    </w:p>
    <w:p>
      <w:pPr>
        <w:ind w:left="340" w:right="239" w:firstLine="778"/>
        <w:spacing w:after="0" w:line="255" w:lineRule="auto"/>
        <w:rPr>
          <w:sz w:val="20"/>
          <w:szCs w:val="20"/>
          <w:color w:val="auto"/>
        </w:rPr>
      </w:pPr>
      <w:r>
        <w:rPr>
          <w:rFonts w:ascii="Arial" w:cs="Arial" w:eastAsia="Arial" w:hAnsi="Arial"/>
          <w:sz w:val="18"/>
          <w:szCs w:val="18"/>
          <w:color w:val="auto"/>
        </w:rPr>
        <w:t>The initial value of each performance share and performance unit will be determined by the Compensation Committee. Generally, the initial value of a performance share will be equal to the fair market value of one share of our common stock on the date of grant and the initial value of each performance unit will be a monetary value established by the Compensation Committee at the time of grant. The ultimate value of a performance award depends on the extent to which performance goals established by the Compensation Committee are attained and, in the case of performance shares, the fair market value of our common stock at the time payment is made under the award.</w:t>
      </w:r>
    </w:p>
    <w:p>
      <w:pPr>
        <w:spacing w:after="0" w:line="153" w:lineRule="exact"/>
        <w:rPr>
          <w:sz w:val="20"/>
          <w:szCs w:val="20"/>
          <w:color w:val="auto"/>
        </w:rPr>
      </w:pPr>
    </w:p>
    <w:p>
      <w:pPr>
        <w:ind w:left="340" w:right="179" w:firstLine="778"/>
        <w:spacing w:after="0" w:line="264" w:lineRule="auto"/>
        <w:rPr>
          <w:sz w:val="20"/>
          <w:szCs w:val="20"/>
          <w:color w:val="auto"/>
        </w:rPr>
      </w:pPr>
      <w:r>
        <w:rPr>
          <w:rFonts w:ascii="Arial" w:cs="Arial" w:eastAsia="Arial" w:hAnsi="Arial"/>
          <w:sz w:val="18"/>
          <w:szCs w:val="18"/>
          <w:color w:val="auto"/>
        </w:rPr>
        <w:t>Performance goals are established by the Compensation Committee based on targets to be obtained with respect to one or more measures of business or financial performance during the performance period specified by the Compensation Committee. Once a performance goal is established, it cannot be changed during the performance period.</w:t>
      </w:r>
    </w:p>
    <w:p>
      <w:pPr>
        <w:spacing w:after="0" w:line="154" w:lineRule="exact"/>
        <w:rPr>
          <w:sz w:val="20"/>
          <w:szCs w:val="20"/>
          <w:color w:val="auto"/>
        </w:rPr>
      </w:pPr>
    </w:p>
    <w:p>
      <w:pPr>
        <w:ind w:left="340" w:right="199" w:firstLine="778"/>
        <w:spacing w:after="0" w:line="286" w:lineRule="auto"/>
        <w:rPr>
          <w:sz w:val="20"/>
          <w:szCs w:val="20"/>
          <w:color w:val="auto"/>
        </w:rPr>
      </w:pPr>
      <w:r>
        <w:rPr>
          <w:rFonts w:ascii="Arial" w:cs="Arial" w:eastAsia="Arial" w:hAnsi="Arial"/>
          <w:sz w:val="16"/>
          <w:szCs w:val="16"/>
          <w:i w:val="1"/>
          <w:iCs w:val="1"/>
          <w:color w:val="auto"/>
        </w:rPr>
        <w:t xml:space="preserve">Measurement of performance goals. </w:t>
      </w:r>
      <w:r>
        <w:rPr>
          <w:rFonts w:ascii="Arial" w:cs="Arial" w:eastAsia="Arial" w:hAnsi="Arial"/>
          <w:sz w:val="16"/>
          <w:szCs w:val="16"/>
          <w:color w:val="auto"/>
        </w:rPr>
        <w:t>The Equity Incentive Plan sets forth performance measures used in the case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intended to qualify as “performance-based” under Section 162(m). To qualify as a “performance-based,” the number of shares or other benefits granted, issued, retainable or vested under an award may be made subject to the attainment of performance goals for a specified period of time relating to one or more of the following performance measures, either individually, alternatively or in any combination, applied to either us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Compensation Committee in the award: (i) revenue, (ii) 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 (xiii) operating cash flow, (xiv) balance of cash, cash equivalents and marketable securities, (xv) stock price, (xvi) earnings per share, (xvii) return on stockholder equity, (xviii) return on capital, (xix) return on assets, (xx) return on investment, (xxi) employee satisfaction, (xxii) employee retention, (xxiii) market share, (xxiv) customer satisfaction, (xxv) product development, (xxvi) research and development expenses, (xxvii) completion of an identified special project, or (xxviii) completion of a joint venture or other corporate transaction.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99" w:firstLine="778"/>
        <w:spacing w:after="0" w:line="270" w:lineRule="auto"/>
        <w:rPr>
          <w:sz w:val="20"/>
          <w:szCs w:val="20"/>
          <w:color w:val="auto"/>
        </w:rPr>
      </w:pPr>
      <w:r>
        <w:rPr>
          <w:rFonts w:ascii="Arial" w:cs="Arial" w:eastAsia="Arial" w:hAnsi="Arial"/>
          <w:sz w:val="17"/>
          <w:szCs w:val="17"/>
          <w:i w:val="1"/>
          <w:iCs w:val="1"/>
          <w:color w:val="auto"/>
        </w:rPr>
        <w:t xml:space="preserve">Cash-based awards and other stock-based awards. </w:t>
      </w:r>
      <w:r>
        <w:rPr>
          <w:rFonts w:ascii="Arial" w:cs="Arial" w:eastAsia="Arial" w:hAnsi="Arial"/>
          <w:sz w:val="17"/>
          <w:szCs w:val="17"/>
          <w:color w:val="auto"/>
        </w:rPr>
        <w:t>The Compensation Committee may grant cash-based awards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awards in such amounts and subject to such terms and conditions as the Compensation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Compensation Committee. A participant will have no voting rights with respect to any such award unless and until shares are issued pursuant to the award. The Compensation Committee may grant dividend equivalent rights with respect to other stock-based awards. The effect on such awards of the participant’s termination of service will be determined by the Compensation Committee and set forth in the participant’s award agreement.</w:t>
      </w:r>
    </w:p>
    <w:p>
      <w:pPr>
        <w:spacing w:after="0" w:line="151" w:lineRule="exact"/>
        <w:rPr>
          <w:sz w:val="20"/>
          <w:szCs w:val="20"/>
          <w:color w:val="auto"/>
        </w:rPr>
      </w:pPr>
    </w:p>
    <w:p>
      <w:pPr>
        <w:ind w:left="340" w:right="319" w:firstLine="778"/>
        <w:spacing w:after="0" w:line="285" w:lineRule="auto"/>
        <w:rPr>
          <w:sz w:val="20"/>
          <w:szCs w:val="20"/>
          <w:color w:val="auto"/>
        </w:rPr>
      </w:pPr>
      <w:r>
        <w:rPr>
          <w:rFonts w:ascii="Arial" w:cs="Arial" w:eastAsia="Arial" w:hAnsi="Arial"/>
          <w:sz w:val="16"/>
          <w:szCs w:val="16"/>
          <w:i w:val="1"/>
          <w:iCs w:val="1"/>
          <w:color w:val="auto"/>
        </w:rPr>
        <w:t>Nonemployee director awards</w:t>
      </w:r>
      <w:r>
        <w:rPr>
          <w:rFonts w:ascii="Arial" w:cs="Arial" w:eastAsia="Arial" w:hAnsi="Arial"/>
          <w:sz w:val="16"/>
          <w:szCs w:val="16"/>
          <w:color w:val="auto"/>
        </w:rPr>
        <w:t>. The Equity Incentive Plan authorizes the Compensation Committee to establish a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of periodic awards to our nonemployee directors. These awards may take the form of nonstatutory stock options, stock appreciation rights, restricted stock awards or restricted stock unit awards. Nonemployee director awards are to be granted on a periodic, nondiscriminatory basis. They may consist of a basic award granted to all nonemployee directors, with additions for one or more of the following: (i) initial election or appointment to our Board of Directors; (ii) service on a committee of our Board of Directors; and</w:t>
      </w:r>
    </w:p>
    <w:p>
      <w:pPr>
        <w:spacing w:after="0" w:line="2" w:lineRule="exact"/>
        <w:rPr>
          <w:sz w:val="20"/>
          <w:szCs w:val="20"/>
          <w:color w:val="auto"/>
        </w:rPr>
      </w:pPr>
    </w:p>
    <w:p>
      <w:pPr>
        <w:ind w:left="340" w:right="179" w:hanging="8"/>
        <w:spacing w:after="0" w:line="267"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service as chairman of our Board of Directors. Only members of the Board of Directors who are not employees at the time of grant will be eligible to participate in the non-employee director awards component of the Equity Incentive Plan. The Board of Directors or the Compensation Committee will set the amount and type of non-employee director awards to be awarded on a periodic, non-discriminatory basis. Under our current nonemployee director compensation plan, upon joining our Board of Directors, new non-employee directors receive an award of restricted stock under the Equity Incentive Plan valued at $20,000, which vests on the one year anniversary of the date of grant, subject to accelerated vesting in the event of a change in control. For serving on the Board of Directors, our non-employee directors also receive an annual retainer of $60,000 in cash or, at their election, an annual retainer consisting of $30,000 in cash and an award of restricted stock under the Equity Incentive Plan valued at $35,000. The restricted stock grants to our non-employee directors are made after our annual meeting of stockholders each year and vest on the earlier of the one year anniversary of the date of grant or immediately prior to the next year’s annual meeting of stockholders, subject to acceleration in the event of a change in control.</w:t>
      </w:r>
    </w:p>
    <w:p>
      <w:pPr>
        <w:spacing w:after="0" w:line="146" w:lineRule="exact"/>
        <w:rPr>
          <w:sz w:val="20"/>
          <w:szCs w:val="20"/>
          <w:color w:val="auto"/>
        </w:rPr>
      </w:pPr>
    </w:p>
    <w:p>
      <w:pPr>
        <w:ind w:left="340" w:right="179" w:firstLine="778"/>
        <w:spacing w:after="0" w:line="288" w:lineRule="auto"/>
        <w:rPr>
          <w:sz w:val="20"/>
          <w:szCs w:val="20"/>
          <w:color w:val="auto"/>
        </w:rPr>
      </w:pPr>
      <w:r>
        <w:rPr>
          <w:rFonts w:ascii="Arial" w:cs="Arial" w:eastAsia="Arial" w:hAnsi="Arial"/>
          <w:sz w:val="16"/>
          <w:szCs w:val="16"/>
          <w:i w:val="1"/>
          <w:iCs w:val="1"/>
          <w:color w:val="auto"/>
        </w:rPr>
        <w:t>Effect of change in control</w:t>
      </w:r>
      <w:r>
        <w:rPr>
          <w:rFonts w:ascii="Arial" w:cs="Arial" w:eastAsia="Arial" w:hAnsi="Arial"/>
          <w:sz w:val="16"/>
          <w:szCs w:val="16"/>
          <w:color w:val="auto"/>
        </w:rPr>
        <w:t>. In the event of a change in control, as described in the Equity Incentive Plan, the acquiring or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9" w:lineRule="exact"/>
        <w:rPr>
          <w:sz w:val="20"/>
          <w:szCs w:val="20"/>
          <w:color w:val="auto"/>
        </w:rPr>
      </w:pPr>
    </w:p>
    <w:p>
      <w:pPr>
        <w:ind w:left="340" w:right="179" w:firstLine="778"/>
        <w:spacing w:after="0" w:line="270"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Equity Incentive Plan will continue in effect until its termination by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provided that no awards may be granted under the Equity Incentive Plan following September 26, 2018, the tenth anniversary of the Equity Incentive Plan’s effective date. The Compensation Committee may amend, suspend or terminate the Equity Incentive Plan at any time, provided that no amendment may be made without stockholder approval that would increase the maximum aggregate number of shares of stock authorized for issuance under the Equity Incentive Plan, change the class of persons eligible to receive incentive stock options or require stockholder approval under any applicable law. No amendment, suspension or termination of the Equity Incentive Plan may affect any outstanding award unless expressly provided by the administrator, and, in any event, may not have a materially adverse affect an outstanding award without the consent of the participant unless necessary to comply with applicable law.</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 Federal Income Tax Consequences</w:t>
      </w:r>
    </w:p>
    <w:p>
      <w:pPr>
        <w:spacing w:after="0" w:line="202" w:lineRule="exact"/>
        <w:rPr>
          <w:sz w:val="20"/>
          <w:szCs w:val="20"/>
          <w:color w:val="auto"/>
        </w:rPr>
      </w:pPr>
    </w:p>
    <w:p>
      <w:pPr>
        <w:ind w:left="340" w:right="259" w:firstLine="778"/>
        <w:spacing w:after="0" w:line="264"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Equity Incentive Plan and does not attempt to describe all possible federal or other tax consequences of such participation or tax consequences based on particular circumstances.</w:t>
      </w:r>
    </w:p>
    <w:p>
      <w:pPr>
        <w:spacing w:after="0" w:line="141" w:lineRule="exact"/>
        <w:rPr>
          <w:sz w:val="20"/>
          <w:szCs w:val="20"/>
          <w:color w:val="auto"/>
        </w:rPr>
      </w:pPr>
    </w:p>
    <w:p>
      <w:pPr>
        <w:ind w:left="340" w:right="199" w:firstLine="778"/>
        <w:spacing w:after="0" w:line="290"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An optionee who is granted an incentive stock option does not recognize taxable income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is granted or upon its exercise, although the exercise may subject the optionee to the alternative minimum tax. Upon a disposition of the shares more than two years after grant of the option and one year after exercise of the option, any gain or loss is treated as long-term capital gain or loss. If these holding periods are not satisfied, the optionee recognizes ordinary income at the time of disposition equal to the difference between the exercise price and the lower of (i) the fair market value of the shares at the date of the option exercise or (ii) the sale price of the shares. Any gain or loss recognized on such a premature disposition of the shares in excess of the amount treated as ordinary income is treated as long-term or short-term capital gain or loss, depending on the holding period. We are entitled to a deduction in the same amount as the ordinary income recognized by the optionee.</w:t>
      </w:r>
    </w:p>
    <w:p>
      <w:pPr>
        <w:spacing w:after="0" w:line="126" w:lineRule="exact"/>
        <w:rPr>
          <w:sz w:val="20"/>
          <w:szCs w:val="20"/>
          <w:color w:val="auto"/>
        </w:rPr>
      </w:pPr>
    </w:p>
    <w:p>
      <w:pPr>
        <w:ind w:left="340" w:right="259" w:firstLine="778"/>
        <w:spacing w:after="0" w:line="291" w:lineRule="auto"/>
        <w:rPr>
          <w:sz w:val="20"/>
          <w:szCs w:val="20"/>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An optionee does not recognize any taxable income at the time he or she is granted a</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 Upon exercise, the optionee recognizes taxable income generally measured by the excess of the then fair market value of the shares over the exercise price. Any taxable income recognized in connection with an option exercise by our employee is subject to tax withholding by us. We are generally entitled to a deduction in the same amount as the ordinary income recognized by the optionee, except to the extent such deduction is limited by applicable provisions of the Code. Upon a disposition of such shares by the optionee, any difference between the sale price and the optionee’s exercise price, to the extent not recognized as taxable income as provided above, is treated as long-term or short-term capital gain or loss, depending on the holding period.</w:t>
      </w:r>
    </w:p>
    <w:p>
      <w:pPr>
        <w:spacing w:after="0" w:line="140" w:lineRule="exact"/>
        <w:rPr>
          <w:sz w:val="20"/>
          <w:szCs w:val="20"/>
          <w:color w:val="auto"/>
        </w:rPr>
      </w:pPr>
    </w:p>
    <w:p>
      <w:pPr>
        <w:ind w:left="340" w:right="159" w:firstLine="778"/>
        <w:spacing w:after="0" w:line="293"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No taxable income is reportable when a stock appreciation right is granted to a participant.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participant will recognize ordinary income in an amount equal to the amount of cash received and the fair market value of any shares received. If the participant is an employee, such ordinary income generally is subject to withholding of income and employment taxes. Any additional gain or loss recognized upon any later disposition of the shares would be capital gain or loss. We generally should be entitled to a deduction equal to the amount of ordinary income recognized by the participant in connection with the exercise of the stock appreciation right, except to the extent such deduction is limited by applicable provisions of the Code.</w:t>
      </w:r>
    </w:p>
    <w:p>
      <w:pPr>
        <w:spacing w:after="0" w:line="124" w:lineRule="exact"/>
        <w:rPr>
          <w:sz w:val="20"/>
          <w:szCs w:val="20"/>
          <w:color w:val="auto"/>
        </w:rPr>
      </w:pPr>
    </w:p>
    <w:p>
      <w:pPr>
        <w:ind w:left="340" w:right="159" w:firstLine="778"/>
        <w:spacing w:after="0" w:line="268"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participant acquiring restricted stock generally will recognize ordinary income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of the fair market value of 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Internal Revenue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778"/>
        <w:spacing w:after="0" w:line="288" w:lineRule="auto"/>
        <w:rPr>
          <w:sz w:val="20"/>
          <w:szCs w:val="20"/>
          <w:color w:val="auto"/>
        </w:rPr>
      </w:pPr>
      <w:r>
        <w:rPr>
          <w:rFonts w:ascii="Arial" w:cs="Arial" w:eastAsia="Arial" w:hAnsi="Arial"/>
          <w:sz w:val="16"/>
          <w:szCs w:val="16"/>
          <w:i w:val="1"/>
          <w:iCs w:val="1"/>
          <w:color w:val="auto"/>
        </w:rPr>
        <w:t>Restricted stock unit, performance shares and units, cash-based and other stock-based awards</w:t>
      </w:r>
      <w:r>
        <w:rPr>
          <w:rFonts w:ascii="Arial" w:cs="Arial" w:eastAsia="Arial" w:hAnsi="Arial"/>
          <w:sz w:val="16"/>
          <w:szCs w:val="16"/>
          <w:color w:val="auto"/>
        </w:rPr>
        <w:t>. A participant generally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no income upon the receipt of a restricted stock unit, performance share, performance unit,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receives shares of restricted stock, the participant generally will be taxed in the same manner as described above under “Restricted stock awards.” Upon the sale of any shares received, any gain or loss, based on the difference between the sale price and the fair market value of the shares on the determination date (as defined above under “Restricted stock awards”),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participant will recognize taxable income upon the payout of a dividend equivalent.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Section 162(m) of the Code would render non-deductible to us certain compensation in excess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$1,000,000 received in any year by certain executive officers unless such excess is “performance-based compensation” (as defined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Code) or is otherwise exempt from Section 162(m). The availability of the exemption for awards of performance-based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compensation not covered by the transition period rule described above depends upon obtaining approval of certain material terms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Equity Incentive Plan by our public stockholders. Provided we obtain the approval of our stockholders of this proposal, grants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options and stock appreciation rights, and grants of restricted stock awards, restricted stock units and performance awards conditioned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attainment of one or more performance goals set forth in the Equity Incentive Plan, may qualify as performance-based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exempt from Section 162(m).</w:t>
      </w:r>
    </w:p>
    <w:p>
      <w:pPr>
        <w:spacing w:after="0" w:line="170" w:lineRule="exact"/>
        <w:rPr>
          <w:sz w:val="20"/>
          <w:szCs w:val="20"/>
          <w:color w:val="auto"/>
        </w:rPr>
      </w:pPr>
    </w:p>
    <w:p>
      <w:pPr>
        <w:ind w:left="340" w:right="179" w:firstLine="778"/>
        <w:spacing w:after="0" w:line="257"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Certain awards granted under the Equity Incentive Plan may be deemed to constitute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Section 409A of the Code and must satisfy the requirements of Section 409A to avoid adverse tax consequences to participants who receive such awards. These requirements include limitations on election timing, acceleration of payments, and distributions. We intend to structure any deferrals and awards under the Equity Incentive Plan to meet the applicable tax law requirements.</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ADVISORY (NON-BINDING) VOTE ON EXECUTIVE COMPENSATION (SAY-ON-PAY)</w:t>
      </w:r>
    </w:p>
    <w:p>
      <w:pPr>
        <w:spacing w:after="0" w:line="184" w:lineRule="exact"/>
        <w:rPr>
          <w:sz w:val="20"/>
          <w:szCs w:val="20"/>
          <w:color w:val="auto"/>
        </w:rPr>
      </w:pPr>
    </w:p>
    <w:p>
      <w:pPr>
        <w:ind w:left="340" w:right="339" w:firstLine="778"/>
        <w:spacing w:after="0" w:line="302" w:lineRule="auto"/>
        <w:rPr>
          <w:sz w:val="20"/>
          <w:szCs w:val="20"/>
          <w:color w:val="auto"/>
        </w:rPr>
      </w:pPr>
      <w:r>
        <w:rPr>
          <w:rFonts w:ascii="Arial" w:cs="Arial" w:eastAsia="Arial" w:hAnsi="Arial"/>
          <w:sz w:val="16"/>
          <w:szCs w:val="16"/>
          <w:color w:val="auto"/>
        </w:rPr>
        <w:t>The recently enacted Dodd-Frank Wall Street Reform and Consumer Protection Act, or the Dodd-Frank Act, requires that our stockholders have the opportunity to cast an advisory (non-binding) vote on executive compensation commencing with our 2011 annual meeting of stockholders, commonly referred to as a “Say-on-Pay” vote, as well as an advisory vote with respect to whether future Say-on-Pay votes will be held every one, two or three years, which is the subject of Proposal No. 5 in this proxy statement.</w:t>
      </w:r>
    </w:p>
    <w:p>
      <w:pPr>
        <w:spacing w:after="0" w:line="114" w:lineRule="exact"/>
        <w:rPr>
          <w:sz w:val="20"/>
          <w:szCs w:val="20"/>
          <w:color w:val="auto"/>
        </w:rPr>
      </w:pPr>
    </w:p>
    <w:p>
      <w:pPr>
        <w:ind w:left="340" w:right="179" w:firstLine="778"/>
        <w:spacing w:after="0" w:line="276" w:lineRule="auto"/>
        <w:rPr>
          <w:sz w:val="20"/>
          <w:szCs w:val="20"/>
          <w:color w:val="auto"/>
        </w:rPr>
      </w:pPr>
      <w:r>
        <w:rPr>
          <w:rFonts w:ascii="Arial" w:cs="Arial" w:eastAsia="Arial" w:hAnsi="Arial"/>
          <w:sz w:val="17"/>
          <w:szCs w:val="17"/>
          <w:color w:val="auto"/>
        </w:rPr>
        <w:t>The advisory vote on executive compensation is a non-binding vote on the compensation of our named executive officers as described in the Compensation Discussion and Analysis section, including the tabular disclosure and accompanying narrative disclosure, regarding such compensation, set forth in this proxy statement. Please read the Compensation Discussion and Analysis section starting on page 31 of this proxy statement for a detailed discussion about our executive compensation programs, including information about the fiscal 2010 compensation of our named executive officers.</w:t>
      </w:r>
    </w:p>
    <w:p>
      <w:pPr>
        <w:spacing w:after="0" w:line="132" w:lineRule="exact"/>
        <w:rPr>
          <w:sz w:val="20"/>
          <w:szCs w:val="20"/>
          <w:color w:val="auto"/>
        </w:rPr>
      </w:pPr>
    </w:p>
    <w:p>
      <w:pPr>
        <w:ind w:left="340" w:right="319" w:firstLine="778"/>
        <w:spacing w:after="0" w:line="264" w:lineRule="auto"/>
        <w:rPr>
          <w:sz w:val="20"/>
          <w:szCs w:val="20"/>
          <w:color w:val="auto"/>
        </w:rPr>
      </w:pPr>
      <w:r>
        <w:rPr>
          <w:rFonts w:ascii="Arial" w:cs="Arial" w:eastAsia="Arial" w:hAnsi="Arial"/>
          <w:sz w:val="18"/>
          <w:szCs w:val="18"/>
          <w:color w:val="auto"/>
        </w:rPr>
        <w:t>The advisory vote on executive compensation is not a vote on our general compensation policies, the compensation of our Board of Directors, or our compensation policies as they relate to risk management. The Dodd-Frank Act requires that we hold the advisory vote on executive compensation at least once every three years.</w:t>
      </w:r>
    </w:p>
    <w:p>
      <w:pPr>
        <w:spacing w:after="0" w:line="154" w:lineRule="exact"/>
        <w:rPr>
          <w:sz w:val="20"/>
          <w:szCs w:val="20"/>
          <w:color w:val="auto"/>
        </w:rPr>
      </w:pPr>
    </w:p>
    <w:p>
      <w:pPr>
        <w:ind w:left="340" w:right="239" w:firstLine="778"/>
        <w:spacing w:after="0" w:line="255" w:lineRule="auto"/>
        <w:rPr>
          <w:sz w:val="20"/>
          <w:szCs w:val="20"/>
          <w:color w:val="auto"/>
        </w:rPr>
      </w:pPr>
      <w:r>
        <w:rPr>
          <w:rFonts w:ascii="Arial" w:cs="Arial" w:eastAsia="Arial" w:hAnsi="Arial"/>
          <w:sz w:val="18"/>
          <w:szCs w:val="18"/>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Under our compensation philosophy, which we discuss in the Compensation Discussion and Analysis, a named executive officer’s total compensation will vary based on our overall performance and the particular named executive officer’s personal performance and contribution to our overall results. We believe that the compensation program we follow helps us achieve our principal compensation objectives of relating compensation to performance and making our compensation package competitive and cost-effective.</w:t>
      </w:r>
    </w:p>
    <w:p>
      <w:pPr>
        <w:spacing w:after="0" w:line="149" w:lineRule="exact"/>
        <w:rPr>
          <w:sz w:val="20"/>
          <w:szCs w:val="20"/>
          <w:color w:val="auto"/>
        </w:rPr>
      </w:pPr>
    </w:p>
    <w:p>
      <w:pPr>
        <w:ind w:left="340" w:right="259" w:firstLine="778"/>
        <w:spacing w:after="0" w:line="264" w:lineRule="auto"/>
        <w:rPr>
          <w:sz w:val="20"/>
          <w:szCs w:val="20"/>
          <w:color w:val="auto"/>
        </w:rPr>
      </w:pPr>
      <w:r>
        <w:rPr>
          <w:rFonts w:ascii="Arial" w:cs="Arial" w:eastAsia="Arial" w:hAnsi="Arial"/>
          <w:sz w:val="18"/>
          <w:szCs w:val="18"/>
          <w:color w:val="auto"/>
        </w:rPr>
        <w:t>The Compensation Discussion and Analysis section starting on page 31 of this proxy statement provides a more detailed discussion of our executive compensation program and compensation philosophy. We believe our policies have helped us achieve our compensation objectives of attracting, motivating, retaining, and rewarding our key officers.</w:t>
      </w:r>
    </w:p>
    <w:p>
      <w:pPr>
        <w:spacing w:after="0" w:line="141" w:lineRule="exact"/>
        <w:rPr>
          <w:sz w:val="20"/>
          <w:szCs w:val="20"/>
          <w:color w:val="auto"/>
        </w:rPr>
      </w:pPr>
    </w:p>
    <w:p>
      <w:pPr>
        <w:ind w:left="340" w:right="199" w:firstLine="778"/>
        <w:spacing w:after="0" w:line="286" w:lineRule="auto"/>
        <w:rPr>
          <w:sz w:val="20"/>
          <w:szCs w:val="20"/>
          <w:color w:val="auto"/>
        </w:rPr>
      </w:pPr>
      <w:r>
        <w:rPr>
          <w:rFonts w:ascii="Arial" w:cs="Arial" w:eastAsia="Arial" w:hAnsi="Arial"/>
          <w:sz w:val="17"/>
          <w:szCs w:val="17"/>
          <w:color w:val="auto"/>
        </w:rPr>
        <w:t>The vote solicited by this Proposal No. 4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w:t>
      </w:r>
    </w:p>
    <w:p>
      <w:pPr>
        <w:spacing w:after="0" w:line="139" w:lineRule="exact"/>
        <w:rPr>
          <w:sz w:val="20"/>
          <w:szCs w:val="20"/>
          <w:color w:val="auto"/>
        </w:rPr>
      </w:pPr>
    </w:p>
    <w:p>
      <w:pPr>
        <w:ind w:left="340" w:right="199" w:firstLine="778"/>
        <w:spacing w:after="0" w:line="297" w:lineRule="auto"/>
        <w:rPr>
          <w:sz w:val="20"/>
          <w:szCs w:val="20"/>
          <w:color w:val="auto"/>
        </w:rPr>
      </w:pPr>
      <w:r>
        <w:rPr>
          <w:rFonts w:ascii="Arial" w:cs="Arial" w:eastAsia="Arial" w:hAnsi="Arial"/>
          <w:sz w:val="16"/>
          <w:szCs w:val="16"/>
          <w:color w:val="auto"/>
        </w:rPr>
        <w:t>Furthermore, because this non-binding, advisory vote primarily relates to the compensation of our named executive officers that we have already paid or otherwise contractually committed to,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Stockholders will be asked at the Annual Meeting to approve the following resolution pursuant to this Proposal No. 4:</w:t>
      </w:r>
    </w:p>
    <w:p>
      <w:pPr>
        <w:spacing w:after="0" w:line="196" w:lineRule="exact"/>
        <w:rPr>
          <w:sz w:val="20"/>
          <w:szCs w:val="20"/>
          <w:color w:val="auto"/>
        </w:rPr>
      </w:pPr>
    </w:p>
    <w:p>
      <w:pPr>
        <w:ind w:left="340" w:right="359" w:firstLine="778"/>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2011 Annual Meeting of Stockholders.”</w:t>
      </w:r>
    </w:p>
    <w:p>
      <w:pPr>
        <w:spacing w:after="0" w:line="150" w:lineRule="exact"/>
        <w:rPr>
          <w:sz w:val="20"/>
          <w:szCs w:val="20"/>
          <w:color w:val="auto"/>
        </w:rPr>
      </w:pPr>
    </w:p>
    <w:p>
      <w:pPr>
        <w:ind w:left="340" w:right="259" w:firstLine="778"/>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PROPOSAL NO. 5</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ADVISORY (NON-BINDING) VOTE ON THE FREQUENCY</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OF AN ADVISORY VOTE ON EXECUTIVE COMPENSATION</w:t>
      </w:r>
    </w:p>
    <w:p>
      <w:pPr>
        <w:spacing w:after="0" w:line="184" w:lineRule="exact"/>
        <w:rPr>
          <w:sz w:val="20"/>
          <w:szCs w:val="20"/>
          <w:color w:val="auto"/>
        </w:rPr>
      </w:pPr>
    </w:p>
    <w:p>
      <w:pPr>
        <w:ind w:left="340" w:right="159" w:firstLine="778"/>
        <w:spacing w:after="0" w:line="293" w:lineRule="auto"/>
        <w:rPr>
          <w:sz w:val="20"/>
          <w:szCs w:val="20"/>
          <w:color w:val="auto"/>
        </w:rPr>
      </w:pPr>
      <w:r>
        <w:rPr>
          <w:rFonts w:ascii="Arial" w:cs="Arial" w:eastAsia="Arial" w:hAnsi="Arial"/>
          <w:sz w:val="16"/>
          <w:szCs w:val="16"/>
          <w:color w:val="auto"/>
        </w:rPr>
        <w:t>In connection with Proposal No. 4 above seeking advisory approval of the compensation of our named executive officers, the Dodd-Frank Act also requires that we include in this proxy statement for our 2011 Annual Meeting a separate advisory (non-binding) stockholder vote to advise on whether the Say-on-Pay vote should occur every one, two or three years. You have the option to vote for any one of the three options, or to abstain on the matter. For the reasons described below, our Board of Directors recommends that our stockholders select a frequency of three years, or a triennial vote. We are required to solicit stockholder approval on the frequency of future Say-on-Pay proposals at least once every six years, although we may seek stockholder input more frequently.</w:t>
      </w:r>
    </w:p>
    <w:p>
      <w:pPr>
        <w:spacing w:after="0" w:line="124" w:lineRule="exact"/>
        <w:rPr>
          <w:sz w:val="20"/>
          <w:szCs w:val="20"/>
          <w:color w:val="auto"/>
        </w:rPr>
      </w:pPr>
    </w:p>
    <w:p>
      <w:pPr>
        <w:ind w:left="340" w:right="159" w:firstLine="778"/>
        <w:spacing w:after="0" w:line="279" w:lineRule="auto"/>
        <w:rPr>
          <w:sz w:val="20"/>
          <w:szCs w:val="20"/>
          <w:color w:val="auto"/>
        </w:rPr>
      </w:pPr>
      <w:r>
        <w:rPr>
          <w:rFonts w:ascii="Arial" w:cs="Arial" w:eastAsia="Arial" w:hAnsi="Arial"/>
          <w:sz w:val="17"/>
          <w:szCs w:val="17"/>
          <w:color w:val="auto"/>
        </w:rPr>
        <w:t>Our Board of Directors believes that our current executive compensation programs directly link the compensation we pay to our executive officers to our overall financial performance and therefore strongly align the interests of our executive officers with those of our stockholders. Our Board of Directors has determined that an advisory vote on executive compensation every three years is the best approach for our company based on a number of considerations, including the following:</w:t>
      </w:r>
    </w:p>
    <w:p>
      <w:pPr>
        <w:spacing w:after="0" w:line="131" w:lineRule="exact"/>
        <w:rPr>
          <w:sz w:val="20"/>
          <w:szCs w:val="20"/>
          <w:color w:val="auto"/>
        </w:rPr>
      </w:pPr>
    </w:p>
    <w:p>
      <w:pPr>
        <w:ind w:left="1480" w:right="279" w:hanging="378"/>
        <w:spacing w:after="0" w:line="264" w:lineRule="auto"/>
        <w:tabs>
          <w:tab w:leader="none" w:pos="14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compensation program does not change significantly from year to year and is designed to induce performance over a multi-year period. Our Board of Directors believes that a vote held every three years would be more consistent with, and provide better input on, our long-term compensation policies;</w:t>
      </w:r>
    </w:p>
    <w:p>
      <w:pPr>
        <w:spacing w:after="0" w:line="154" w:lineRule="exact"/>
        <w:rPr>
          <w:rFonts w:ascii="Arial" w:cs="Arial" w:eastAsia="Arial" w:hAnsi="Arial"/>
          <w:sz w:val="18"/>
          <w:szCs w:val="18"/>
          <w:b w:val="1"/>
          <w:bCs w:val="1"/>
          <w:color w:val="auto"/>
        </w:rPr>
      </w:pPr>
    </w:p>
    <w:p>
      <w:pPr>
        <w:ind w:left="1480" w:right="279" w:hanging="378"/>
        <w:spacing w:after="0" w:line="257" w:lineRule="auto"/>
        <w:tabs>
          <w:tab w:leader="none" w:pos="14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triennial vote cycle will give our Board of Directors and the Compensation Committee sufficient time to thoughtfully consider the results of the advisory vote, to engage with stockholders to understand and respond to the vote results and to effectively implement any changes to our executive compensation policies and procedures that our Board of Directors and Compensation Committee determine are appropriate based on such consideration and discussions;</w:t>
      </w:r>
    </w:p>
    <w:p>
      <w:pPr>
        <w:spacing w:after="0" w:line="147" w:lineRule="exact"/>
        <w:rPr>
          <w:rFonts w:ascii="Arial" w:cs="Arial" w:eastAsia="Arial" w:hAnsi="Arial"/>
          <w:sz w:val="18"/>
          <w:szCs w:val="18"/>
          <w:b w:val="1"/>
          <w:bCs w:val="1"/>
          <w:color w:val="auto"/>
        </w:rPr>
      </w:pPr>
    </w:p>
    <w:p>
      <w:pPr>
        <w:ind w:left="1480" w:right="259" w:hanging="378"/>
        <w:spacing w:after="0" w:line="277" w:lineRule="auto"/>
        <w:tabs>
          <w:tab w:leader="none" w:pos="14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triennial vote cycle will provide stockholders with a more complete view of the amount and mix of the components of the compensation paid to our named executive officers;</w:t>
      </w:r>
    </w:p>
    <w:p>
      <w:pPr>
        <w:spacing w:after="0" w:line="129" w:lineRule="exact"/>
        <w:rPr>
          <w:rFonts w:ascii="Arial" w:cs="Arial" w:eastAsia="Arial" w:hAnsi="Arial"/>
          <w:sz w:val="18"/>
          <w:szCs w:val="18"/>
          <w:b w:val="1"/>
          <w:bCs w:val="1"/>
          <w:color w:val="auto"/>
        </w:rPr>
      </w:pPr>
    </w:p>
    <w:p>
      <w:pPr>
        <w:ind w:left="1480" w:right="379" w:hanging="378"/>
        <w:spacing w:after="0" w:line="286" w:lineRule="auto"/>
        <w:tabs>
          <w:tab w:leader="none" w:pos="14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A triennial vote cycle will give stockholders sufficient time to evaluate the effectiveness of our short- and long-term compensation strategies and the related performance of the company, and whether the components of the compensation paid to our named executive officers have achieved positive results for us; and</w:t>
      </w:r>
    </w:p>
    <w:p>
      <w:pPr>
        <w:spacing w:after="0" w:line="138" w:lineRule="exact"/>
        <w:rPr>
          <w:rFonts w:ascii="Arial" w:cs="Arial" w:eastAsia="Arial" w:hAnsi="Arial"/>
          <w:sz w:val="17"/>
          <w:szCs w:val="17"/>
          <w:b w:val="1"/>
          <w:bCs w:val="1"/>
          <w:color w:val="auto"/>
        </w:rPr>
      </w:pPr>
    </w:p>
    <w:p>
      <w:pPr>
        <w:ind w:left="1480" w:right="219" w:hanging="378"/>
        <w:spacing w:after="0" w:line="276" w:lineRule="auto"/>
        <w:tabs>
          <w:tab w:leader="none" w:pos="14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Many large shareholders rely on proxy advisory firms for vote recommendations. We believe that a triennial vote on executive compensation, rather than an annual or biennial vote, will help proxy advisory firms provide more detailed and thorough analyses and recommendations regarding our compensation programs. Less frequent Say-on-Pay votes will improve the ability of institutional shareholders to exercise their voting rights in a more deliberate, thoughtful and informed way that is in the best interests of shareholders.</w:t>
      </w:r>
    </w:p>
    <w:p>
      <w:pPr>
        <w:spacing w:after="0" w:line="132" w:lineRule="exact"/>
        <w:rPr>
          <w:sz w:val="20"/>
          <w:szCs w:val="20"/>
          <w:color w:val="auto"/>
        </w:rPr>
      </w:pPr>
    </w:p>
    <w:p>
      <w:pPr>
        <w:ind w:left="340" w:right="339" w:firstLine="778"/>
        <w:spacing w:after="0" w:line="255" w:lineRule="auto"/>
        <w:rPr>
          <w:sz w:val="20"/>
          <w:szCs w:val="20"/>
          <w:color w:val="auto"/>
        </w:rPr>
      </w:pPr>
      <w:r>
        <w:rPr>
          <w:rFonts w:ascii="Arial" w:cs="Arial" w:eastAsia="Arial" w:hAnsi="Arial"/>
          <w:sz w:val="18"/>
          <w:szCs w:val="18"/>
          <w:color w:val="auto"/>
        </w:rPr>
        <w:t>Our stockholders also have the opportunity to provide additional feedback on important matters involving executive compensation even in the years when Say-on-Pay votes do not occur. For example, NASDAQ rules require that we seek stockholder approval for new employee equity compensation plans and material revisions of our existing plans. Further, as discussed under “Corporate Governance and Board Matters—Stockholder Communications with the Board of Directors” on page 9 of this proxy statement, we provide stockholders with an opportunity to communicate directly with our Board of Directors, including on issues of executive compensation.</w:t>
      </w:r>
    </w:p>
    <w:p>
      <w:pPr>
        <w:spacing w:after="0" w:line="153" w:lineRule="exact"/>
        <w:rPr>
          <w:sz w:val="20"/>
          <w:szCs w:val="20"/>
          <w:color w:val="auto"/>
        </w:rPr>
      </w:pPr>
    </w:p>
    <w:p>
      <w:pPr>
        <w:ind w:left="340" w:right="339" w:firstLine="778"/>
        <w:spacing w:after="0" w:line="277" w:lineRule="auto"/>
        <w:rPr>
          <w:sz w:val="20"/>
          <w:szCs w:val="20"/>
          <w:color w:val="auto"/>
        </w:rPr>
      </w:pPr>
      <w:r>
        <w:rPr>
          <w:rFonts w:ascii="Arial" w:cs="Arial" w:eastAsia="Arial" w:hAnsi="Arial"/>
          <w:sz w:val="18"/>
          <w:szCs w:val="18"/>
          <w:color w:val="auto"/>
        </w:rPr>
        <w:t>We understand that our stockholders may have different views as to what is the best approach for us, and we look forward to hearing from our stockholders on this proposal.</w:t>
      </w:r>
    </w:p>
    <w:p>
      <w:pPr>
        <w:spacing w:after="0" w:line="14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Board of Directors will continue to engage with our stockholders on executive compensation between stockholder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votes.</w:t>
      </w: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39" w:firstLine="778"/>
        <w:spacing w:after="0" w:line="277" w:lineRule="auto"/>
        <w:rPr>
          <w:sz w:val="20"/>
          <w:szCs w:val="20"/>
          <w:color w:val="auto"/>
        </w:rPr>
      </w:pPr>
      <w:r>
        <w:rPr>
          <w:rFonts w:ascii="Arial" w:cs="Arial" w:eastAsia="Arial" w:hAnsi="Arial"/>
          <w:sz w:val="18"/>
          <w:szCs w:val="18"/>
          <w:color w:val="auto"/>
        </w:rPr>
        <w:t>You may cast your vote on your preferred voting frequency by choosing the option of three years, two years, or one year when you vote in response to the resolution set forth below, or you may abstain from voting on this matter.</w:t>
      </w:r>
    </w:p>
    <w:p>
      <w:pPr>
        <w:spacing w:after="0" w:line="143" w:lineRule="exact"/>
        <w:rPr>
          <w:sz w:val="20"/>
          <w:szCs w:val="20"/>
          <w:color w:val="auto"/>
        </w:rPr>
      </w:pPr>
    </w:p>
    <w:p>
      <w:pPr>
        <w:ind w:left="340" w:right="379" w:firstLine="778"/>
        <w:spacing w:after="0" w:line="264" w:lineRule="auto"/>
        <w:rPr>
          <w:sz w:val="20"/>
          <w:szCs w:val="20"/>
          <w:color w:val="auto"/>
        </w:rPr>
      </w:pPr>
      <w:r>
        <w:rPr>
          <w:rFonts w:ascii="Arial" w:cs="Arial" w:eastAsia="Arial" w:hAnsi="Arial"/>
          <w:sz w:val="18"/>
          <w:szCs w:val="18"/>
          <w:color w:val="auto"/>
        </w:rPr>
        <w:t>“RESOLVED, that the stockholders of Grand Canyon Education, Inc. determine, on an advisory basis, that the frequency with which the stockholders of the Company shall have an advisory vote on executive compensation, as disclosed pursuant to the compensation disclosure rules of the SEC, is: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Choice 1—every three years;</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Choice 2—every two years;</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Choice 3—every year; or</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Choice 4—abstain from voting.”</w:t>
      </w:r>
    </w:p>
    <w:p>
      <w:pPr>
        <w:spacing w:after="0" w:line="185" w:lineRule="exact"/>
        <w:rPr>
          <w:sz w:val="20"/>
          <w:szCs w:val="20"/>
          <w:color w:val="auto"/>
        </w:rPr>
      </w:pPr>
    </w:p>
    <w:p>
      <w:pPr>
        <w:ind w:left="340" w:right="179" w:firstLine="778"/>
        <w:spacing w:after="0" w:line="297" w:lineRule="auto"/>
        <w:rPr>
          <w:sz w:val="20"/>
          <w:szCs w:val="20"/>
          <w:color w:val="auto"/>
        </w:rPr>
      </w:pPr>
      <w:r>
        <w:rPr>
          <w:rFonts w:ascii="Arial" w:cs="Arial" w:eastAsia="Arial" w:hAnsi="Arial"/>
          <w:sz w:val="16"/>
          <w:szCs w:val="16"/>
          <w:color w:val="auto"/>
        </w:rPr>
        <w:t>The option of three years, two years or one year that receives votes representing the majority in voting power of shares present in person or represented by proxy and entitled to vote will be the frequency for the advisory vote on the compensation of our named executive officers that has been selected by stockholders. However, because this vote is advisory and is not binding on our Board of Directors, the Board of Directors may decide that it is in the best interests of us and our stockholders to hold an advisory vote on executive compensation more or less frequently than the option approved by our stockholders.</w:t>
      </w:r>
    </w:p>
    <w:p>
      <w:pPr>
        <w:spacing w:after="0" w:line="131" w:lineRule="exact"/>
        <w:rPr>
          <w:sz w:val="20"/>
          <w:szCs w:val="20"/>
          <w:color w:val="auto"/>
        </w:rPr>
      </w:pPr>
    </w:p>
    <w:p>
      <w:pPr>
        <w:ind w:left="340" w:right="379" w:firstLine="778"/>
        <w:spacing w:after="0" w:line="277" w:lineRule="auto"/>
        <w:rPr>
          <w:sz w:val="20"/>
          <w:szCs w:val="20"/>
          <w:color w:val="auto"/>
        </w:rPr>
      </w:pPr>
      <w:r>
        <w:rPr>
          <w:rFonts w:ascii="Arial" w:cs="Arial" w:eastAsia="Arial" w:hAnsi="Arial"/>
          <w:sz w:val="18"/>
          <w:szCs w:val="18"/>
          <w:color w:val="auto"/>
        </w:rPr>
        <w:t>Abstentions and broker non-votes will not be counted and, accordingly, will have no effect on the outcome of the vote on this Proposal No. 5.</w:t>
      </w:r>
    </w:p>
    <w:p>
      <w:pPr>
        <w:spacing w:after="0" w:line="130" w:lineRule="exact"/>
        <w:rPr>
          <w:sz w:val="20"/>
          <w:szCs w:val="20"/>
          <w:color w:val="auto"/>
        </w:rPr>
      </w:pPr>
    </w:p>
    <w:p>
      <w:pPr>
        <w:jc w:val="both"/>
        <w:ind w:left="340" w:right="459" w:firstLine="778"/>
        <w:spacing w:after="0" w:line="312" w:lineRule="auto"/>
        <w:rPr>
          <w:sz w:val="20"/>
          <w:szCs w:val="20"/>
          <w:color w:val="auto"/>
        </w:rPr>
      </w:pPr>
      <w:r>
        <w:rPr>
          <w:rFonts w:ascii="Arial" w:cs="Arial" w:eastAsia="Arial" w:hAnsi="Arial"/>
          <w:sz w:val="16"/>
          <w:szCs w:val="16"/>
          <w:color w:val="auto"/>
        </w:rPr>
        <w:t>This vote may not be construed (1) as overruling a decision by us or our Board of Directors or (2) to create or imply any change or addition to the fiduciary duties of us or our Board of Directors. Stockholders are not voting to approve or disapprove the Board of Directors’ recommendation. Stockholders may choose among the four choices included in the resolution set forth above.</w:t>
      </w:r>
    </w:p>
    <w:p>
      <w:pPr>
        <w:spacing w:after="0" w:line="102" w:lineRule="exact"/>
        <w:rPr>
          <w:sz w:val="20"/>
          <w:szCs w:val="20"/>
          <w:color w:val="auto"/>
        </w:rPr>
      </w:pPr>
    </w:p>
    <w:p>
      <w:pPr>
        <w:ind w:left="340" w:right="519" w:firstLine="778"/>
        <w:spacing w:after="0" w:line="266"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option of once every three years as the frequency with which stockholders are provided an advisory vote on executive compensation, as disclosed pursuant to Item 402 of Regulation S-K of the SEC rules.</w:t>
      </w: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PROPOSAL NO. 6</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84" w:lineRule="exact"/>
        <w:rPr>
          <w:sz w:val="20"/>
          <w:szCs w:val="20"/>
          <w:color w:val="auto"/>
        </w:rPr>
      </w:pPr>
    </w:p>
    <w:p>
      <w:pPr>
        <w:ind w:left="340" w:right="199" w:firstLine="778"/>
        <w:spacing w:after="0" w:line="269" w:lineRule="auto"/>
        <w:rPr>
          <w:sz w:val="20"/>
          <w:szCs w:val="20"/>
          <w:color w:val="auto"/>
        </w:rPr>
      </w:pPr>
      <w:r>
        <w:rPr>
          <w:rFonts w:ascii="Arial" w:cs="Arial" w:eastAsia="Arial" w:hAnsi="Arial"/>
          <w:sz w:val="17"/>
          <w:szCs w:val="17"/>
          <w:color w:val="auto"/>
        </w:rPr>
        <w:t>The firm of Ernst &amp; Young LLP (“Ernst &amp; Young”) has been our independent registered public accounting firm since 2008. Our Audit Committee has selected Ernst &amp; Young to serve as our independent registered public accounting firm for the fiscal year ending December 31, 2011. While it is not required to do so, our Audit Committee is submitting the selection of that firm for ratification in order to ascertain the view of our stockholders. In the event the stockholders fail to ratify the selection, the adverse vote will be considered a direction to the Audit Committee to consider other auditors for next year. However, because of the difficulty in making any substitution so long after the beginning of the current year, the appointment of Ernst &amp; Young for fiscal 2011 will stand, unless the Audit Committee finds other good reason for making a change. Even if the selection is ratified, the Audit Committee, in its discretion, may direct the appointment of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Ernst &amp; Young as our independent registered public accounting firm for the fiscal year ending December 31, 2011.</w:t>
      </w:r>
    </w:p>
    <w:p>
      <w:pPr>
        <w:spacing w:after="0" w:line="142" w:lineRule="exact"/>
        <w:rPr>
          <w:sz w:val="20"/>
          <w:szCs w:val="20"/>
          <w:color w:val="auto"/>
        </w:rPr>
      </w:pPr>
    </w:p>
    <w:p>
      <w:pPr>
        <w:ind w:left="340" w:right="199" w:firstLine="778"/>
        <w:spacing w:after="0" w:line="277" w:lineRule="auto"/>
        <w:rPr>
          <w:sz w:val="20"/>
          <w:szCs w:val="20"/>
          <w:color w:val="auto"/>
        </w:rPr>
      </w:pPr>
      <w:r>
        <w:rPr>
          <w:rFonts w:ascii="Arial" w:cs="Arial" w:eastAsia="Arial" w:hAnsi="Arial"/>
          <w:sz w:val="18"/>
          <w:szCs w:val="18"/>
          <w:color w:val="auto"/>
        </w:rPr>
        <w:t>A representative of Ernst &amp; Young will be present at the meeting, will be afforded an opportunity to make a statement if the representative so desires, and will be available to respond to appropriate questions during the meeting.</w:t>
      </w:r>
    </w:p>
    <w:p>
      <w:pPr>
        <w:spacing w:after="0" w:line="126" w:lineRule="exact"/>
        <w:rPr>
          <w:sz w:val="20"/>
          <w:szCs w:val="20"/>
          <w:color w:val="auto"/>
        </w:rPr>
      </w:pPr>
    </w:p>
    <w:p>
      <w:pPr>
        <w:jc w:val="both"/>
        <w:ind w:left="340" w:right="1039" w:firstLine="778"/>
        <w:spacing w:after="0" w:line="266"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Ernst &amp; Young LLP as our independent registered public accounting firm for the fiscal year ending December 31, 2011.</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Fees</w:t>
      </w:r>
    </w:p>
    <w:p>
      <w:pPr>
        <w:spacing w:after="0" w:line="189"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color w:val="auto"/>
        </w:rPr>
        <w:t>For the years ended December 31, 2010 and 2009, Ernst &amp; Young billed us the amounts set forth below for professional services rendered in connection with audit, audit-related, tax and other professional services. All of the fees for audit, audit-related, tax and other services performed by Ernst &amp; Young were pre-approved by the Audit Committee in accordance with the pre-approval policies and procedures described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Services Rendered</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502,281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551,278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116,858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All Other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533,431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668,136</w:t>
            </w: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319" w:hanging="388"/>
        <w:spacing w:after="0" w:line="285"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Fees relate to services rendered for the audits of our annual financial statements, for the review of quarterly financial statements, and for services that are normally provided by the auditor in connection with statutory and regulatory filings or engagements. All 2010 Audit Fees related to audit and review services expensed in 2010. In 2009, $502,504 of the Audit Fees related to audit and review services expensed in 2009, and $48,774 of the Audit Fees related to services provided in connection with our secondary public offering completed in September 2009, including the filing of our Registration Statement on</w:t>
      </w:r>
    </w:p>
    <w:p>
      <w:pPr>
        <w:spacing w:after="0" w:line="2"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Form S-1.</w:t>
      </w:r>
    </w:p>
    <w:p>
      <w:pPr>
        <w:spacing w:after="0" w:line="62" w:lineRule="exact"/>
        <w:rPr>
          <w:rFonts w:ascii="Arial" w:cs="Arial" w:eastAsia="Arial" w:hAnsi="Arial"/>
          <w:sz w:val="16"/>
          <w:szCs w:val="16"/>
          <w:color w:val="auto"/>
        </w:rPr>
      </w:pPr>
    </w:p>
    <w:p>
      <w:pPr>
        <w:ind w:left="720" w:right="319" w:hanging="388"/>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2010, Tax Fees consisted of $31,150 for assistance with IRS examinations. For 2009, Tax Fees consisted of $73,221 for tax advisory services, $8,465 for tax return services for prior years provided in 2009, and $35,172 for assistance with IRS examinations.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202" w:lineRule="exact"/>
        <w:rPr>
          <w:sz w:val="20"/>
          <w:szCs w:val="20"/>
          <w:color w:val="auto"/>
        </w:rPr>
      </w:pPr>
    </w:p>
    <w:p>
      <w:pPr>
        <w:ind w:left="340" w:right="299" w:firstLine="778"/>
        <w:spacing w:after="0" w:line="257"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48" w:lineRule="exact"/>
        <w:rPr>
          <w:sz w:val="20"/>
          <w:szCs w:val="20"/>
          <w:color w:val="auto"/>
        </w:rPr>
      </w:pPr>
    </w:p>
    <w:p>
      <w:pPr>
        <w:ind w:left="340" w:right="319" w:firstLine="778"/>
        <w:spacing w:after="0" w:line="257"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48" w:lineRule="exact"/>
        <w:rPr>
          <w:sz w:val="20"/>
          <w:szCs w:val="20"/>
          <w:color w:val="auto"/>
        </w:rPr>
      </w:pPr>
    </w:p>
    <w:p>
      <w:pPr>
        <w:ind w:left="340" w:right="359" w:firstLine="778"/>
        <w:spacing w:after="0" w:line="264"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2010 and 2009 were approved by our Audit Committee.</w:t>
      </w:r>
    </w:p>
    <w:p>
      <w:pPr>
        <w:spacing w:after="0" w:line="1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AUDIT COMMITTEE REPORT</w:t>
      </w:r>
    </w:p>
    <w:p>
      <w:pPr>
        <w:spacing w:after="0" w:line="189" w:lineRule="exact"/>
        <w:rPr>
          <w:sz w:val="20"/>
          <w:szCs w:val="20"/>
          <w:color w:val="auto"/>
        </w:rPr>
      </w:pPr>
    </w:p>
    <w:p>
      <w:pPr>
        <w:ind w:left="340" w:right="499" w:firstLine="778"/>
        <w:spacing w:after="0" w:line="259" w:lineRule="auto"/>
        <w:rPr>
          <w:sz w:val="20"/>
          <w:szCs w:val="20"/>
          <w:color w:val="auto"/>
        </w:rPr>
      </w:pPr>
      <w:r>
        <w:rPr>
          <w:rFonts w:ascii="Arial" w:cs="Arial" w:eastAsia="Arial" w:hAnsi="Arial"/>
          <w:sz w:val="18"/>
          <w:szCs w:val="18"/>
          <w:color w:val="auto"/>
        </w:rPr>
        <w:t>Our Audit Committee is composed of three members, each of whom the Board has determined to be an independent director as defined by the listing standards of the Nasdaq Stock Market. The duties of the Audit Committee are summarized in this proxy statement under “Committees of Our Board of Directors” on page 6 and are more fully described in the Audit Committee charter adopted by the Board of Directors.</w:t>
      </w:r>
    </w:p>
    <w:p>
      <w:pPr>
        <w:spacing w:after="0" w:line="146" w:lineRule="exact"/>
        <w:rPr>
          <w:sz w:val="20"/>
          <w:szCs w:val="20"/>
          <w:color w:val="auto"/>
        </w:rPr>
      </w:pPr>
    </w:p>
    <w:p>
      <w:pPr>
        <w:ind w:left="340" w:right="279" w:firstLine="778"/>
        <w:spacing w:after="0" w:line="259" w:lineRule="auto"/>
        <w:rPr>
          <w:sz w:val="20"/>
          <w:szCs w:val="20"/>
          <w:color w:val="auto"/>
        </w:rPr>
      </w:pPr>
      <w:r>
        <w:rPr>
          <w:rFonts w:ascii="Arial" w:cs="Arial" w:eastAsia="Arial" w:hAnsi="Arial"/>
          <w:sz w:val="18"/>
          <w:szCs w:val="18"/>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0" w:lineRule="exact"/>
        <w:rPr>
          <w:sz w:val="20"/>
          <w:szCs w:val="20"/>
          <w:color w:val="auto"/>
        </w:rPr>
      </w:pPr>
    </w:p>
    <w:p>
      <w:pPr>
        <w:ind w:left="340" w:right="359" w:firstLine="778"/>
        <w:spacing w:after="0" w:line="255" w:lineRule="auto"/>
        <w:rPr>
          <w:sz w:val="20"/>
          <w:szCs w:val="20"/>
          <w:color w:val="auto"/>
        </w:rPr>
      </w:pPr>
      <w:r>
        <w:rPr>
          <w:rFonts w:ascii="Arial" w:cs="Arial" w:eastAsia="Arial" w:hAnsi="Arial"/>
          <w:sz w:val="18"/>
          <w:szCs w:val="18"/>
          <w:color w:val="auto"/>
        </w:rPr>
        <w:t>We have (a) reviewed and discussed our Company’s audited financial statements for the fiscal year ended December 31, 2010, with management; (b) discussed with our Company’s independent registered public accounting firm the matters required to be discussed by Codification of Statements on Auditing Standards, AU § 380 regarding communication with Audit Committees; (c)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 discussed with the independent registered public accounting firm its independence.</w:t>
      </w:r>
    </w:p>
    <w:p>
      <w:pPr>
        <w:spacing w:after="0" w:line="149" w:lineRule="exact"/>
        <w:rPr>
          <w:sz w:val="20"/>
          <w:szCs w:val="20"/>
          <w:color w:val="auto"/>
        </w:rPr>
      </w:pPr>
    </w:p>
    <w:p>
      <w:pPr>
        <w:ind w:left="340" w:right="279" w:firstLine="778"/>
        <w:spacing w:after="0" w:line="312" w:lineRule="auto"/>
        <w:rPr>
          <w:sz w:val="20"/>
          <w:szCs w:val="20"/>
          <w:color w:val="auto"/>
        </w:rPr>
      </w:pPr>
      <w:r>
        <w:rPr>
          <w:rFonts w:ascii="Arial" w:cs="Arial" w:eastAsia="Arial" w:hAnsi="Arial"/>
          <w:sz w:val="16"/>
          <w:szCs w:val="16"/>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2010, for filing with the Securities and Exchange Commission.</w:t>
      </w:r>
    </w:p>
    <w:p>
      <w:pPr>
        <w:spacing w:after="0" w:line="14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J. Johnson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Gerald J. Colangelo</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EXECUTIVE OFFICERS</w:t>
      </w:r>
    </w:p>
    <w:p>
      <w:pPr>
        <w:spacing w:after="0" w:line="202"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Brent D. Richardson, our Executive Chairman, Brian E. Mueller, our Chief Executive Officer and a director, and Christopher C. Richardson, our General Counsel and a director,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0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480" w:type="dxa"/>
            <w:vAlign w:val="bottom"/>
          </w:tcPr>
          <w:p>
            <w:pPr>
              <w:spacing w:after="0"/>
              <w:rPr>
                <w:sz w:val="20"/>
                <w:szCs w:val="20"/>
                <w:color w:val="auto"/>
              </w:rPr>
            </w:pPr>
          </w:p>
        </w:tc>
        <w:tc>
          <w:tcPr>
            <w:tcW w:w="492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8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50</w:t>
            </w:r>
          </w:p>
        </w:tc>
        <w:tc>
          <w:tcPr>
            <w:tcW w:w="54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Executive Vice President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Daniel E. Bachus</w:t>
            </w:r>
          </w:p>
        </w:tc>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40</w:t>
            </w:r>
          </w:p>
        </w:tc>
        <w:tc>
          <w:tcPr>
            <w:tcW w:w="5400" w:type="dxa"/>
            <w:vAlign w:val="bottom"/>
            <w:gridSpan w:val="2"/>
          </w:tcPr>
          <w:p>
            <w:pPr>
              <w:ind w:left="480"/>
              <w:spacing w:after="0"/>
              <w:rPr>
                <w:sz w:val="20"/>
                <w:szCs w:val="20"/>
                <w:color w:val="auto"/>
              </w:rPr>
            </w:pPr>
            <w:r>
              <w:rPr>
                <w:rFonts w:ascii="Arial" w:cs="Arial" w:eastAsia="Arial" w:hAnsi="Arial"/>
                <w:sz w:val="18"/>
                <w:szCs w:val="18"/>
                <w:color w:val="auto"/>
              </w:rPr>
              <w:t>Chief Financial Officer</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8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57</w:t>
            </w:r>
          </w:p>
        </w:tc>
        <w:tc>
          <w:tcPr>
            <w:tcW w:w="54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Chief Information Officer</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Dr. Kathy Player</w:t>
            </w:r>
          </w:p>
        </w:tc>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47</w:t>
            </w:r>
          </w:p>
        </w:tc>
        <w:tc>
          <w:tcPr>
            <w:tcW w:w="5400" w:type="dxa"/>
            <w:vAlign w:val="bottom"/>
            <w:gridSpan w:val="2"/>
          </w:tcPr>
          <w:p>
            <w:pPr>
              <w:ind w:left="480"/>
              <w:spacing w:after="0"/>
              <w:rPr>
                <w:sz w:val="20"/>
                <w:szCs w:val="20"/>
                <w:color w:val="auto"/>
              </w:rPr>
            </w:pPr>
            <w:r>
              <w:rPr>
                <w:rFonts w:ascii="Arial" w:cs="Arial" w:eastAsia="Arial" w:hAnsi="Arial"/>
                <w:sz w:val="18"/>
                <w:szCs w:val="18"/>
                <w:color w:val="auto"/>
              </w:rPr>
              <w:t>Grand Canyon University President</w:t>
            </w:r>
          </w:p>
        </w:tc>
      </w:tr>
    </w:tbl>
    <w:p>
      <w:pPr>
        <w:spacing w:after="0" w:line="147" w:lineRule="exact"/>
        <w:rPr>
          <w:sz w:val="20"/>
          <w:szCs w:val="20"/>
          <w:color w:val="auto"/>
        </w:rPr>
      </w:pPr>
    </w:p>
    <w:p>
      <w:pPr>
        <w:ind w:left="340" w:right="159" w:firstLine="778"/>
        <w:spacing w:after="0" w:line="285"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Executive Vice President since July 1, 2008. From August 2002 to June 2008,</w:t>
      </w:r>
      <w:r>
        <w:rPr>
          <w:rFonts w:ascii="Arial" w:cs="Arial" w:eastAsia="Arial" w:hAnsi="Arial"/>
          <w:sz w:val="16"/>
          <w:szCs w:val="16"/>
          <w:i w:val="1"/>
          <w:iCs w:val="1"/>
          <w:color w:val="auto"/>
        </w:rPr>
        <w:t xml:space="preserve"> </w:t>
      </w:r>
      <w:r>
        <w:rPr>
          <w:rFonts w:ascii="Arial" w:cs="Arial" w:eastAsia="Arial" w:hAnsi="Arial"/>
          <w:sz w:val="16"/>
          <w:szCs w:val="16"/>
          <w:color w:val="auto"/>
        </w:rPr>
        <w:t>Dr. Meyer was employed by Apollo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w:t>
      </w:r>
    </w:p>
    <w:p>
      <w:pPr>
        <w:spacing w:after="0" w:line="2" w:lineRule="exact"/>
        <w:rPr>
          <w:sz w:val="20"/>
          <w:szCs w:val="20"/>
          <w:color w:val="auto"/>
        </w:rPr>
      </w:pPr>
    </w:p>
    <w:p>
      <w:pPr>
        <w:ind w:left="340" w:right="419"/>
        <w:spacing w:after="0" w:line="302" w:lineRule="auto"/>
        <w:rPr>
          <w:sz w:val="20"/>
          <w:szCs w:val="20"/>
          <w:color w:val="auto"/>
        </w:rPr>
      </w:pPr>
      <w:r>
        <w:rPr>
          <w:rFonts w:ascii="Arial" w:cs="Arial" w:eastAsia="Arial" w:hAnsi="Arial"/>
          <w:sz w:val="16"/>
          <w:szCs w:val="16"/>
          <w:color w:val="auto"/>
        </w:rPr>
        <w:t>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15" w:lineRule="exact"/>
        <w:rPr>
          <w:sz w:val="20"/>
          <w:szCs w:val="20"/>
          <w:color w:val="auto"/>
        </w:rPr>
      </w:pPr>
    </w:p>
    <w:p>
      <w:pPr>
        <w:ind w:left="340" w:right="239" w:firstLine="778"/>
        <w:spacing w:after="0" w:line="293"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From January 2007 until June 2008,</w:t>
      </w:r>
      <w:r>
        <w:rPr>
          <w:rFonts w:ascii="Arial" w:cs="Arial" w:eastAsia="Arial" w:hAnsi="Arial"/>
          <w:sz w:val="16"/>
          <w:szCs w:val="16"/>
          <w:i w:val="1"/>
          <w:iCs w:val="1"/>
          <w:color w:val="auto"/>
        </w:rPr>
        <w:t xml:space="preserve"> </w:t>
      </w:r>
      <w:r>
        <w:rPr>
          <w:rFonts w:ascii="Arial" w:cs="Arial" w:eastAsia="Arial" w:hAnsi="Arial"/>
          <w:sz w:val="16"/>
          <w:szCs w:val="16"/>
          <w:color w:val="auto"/>
        </w:rPr>
        <w:t>Mr. Bachus served as chief 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in Business Administration degree from the University of Phoenix. Mr. Bachus is also a certified public accountant.</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 xml:space="preserve">Joseph N. Mildenhall </w:t>
      </w:r>
      <w:r>
        <w:rPr>
          <w:rFonts w:ascii="Arial" w:cs="Arial" w:eastAsia="Arial" w:hAnsi="Arial"/>
          <w:sz w:val="18"/>
          <w:szCs w:val="18"/>
          <w:color w:val="auto"/>
        </w:rPr>
        <w:t>has been serving as our Chief Information Officer since September 2009. From 1998 to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2009, Mr. Mildenhall was employed by Apollo Group, Inc., a for-profit, postsecondary education company and the parent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company of the University of Phoenix, serving between June 2006 and September 2009 as its chief information officer. From 1998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2006, Mr. Mildenhall directed the design, development and deployment of the University of Phoenix online education environment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the student and faculty Internet portal supporting the rapid growth of the online campus beginning in 1998. From 1979 to 1988,</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Mildenhall held increasingly responsible roles in software development at J&amp;K Computer Systems, eventually becoming vice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president and co-owner. When J&amp;K Computer Systems was acquired by National Computer Systems, Mr. Mildenhall continued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software development and technology leadership roles through 1998. Mr. Mildenhall holds a Bachelor of Science degree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Accounting from Brigham Young University and a Master of Business Administration from the University of Phoenix.</w:t>
      </w:r>
    </w:p>
    <w:p>
      <w:pPr>
        <w:spacing w:after="0" w:line="170" w:lineRule="exact"/>
        <w:rPr>
          <w:sz w:val="20"/>
          <w:szCs w:val="20"/>
          <w:color w:val="auto"/>
        </w:rPr>
      </w:pPr>
    </w:p>
    <w:p>
      <w:pPr>
        <w:ind w:left="340" w:right="239" w:firstLine="778"/>
        <w:spacing w:after="0" w:line="293" w:lineRule="auto"/>
        <w:rPr>
          <w:sz w:val="20"/>
          <w:szCs w:val="20"/>
          <w:color w:val="auto"/>
        </w:rPr>
      </w:pPr>
      <w:r>
        <w:rPr>
          <w:rFonts w:ascii="Arial" w:cs="Arial" w:eastAsia="Arial" w:hAnsi="Arial"/>
          <w:sz w:val="16"/>
          <w:szCs w:val="16"/>
          <w:i w:val="1"/>
          <w:iCs w:val="1"/>
          <w:color w:val="auto"/>
        </w:rPr>
        <w:t xml:space="preserve">Dr. Kathy Player </w:t>
      </w:r>
      <w:r>
        <w:rPr>
          <w:rFonts w:ascii="Arial" w:cs="Arial" w:eastAsia="Arial" w:hAnsi="Arial"/>
          <w:sz w:val="16"/>
          <w:szCs w:val="16"/>
          <w:color w:val="auto"/>
        </w:rPr>
        <w:t>has been serving as Grand Canyon University President since July 31, 2008. From 2007 to July 2008, she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Provost and Chief Academic Officer. From 1998 to 2007, Dr. Player served in several other leadership roles at Grand Canyon University, including most recently as Dean of the Ken Blanchard College of Business. Dr. Player received a Bachelor of Science degree in Nursing from St. Joseph’s College, a Master of Business Administration degree and a Master of Science degree in Nursing Leadership from Grand Canyon University, a Master of Science degree in Counseling from Nova Southeastern University, and a Doctorate of Education degree in Counseling Psychology from Argosy University (formally the University of Sarasota).</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left="340" w:right="439" w:firstLine="778"/>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98" w:lineRule="exact"/>
        <w:rPr>
          <w:sz w:val="20"/>
          <w:szCs w:val="20"/>
          <w:color w:val="auto"/>
        </w:rPr>
      </w:pPr>
    </w:p>
    <w:p>
      <w:pPr>
        <w:ind w:left="340" w:right="219" w:firstLine="778"/>
        <w:spacing w:after="0" w:line="276" w:lineRule="auto"/>
        <w:rPr>
          <w:sz w:val="20"/>
          <w:szCs w:val="20"/>
          <w:color w:val="auto"/>
        </w:rPr>
      </w:pPr>
      <w:r>
        <w:rPr>
          <w:rFonts w:ascii="Arial" w:cs="Arial" w:eastAsia="Arial" w:hAnsi="Arial"/>
          <w:sz w:val="17"/>
          <w:szCs w:val="17"/>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100-acre traditional campus in Phoenix, Arizona and onsite at the facilities of employers. At December 31, 2010, we had approximately 41,500 students. At December 31, 2010, 91.0% of our students were enrolled in our online programs and, of those students 45.5% were pursuing master’s or doctoral degrees.</w:t>
      </w:r>
    </w:p>
    <w:p>
      <w:pPr>
        <w:spacing w:after="0" w:line="132" w:lineRule="exact"/>
        <w:rPr>
          <w:sz w:val="20"/>
          <w:szCs w:val="20"/>
          <w:color w:val="auto"/>
        </w:rPr>
      </w:pPr>
    </w:p>
    <w:p>
      <w:pPr>
        <w:ind w:left="340" w:right="419" w:firstLine="778"/>
        <w:spacing w:after="0" w:line="290" w:lineRule="auto"/>
        <w:rPr>
          <w:sz w:val="20"/>
          <w:szCs w:val="20"/>
          <w:color w:val="auto"/>
        </w:rPr>
      </w:pPr>
      <w:r>
        <w:rPr>
          <w:rFonts w:ascii="Arial" w:cs="Arial" w:eastAsia="Arial" w:hAnsi="Arial"/>
          <w:sz w:val="16"/>
          <w:szCs w:val="16"/>
          <w:color w:val="auto"/>
        </w:rPr>
        <w:t>Fiscal 2010 was a transitional year for the Company. We made a strategic decision to scale down enrollment growth and focus on enhancing the academic reputation of our private, Christian-focused, market-supported institution. In addition, we made numerous operational and academic changes, including adjustments to our student refund policy, the strengthening of our academic progress policy, the raising of our admissions requirements and the transition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While these changes had a significant negative impact on our short-term financial results, we believe they are in the long-term best interest of the Company.</w:t>
      </w:r>
    </w:p>
    <w:p>
      <w:pPr>
        <w:spacing w:after="0" w:line="126" w:lineRule="exact"/>
        <w:rPr>
          <w:sz w:val="20"/>
          <w:szCs w:val="20"/>
          <w:color w:val="auto"/>
        </w:rPr>
      </w:pPr>
    </w:p>
    <w:p>
      <w:pPr>
        <w:ind w:left="340" w:right="199" w:firstLine="778"/>
        <w:spacing w:after="0" w:line="279" w:lineRule="auto"/>
        <w:rPr>
          <w:sz w:val="20"/>
          <w:szCs w:val="20"/>
          <w:color w:val="auto"/>
        </w:rPr>
      </w:pPr>
      <w:r>
        <w:rPr>
          <w:rFonts w:ascii="Arial" w:cs="Arial" w:eastAsia="Arial" w:hAnsi="Arial"/>
          <w:sz w:val="17"/>
          <w:szCs w:val="17"/>
          <w:color w:val="auto"/>
        </w:rPr>
        <w:t>In addition, throughout 2010, our industry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Our senior management guided our company through these changes while still producing very positive financial results:</w:t>
      </w:r>
    </w:p>
    <w:p>
      <w:pPr>
        <w:spacing w:after="0" w:line="208" w:lineRule="exact"/>
        <w:rPr>
          <w:sz w:val="20"/>
          <w:szCs w:val="20"/>
          <w:color w:val="auto"/>
        </w:rPr>
      </w:pPr>
    </w:p>
    <w:p>
      <w:pPr>
        <w:ind w:left="1880" w:hanging="386"/>
        <w:spacing w:after="0"/>
        <w:tabs>
          <w:tab w:leader="none" w:pos="18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Net revenue increased 47.3% to $385.8 million for fiscal 2010, compared to $261.9 million for fiscal 2009;</w:t>
      </w:r>
    </w:p>
    <w:p>
      <w:pPr>
        <w:spacing w:after="0" w:line="196" w:lineRule="exact"/>
        <w:rPr>
          <w:rFonts w:ascii="Arial" w:cs="Arial" w:eastAsia="Arial" w:hAnsi="Arial"/>
          <w:sz w:val="17"/>
          <w:szCs w:val="17"/>
          <w:b w:val="1"/>
          <w:bCs w:val="1"/>
          <w:color w:val="auto"/>
        </w:rPr>
      </w:pPr>
    </w:p>
    <w:p>
      <w:pPr>
        <w:ind w:left="1880" w:right="379" w:hanging="386"/>
        <w:spacing w:after="0" w:line="277" w:lineRule="auto"/>
        <w:tabs>
          <w:tab w:leader="none" w:pos="18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Operating income increased 57.9% to $73.5 million for fiscal 2010, compared to $46.6 million for fiscal 2009. The operating margin for fiscal 2010 was 19.1%, compared to 17.8% for fiscal 2009;</w:t>
      </w:r>
    </w:p>
    <w:p>
      <w:pPr>
        <w:spacing w:after="0" w:line="143" w:lineRule="exact"/>
        <w:rPr>
          <w:rFonts w:ascii="Arial" w:cs="Arial" w:eastAsia="Arial" w:hAnsi="Arial"/>
          <w:sz w:val="18"/>
          <w:szCs w:val="18"/>
          <w:b w:val="1"/>
          <w:bCs w:val="1"/>
          <w:color w:val="auto"/>
        </w:rPr>
      </w:pPr>
    </w:p>
    <w:p>
      <w:pPr>
        <w:ind w:left="1880" w:hanging="386"/>
        <w:spacing w:after="0"/>
        <w:tabs>
          <w:tab w:leader="none" w:pos="188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Adjusted EBITDA increased 55.4% to $101.2 million for fiscal 2010, compared to $65.1 million for fiscal 2009;</w:t>
      </w:r>
    </w:p>
    <w:p>
      <w:pPr>
        <w:spacing w:after="0" w:line="207" w:lineRule="exact"/>
        <w:rPr>
          <w:rFonts w:ascii="Arial" w:cs="Arial" w:eastAsia="Arial" w:hAnsi="Arial"/>
          <w:sz w:val="16"/>
          <w:szCs w:val="16"/>
          <w:b w:val="1"/>
          <w:bCs w:val="1"/>
          <w:color w:val="auto"/>
        </w:rPr>
      </w:pPr>
    </w:p>
    <w:p>
      <w:pPr>
        <w:ind w:left="1880" w:hanging="386"/>
        <w:spacing w:after="0"/>
        <w:tabs>
          <w:tab w:leader="none" w:pos="18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Net income increased 62.5% to $44.4 million for fiscal 2010, compared to $27.3 million for fiscal 2009; and</w:t>
      </w:r>
    </w:p>
    <w:p>
      <w:pPr>
        <w:spacing w:after="0" w:line="196" w:lineRule="exact"/>
        <w:rPr>
          <w:rFonts w:ascii="Arial" w:cs="Arial" w:eastAsia="Arial" w:hAnsi="Arial"/>
          <w:sz w:val="17"/>
          <w:szCs w:val="17"/>
          <w:b w:val="1"/>
          <w:bCs w:val="1"/>
          <w:color w:val="auto"/>
        </w:rPr>
      </w:pPr>
    </w:p>
    <w:p>
      <w:pPr>
        <w:ind w:left="1880" w:hanging="386"/>
        <w:spacing w:after="0"/>
        <w:tabs>
          <w:tab w:leader="none" w:pos="18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$0.96 for fiscal 2010, compared to $0.60 for fiscal 2009</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also had positive non-financial developments in 2010, including:</w:t>
      </w:r>
    </w:p>
    <w:p>
      <w:pPr>
        <w:spacing w:after="0" w:line="185" w:lineRule="exact"/>
        <w:rPr>
          <w:sz w:val="20"/>
          <w:szCs w:val="20"/>
          <w:color w:val="auto"/>
        </w:rPr>
      </w:pPr>
    </w:p>
    <w:p>
      <w:pPr>
        <w:ind w:left="1880" w:right="179" w:hanging="386"/>
        <w:spacing w:after="0" w:line="257" w:lineRule="auto"/>
        <w:tabs>
          <w:tab w:leader="none" w:pos="18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focus on the quality of our online student body resulted in an increase in the number of graduate students as a percentage of the total online student body to 45.5% in 2010 from 44.5% in 2009 and an increase in the number of our nursing and education students, who as a group have the highest graduation rates and lowest default rates, as a percentage of the total online student body to 19.3% and 49.6% in 2010 from 13.4% and 49.1% in 2009, respectively;</w:t>
      </w:r>
    </w:p>
    <w:p>
      <w:pPr>
        <w:spacing w:after="0" w:line="147" w:lineRule="exact"/>
        <w:rPr>
          <w:rFonts w:ascii="Arial" w:cs="Arial" w:eastAsia="Arial" w:hAnsi="Arial"/>
          <w:sz w:val="18"/>
          <w:szCs w:val="18"/>
          <w:b w:val="1"/>
          <w:bCs w:val="1"/>
          <w:color w:val="auto"/>
        </w:rPr>
      </w:pPr>
    </w:p>
    <w:p>
      <w:pPr>
        <w:ind w:left="1880" w:right="319" w:hanging="386"/>
        <w:spacing w:after="0" w:line="279" w:lineRule="auto"/>
        <w:tabs>
          <w:tab w:leader="none" w:pos="188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The focus on the quality of our campus-based students and our ground campus resulted in an increase in the number of campus-based students from 3,113 in 2009 to 3,748 in 2010 and an increase in the average incoming G.P.A. of these students. While we currently expect to have between 4,200 and 4,500 campus-based students in fall 2011, we expect the quality of these students to continue to improve;</w:t>
      </w:r>
    </w:p>
    <w:p>
      <w:pPr>
        <w:spacing w:after="0" w:line="144" w:lineRule="exact"/>
        <w:rPr>
          <w:rFonts w:ascii="Arial" w:cs="Arial" w:eastAsia="Arial" w:hAnsi="Arial"/>
          <w:sz w:val="17"/>
          <w:szCs w:val="17"/>
          <w:b w:val="1"/>
          <w:bCs w:val="1"/>
          <w:color w:val="auto"/>
        </w:rPr>
      </w:pPr>
    </w:p>
    <w:p>
      <w:pPr>
        <w:ind w:left="1880" w:right="279" w:hanging="386"/>
        <w:spacing w:after="0" w:line="279" w:lineRule="auto"/>
        <w:tabs>
          <w:tab w:leader="none" w:pos="188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We continued to focus on academic excellence initiatives, including a new learning system that we will begin to implement in the first half of 2011 and which we expect will increase student learning and faculty effectiveness and result in higher retention rates, as well as the build out of our instructional design team, who work to improve the curriculum, instruction and course sequencing in many of our programs.</w:t>
      </w:r>
    </w:p>
    <w:p>
      <w:pPr>
        <w:spacing w:after="0" w:line="131" w:lineRule="exact"/>
        <w:rPr>
          <w:sz w:val="20"/>
          <w:szCs w:val="20"/>
          <w:color w:val="auto"/>
        </w:rPr>
      </w:pPr>
    </w:p>
    <w:p>
      <w:pPr>
        <w:ind w:left="340" w:right="499" w:firstLine="778"/>
        <w:spacing w:after="0" w:line="277" w:lineRule="auto"/>
        <w:rPr>
          <w:sz w:val="20"/>
          <w:szCs w:val="20"/>
          <w:color w:val="auto"/>
        </w:rPr>
      </w:pPr>
      <w:r>
        <w:rPr>
          <w:rFonts w:ascii="Arial" w:cs="Arial" w:eastAsia="Arial" w:hAnsi="Arial"/>
          <w:sz w:val="18"/>
          <w:szCs w:val="18"/>
          <w:color w:val="auto"/>
        </w:rPr>
        <w:t>Finally, during fiscal year 2010, we continued practices that are considered standard for good corporate governance and executive compensation, including:</w:t>
      </w:r>
    </w:p>
    <w:p>
      <w:pPr>
        <w:spacing w:after="0" w:line="130" w:lineRule="exact"/>
        <w:rPr>
          <w:sz w:val="20"/>
          <w:szCs w:val="20"/>
          <w:color w:val="auto"/>
        </w:rPr>
      </w:pPr>
    </w:p>
    <w:p>
      <w:pPr>
        <w:ind w:left="1880" w:right="179" w:hanging="386"/>
        <w:spacing w:after="0" w:line="277" w:lineRule="auto"/>
        <w:tabs>
          <w:tab w:leader="none" w:pos="18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Strong alignment between company-wide and personal performance and payouts under our annual cash incentive plan;</w:t>
      </w:r>
    </w:p>
    <w:p>
      <w:pPr>
        <w:spacing w:after="0" w:line="143" w:lineRule="exact"/>
        <w:rPr>
          <w:rFonts w:ascii="Arial" w:cs="Arial" w:eastAsia="Arial" w:hAnsi="Arial"/>
          <w:sz w:val="18"/>
          <w:szCs w:val="18"/>
          <w:b w:val="1"/>
          <w:bCs w:val="1"/>
          <w:color w:val="auto"/>
        </w:rPr>
      </w:pPr>
    </w:p>
    <w:p>
      <w:pPr>
        <w:ind w:left="1880" w:hanging="386"/>
        <w:spacing w:after="0"/>
        <w:tabs>
          <w:tab w:leader="none" w:pos="18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absence of any multi-year guaranteed bonuses;</w:t>
      </w:r>
    </w:p>
    <w:p>
      <w:pPr>
        <w:spacing w:after="0" w:line="184" w:lineRule="exact"/>
        <w:rPr>
          <w:rFonts w:ascii="Arial" w:cs="Arial" w:eastAsia="Arial" w:hAnsi="Arial"/>
          <w:sz w:val="18"/>
          <w:szCs w:val="18"/>
          <w:b w:val="1"/>
          <w:bCs w:val="1"/>
          <w:color w:val="auto"/>
        </w:rPr>
      </w:pPr>
    </w:p>
    <w:p>
      <w:pPr>
        <w:ind w:left="1880" w:right="779" w:hanging="386"/>
        <w:spacing w:after="0" w:line="277" w:lineRule="auto"/>
        <w:tabs>
          <w:tab w:leader="none" w:pos="18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Severance arrangements with our named executive officers that are limited to one year of base salary and benefits and limited acceleration of vesting; and</w:t>
      </w:r>
    </w:p>
    <w:p>
      <w:pPr>
        <w:spacing w:after="0" w:line="129" w:lineRule="exact"/>
        <w:rPr>
          <w:rFonts w:ascii="Arial" w:cs="Arial" w:eastAsia="Arial" w:hAnsi="Arial"/>
          <w:sz w:val="18"/>
          <w:szCs w:val="18"/>
          <w:b w:val="1"/>
          <w:bCs w:val="1"/>
          <w:color w:val="auto"/>
        </w:rPr>
      </w:pPr>
    </w:p>
    <w:p>
      <w:pPr>
        <w:ind w:left="1880" w:hanging="386"/>
        <w:spacing w:after="0"/>
        <w:tabs>
          <w:tab w:leader="none" w:pos="18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Double-trigger change-in-control arrangements with our named executive officers.</w:t>
      </w:r>
    </w:p>
    <w:p>
      <w:pPr>
        <w:spacing w:after="0" w:line="198" w:lineRule="exact"/>
        <w:rPr>
          <w:sz w:val="20"/>
          <w:szCs w:val="20"/>
          <w:color w:val="auto"/>
        </w:rPr>
      </w:pPr>
    </w:p>
    <w:p>
      <w:pPr>
        <w:ind w:left="340" w:right="259" w:firstLine="778"/>
        <w:spacing w:after="0" w:line="264" w:lineRule="auto"/>
        <w:rPr>
          <w:sz w:val="20"/>
          <w:szCs w:val="20"/>
          <w:color w:val="auto"/>
        </w:rPr>
      </w:pPr>
      <w:r>
        <w:rPr>
          <w:rFonts w:ascii="Arial" w:cs="Arial" w:eastAsia="Arial" w:hAnsi="Arial"/>
          <w:sz w:val="18"/>
          <w:szCs w:val="18"/>
          <w:color w:val="auto"/>
        </w:rPr>
        <w:t>Given these factors and practices, we believe our executive compensation in fiscal year 2010 appropriately reflected the economic and regulatory environments, the performance of the Company and the relationship with market compensation necessary to retain and motivate our executives.</w:t>
      </w:r>
    </w:p>
    <w:p>
      <w:pPr>
        <w:spacing w:after="0" w:line="141" w:lineRule="exact"/>
        <w:rPr>
          <w:sz w:val="20"/>
          <w:szCs w:val="20"/>
          <w:color w:val="auto"/>
        </w:rPr>
      </w:pPr>
    </w:p>
    <w:p>
      <w:pPr>
        <w:ind w:left="340" w:right="299" w:firstLine="778"/>
        <w:spacing w:after="0" w:line="302" w:lineRule="auto"/>
        <w:rPr>
          <w:sz w:val="20"/>
          <w:szCs w:val="20"/>
          <w:color w:val="auto"/>
        </w:rPr>
      </w:pPr>
      <w:r>
        <w:rPr>
          <w:rFonts w:ascii="Arial" w:cs="Arial" w:eastAsia="Arial" w:hAnsi="Arial"/>
          <w:sz w:val="16"/>
          <w:szCs w:val="16"/>
          <w:color w:val="auto"/>
        </w:rPr>
        <w:t>We anticipate 2011 may be equally as challenging. It appears that our industry is beginning to face an increased amount of competition for working adult students as more universities have begun offering working adults options to return to school, and the easing of the economic downturn of the last three years, which had created a counter-cyclical environment. The legislative hearings and initiatives in the U.S. Senate, House of Representatives and at the Department of Education appear as if they will also continue.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 of 2010 Executive Compensation</w:t>
      </w:r>
    </w:p>
    <w:p>
      <w:pPr>
        <w:spacing w:after="0" w:line="198" w:lineRule="exact"/>
        <w:rPr>
          <w:sz w:val="20"/>
          <w:szCs w:val="20"/>
          <w:color w:val="auto"/>
        </w:rPr>
      </w:pPr>
    </w:p>
    <w:p>
      <w:pPr>
        <w:ind w:left="340" w:right="199" w:firstLine="778"/>
        <w:spacing w:after="0" w:line="276" w:lineRule="auto"/>
        <w:rPr>
          <w:sz w:val="20"/>
          <w:szCs w:val="20"/>
          <w:color w:val="auto"/>
        </w:rPr>
      </w:pPr>
      <w:r>
        <w:rPr>
          <w:rFonts w:ascii="Arial" w:cs="Arial" w:eastAsia="Arial" w:hAnsi="Arial"/>
          <w:sz w:val="17"/>
          <w:szCs w:val="17"/>
          <w:color w:val="auto"/>
        </w:rPr>
        <w:t>The purpose of this compensation discussion and analysis is to provide information about each material element of compensation that we pay or award to, or that is earned by, our named executive officers, who consist of our principal executive officer, our principal financial officer, and our five other most highly compensated executive officers whose total compensation for the fiscal year ended December 31, 2010, was in excess of $100,000 and who were serving as executive officers at the end of that fiscal year, all as set forth in the Summary Compensation Table set forth below.</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79" w:firstLine="778"/>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2010, the numerical and related information contained in the summary compensation and related tables presented below, and actions we have taken regarding executive compensation since the end of our 2010 fiscal year. Specifically, this compensation discussion and analysis addresses:</w:t>
      </w:r>
    </w:p>
    <w:p>
      <w:pPr>
        <w:spacing w:after="0" w:line="160" w:lineRule="exact"/>
        <w:rPr>
          <w:sz w:val="20"/>
          <w:szCs w:val="20"/>
          <w:color w:val="auto"/>
        </w:rPr>
      </w:pPr>
    </w:p>
    <w:p>
      <w:pPr>
        <w:ind w:left="1480" w:hanging="378"/>
        <w:spacing w:after="0"/>
        <w:tabs>
          <w:tab w:leader="none" w:pos="14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the objectives of our compensation program (found in the section entitled “Objectives of Compensation Programs”);</w:t>
      </w:r>
    </w:p>
    <w:p>
      <w:pPr>
        <w:spacing w:after="0" w:line="207" w:lineRule="exact"/>
        <w:rPr>
          <w:rFonts w:ascii="Arial" w:cs="Arial" w:eastAsia="Arial" w:hAnsi="Arial"/>
          <w:sz w:val="16"/>
          <w:szCs w:val="16"/>
          <w:b w:val="1"/>
          <w:bCs w:val="1"/>
          <w:color w:val="auto"/>
        </w:rPr>
      </w:pPr>
    </w:p>
    <w:p>
      <w:pPr>
        <w:ind w:left="1480" w:right="1019" w:hanging="378"/>
        <w:spacing w:after="0" w:line="277"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what our compensation program is designed to reward (also described in the section entitled “Objectives of Compensation Programs”);</w:t>
      </w:r>
    </w:p>
    <w:p>
      <w:pPr>
        <w:spacing w:after="0" w:line="129" w:lineRule="exact"/>
        <w:rPr>
          <w:rFonts w:ascii="Arial" w:cs="Arial" w:eastAsia="Arial" w:hAnsi="Arial"/>
          <w:sz w:val="18"/>
          <w:szCs w:val="18"/>
          <w:b w:val="1"/>
          <w:bCs w:val="1"/>
          <w:color w:val="auto"/>
        </w:rPr>
      </w:pPr>
    </w:p>
    <w:p>
      <w:pPr>
        <w:ind w:left="1480" w:right="599" w:hanging="378"/>
        <w:spacing w:after="0" w:line="277"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each element of compensation (set forth in the section entitled “Compensation Programs Design and Elements of Compensation”);</w:t>
      </w:r>
    </w:p>
    <w:p>
      <w:pPr>
        <w:spacing w:after="0" w:line="143" w:lineRule="exact"/>
        <w:rPr>
          <w:rFonts w:ascii="Arial" w:cs="Arial" w:eastAsia="Arial" w:hAnsi="Arial"/>
          <w:sz w:val="18"/>
          <w:szCs w:val="18"/>
          <w:b w:val="1"/>
          <w:bCs w:val="1"/>
          <w:color w:val="auto"/>
        </w:rPr>
      </w:pPr>
    </w:p>
    <w:p>
      <w:pPr>
        <w:ind w:left="1480" w:right="919" w:hanging="378"/>
        <w:spacing w:after="0" w:line="277"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129" w:lineRule="exact"/>
        <w:rPr>
          <w:rFonts w:ascii="Arial" w:cs="Arial" w:eastAsia="Arial" w:hAnsi="Arial"/>
          <w:sz w:val="18"/>
          <w:szCs w:val="18"/>
          <w:b w:val="1"/>
          <w:bCs w:val="1"/>
          <w:color w:val="auto"/>
        </w:rPr>
      </w:pPr>
    </w:p>
    <w:p>
      <w:pPr>
        <w:ind w:left="1480" w:right="239" w:hanging="378"/>
        <w:spacing w:after="0" w:line="277"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how amounts and formulas for pay are determined (also described with each element of compensation, including base pay, short-term incentives and long-term incentives); and</w:t>
      </w:r>
    </w:p>
    <w:p>
      <w:pPr>
        <w:spacing w:after="0" w:line="129" w:lineRule="exact"/>
        <w:rPr>
          <w:rFonts w:ascii="Arial" w:cs="Arial" w:eastAsia="Arial" w:hAnsi="Arial"/>
          <w:sz w:val="18"/>
          <w:szCs w:val="18"/>
          <w:b w:val="1"/>
          <w:bCs w:val="1"/>
          <w:color w:val="auto"/>
        </w:rPr>
      </w:pPr>
    </w:p>
    <w:p>
      <w:pPr>
        <w:ind w:left="1480" w:right="179" w:hanging="378"/>
        <w:spacing w:after="0" w:line="342" w:lineRule="auto"/>
        <w:tabs>
          <w:tab w:leader="none" w:pos="14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how each compensation element and our decisions regarding that element fit into the Company’s overall compensation objectives and affect decisions regarding other elements (described with each element of compensation).</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85" w:lineRule="exact"/>
        <w:rPr>
          <w:sz w:val="20"/>
          <w:szCs w:val="20"/>
          <w:color w:val="auto"/>
        </w:rPr>
      </w:pPr>
    </w:p>
    <w:p>
      <w:pPr>
        <w:ind w:left="340" w:right="579" w:firstLine="778"/>
        <w:spacing w:after="0" w:line="264"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and the level of base salary to be paid to those officers over the term of their respective employment agreements was determined as part of the negotiation process relating to such agreements.</w:t>
      </w:r>
    </w:p>
    <w:p>
      <w:pPr>
        <w:spacing w:after="0" w:line="141" w:lineRule="exact"/>
        <w:rPr>
          <w:sz w:val="20"/>
          <w:szCs w:val="20"/>
          <w:color w:val="auto"/>
        </w:rPr>
      </w:pPr>
    </w:p>
    <w:p>
      <w:pPr>
        <w:ind w:left="340" w:right="199" w:firstLine="778"/>
        <w:spacing w:after="0" w:line="255"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executive officers. Our Compensation Committee makes such determinations with respect to our Executive Chairman and Chief Executive Officer and, for all other executives, makes such determinations in consultation with our Executive Chairman and Chief Executive Officer. For additional information regarding the Compensation Committee, please see “Corporate Governance and Board Matters — Committees of Our Board of Directors — Compensation Committee.”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85" w:lineRule="exact"/>
        <w:rPr>
          <w:sz w:val="20"/>
          <w:szCs w:val="20"/>
          <w:color w:val="auto"/>
        </w:rPr>
      </w:pPr>
    </w:p>
    <w:p>
      <w:pPr>
        <w:ind w:left="340" w:right="279" w:firstLine="778"/>
        <w:spacing w:after="0" w:line="264" w:lineRule="auto"/>
        <w:rPr>
          <w:sz w:val="20"/>
          <w:szCs w:val="20"/>
          <w:color w:val="auto"/>
        </w:rPr>
      </w:pPr>
      <w:r>
        <w:rPr>
          <w:rFonts w:ascii="Arial" w:cs="Arial" w:eastAsia="Arial" w:hAnsi="Arial"/>
          <w:sz w:val="18"/>
          <w:szCs w:val="18"/>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w:t>
      </w:r>
    </w:p>
    <w:p>
      <w:pPr>
        <w:spacing w:after="0" w:line="141" w:lineRule="exact"/>
        <w:rPr>
          <w:sz w:val="20"/>
          <w:szCs w:val="20"/>
          <w:color w:val="auto"/>
        </w:rPr>
      </w:pPr>
    </w:p>
    <w:p>
      <w:pPr>
        <w:ind w:left="340" w:right="359" w:firstLine="778"/>
        <w:spacing w:after="0" w:line="297" w:lineRule="auto"/>
        <w:rPr>
          <w:sz w:val="20"/>
          <w:szCs w:val="20"/>
          <w:color w:val="auto"/>
        </w:rPr>
      </w:pPr>
      <w:r>
        <w:rPr>
          <w:rFonts w:ascii="Arial" w:cs="Arial" w:eastAsia="Arial" w:hAnsi="Arial"/>
          <w:sz w:val="16"/>
          <w:szCs w:val="16"/>
          <w:i w:val="1"/>
          <w:iCs w:val="1"/>
          <w:color w:val="auto"/>
        </w:rPr>
        <w:t xml:space="preserve">Compensation philosophy. </w:t>
      </w:r>
      <w:r>
        <w:rPr>
          <w:rFonts w:ascii="Arial" w:cs="Arial" w:eastAsia="Arial" w:hAnsi="Arial"/>
          <w:sz w:val="16"/>
          <w:szCs w:val="16"/>
          <w:color w:val="auto"/>
        </w:rPr>
        <w:t>Under our compensation philosophy, a named executive officer’s total compensation will vary</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our overall performance and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 xml:space="preserve">Compensation objectives. </w:t>
      </w:r>
      <w:r>
        <w:rPr>
          <w:rFonts w:ascii="Arial" w:cs="Arial" w:eastAsia="Arial" w:hAnsi="Arial"/>
          <w:sz w:val="16"/>
          <w:szCs w:val="16"/>
          <w:color w:val="auto"/>
        </w:rPr>
        <w:t>We believe that the compensation program we follow helps us achieve the following objectives:</w:t>
      </w:r>
    </w:p>
    <w:p>
      <w:pPr>
        <w:spacing w:after="0" w:line="208" w:lineRule="exact"/>
        <w:rPr>
          <w:sz w:val="20"/>
          <w:szCs w:val="20"/>
          <w:color w:val="auto"/>
        </w:rPr>
      </w:pPr>
    </w:p>
    <w:p>
      <w:pPr>
        <w:ind w:left="1480" w:right="419" w:hanging="378"/>
        <w:spacing w:after="0" w:line="259" w:lineRule="auto"/>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Compensation should be related to performance. </w:t>
      </w:r>
      <w:r>
        <w:rPr>
          <w:rFonts w:ascii="Arial" w:cs="Arial" w:eastAsia="Arial" w:hAnsi="Arial"/>
          <w:sz w:val="18"/>
          <w:szCs w:val="18"/>
          <w:color w:val="auto"/>
        </w:rPr>
        <w:t>We believe that the performance-based portion of an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total compensation should increase as the individual’s business responsibilities increase. Thus, a material portion of executive compensation is linked to our and the individual’s performance, which also serves to align the named executive officers’ interests with those of our investors.</w:t>
      </w:r>
    </w:p>
    <w:p>
      <w:pPr>
        <w:spacing w:after="0" w:line="146" w:lineRule="exact"/>
        <w:rPr>
          <w:rFonts w:ascii="Arial" w:cs="Arial" w:eastAsia="Arial" w:hAnsi="Arial"/>
          <w:sz w:val="18"/>
          <w:szCs w:val="18"/>
          <w:b w:val="1"/>
          <w:bCs w:val="1"/>
          <w:color w:val="auto"/>
        </w:rPr>
      </w:pPr>
    </w:p>
    <w:p>
      <w:pPr>
        <w:ind w:left="1480" w:right="259" w:hanging="378"/>
        <w:spacing w:after="0" w:line="255" w:lineRule="auto"/>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programs should foster an</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459" w:firstLine="778"/>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2010, our named executive officers’ total in-service compensation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salaries, cash bonuses, limited perquisites, and other benefits generally available to all employees. With regard to these components, we adhere to the following compensation policies:</w:t>
      </w:r>
    </w:p>
    <w:p>
      <w:pPr>
        <w:spacing w:after="0" w:line="141" w:lineRule="exact"/>
        <w:rPr>
          <w:sz w:val="20"/>
          <w:szCs w:val="20"/>
          <w:color w:val="auto"/>
        </w:rPr>
      </w:pPr>
    </w:p>
    <w:p>
      <w:pPr>
        <w:ind w:left="1480" w:right="219" w:hanging="378"/>
        <w:spacing w:after="0" w:line="276" w:lineRule="auto"/>
        <w:tabs>
          <w:tab w:leader="none" w:pos="1480" w:val="left"/>
        </w:tabs>
        <w:numPr>
          <w:ilvl w:val="0"/>
          <w:numId w:val="2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Founders with significant equity stakes require limited cash or equity incentives. </w:t>
      </w:r>
      <w:r>
        <w:rPr>
          <w:rFonts w:ascii="Arial" w:cs="Arial" w:eastAsia="Arial" w:hAnsi="Arial"/>
          <w:sz w:val="17"/>
          <w:szCs w:val="17"/>
          <w:color w:val="auto"/>
        </w:rPr>
        <w:t>As founders of our Company, Brent</w:t>
      </w:r>
      <w:r>
        <w:rPr>
          <w:rFonts w:ascii="Arial" w:cs="Arial" w:eastAsia="Arial" w:hAnsi="Arial"/>
          <w:sz w:val="17"/>
          <w:szCs w:val="17"/>
          <w:i w:val="1"/>
          <w:iCs w:val="1"/>
          <w:color w:val="auto"/>
        </w:rPr>
        <w:t xml:space="preserve"> </w:t>
      </w:r>
      <w:r>
        <w:rPr>
          <w:rFonts w:ascii="Arial" w:cs="Arial" w:eastAsia="Arial" w:hAnsi="Arial"/>
          <w:sz w:val="17"/>
          <w:szCs w:val="17"/>
          <w:color w:val="auto"/>
        </w:rPr>
        <w:t>D. Richardson and Christopher C. Richardson have significant equity ownership in the Company. We believe that the Richardsons’ ownership stake provides a level of motivation that would not be appreciably enhanced through material cash bonus opportunities or the grant of further equity incentives. Accordingly, in 2010, the Richardsons were compensated solely through base salary, a limited bonus and limited perquisites.</w:t>
      </w:r>
    </w:p>
    <w:p>
      <w:pPr>
        <w:spacing w:after="0" w:line="132" w:lineRule="exact"/>
        <w:rPr>
          <w:rFonts w:ascii="Arial" w:cs="Arial" w:eastAsia="Arial" w:hAnsi="Arial"/>
          <w:sz w:val="17"/>
          <w:szCs w:val="17"/>
          <w:b w:val="1"/>
          <w:bCs w:val="1"/>
          <w:color w:val="auto"/>
        </w:rPr>
      </w:pPr>
    </w:p>
    <w:p>
      <w:pPr>
        <w:jc w:val="both"/>
        <w:ind w:left="1480" w:right="259" w:hanging="378"/>
        <w:spacing w:after="0" w:line="279" w:lineRule="auto"/>
        <w:tabs>
          <w:tab w:leader="none" w:pos="1480" w:val="left"/>
        </w:tabs>
        <w:numPr>
          <w:ilvl w:val="0"/>
          <w:numId w:val="2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Cash should be the principal component of compensation. </w:t>
      </w:r>
      <w:r>
        <w:rPr>
          <w:rFonts w:ascii="Arial" w:cs="Arial" w:eastAsia="Arial" w:hAnsi="Arial"/>
          <w:sz w:val="17"/>
          <w:szCs w:val="17"/>
          <w:color w:val="auto"/>
        </w:rPr>
        <w:t>The Company’s compensation policy focuses most heavily</w:t>
      </w:r>
      <w:r>
        <w:rPr>
          <w:rFonts w:ascii="Arial" w:cs="Arial" w:eastAsia="Arial" w:hAnsi="Arial"/>
          <w:sz w:val="17"/>
          <w:szCs w:val="17"/>
          <w:i w:val="1"/>
          <w:iCs w:val="1"/>
          <w:color w:val="auto"/>
        </w:rPr>
        <w:t xml:space="preserve"> </w:t>
      </w:r>
      <w:r>
        <w:rPr>
          <w:rFonts w:ascii="Arial" w:cs="Arial" w:eastAsia="Arial" w:hAnsi="Arial"/>
          <w:sz w:val="17"/>
          <w:szCs w:val="17"/>
          <w:color w:val="auto"/>
        </w:rPr>
        <w:t>on providing the opportunity for its named executive officers to earn total cash compensation at levels that enable the Company to achieve the motivation and retention goals described above, and to provide equity incentives as a reward for superior performance rather than as a substitute for cash compensation.</w:t>
      </w:r>
    </w:p>
    <w:p>
      <w:pPr>
        <w:spacing w:after="0" w:line="144" w:lineRule="exact"/>
        <w:rPr>
          <w:rFonts w:ascii="Arial" w:cs="Arial" w:eastAsia="Arial" w:hAnsi="Arial"/>
          <w:sz w:val="17"/>
          <w:szCs w:val="17"/>
          <w:b w:val="1"/>
          <w:bCs w:val="1"/>
          <w:color w:val="auto"/>
        </w:rPr>
      </w:pPr>
    </w:p>
    <w:p>
      <w:pPr>
        <w:ind w:left="1480" w:right="219" w:hanging="378"/>
        <w:spacing w:after="0" w:line="302" w:lineRule="auto"/>
        <w:tabs>
          <w:tab w:leader="none" w:pos="1480" w:val="left"/>
        </w:tabs>
        <w:numPr>
          <w:ilvl w:val="0"/>
          <w:numId w:val="26"/>
        </w:numPr>
        <w:rPr>
          <w:rFonts w:ascii="Arial" w:cs="Arial" w:eastAsia="Arial" w:hAnsi="Arial"/>
          <w:sz w:val="16"/>
          <w:szCs w:val="16"/>
          <w:b w:val="1"/>
          <w:bCs w:val="1"/>
          <w:color w:val="auto"/>
        </w:rPr>
      </w:pPr>
      <w:r>
        <w:rPr>
          <w:rFonts w:ascii="Arial" w:cs="Arial" w:eastAsia="Arial" w:hAnsi="Arial"/>
          <w:sz w:val="16"/>
          <w:szCs w:val="16"/>
          <w:i w:val="1"/>
          <w:iCs w:val="1"/>
          <w:color w:val="auto"/>
        </w:rPr>
        <w:t>Base salaries should generally be the largest component of cash compensation</w:t>
      </w:r>
      <w:r>
        <w:rPr>
          <w:rFonts w:ascii="Arial" w:cs="Arial" w:eastAsia="Arial" w:hAnsi="Arial"/>
          <w:sz w:val="16"/>
          <w:szCs w:val="16"/>
          <w:color w:val="auto"/>
        </w:rPr>
        <w:t>. Our compensation programs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our view that base salaries reflect compensation for the named executive officers to perform the essential elements of their respective jobs, and that cash bonuses are a reward for superior company and individual performance. In this regard, base salary should generally be the largest component of cash compensation.</w:t>
      </w:r>
    </w:p>
    <w:p>
      <w:pPr>
        <w:spacing w:after="0" w:line="113" w:lineRule="exact"/>
        <w:rPr>
          <w:rFonts w:ascii="Arial" w:cs="Arial" w:eastAsia="Arial" w:hAnsi="Arial"/>
          <w:sz w:val="16"/>
          <w:szCs w:val="16"/>
          <w:b w:val="1"/>
          <w:bCs w:val="1"/>
          <w:color w:val="auto"/>
        </w:rPr>
      </w:pPr>
    </w:p>
    <w:p>
      <w:pPr>
        <w:ind w:left="1480" w:right="159" w:hanging="378"/>
        <w:spacing w:after="0" w:line="277"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Cash Incentive Plan, bonuses paid to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are based on overall company and individual performance.</w:t>
      </w:r>
    </w:p>
    <w:p>
      <w:pPr>
        <w:spacing w:after="0" w:line="130" w:lineRule="exact"/>
        <w:rPr>
          <w:sz w:val="20"/>
          <w:szCs w:val="20"/>
          <w:color w:val="auto"/>
        </w:rPr>
      </w:pPr>
    </w:p>
    <w:p>
      <w:pPr>
        <w:ind w:left="340" w:right="739" w:firstLine="778"/>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85" w:lineRule="exact"/>
        <w:rPr>
          <w:sz w:val="20"/>
          <w:szCs w:val="20"/>
          <w:color w:val="auto"/>
        </w:rPr>
      </w:pPr>
    </w:p>
    <w:p>
      <w:pPr>
        <w:ind w:left="340" w:right="419" w:firstLine="778"/>
        <w:spacing w:after="0" w:line="264"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41" w:lineRule="exact"/>
        <w:rPr>
          <w:sz w:val="20"/>
          <w:szCs w:val="20"/>
          <w:color w:val="auto"/>
        </w:rPr>
      </w:pPr>
    </w:p>
    <w:p>
      <w:pPr>
        <w:ind w:left="340" w:right="239" w:firstLine="778"/>
        <w:spacing w:after="0" w:line="264"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2010 fiscal year, our executive compensation mix included base salary, cash</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share-based compensation, limited perquisites, and other benefits generally available to all employees. We generally determine the nature and amount of each element of compensation as follows:</w:t>
      </w:r>
    </w:p>
    <w:p>
      <w:pPr>
        <w:spacing w:after="0" w:line="154" w:lineRule="exact"/>
        <w:rPr>
          <w:sz w:val="20"/>
          <w:szCs w:val="20"/>
          <w:color w:val="auto"/>
        </w:rPr>
      </w:pPr>
    </w:p>
    <w:p>
      <w:pPr>
        <w:ind w:left="1480" w:right="219" w:hanging="378"/>
        <w:spacing w:after="0" w:line="270" w:lineRule="auto"/>
        <w:tabs>
          <w:tab w:leader="none" w:pos="1480" w:val="left"/>
        </w:tabs>
        <w:numPr>
          <w:ilvl w:val="0"/>
          <w:numId w:val="2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typically agree upon a base salary with a named executive officer at the time of initial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141" w:lineRule="exact"/>
        <w:rPr>
          <w:rFonts w:ascii="Arial" w:cs="Arial" w:eastAsia="Arial" w:hAnsi="Arial"/>
          <w:sz w:val="17"/>
          <w:szCs w:val="17"/>
          <w:b w:val="1"/>
          <w:bCs w:val="1"/>
          <w:color w:val="auto"/>
        </w:rPr>
      </w:pPr>
    </w:p>
    <w:p>
      <w:pPr>
        <w:ind w:left="1480" w:right="299" w:hanging="378"/>
        <w:spacing w:after="0" w:line="259" w:lineRule="auto"/>
        <w:tabs>
          <w:tab w:leader="none" w:pos="1480"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success and their individual performance in a given year. For 2010, we awarded performance-related bonuses based on the Cash Incentive Plan. The operation of this plan as it relates to our named executive officers is described in more detail below.</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80" w:right="219" w:hanging="378"/>
        <w:spacing w:after="0" w:line="276" w:lineRule="auto"/>
        <w:tabs>
          <w:tab w:leader="none" w:pos="1480" w:val="left"/>
        </w:tabs>
        <w:numPr>
          <w:ilvl w:val="0"/>
          <w:numId w:val="28"/>
        </w:numPr>
        <w:rPr>
          <w:rFonts w:ascii="Arial" w:cs="Arial" w:eastAsia="Arial" w:hAnsi="Arial"/>
          <w:sz w:val="17"/>
          <w:szCs w:val="17"/>
          <w:b w:val="1"/>
          <w:bCs w:val="1"/>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Our Equity Incentive Plan had authorized 6,478,015 shares of common stock for grants as</w:t>
      </w:r>
      <w:r>
        <w:rPr>
          <w:rFonts w:ascii="Arial" w:cs="Arial" w:eastAsia="Arial" w:hAnsi="Arial"/>
          <w:sz w:val="17"/>
          <w:szCs w:val="17"/>
          <w:i w:val="1"/>
          <w:iCs w:val="1"/>
          <w:color w:val="auto"/>
        </w:rPr>
        <w:t xml:space="preserve"> </w:t>
      </w:r>
      <w:r>
        <w:rPr>
          <w:rFonts w:ascii="Arial" w:cs="Arial" w:eastAsia="Arial" w:hAnsi="Arial"/>
          <w:sz w:val="17"/>
          <w:szCs w:val="17"/>
          <w:color w:val="auto"/>
        </w:rPr>
        <w:t>of December 31, 2010. Under the terms of this plan, the number of shares authorized for grants thereunder automatically increased on January 1, 2011 by 2.5% of the number of shares of our common stock issued and outstanding on December 31, 2010, to 7,621,065 shares. In 2010, our named executive officers received grants under this plan as part of an overall, annual grant made to company employees.</w:t>
      </w:r>
    </w:p>
    <w:p>
      <w:pPr>
        <w:spacing w:after="0" w:line="132" w:lineRule="exact"/>
        <w:rPr>
          <w:rFonts w:ascii="Arial" w:cs="Arial" w:eastAsia="Arial" w:hAnsi="Arial"/>
          <w:sz w:val="17"/>
          <w:szCs w:val="17"/>
          <w:b w:val="1"/>
          <w:bCs w:val="1"/>
          <w:color w:val="auto"/>
        </w:rPr>
      </w:pPr>
    </w:p>
    <w:p>
      <w:pPr>
        <w:ind w:left="1480" w:right="299" w:hanging="378"/>
        <w:spacing w:after="0" w:line="259" w:lineRule="auto"/>
        <w:tabs>
          <w:tab w:leader="none" w:pos="1480" w:val="left"/>
        </w:tabs>
        <w:numPr>
          <w:ilvl w:val="0"/>
          <w:numId w:val="2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seek to compensate our named executive officers at levels that eliminate the need for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and enable each individual officer to provide for his or her own needs. Accordingly, in 2010, we provided limited perquisites to our named executive officers. See “Compensation of Executive Officers — Summary Compensation Table” for additional detail.</w:t>
      </w:r>
    </w:p>
    <w:p>
      <w:pPr>
        <w:spacing w:after="0" w:line="146" w:lineRule="exact"/>
        <w:rPr>
          <w:rFonts w:ascii="Arial" w:cs="Arial" w:eastAsia="Arial" w:hAnsi="Arial"/>
          <w:sz w:val="18"/>
          <w:szCs w:val="18"/>
          <w:b w:val="1"/>
          <w:bCs w:val="1"/>
          <w:color w:val="auto"/>
        </w:rPr>
      </w:pPr>
    </w:p>
    <w:p>
      <w:pPr>
        <w:ind w:left="1480" w:right="219" w:hanging="378"/>
        <w:spacing w:after="0" w:line="290" w:lineRule="auto"/>
        <w:tabs>
          <w:tab w:leader="none" w:pos="1480" w:val="left"/>
        </w:tabs>
        <w:numPr>
          <w:ilvl w:val="0"/>
          <w:numId w:val="2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We offer other employee benefits to named executive officers for the purpose of meeting current and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Employees may make pre-tax contributions into the plan, expressed as a percentage of compensation, up to prescribed IRS annual limits, with such contributions subject to a matching Company contribution up to prescribed limits.</w:t>
      </w:r>
    </w:p>
    <w:p>
      <w:pPr>
        <w:spacing w:after="0" w:line="139" w:lineRule="exact"/>
        <w:rPr>
          <w:sz w:val="20"/>
          <w:szCs w:val="20"/>
          <w:color w:val="auto"/>
        </w:rPr>
      </w:pPr>
    </w:p>
    <w:p>
      <w:pPr>
        <w:ind w:left="340" w:right="219" w:firstLine="778"/>
        <w:spacing w:after="0" w:line="289" w:lineRule="auto"/>
        <w:rPr>
          <w:sz w:val="20"/>
          <w:szCs w:val="20"/>
          <w:color w:val="auto"/>
        </w:rPr>
      </w:pPr>
      <w:r>
        <w:rPr>
          <w:rFonts w:ascii="Arial" w:cs="Arial" w:eastAsia="Arial" w:hAnsi="Arial"/>
          <w:sz w:val="16"/>
          <w:szCs w:val="16"/>
          <w:i w:val="1"/>
          <w:iCs w:val="1"/>
          <w:color w:val="auto"/>
        </w:rPr>
        <w:t xml:space="preserve">Elements of Post-Termination Compensation and Benefits. </w:t>
      </w:r>
      <w:r>
        <w:rPr>
          <w:rFonts w:ascii="Arial" w:cs="Arial" w:eastAsia="Arial" w:hAnsi="Arial"/>
          <w:sz w:val="16"/>
          <w:szCs w:val="16"/>
          <w:color w:val="auto"/>
        </w:rPr>
        <w:t>The employment agreements of our current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provide for post-termination 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2010 pursuant to the written employment agreements consisted of the following:</w:t>
      </w:r>
    </w:p>
    <w:p>
      <w:pPr>
        <w:spacing w:after="0" w:line="126" w:lineRule="exact"/>
        <w:rPr>
          <w:sz w:val="20"/>
          <w:szCs w:val="20"/>
          <w:color w:val="auto"/>
        </w:rPr>
      </w:pPr>
    </w:p>
    <w:p>
      <w:pPr>
        <w:ind w:left="1480" w:right="879" w:hanging="378"/>
        <w:spacing w:after="0" w:line="277" w:lineRule="auto"/>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12 months following any qualifying termination of employment.</w:t>
      </w:r>
    </w:p>
    <w:p>
      <w:pPr>
        <w:spacing w:after="0" w:line="129" w:lineRule="exact"/>
        <w:rPr>
          <w:rFonts w:ascii="Arial" w:cs="Arial" w:eastAsia="Arial" w:hAnsi="Arial"/>
          <w:sz w:val="18"/>
          <w:szCs w:val="18"/>
          <w:b w:val="1"/>
          <w:bCs w:val="1"/>
          <w:color w:val="auto"/>
        </w:rPr>
      </w:pPr>
    </w:p>
    <w:p>
      <w:pPr>
        <w:ind w:left="1480" w:right="879" w:hanging="378"/>
        <w:spacing w:after="0" w:line="342" w:lineRule="auto"/>
        <w:tabs>
          <w:tab w:leader="none" w:pos="1480" w:val="left"/>
        </w:tabs>
        <w:numPr>
          <w:ilvl w:val="0"/>
          <w:numId w:val="2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Benefits continuation. </w:t>
      </w:r>
      <w:r>
        <w:rPr>
          <w:rFonts w:ascii="Arial" w:cs="Arial" w:eastAsia="Arial" w:hAnsi="Arial"/>
          <w:sz w:val="16"/>
          <w:szCs w:val="16"/>
          <w:color w:val="auto"/>
        </w:rPr>
        <w:t>Each named executive officer would continue to receive Company -paid premiums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group health benefits under COBRA during the 12-month salary continuation period.</w:t>
      </w:r>
    </w:p>
    <w:p>
      <w:pPr>
        <w:spacing w:after="0" w:line="96" w:lineRule="exact"/>
        <w:rPr>
          <w:rFonts w:ascii="Arial" w:cs="Arial" w:eastAsia="Arial" w:hAnsi="Arial"/>
          <w:sz w:val="16"/>
          <w:szCs w:val="16"/>
          <w:b w:val="1"/>
          <w:bCs w:val="1"/>
          <w:color w:val="auto"/>
        </w:rPr>
      </w:pPr>
    </w:p>
    <w:p>
      <w:pPr>
        <w:ind w:left="1480" w:right="339" w:hanging="378"/>
        <w:spacing w:after="0" w:line="286" w:lineRule="auto"/>
        <w:tabs>
          <w:tab w:leader="none" w:pos="1480" w:val="left"/>
        </w:tabs>
        <w:numPr>
          <w:ilvl w:val="0"/>
          <w:numId w:val="29"/>
        </w:numPr>
        <w:rPr>
          <w:rFonts w:ascii="Arial" w:cs="Arial" w:eastAsia="Arial" w:hAnsi="Arial"/>
          <w:sz w:val="17"/>
          <w:szCs w:val="17"/>
          <w:b w:val="1"/>
          <w:bCs w:val="1"/>
          <w:color w:val="auto"/>
        </w:rPr>
      </w:pPr>
      <w:r>
        <w:rPr>
          <w:rFonts w:ascii="Arial" w:cs="Arial" w:eastAsia="Arial" w:hAnsi="Arial"/>
          <w:sz w:val="17"/>
          <w:szCs w:val="17"/>
          <w:i w:val="1"/>
          <w:iCs w:val="1"/>
          <w:color w:val="auto"/>
        </w:rPr>
        <w:t>Partially accelerated vesting of stock options</w:t>
      </w:r>
      <w:r>
        <w:rPr>
          <w:rFonts w:ascii="Arial" w:cs="Arial" w:eastAsia="Arial" w:hAnsi="Arial"/>
          <w:sz w:val="17"/>
          <w:szCs w:val="17"/>
          <w:color w:val="auto"/>
        </w:rPr>
        <w:t>. Mr. Mueller, Dr. Meyer, and Mr. Bachus would receive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acceleration of the vesting of certain of their stock options to the next vesting date immediately following the date of termination, in the event of a termination by us without Cause or by the executive for Good Reason.</w:t>
      </w:r>
    </w:p>
    <w:p>
      <w:pPr>
        <w:spacing w:after="0" w:line="125" w:lineRule="exact"/>
        <w:rPr>
          <w:rFonts w:ascii="Arial" w:cs="Arial" w:eastAsia="Arial" w:hAnsi="Arial"/>
          <w:sz w:val="17"/>
          <w:szCs w:val="17"/>
          <w:b w:val="1"/>
          <w:bCs w:val="1"/>
          <w:color w:val="auto"/>
        </w:rPr>
      </w:pPr>
    </w:p>
    <w:p>
      <w:pPr>
        <w:ind w:left="1480" w:right="419" w:hanging="378"/>
        <w:spacing w:after="0" w:line="264" w:lineRule="auto"/>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 Reason within 12 months following a Change in Control, each named executive officer would receive full acceleration of the vesting of their stock options.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See “Potential Payments Upon Termination or Change in Control” for additional detail.</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98" w:lineRule="exact"/>
        <w:rPr>
          <w:sz w:val="20"/>
          <w:szCs w:val="20"/>
          <w:color w:val="auto"/>
        </w:rPr>
      </w:pPr>
    </w:p>
    <w:p>
      <w:pPr>
        <w:ind w:left="340" w:right="179" w:firstLine="778"/>
        <w:spacing w:after="0" w:line="286" w:lineRule="auto"/>
        <w:rPr>
          <w:sz w:val="20"/>
          <w:szCs w:val="20"/>
          <w:color w:val="auto"/>
        </w:rPr>
      </w:pPr>
      <w:r>
        <w:rPr>
          <w:rFonts w:ascii="Arial" w:cs="Arial" w:eastAsia="Arial" w:hAnsi="Arial"/>
          <w:sz w:val="16"/>
          <w:szCs w:val="16"/>
          <w:color w:val="auto"/>
        </w:rPr>
        <w:t>Under the Cash Incentive Plan, a participant’s bonus is based on the Company’s achievement of revenue and Adjusted EBITDA targets, as well as the participant’s achievement of individual performance goals. For purposes of the plan, Adjusted EBITDA is defined as net income plus interest expense net of interest income, plus income tax expense, and plus depreciation and amortization (EBITDA), as adjusted for (i) royalty payments incurred pursuant to an agreement with our former owner that was terminated as of April 15, 2008; (ii) share-based compensation and any other expense related to equity compensation awards for the applicable fiscal year; (iii) any extraordinary, nonrecurring items, as determined by the Compensation Committee; and (iv) all amounts (including settlement payments, legal fees, costs and other litigation and/or settlement expenses) expensed during the applicable fiscal year in connection with the settlement of litigation matters. We focus on Adjusted EBITDA in connection with our Cash Incentive Plan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in our Annual Report on Form 10-K for further information. As such, we believe it is fair and reasonable to our executives to assess their individual performance on the same basis as our performance is assessed by our Board of Directors and investors.</w:t>
      </w:r>
    </w:p>
    <w:p>
      <w:pPr>
        <w:spacing w:after="0" w:line="134" w:lineRule="exact"/>
        <w:rPr>
          <w:sz w:val="20"/>
          <w:szCs w:val="20"/>
          <w:color w:val="auto"/>
        </w:rPr>
      </w:pPr>
    </w:p>
    <w:p>
      <w:pPr>
        <w:ind w:left="340" w:right="179" w:firstLine="778"/>
        <w:spacing w:after="0" w:line="342" w:lineRule="auto"/>
        <w:rPr>
          <w:sz w:val="20"/>
          <w:szCs w:val="20"/>
          <w:color w:val="auto"/>
        </w:rPr>
      </w:pPr>
      <w:r>
        <w:rPr>
          <w:rFonts w:ascii="Arial" w:cs="Arial" w:eastAsia="Arial" w:hAnsi="Arial"/>
          <w:sz w:val="16"/>
          <w:szCs w:val="16"/>
          <w:i w:val="1"/>
          <w:iCs w:val="1"/>
          <w:color w:val="auto"/>
        </w:rPr>
        <w:t>Company performance</w:t>
      </w:r>
      <w:r>
        <w:rPr>
          <w:rFonts w:ascii="Arial" w:cs="Arial" w:eastAsia="Arial" w:hAnsi="Arial"/>
          <w:sz w:val="16"/>
          <w:szCs w:val="16"/>
          <w:color w:val="auto"/>
        </w:rPr>
        <w:t>. Depending on a participant’s management level, the financial metrics account for between 60% and</w:t>
      </w:r>
      <w:r>
        <w:rPr>
          <w:rFonts w:ascii="Arial" w:cs="Arial" w:eastAsia="Arial" w:hAnsi="Arial"/>
          <w:sz w:val="16"/>
          <w:szCs w:val="16"/>
          <w:i w:val="1"/>
          <w:iCs w:val="1"/>
          <w:color w:val="auto"/>
        </w:rPr>
        <w:t xml:space="preserve"> </w:t>
      </w:r>
      <w:r>
        <w:rPr>
          <w:rFonts w:ascii="Arial" w:cs="Arial" w:eastAsia="Arial" w:hAnsi="Arial"/>
          <w:sz w:val="16"/>
          <w:szCs w:val="16"/>
          <w:color w:val="auto"/>
        </w:rPr>
        <w:t>80% of the target bonus and the specific individual performance goals account for between 20% and 40% of the target bonus.</w:t>
      </w:r>
    </w:p>
    <w:p>
      <w:pPr>
        <w:spacing w:after="0" w:line="83" w:lineRule="exact"/>
        <w:rPr>
          <w:sz w:val="20"/>
          <w:szCs w:val="20"/>
          <w:color w:val="auto"/>
        </w:rPr>
      </w:pPr>
    </w:p>
    <w:p>
      <w:pPr>
        <w:ind w:left="340" w:right="599" w:firstLine="778"/>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that, with respect to a given participant, may include achieving objectives related to, among other things, program development and expansion, regulatory compliance, and enrollment growth.</w:t>
      </w:r>
    </w:p>
    <w:p>
      <w:pPr>
        <w:spacing w:after="0" w:line="154" w:lineRule="exact"/>
        <w:rPr>
          <w:sz w:val="20"/>
          <w:szCs w:val="20"/>
          <w:color w:val="auto"/>
        </w:rPr>
      </w:pPr>
    </w:p>
    <w:p>
      <w:pPr>
        <w:ind w:left="340" w:right="319" w:firstLine="778"/>
        <w:spacing w:after="0" w:line="264"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the Compensation Committee establishes a target bonus,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stated as a percentage of the officer’s base salary. For 2010, the target bonus percentage for the named executive officers was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Target Bonus as a</w:t>
            </w:r>
          </w:p>
        </w:tc>
      </w:tr>
      <w:tr>
        <w:trPr>
          <w:trHeight w:val="234"/>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 of Base Salary</w:t>
            </w:r>
          </w:p>
        </w:tc>
        <w:tc>
          <w:tcPr>
            <w:tcW w:w="160" w:type="dxa"/>
            <w:vAlign w:val="bottom"/>
          </w:tcPr>
          <w:p>
            <w:pPr>
              <w:spacing w:after="0"/>
              <w:rPr>
                <w:sz w:val="20"/>
                <w:szCs w:val="20"/>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Brian E. Mueller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Daniel E. Bachus</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61" w:lineRule="exact"/>
        <w:rPr>
          <w:sz w:val="20"/>
          <w:szCs w:val="20"/>
          <w:color w:val="auto"/>
        </w:rPr>
      </w:pPr>
    </w:p>
    <w:p>
      <w:pPr>
        <w:ind w:left="340" w:right="179" w:firstLine="778"/>
        <w:spacing w:after="0" w:line="288" w:lineRule="auto"/>
        <w:rPr>
          <w:sz w:val="20"/>
          <w:szCs w:val="20"/>
          <w:color w:val="auto"/>
        </w:rPr>
      </w:pPr>
      <w:r>
        <w:rPr>
          <w:rFonts w:ascii="Arial" w:cs="Arial" w:eastAsia="Arial" w:hAnsi="Arial"/>
          <w:sz w:val="16"/>
          <w:szCs w:val="16"/>
          <w:color w:val="auto"/>
        </w:rPr>
        <w:t>For each named executive officer, the financial metrics account for 80% of the target bonus, with the revenue target and the Adjusted EBITDA target accounting for 50.0% each of such 80%, respectively, and the specific individual performance goals accounting for 20% of the target bonus. The actual percentage is determined on the basis of the Company’s achievement of the revenue and Adjusted EBITDA targets that the Compensation Committee establishes for the applicable fiscal year. With respect to these targets, the threshold goal is set using the Company’s budget for the applicable fiscal year. For participants to earn any payout under the plan, the Company must achieve at least of 95% of both budgeted revenue and Adjusted EBITDA. Assuming both of these thresholds are achieved, payouts are made based on the Company’s achievement of a minimum of 95% of budgeted revenue and Adjusted EBITDA (resulting in a bonus of 50% of the target bonus allocable to the financial metrics) and a maximum of 105% of budgeted revenue and 107% of Adjusted EBITDA (resulting in a bonus of 150% of the target bonus allocable to the financial metrics). Performance between minimum and maximum levels results in prorated payments to plan participants using straight-line interpolation.</w:t>
      </w: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400" w:type="dxa"/>
            <w:vAlign w:val="bottom"/>
            <w:gridSpan w:val="2"/>
          </w:tcPr>
          <w:p>
            <w:pPr>
              <w:ind w:left="780"/>
              <w:spacing w:after="0"/>
              <w:rPr>
                <w:sz w:val="20"/>
                <w:szCs w:val="20"/>
                <w:color w:val="auto"/>
              </w:rPr>
            </w:pPr>
            <w:r>
              <w:rPr>
                <w:rFonts w:ascii="Arial" w:cs="Arial" w:eastAsia="Arial" w:hAnsi="Arial"/>
                <w:sz w:val="18"/>
                <w:szCs w:val="18"/>
                <w:color w:val="auto"/>
                <w:w w:val="98"/>
              </w:rPr>
              <w:t>Shown below is a summary of the matrix described above: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Goal</w:t>
            </w:r>
          </w:p>
        </w:tc>
        <w:tc>
          <w:tcPr>
            <w:tcW w:w="2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2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3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goal</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95% of budget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100% of budget</w:t>
            </w:r>
          </w:p>
        </w:tc>
        <w:tc>
          <w:tcPr>
            <w:tcW w:w="1540" w:type="dxa"/>
            <w:vAlign w:val="bottom"/>
            <w:gridSpan w:val="3"/>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0"/>
              </w:rPr>
              <w:t>105% of budget</w:t>
            </w:r>
          </w:p>
        </w:tc>
      </w:tr>
      <w:tr>
        <w:trPr>
          <w:trHeight w:val="230"/>
        </w:trPr>
        <w:tc>
          <w:tcPr>
            <w:tcW w:w="340" w:type="dxa"/>
            <w:vAlign w:val="bottom"/>
          </w:tcPr>
          <w:p>
            <w:pPr>
              <w:spacing w:after="0"/>
              <w:rPr>
                <w:sz w:val="20"/>
                <w:szCs w:val="20"/>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(50.0% of financial metric)</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 of budget</w:t>
            </w:r>
          </w:p>
        </w:tc>
        <w:tc>
          <w:tcPr>
            <w:tcW w:w="2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100% of budget</w:t>
            </w:r>
          </w:p>
        </w:tc>
        <w:tc>
          <w:tcPr>
            <w:tcW w:w="3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107% of</w:t>
            </w:r>
          </w:p>
        </w:tc>
      </w:tr>
      <w:tr>
        <w:trPr>
          <w:trHeight w:val="230"/>
        </w:trPr>
        <w:tc>
          <w:tcPr>
            <w:tcW w:w="340" w:type="dxa"/>
            <w:vAlign w:val="bottom"/>
          </w:tcPr>
          <w:p>
            <w:pPr>
              <w:spacing w:after="0"/>
              <w:rPr>
                <w:sz w:val="20"/>
                <w:szCs w:val="20"/>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(50.0% of financial metric)</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budget</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 as a % of target bonus allocable to financial metrics</w:t>
            </w:r>
          </w:p>
        </w:tc>
        <w:tc>
          <w:tcPr>
            <w:tcW w:w="13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c>
          <w:tcPr>
            <w:tcW w:w="14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100%</w:t>
            </w: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340" w:right="199" w:firstLine="778"/>
        <w:spacing w:after="0" w:line="287" w:lineRule="auto"/>
        <w:rPr>
          <w:sz w:val="20"/>
          <w:szCs w:val="20"/>
          <w:color w:val="auto"/>
        </w:rPr>
      </w:pPr>
      <w:r>
        <w:rPr>
          <w:rFonts w:ascii="Arial" w:cs="Arial" w:eastAsia="Arial" w:hAnsi="Arial"/>
          <w:sz w:val="16"/>
          <w:szCs w:val="16"/>
          <w:color w:val="auto"/>
        </w:rPr>
        <w:t>Under the Cash Incentive Plan, the actual bonus that a named executive officer could earn under the plan for a given fiscal year ranges from 0% to a maximum of 140% of his or her annual target bonus (with such maximum achieved by obtaining the maximum payout for achieving the financial metrics (80% * 150%, or 120%) and achieving the individual goals (an additional 20%). To illustrate how the plan functions, assume that a participant’s base salary for 2010 is $300,000 and that the target bonus is 50% of base salary. Of this target bonus of $150,000, $60,000 (or 50.0% of the 80% subject to achievement of the financial metrics) would be based upon the Company’s achievement of the revenue target, $60,000 (or 50.0% of the 80% subject to the achievement of the financial metrics) would be based on the Company’s achievement of the Adjusted EBITDA target, and $30,000 (20%) would be based on the participant’s achievement of his or her individual performance goals. If the revenue target is achieved at the threshold level (so only 50% of the revenue component is payable at that level), the Adjusted EBITDA target is achieved at the target level (so that 100% of the Adjusted EBITDA component is payable at that level), and the specific individual performance goals are met, the participant would be entitled to a potential bonus of $120,000 (calculated as $30,000 plus $60,000 plus $30,000).</w:t>
      </w:r>
    </w:p>
    <w:p>
      <w:pPr>
        <w:spacing w:after="0" w:line="132" w:lineRule="exact"/>
        <w:rPr>
          <w:sz w:val="20"/>
          <w:szCs w:val="20"/>
          <w:color w:val="auto"/>
        </w:rPr>
      </w:pPr>
    </w:p>
    <w:p>
      <w:pPr>
        <w:ind w:left="340" w:right="339" w:firstLine="778"/>
        <w:spacing w:after="0" w:line="279" w:lineRule="auto"/>
        <w:rPr>
          <w:sz w:val="20"/>
          <w:szCs w:val="20"/>
          <w:color w:val="auto"/>
        </w:rPr>
      </w:pPr>
      <w:r>
        <w:rPr>
          <w:rFonts w:ascii="Arial" w:cs="Arial" w:eastAsia="Arial" w:hAnsi="Arial"/>
          <w:sz w:val="17"/>
          <w:szCs w:val="17"/>
          <w:color w:val="auto"/>
        </w:rPr>
        <w:t>The plan for eligible senior management other than the named executive officers is similar to the above, except that, for participants below the named executive officer level,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31" w:lineRule="exact"/>
        <w:rPr>
          <w:sz w:val="20"/>
          <w:szCs w:val="20"/>
          <w:color w:val="auto"/>
        </w:rPr>
      </w:pPr>
    </w:p>
    <w:p>
      <w:pPr>
        <w:ind w:left="340" w:right="199" w:firstLine="778"/>
        <w:spacing w:after="0" w:line="286" w:lineRule="auto"/>
        <w:rPr>
          <w:sz w:val="20"/>
          <w:szCs w:val="20"/>
          <w:color w:val="auto"/>
        </w:rPr>
      </w:pPr>
      <w:r>
        <w:rPr>
          <w:rFonts w:ascii="Arial" w:cs="Arial" w:eastAsia="Arial" w:hAnsi="Arial"/>
          <w:sz w:val="17"/>
          <w:szCs w:val="17"/>
          <w:i w:val="1"/>
          <w:iCs w:val="1"/>
          <w:color w:val="auto"/>
        </w:rPr>
        <w:t xml:space="preserve">2010 financial goals. </w:t>
      </w:r>
      <w:r>
        <w:rPr>
          <w:rFonts w:ascii="Arial" w:cs="Arial" w:eastAsia="Arial" w:hAnsi="Arial"/>
          <w:sz w:val="17"/>
          <w:szCs w:val="17"/>
          <w:color w:val="auto"/>
        </w:rPr>
        <w:t>The following table shows the Company financial goals established for the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for 2010. These financial goals were selected based upon the Company’s budget for 2010, which the Board of Directors believes is the appropriate level at which to set goals in order to maximize the incentive for superior performance.</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(105% of Budget for</w:t>
            </w:r>
          </w:p>
        </w:tc>
      </w:t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Threshold</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Target</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Revenue/107% of Budget</w:t>
            </w:r>
          </w:p>
        </w:tc>
      </w:tr>
      <w:tr>
        <w:trPr>
          <w:trHeight w:val="234"/>
        </w:trPr>
        <w:tc>
          <w:tcPr>
            <w:tcW w:w="2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(95% of Budget)</w:t>
            </w:r>
          </w:p>
        </w:tc>
        <w:tc>
          <w:tcPr>
            <w:tcW w:w="3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(100% of Budget)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for Adjusted EBITDA</w:t>
            </w:r>
          </w:p>
        </w:tc>
      </w:tr>
      <w:tr>
        <w:trPr>
          <w:trHeight w:val="20"/>
        </w:trPr>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379,549,607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399,525,902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419,502,197</w:t>
            </w:r>
          </w:p>
        </w:tc>
      </w:tr>
      <w:tr>
        <w:trPr>
          <w:trHeight w:val="230"/>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94,825,138</w:t>
            </w: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99,815,935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106,803,050</w:t>
            </w:r>
          </w:p>
        </w:tc>
      </w:tr>
    </w:tbl>
    <w:p>
      <w:pPr>
        <w:spacing w:after="0" w:line="160" w:lineRule="exact"/>
        <w:rPr>
          <w:sz w:val="20"/>
          <w:szCs w:val="20"/>
          <w:color w:val="auto"/>
        </w:rPr>
      </w:pPr>
    </w:p>
    <w:p>
      <w:pPr>
        <w:ind w:left="340" w:right="179" w:firstLine="778"/>
        <w:spacing w:after="0" w:line="268" w:lineRule="auto"/>
        <w:rPr>
          <w:sz w:val="20"/>
          <w:szCs w:val="20"/>
          <w:color w:val="auto"/>
        </w:rPr>
      </w:pPr>
      <w:r>
        <w:rPr>
          <w:rFonts w:ascii="Arial" w:cs="Arial" w:eastAsia="Arial" w:hAnsi="Arial"/>
          <w:sz w:val="17"/>
          <w:szCs w:val="17"/>
          <w:i w:val="1"/>
          <w:iCs w:val="1"/>
          <w:color w:val="auto"/>
        </w:rPr>
        <w:t>2010 individual goals</w:t>
      </w:r>
      <w:r>
        <w:rPr>
          <w:rFonts w:ascii="Arial" w:cs="Arial" w:eastAsia="Arial" w:hAnsi="Arial"/>
          <w:sz w:val="17"/>
          <w:szCs w:val="17"/>
          <w:color w:val="auto"/>
        </w:rPr>
        <w:t>. The individual performance goals applicable to the named executive officers in 2010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each executive’s achievement of one or more objectives that related to their specific duties and responsibilities on behalf of the Company. For Mr. Mueller, Dr. Meyer, Mr. Bachus, Mr. Chris Richardson, Mr. Mildenhall, and Dr. Player, one individual performance goal was to manage their individual departments within budget. Mr. Brent Richardson’s individual performance goals included providing insight and direction to the senior management team regarding key corporate objectives. The individual performance goals for Mr. Mueller and Dr. Meyer included developing solutions for operational challenges such as improving student time to completion, transitioning to a borrower-based financial aid environment, improving staff to student ratios, and developing campus infrastructure. The individual performance goals for Mr. Mueller and Mr. Bachus included participation in a specified number of investor conferences and/or investor meetings. Dr. Meyer’s individual performance goals included developing a media and marketing strategy that improved the marketing awareness of Grand Canyon University. Mr. Bachus individual performance goals included managing the financial and reporting functions to ensure that no material weaknesses occurred within the Company’s financial reporting structure and overseeing the transition to the federal direct lending program. The individual performance goals for Mr. Chris Richardson included working with outside legal counsel to resolve outstanding legal matters and demonstrating leadership in other management areas such as human resources and state licensure. Dr. Player’s individual performance goals included producing a comprehensive Presidential Report regarding Grand Canyon University and its colleges and working on solutions to improve certain academic related items.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39" w:firstLine="778"/>
        <w:spacing w:after="0" w:line="255" w:lineRule="auto"/>
        <w:rPr>
          <w:sz w:val="20"/>
          <w:szCs w:val="20"/>
          <w:color w:val="auto"/>
        </w:rPr>
      </w:pPr>
      <w:r>
        <w:rPr>
          <w:rFonts w:ascii="Arial" w:cs="Arial" w:eastAsia="Arial" w:hAnsi="Arial"/>
          <w:sz w:val="18"/>
          <w:szCs w:val="18"/>
          <w:i w:val="1"/>
          <w:iCs w:val="1"/>
          <w:color w:val="auto"/>
        </w:rPr>
        <w:t>Actual performance vs. compensation paid for 2010</w:t>
      </w:r>
      <w:r>
        <w:rPr>
          <w:rFonts w:ascii="Arial" w:cs="Arial" w:eastAsia="Arial" w:hAnsi="Arial"/>
          <w:sz w:val="18"/>
          <w:szCs w:val="18"/>
          <w:color w:val="auto"/>
        </w:rPr>
        <w:t>. For 2010, each named executive officer achieved performance payout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of between 85.0% and 100.0% of the 20.0% portion of their respective bonus awards that are allocable to individual performance goals. In addition, the Company achieved revenue equal to 96.6% of target and Adjusted EBITDA equal to 101.4% of target, resulting in performance payout percentages of 66.0% for the revenue component of the target bonus and 110.0% for the adjusted EBITDA component of the target bonus. Accordingly, the named executive officers achieved incentive bonuses equal to the following percentages of their base salaries: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Individual Goals</w:t>
            </w:r>
          </w:p>
        </w:tc>
        <w:tc>
          <w:tcPr>
            <w:tcW w:w="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2010 Bonus as</w:t>
            </w:r>
          </w:p>
        </w:tc>
        <w:tc>
          <w:tcPr>
            <w:tcW w:w="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2010 Bonus as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Performance</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Performance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Performance</w:t>
            </w:r>
          </w:p>
        </w:tc>
        <w:tc>
          <w:tcPr>
            <w:tcW w:w="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Percentage of</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Payout (%)</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Payout (%)</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Payout (%)</w:t>
            </w: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Target Bonus (%)</w:t>
            </w: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 xml:space="preserve">Base </w:t>
            </w:r>
            <w:r>
              <w:rPr>
                <w:rFonts w:ascii="Arial" w:cs="Arial" w:eastAsia="Arial" w:hAnsi="Arial"/>
                <w:sz w:val="18"/>
                <w:szCs w:val="18"/>
                <w:b w:val="1"/>
                <w:bCs w:val="1"/>
                <w:u w:val="single" w:color="auto"/>
                <w:color w:val="auto"/>
                <w:w w:val="90"/>
              </w:rPr>
              <w:t>Salary($</w:t>
            </w:r>
            <w:r>
              <w:rPr>
                <w:rFonts w:ascii="Arial" w:cs="Arial" w:eastAsia="Arial" w:hAnsi="Arial"/>
                <w:sz w:val="18"/>
                <w:szCs w:val="18"/>
                <w:b w:val="1"/>
                <w:bCs w:val="1"/>
                <w:color w:val="auto"/>
                <w:w w:val="90"/>
              </w:rPr>
              <w:t>)</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2"/>
              </w:rPr>
              <w:t xml:space="preserve">2010 Bonus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r>
      <w:tr>
        <w:trPr>
          <w:trHeight w:val="195"/>
        </w:trPr>
        <w:tc>
          <w:tcPr>
            <w:tcW w:w="1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Brent D.</w:t>
            </w:r>
          </w:p>
        </w:tc>
        <w:tc>
          <w:tcPr>
            <w:tcW w:w="1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Richardson</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90.4%</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Brian E. Mueller</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90.4%</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542,400</w:t>
            </w:r>
          </w:p>
        </w:tc>
        <w:tc>
          <w:tcPr>
            <w:tcW w:w="80" w:type="dxa"/>
            <w:vAlign w:val="bottom"/>
          </w:tcPr>
          <w:p>
            <w:pPr>
              <w:spacing w:after="0"/>
              <w:rPr>
                <w:sz w:val="18"/>
                <w:szCs w:val="18"/>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W. Stan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Meyer</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234,019</w:t>
            </w:r>
          </w:p>
        </w:tc>
        <w:tc>
          <w:tcPr>
            <w:tcW w:w="80" w:type="dxa"/>
            <w:vAlign w:val="bottom"/>
            <w:shd w:val="clear" w:color="auto" w:fill="CCEEFF"/>
          </w:tcPr>
          <w:p>
            <w:pPr>
              <w:spacing w:after="0"/>
              <w:rPr>
                <w:sz w:val="20"/>
                <w:szCs w:val="20"/>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Daniel E. Bachus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90.4%</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67.8%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237,300</w:t>
            </w:r>
          </w:p>
        </w:tc>
        <w:tc>
          <w:tcPr>
            <w:tcW w:w="80" w:type="dxa"/>
            <w:vAlign w:val="bottom"/>
          </w:tcPr>
          <w:p>
            <w:pPr>
              <w:spacing w:after="0"/>
              <w:rPr>
                <w:sz w:val="18"/>
                <w:szCs w:val="18"/>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C.</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Richardson</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90.4%</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134,470</w:t>
            </w:r>
          </w:p>
        </w:tc>
        <w:tc>
          <w:tcPr>
            <w:tcW w:w="80" w:type="dxa"/>
            <w:vAlign w:val="bottom"/>
            <w:shd w:val="clear" w:color="auto" w:fill="CCEEFF"/>
          </w:tcPr>
          <w:p>
            <w:pPr>
              <w:spacing w:after="0"/>
              <w:rPr>
                <w:sz w:val="20"/>
                <w:szCs w:val="20"/>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Joseph 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20" w:type="dxa"/>
            <w:vAlign w:val="bottom"/>
          </w:tcPr>
          <w:p>
            <w:pPr>
              <w:ind w:left="200"/>
              <w:spacing w:after="0"/>
              <w:rPr>
                <w:sz w:val="20"/>
                <w:szCs w:val="20"/>
                <w:color w:val="auto"/>
              </w:rPr>
            </w:pPr>
            <w:r>
              <w:rPr>
                <w:rFonts w:ascii="Arial" w:cs="Arial" w:eastAsia="Arial" w:hAnsi="Arial"/>
                <w:sz w:val="18"/>
                <w:szCs w:val="18"/>
                <w:color w:val="auto"/>
              </w:rPr>
              <w:t>Mildenhall</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90.4%</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135,600</w:t>
            </w:r>
          </w:p>
        </w:tc>
        <w:tc>
          <w:tcPr>
            <w:tcW w:w="80" w:type="dxa"/>
            <w:vAlign w:val="bottom"/>
          </w:tcPr>
          <w:p>
            <w:pPr>
              <w:spacing w:after="0"/>
              <w:rPr>
                <w:sz w:val="20"/>
                <w:szCs w:val="20"/>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99"/>
              </w:rPr>
              <w:t>Dr. Kathy Player</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120,175</w:t>
            </w:r>
          </w:p>
        </w:tc>
        <w:tc>
          <w:tcPr>
            <w:tcW w:w="8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85" w:lineRule="exact"/>
        <w:rPr>
          <w:sz w:val="20"/>
          <w:szCs w:val="20"/>
          <w:color w:val="auto"/>
        </w:rPr>
      </w:pPr>
    </w:p>
    <w:p>
      <w:pPr>
        <w:ind w:left="340" w:right="199" w:firstLine="778"/>
        <w:spacing w:after="0" w:line="289" w:lineRule="auto"/>
        <w:rPr>
          <w:sz w:val="20"/>
          <w:szCs w:val="20"/>
          <w:color w:val="auto"/>
        </w:rPr>
      </w:pPr>
      <w:r>
        <w:rPr>
          <w:rFonts w:ascii="Arial" w:cs="Arial" w:eastAsia="Arial" w:hAnsi="Arial"/>
          <w:sz w:val="16"/>
          <w:szCs w:val="16"/>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will increases on each subsequent January 1 through 2018 by an amount equal to the smaller of (a) 2.5% of the number of shares of common stock issued and outstanding on the immediately preceding December 31, or (b) a lesser amount determined by our Board of Directors. As of January 1, 2011, there is authorized and reserved a total of 6,478,015 shares under the Equity Incentive plan. Shares subject to awards that expire or are cancelled or forfeited will again become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pacing w:after="0" w:line="126" w:lineRule="exact"/>
        <w:rPr>
          <w:sz w:val="20"/>
          <w:szCs w:val="20"/>
          <w:color w:val="auto"/>
        </w:rPr>
      </w:pPr>
    </w:p>
    <w:p>
      <w:pPr>
        <w:ind w:left="340" w:right="179" w:firstLine="778"/>
        <w:spacing w:after="0" w:line="277" w:lineRule="auto"/>
        <w:rPr>
          <w:sz w:val="20"/>
          <w:szCs w:val="20"/>
          <w:color w:val="auto"/>
        </w:rPr>
      </w:pPr>
      <w:r>
        <w:rPr>
          <w:rFonts w:ascii="Arial" w:cs="Arial" w:eastAsia="Arial" w:hAnsi="Arial"/>
          <w:sz w:val="18"/>
          <w:szCs w:val="18"/>
          <w:color w:val="auto"/>
        </w:rPr>
        <w:t>The following table provides information as of December 31, 2010, with respect to shares of our common stock that may be issued under our existing equity compensation plans: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w w:val="91"/>
              </w:rPr>
              <w:t>Equity Compensation Plan Information</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Number of securities to be</w:t>
            </w: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rPr>
              <w:t>Weighted-average</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issued upon exercise of</w:t>
            </w:r>
          </w:p>
        </w:tc>
        <w:tc>
          <w:tcPr>
            <w:tcW w:w="12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exercise price of</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 options,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8"/>
              </w:rPr>
              <w:t>outstanding options,</w:t>
            </w: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future issuance under</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60" w:type="dxa"/>
            <w:vAlign w:val="bottom"/>
          </w:tcPr>
          <w:p>
            <w:pPr>
              <w:spacing w:after="0"/>
              <w:rPr>
                <w:sz w:val="20"/>
                <w:szCs w:val="20"/>
                <w:color w:val="auto"/>
              </w:rPr>
            </w:pPr>
          </w:p>
        </w:tc>
        <w:tc>
          <w:tcPr>
            <w:tcW w:w="2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warrants and rights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warrants and rights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195"/>
        </w:trPr>
        <w:tc>
          <w:tcPr>
            <w:tcW w:w="3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Equity Compensation Plans Approved by</w:t>
            </w:r>
          </w:p>
        </w:tc>
        <w:tc>
          <w:tcPr>
            <w:tcW w:w="160" w:type="dxa"/>
            <w:vAlign w:val="bottom"/>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Securityholders</w:t>
            </w:r>
          </w:p>
        </w:tc>
        <w:tc>
          <w:tcPr>
            <w:tcW w:w="2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4,443,962</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14.19</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2,034,053</w:t>
            </w:r>
            <w:r>
              <w:rPr>
                <w:rFonts w:ascii="Arial" w:cs="Arial" w:eastAsia="Arial" w:hAnsi="Arial"/>
                <w:sz w:val="15"/>
                <w:szCs w:val="15"/>
                <w:color w:val="auto"/>
              </w:rPr>
              <w:t>(2)</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w w:val="93"/>
              </w:rPr>
              <w:t>Equity Compensation Plans Not Approved</w:t>
            </w: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by Securityholders</w:t>
            </w:r>
          </w:p>
        </w:tc>
        <w:tc>
          <w:tcPr>
            <w:tcW w:w="160" w:type="dxa"/>
            <w:vAlign w:val="bottom"/>
          </w:tcPr>
          <w:p>
            <w:pPr>
              <w:spacing w:after="0"/>
              <w:rPr>
                <w:sz w:val="20"/>
                <w:szCs w:val="20"/>
                <w:color w:val="auto"/>
              </w:rPr>
            </w:pPr>
          </w:p>
        </w:tc>
        <w:tc>
          <w:tcPr>
            <w:tcW w:w="2380" w:type="dxa"/>
            <w:vAlign w:val="bottom"/>
            <w:gridSpan w:val="2"/>
          </w:tcPr>
          <w:p>
            <w:pPr>
              <w:jc w:val="right"/>
              <w:ind w:right="3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4,443,962</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14.19</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2,034,053</w:t>
            </w:r>
            <w:r>
              <w:rPr>
                <w:rFonts w:ascii="Arial" w:cs="Arial" w:eastAsia="Arial" w:hAnsi="Arial"/>
                <w:sz w:val="15"/>
                <w:szCs w:val="15"/>
                <w:color w:val="auto"/>
              </w:rPr>
              <w:t>(2)</w:t>
            </w: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19" w:firstLine="778"/>
        <w:spacing w:after="0" w:line="302" w:lineRule="auto"/>
        <w:rPr>
          <w:sz w:val="20"/>
          <w:szCs w:val="20"/>
          <w:color w:val="auto"/>
        </w:rPr>
      </w:pPr>
      <w:r>
        <w:rPr>
          <w:rFonts w:ascii="Arial" w:cs="Arial" w:eastAsia="Arial" w:hAnsi="Arial"/>
          <w:sz w:val="16"/>
          <w:szCs w:val="16"/>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27" w:lineRule="exact"/>
        <w:rPr>
          <w:sz w:val="20"/>
          <w:szCs w:val="20"/>
          <w:color w:val="auto"/>
        </w:rPr>
      </w:pPr>
    </w:p>
    <w:p>
      <w:pPr>
        <w:ind w:left="340" w:right="399" w:firstLine="778"/>
        <w:spacing w:after="0" w:line="276" w:lineRule="auto"/>
        <w:rPr>
          <w:sz w:val="20"/>
          <w:szCs w:val="20"/>
          <w:color w:val="auto"/>
        </w:rPr>
      </w:pPr>
      <w:r>
        <w:rPr>
          <w:rFonts w:ascii="Arial" w:cs="Arial" w:eastAsia="Arial" w:hAnsi="Arial"/>
          <w:sz w:val="17"/>
          <w:szCs w:val="17"/>
          <w:color w:val="auto"/>
        </w:rPr>
        <w:t>Only members of the Board of Directors who are not employees at the time of grant are eligible to participate in the non-employee director awards component of the Equity Incentive Plan. The Board of Directors, based on the recommendation of the Nominating and Corporate Governance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32" w:lineRule="exact"/>
        <w:rPr>
          <w:sz w:val="20"/>
          <w:szCs w:val="20"/>
          <w:color w:val="auto"/>
        </w:rPr>
      </w:pPr>
    </w:p>
    <w:p>
      <w:pPr>
        <w:ind w:left="340" w:right="179" w:firstLine="778"/>
        <w:spacing w:after="0" w:line="287" w:lineRule="auto"/>
        <w:rPr>
          <w:sz w:val="20"/>
          <w:szCs w:val="20"/>
          <w:color w:val="auto"/>
        </w:rPr>
      </w:pPr>
      <w:r>
        <w:rPr>
          <w:rFonts w:ascii="Arial" w:cs="Arial" w:eastAsia="Arial" w:hAnsi="Arial"/>
          <w:sz w:val="16"/>
          <w:szCs w:val="16"/>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Our Board of Directors has approved a policy relating to the granting of stock options and other equity-based awards.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this policy:</w:t>
      </w:r>
    </w:p>
    <w:p>
      <w:pPr>
        <w:spacing w:after="0" w:line="184" w:lineRule="exact"/>
        <w:rPr>
          <w:sz w:val="20"/>
          <w:szCs w:val="20"/>
          <w:color w:val="auto"/>
        </w:rPr>
      </w:pPr>
    </w:p>
    <w:p>
      <w:pPr>
        <w:ind w:left="1480" w:right="219" w:hanging="378"/>
        <w:spacing w:after="0" w:line="277" w:lineRule="auto"/>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129" w:lineRule="exact"/>
        <w:rPr>
          <w:rFonts w:ascii="Arial" w:cs="Arial" w:eastAsia="Arial" w:hAnsi="Arial"/>
          <w:sz w:val="18"/>
          <w:szCs w:val="18"/>
          <w:b w:val="1"/>
          <w:bCs w:val="1"/>
          <w:color w:val="auto"/>
        </w:rPr>
      </w:pPr>
    </w:p>
    <w:p>
      <w:pPr>
        <w:jc w:val="both"/>
        <w:ind w:left="1480" w:right="659" w:hanging="378"/>
        <w:spacing w:after="0" w:line="312" w:lineRule="auto"/>
        <w:tabs>
          <w:tab w:leader="none" w:pos="148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06" w:lineRule="exact"/>
        <w:rPr>
          <w:rFonts w:ascii="Arial" w:cs="Arial" w:eastAsia="Arial" w:hAnsi="Arial"/>
          <w:sz w:val="16"/>
          <w:szCs w:val="16"/>
          <w:b w:val="1"/>
          <w:bCs w:val="1"/>
          <w:color w:val="auto"/>
        </w:rPr>
      </w:pPr>
    </w:p>
    <w:p>
      <w:pPr>
        <w:ind w:left="1480" w:right="299" w:hanging="378"/>
        <w:spacing w:after="0" w:line="264" w:lineRule="auto"/>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54" w:lineRule="exact"/>
        <w:rPr>
          <w:rFonts w:ascii="Arial" w:cs="Arial" w:eastAsia="Arial" w:hAnsi="Arial"/>
          <w:sz w:val="18"/>
          <w:szCs w:val="18"/>
          <w:b w:val="1"/>
          <w:bCs w:val="1"/>
          <w:color w:val="auto"/>
        </w:rPr>
      </w:pPr>
    </w:p>
    <w:p>
      <w:pPr>
        <w:ind w:left="1480" w:right="379" w:hanging="378"/>
        <w:spacing w:after="0" w:line="277" w:lineRule="auto"/>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85" w:lineRule="exact"/>
        <w:rPr>
          <w:sz w:val="20"/>
          <w:szCs w:val="20"/>
          <w:color w:val="auto"/>
        </w:rPr>
      </w:pPr>
    </w:p>
    <w:p>
      <w:pPr>
        <w:ind w:left="340" w:right="339" w:firstLine="778"/>
        <w:spacing w:after="0" w:line="254" w:lineRule="auto"/>
        <w:rPr>
          <w:sz w:val="20"/>
          <w:szCs w:val="20"/>
          <w:color w:val="auto"/>
        </w:rPr>
      </w:pPr>
      <w:r>
        <w:rPr>
          <w:rFonts w:ascii="Arial" w:cs="Arial" w:eastAsia="Arial" w:hAnsi="Arial"/>
          <w:sz w:val="18"/>
          <w:szCs w:val="18"/>
          <w:color w:val="auto"/>
        </w:rPr>
        <w:t>The Compensation Committee has the sole authority from the Board of Directors for the appointment, compensation and oversight of our outside compensation consultant. The Compensation Committee has retained Mercer, a wholly-owned subsidiary of Marsh &amp; McLennan Companies, Inc. (“MMC”), as its consultant to assist the Compensation Committee with its responsibilities related to our executive compensation programs. Mercer’s fees for executive compensation consulting to the Compensation Committee in fiscal year 2010 were $28,473. The executive compensation services provided include assisting in defining the Company’s executive compensation strategy, providing market benchmark information, supporting and reviewing the design of incentive compensation plans, advising on the competitiveness of executive officer compensation, and providing regulatory and governance guidance.</w:t>
      </w:r>
    </w:p>
    <w:p>
      <w:pPr>
        <w:spacing w:after="0" w:line="200" w:lineRule="exact"/>
        <w:rPr>
          <w:sz w:val="20"/>
          <w:szCs w:val="20"/>
          <w:color w:val="auto"/>
        </w:rPr>
      </w:pP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778"/>
        <w:spacing w:after="0" w:line="291" w:lineRule="auto"/>
        <w:rPr>
          <w:sz w:val="20"/>
          <w:szCs w:val="20"/>
          <w:color w:val="auto"/>
        </w:rPr>
      </w:pPr>
      <w:r>
        <w:rPr>
          <w:rFonts w:ascii="Arial" w:cs="Arial" w:eastAsia="Arial" w:hAnsi="Arial"/>
          <w:sz w:val="16"/>
          <w:szCs w:val="16"/>
          <w:color w:val="auto"/>
        </w:rPr>
        <w:t>During the fiscal year, Mercer and its MMC affiliates were retained by Company management to provide services unrelated to executive compensation, including insurance brokerage services and services related to the Company’s employee health plans. The aggregate fees paid for those other services in fiscal 2010 were $149,000. The Compensation Committee did not review or approve the other services provided by Mercer and its affiliates to the Company, as those services were approved by management in the normal course of business. Based on policies and procedures implemented by the Compensation Committee and by Mercer to ensure the objectivity of Mercer’s individual executive compensation consultant, the Compensation Committee believes that the consulting advice it receives from Mercer is objective and not influenced by Mercer’s or its affiliates’ other relationships with the Company.</w:t>
      </w:r>
    </w:p>
    <w:p>
      <w:pPr>
        <w:spacing w:after="0" w:line="140" w:lineRule="exact"/>
        <w:rPr>
          <w:sz w:val="20"/>
          <w:szCs w:val="20"/>
          <w:color w:val="auto"/>
        </w:rPr>
      </w:pPr>
    </w:p>
    <w:p>
      <w:pPr>
        <w:ind w:left="340" w:right="4779"/>
        <w:spacing w:after="0" w:line="454" w:lineRule="auto"/>
        <w:rPr>
          <w:sz w:val="20"/>
          <w:szCs w:val="20"/>
          <w:color w:val="auto"/>
        </w:rPr>
      </w:pPr>
      <w:r>
        <w:rPr>
          <w:rFonts w:ascii="Arial" w:cs="Arial" w:eastAsia="Arial" w:hAnsi="Arial"/>
          <w:sz w:val="18"/>
          <w:szCs w:val="18"/>
          <w:b w:val="1"/>
          <w:bCs w:val="1"/>
          <w:i w:val="1"/>
          <w:iCs w:val="1"/>
          <w:color w:val="auto"/>
        </w:rPr>
        <w:t xml:space="preserve">Effect of Accounting and Tax Treatment on Compensation Decisions </w:t>
      </w:r>
      <w:r>
        <w:rPr>
          <w:rFonts w:ascii="Arial" w:cs="Arial" w:eastAsia="Arial" w:hAnsi="Arial"/>
          <w:sz w:val="18"/>
          <w:szCs w:val="18"/>
          <w:i w:val="1"/>
          <w:iCs w:val="1"/>
          <w:color w:val="auto"/>
        </w:rPr>
        <w:t>Internal Revenue Code Section 162(m) Policy</w:t>
      </w:r>
    </w:p>
    <w:p>
      <w:pPr>
        <w:ind w:left="340" w:right="199" w:firstLine="778"/>
        <w:spacing w:after="0" w:line="285" w:lineRule="auto"/>
        <w:rPr>
          <w:sz w:val="20"/>
          <w:szCs w:val="20"/>
          <w:color w:val="auto"/>
        </w:rPr>
      </w:pPr>
      <w:r>
        <w:rPr>
          <w:rFonts w:ascii="Arial" w:cs="Arial" w:eastAsia="Arial" w:hAnsi="Arial"/>
          <w:sz w:val="16"/>
          <w:szCs w:val="16"/>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With regard to our Equity Incentive Plan, we previously relied on an exemption from Section 162(m) for a plan adopted prior to the time a company becomes a public company. In connection with this proxy statement, we are soliciting the approval of our stockholders with respect to the grant limitation within our 2008 Equity Incentive Plan. If stockholder approval of the grant limitation within our 2008 Equity Incentive Plan is not obtained, we will not make any further grants under the Equity Incentive Plan to our chief executive officer and our other named executive officers who are “covered employees” as defined in Section 162(m), or their successors, until such time, if any, as stockholder approval of a subsequent similar proposal is obtained. With regard to the cash compensation we pay, in the form of both base salary and pursuant to our Cash Incentive Plan described above, we are also soliciting the approval of our stockholders of the Cash Incentive Plan in accordance with Section 162(m). If the Cash Incentive Plan is approved by stockholders, it will be effective for fiscal 2011, beginning January 1, 2011 and ending December 31, 2011, and will remain in effect for each fiscal year thereafter until terminated by our Board of Directors or Compensation Committee. No compensation will be paid under the Cash Incentive Plan to the named executive officers covered by the Cash Incentive Plan unless the Cash Incentive Plan is approved by stockholders.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85" w:lineRule="exact"/>
        <w:rPr>
          <w:sz w:val="20"/>
          <w:szCs w:val="20"/>
          <w:color w:val="auto"/>
        </w:rPr>
      </w:pPr>
    </w:p>
    <w:p>
      <w:pPr>
        <w:ind w:left="340" w:right="199" w:firstLine="778"/>
        <w:spacing w:after="0" w:line="270" w:lineRule="auto"/>
        <w:rPr>
          <w:sz w:val="20"/>
          <w:szCs w:val="20"/>
          <w:color w:val="auto"/>
        </w:rPr>
      </w:pPr>
      <w:r>
        <w:rPr>
          <w:rFonts w:ascii="Arial" w:cs="Arial" w:eastAsia="Arial" w:hAnsi="Arial"/>
          <w:sz w:val="17"/>
          <w:szCs w:val="17"/>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are currently operating such plans in compliance with Section 409A.</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Standards</w:t>
      </w:r>
    </w:p>
    <w:p>
      <w:pPr>
        <w:spacing w:after="0" w:line="198" w:lineRule="exact"/>
        <w:rPr>
          <w:sz w:val="20"/>
          <w:szCs w:val="20"/>
          <w:color w:val="auto"/>
        </w:rPr>
      </w:pPr>
    </w:p>
    <w:p>
      <w:pPr>
        <w:ind w:left="340" w:right="259" w:firstLine="778"/>
        <w:spacing w:after="0" w:line="257" w:lineRule="auto"/>
        <w:rPr>
          <w:sz w:val="20"/>
          <w:szCs w:val="20"/>
          <w:color w:val="auto"/>
        </w:rPr>
      </w:pPr>
      <w:r>
        <w:rPr>
          <w:rFonts w:ascii="Arial" w:cs="Arial" w:eastAsia="Arial" w:hAnsi="Arial"/>
          <w:sz w:val="18"/>
          <w:szCs w:val="18"/>
          <w:color w:val="auto"/>
        </w:rPr>
        <w:t>Grants of stock options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Conclusion</w:t>
      </w:r>
    </w:p>
    <w:p>
      <w:pPr>
        <w:spacing w:after="0" w:line="198" w:lineRule="exact"/>
        <w:rPr>
          <w:sz w:val="20"/>
          <w:szCs w:val="20"/>
          <w:color w:val="auto"/>
        </w:rPr>
      </w:pPr>
    </w:p>
    <w:p>
      <w:pPr>
        <w:ind w:left="340" w:right="379" w:firstLine="778"/>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2010 were reasonable and appropriate and in our best interests.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Events After December 31, 2010</w:t>
      </w:r>
    </w:p>
    <w:p>
      <w:pPr>
        <w:spacing w:after="0" w:line="185" w:lineRule="exact"/>
        <w:rPr>
          <w:sz w:val="20"/>
          <w:szCs w:val="20"/>
          <w:color w:val="auto"/>
        </w:rPr>
      </w:pPr>
    </w:p>
    <w:p>
      <w:pPr>
        <w:ind w:left="340" w:right="259" w:firstLine="778"/>
        <w:spacing w:after="0" w:line="259" w:lineRule="auto"/>
        <w:rPr>
          <w:sz w:val="20"/>
          <w:szCs w:val="20"/>
          <w:color w:val="auto"/>
        </w:rPr>
      </w:pPr>
      <w:r>
        <w:rPr>
          <w:rFonts w:ascii="Arial" w:cs="Arial" w:eastAsia="Arial" w:hAnsi="Arial"/>
          <w:sz w:val="18"/>
          <w:szCs w:val="18"/>
          <w:color w:val="auto"/>
        </w:rPr>
        <w:t>The Compensation Committee granted stock options to the Company’s named executive officers, other than Brent D. Richardson and Christopher C. Richardson, effective March 11, 2011. Each option vests 20% on each of the first five anniversaries of the date of grant, and has an exercise price of $15.34, which is equal to the closing price of our common stock on the date of grant. The number of shares granted to each such officer is as follows: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2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Number of Shares Subject to Option</w:t>
            </w:r>
          </w:p>
        </w:tc>
      </w:tr>
      <w:tr>
        <w:trPr>
          <w:trHeight w:val="20"/>
        </w:trPr>
        <w:tc>
          <w:tcPr>
            <w:tcW w:w="6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Dr. W. Stan Meyer</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Joseph N. Mildenhall</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85" w:lineRule="exact"/>
        <w:rPr>
          <w:sz w:val="20"/>
          <w:szCs w:val="20"/>
          <w:color w:val="auto"/>
        </w:rPr>
      </w:pPr>
    </w:p>
    <w:p>
      <w:pPr>
        <w:ind w:left="340" w:right="239" w:firstLine="778"/>
        <w:spacing w:after="0" w:line="264" w:lineRule="auto"/>
        <w:rPr>
          <w:sz w:val="20"/>
          <w:szCs w:val="20"/>
          <w:color w:val="auto"/>
        </w:rPr>
      </w:pPr>
      <w:r>
        <w:rPr>
          <w:rFonts w:ascii="Arial" w:cs="Arial" w:eastAsia="Arial" w:hAnsi="Arial"/>
          <w:sz w:val="18"/>
          <w:szCs w:val="18"/>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141" w:lineRule="exact"/>
        <w:rPr>
          <w:sz w:val="20"/>
          <w:szCs w:val="20"/>
          <w:color w:val="auto"/>
        </w:rPr>
      </w:pPr>
    </w:p>
    <w:p>
      <w:pPr>
        <w:ind w:left="1480" w:right="259" w:hanging="378"/>
        <w:spacing w:after="0" w:line="264" w:lineRule="auto"/>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154" w:lineRule="exact"/>
        <w:rPr>
          <w:rFonts w:ascii="Arial" w:cs="Arial" w:eastAsia="Arial" w:hAnsi="Arial"/>
          <w:sz w:val="18"/>
          <w:szCs w:val="18"/>
          <w:b w:val="1"/>
          <w:bCs w:val="1"/>
          <w:color w:val="auto"/>
        </w:rPr>
      </w:pPr>
    </w:p>
    <w:p>
      <w:pPr>
        <w:ind w:left="1480" w:right="179" w:hanging="378"/>
        <w:spacing w:after="0" w:line="279" w:lineRule="auto"/>
        <w:tabs>
          <w:tab w:leader="none" w:pos="148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Our Cash Incentive Plan focuses on the achievement of company-wide revenue and adjusted EBITDA targets and individual non-financial performance metrics (which can include metrics based on compliance with regulatory or other risk management policies). We believe that the design of the Cash Incentive Plan prevents participants from being able to materially enhance their bonus prospects through excessive or inappropriate risk-taking;</w:t>
      </w:r>
    </w:p>
    <w:p>
      <w:pPr>
        <w:spacing w:after="0" w:line="130" w:lineRule="exact"/>
        <w:rPr>
          <w:rFonts w:ascii="Arial" w:cs="Arial" w:eastAsia="Arial" w:hAnsi="Arial"/>
          <w:sz w:val="17"/>
          <w:szCs w:val="17"/>
          <w:b w:val="1"/>
          <w:bCs w:val="1"/>
          <w:color w:val="auto"/>
        </w:rPr>
      </w:pPr>
    </w:p>
    <w:p>
      <w:pPr>
        <w:ind w:left="1480" w:right="519" w:hanging="378"/>
        <w:spacing w:after="0" w:line="342" w:lineRule="auto"/>
        <w:tabs>
          <w:tab w:leader="none" w:pos="148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cash payments that may be made to our named executive officers under the Cash Incentive Plan are subject to stated maximum limits, which we believe mitigates any risks that our named executive officers may take; and</w:t>
      </w:r>
    </w:p>
    <w:p>
      <w:pPr>
        <w:spacing w:after="0" w:line="83" w:lineRule="exact"/>
        <w:rPr>
          <w:rFonts w:ascii="Arial" w:cs="Arial" w:eastAsia="Arial" w:hAnsi="Arial"/>
          <w:sz w:val="16"/>
          <w:szCs w:val="16"/>
          <w:b w:val="1"/>
          <w:bCs w:val="1"/>
          <w:color w:val="auto"/>
        </w:rPr>
      </w:pPr>
    </w:p>
    <w:p>
      <w:pPr>
        <w:ind w:left="1480" w:right="199" w:hanging="378"/>
        <w:spacing w:after="0" w:line="264" w:lineRule="auto"/>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stock option grants made to our named executive officers, and all other employees, under the Equity Incentive Plan all vest in annual increments over a period of five years, which we believe discourages excessive or inappropriate short-term risk taking.</w:t>
      </w:r>
    </w:p>
    <w:p>
      <w:pPr>
        <w:spacing w:after="0" w:line="154" w:lineRule="exact"/>
        <w:rPr>
          <w:sz w:val="20"/>
          <w:szCs w:val="20"/>
          <w:color w:val="auto"/>
        </w:rPr>
      </w:pPr>
    </w:p>
    <w:p>
      <w:pPr>
        <w:jc w:val="both"/>
        <w:ind w:left="340" w:right="179" w:firstLine="778"/>
        <w:spacing w:after="0" w:line="264"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that there are no known potential risks arising from our compensation polices or practices that are reasonably likely to have a material adverse effect on us.</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202" w:lineRule="exact"/>
        <w:rPr>
          <w:sz w:val="20"/>
          <w:szCs w:val="20"/>
          <w:color w:val="auto"/>
        </w:rPr>
      </w:pPr>
    </w:p>
    <w:p>
      <w:pPr>
        <w:jc w:val="both"/>
        <w:ind w:left="340" w:right="279" w:firstLine="778"/>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Chad N. Heath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D. Mark Dorman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98" w:lineRule="exact"/>
        <w:rPr>
          <w:sz w:val="20"/>
          <w:szCs w:val="20"/>
          <w:color w:val="auto"/>
        </w:rPr>
      </w:pPr>
    </w:p>
    <w:p>
      <w:pPr>
        <w:ind w:left="340" w:right="259" w:firstLine="778"/>
        <w:spacing w:after="0" w:line="279" w:lineRule="auto"/>
        <w:rPr>
          <w:sz w:val="20"/>
          <w:szCs w:val="20"/>
          <w:color w:val="auto"/>
        </w:rPr>
      </w:pPr>
      <w:r>
        <w:rPr>
          <w:rFonts w:ascii="Arial" w:cs="Arial" w:eastAsia="Arial" w:hAnsi="Arial"/>
          <w:sz w:val="17"/>
          <w:szCs w:val="17"/>
          <w:color w:val="auto"/>
        </w:rPr>
        <w:t>The following table sets forth the total compensation earned for services rendered by our principal executive officer, our principal financial officer, and our five other most highly compensated executive officers whose total compensation for the fiscal year ended December 31, 2010 was in excess of $100,000 and who were serving as executive officers at the end of that fiscal year. The listed individuals are referred to herein as the “named executive officers.”</w:t>
      </w:r>
    </w:p>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Stock Awards</w:t>
            </w: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80" w:type="dxa"/>
            <w:vAlign w:val="bottom"/>
          </w:tcPr>
          <w:p>
            <w:pPr>
              <w:spacing w:after="0"/>
              <w:rPr>
                <w:sz w:val="12"/>
                <w:szCs w:val="12"/>
                <w:color w:val="auto"/>
              </w:rPr>
            </w:pPr>
          </w:p>
        </w:tc>
        <w:tc>
          <w:tcPr>
            <w:tcW w:w="5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5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Brent D. Richardson</w:t>
            </w:r>
          </w:p>
        </w:tc>
        <w:tc>
          <w:tcPr>
            <w:tcW w:w="660" w:type="dxa"/>
            <w:vAlign w:val="bottom"/>
            <w:gridSpan w:val="3"/>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2010</w:t>
            </w:r>
          </w:p>
        </w:tc>
        <w:tc>
          <w:tcPr>
            <w:tcW w:w="840" w:type="dxa"/>
            <w:vAlign w:val="bottom"/>
            <w:gridSpan w:val="3"/>
            <w:shd w:val="clear" w:color="auto" w:fill="CCEEFF"/>
          </w:tcPr>
          <w:p>
            <w:pPr>
              <w:jc w:val="right"/>
              <w:ind w:right="180"/>
              <w:spacing w:after="0" w:line="123" w:lineRule="exact"/>
              <w:rPr>
                <w:sz w:val="20"/>
                <w:szCs w:val="20"/>
                <w:color w:val="auto"/>
              </w:rPr>
            </w:pPr>
            <w:r>
              <w:rPr>
                <w:rFonts w:ascii="Arial" w:cs="Arial" w:eastAsia="Arial" w:hAnsi="Arial"/>
                <w:sz w:val="14"/>
                <w:szCs w:val="14"/>
                <w:color w:val="auto"/>
              </w:rPr>
              <w:t>$ 297,500</w:t>
            </w:r>
          </w:p>
        </w:tc>
        <w:tc>
          <w:tcPr>
            <w:tcW w:w="7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22,600</w:t>
            </w:r>
          </w:p>
        </w:tc>
        <w:tc>
          <w:tcPr>
            <w:tcW w:w="2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17,408</w:t>
            </w:r>
          </w:p>
        </w:tc>
        <w:tc>
          <w:tcPr>
            <w:tcW w:w="840" w:type="dxa"/>
            <w:vAlign w:val="bottom"/>
            <w:gridSpan w:val="3"/>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  337,508</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Executive Chairman</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297,500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17,408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340,333</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2008</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297,500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15,628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331,128</w:t>
            </w:r>
          </w:p>
        </w:tc>
        <w:tc>
          <w:tcPr>
            <w:tcW w:w="0" w:type="dxa"/>
            <w:vAlign w:val="bottom"/>
          </w:tcPr>
          <w:p>
            <w:pPr>
              <w:spacing w:after="0"/>
              <w:rPr>
                <w:sz w:val="1"/>
                <w:szCs w:val="1"/>
                <w:color w:val="auto"/>
              </w:rPr>
            </w:pPr>
          </w:p>
        </w:tc>
      </w:tr>
      <w:tr>
        <w:trPr>
          <w:trHeight w:val="278"/>
        </w:trPr>
        <w:tc>
          <w:tcPr>
            <w:tcW w:w="2540" w:type="dxa"/>
            <w:vAlign w:val="bottom"/>
          </w:tcPr>
          <w:p>
            <w:pPr>
              <w:spacing w:after="0"/>
              <w:rPr>
                <w:sz w:val="20"/>
                <w:szCs w:val="20"/>
                <w:color w:val="auto"/>
              </w:rPr>
            </w:pPr>
            <w:r>
              <w:rPr>
                <w:rFonts w:ascii="Arial" w:cs="Arial" w:eastAsia="Arial" w:hAnsi="Arial"/>
                <w:sz w:val="14"/>
                <w:szCs w:val="14"/>
                <w:color w:val="auto"/>
              </w:rPr>
              <w:t>Brian E. Mueller</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2010</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555,384</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1,067,000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542,400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2,580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2,167,364</w:t>
            </w:r>
          </w:p>
        </w:tc>
        <w:tc>
          <w:tcPr>
            <w:tcW w:w="0" w:type="dxa"/>
            <w:vAlign w:val="bottom"/>
          </w:tcPr>
          <w:p>
            <w:pPr>
              <w:spacing w:after="0"/>
              <w:rPr>
                <w:sz w:val="1"/>
                <w:szCs w:val="1"/>
                <w:color w:val="auto"/>
              </w:rPr>
            </w:pPr>
          </w:p>
        </w:tc>
      </w:tr>
      <w:tr>
        <w:trPr>
          <w:trHeight w:val="149"/>
        </w:trPr>
        <w:tc>
          <w:tcPr>
            <w:tcW w:w="254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Chief Executive Officer and Director</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20,205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1,028,705</w:t>
            </w:r>
          </w:p>
        </w:tc>
        <w:tc>
          <w:tcPr>
            <w:tcW w:w="0" w:type="dxa"/>
            <w:vAlign w:val="bottom"/>
          </w:tcPr>
          <w:p>
            <w:pPr>
              <w:spacing w:after="0"/>
              <w:rPr>
                <w:sz w:val="1"/>
                <w:szCs w:val="1"/>
                <w:color w:val="auto"/>
              </w:rPr>
            </w:pPr>
          </w:p>
        </w:tc>
      </w:tr>
      <w:tr>
        <w:trPr>
          <w:trHeight w:val="182"/>
        </w:trPr>
        <w:tc>
          <w:tcPr>
            <w:tcW w:w="2540" w:type="dxa"/>
            <w:vAlign w:val="bottom"/>
          </w:tcPr>
          <w:p>
            <w:pPr>
              <w:ind w:left="200"/>
              <w:spacing w:after="0"/>
              <w:rPr>
                <w:sz w:val="20"/>
                <w:szCs w:val="20"/>
                <w:color w:val="auto"/>
              </w:rPr>
            </w:pPr>
            <w:r>
              <w:rPr>
                <w:rFonts w:ascii="Arial" w:cs="Arial" w:eastAsia="Arial" w:hAnsi="Arial"/>
                <w:sz w:val="14"/>
                <w:szCs w:val="14"/>
                <w:color w:val="auto"/>
              </w:rPr>
              <w:t>(Principal Executive Officer) (6)</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2008</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246,154</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1,311,948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6,533,489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7,740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8,349,331</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Dr. W. Stan Meyer</w:t>
            </w:r>
          </w:p>
        </w:tc>
        <w:tc>
          <w:tcPr>
            <w:tcW w:w="6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327,692</w:t>
            </w:r>
          </w:p>
        </w:tc>
        <w:tc>
          <w:tcPr>
            <w:tcW w:w="7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426,800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234,019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2,745</w:t>
            </w:r>
          </w:p>
        </w:tc>
        <w:tc>
          <w:tcPr>
            <w:tcW w:w="84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991,256</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 xml:space="preserve">Executive Vice President </w:t>
            </w: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300,000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152,550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5,391</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457,941</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2008</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147,692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2,613,394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2,836,086</w:t>
            </w:r>
          </w:p>
        </w:tc>
        <w:tc>
          <w:tcPr>
            <w:tcW w:w="0" w:type="dxa"/>
            <w:vAlign w:val="bottom"/>
          </w:tcPr>
          <w:p>
            <w:pPr>
              <w:spacing w:after="0"/>
              <w:rPr>
                <w:sz w:val="1"/>
                <w:szCs w:val="1"/>
                <w:color w:val="auto"/>
              </w:rPr>
            </w:pPr>
          </w:p>
        </w:tc>
      </w:tr>
      <w:tr>
        <w:trPr>
          <w:trHeight w:val="278"/>
        </w:trPr>
        <w:tc>
          <w:tcPr>
            <w:tcW w:w="2540" w:type="dxa"/>
            <w:vAlign w:val="bottom"/>
          </w:tcPr>
          <w:p>
            <w:pPr>
              <w:spacing w:after="0"/>
              <w:rPr>
                <w:sz w:val="20"/>
                <w:szCs w:val="20"/>
                <w:color w:val="auto"/>
              </w:rPr>
            </w:pPr>
            <w:r>
              <w:rPr>
                <w:rFonts w:ascii="Arial" w:cs="Arial" w:eastAsia="Arial" w:hAnsi="Arial"/>
                <w:sz w:val="14"/>
                <w:szCs w:val="14"/>
                <w:color w:val="auto"/>
              </w:rPr>
              <w:t>Daniel E. Bachus</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2010</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316,538</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426,800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237,300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420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981,058</w:t>
            </w:r>
          </w:p>
        </w:tc>
        <w:tc>
          <w:tcPr>
            <w:tcW w:w="0" w:type="dxa"/>
            <w:vAlign w:val="bottom"/>
          </w:tcPr>
          <w:p>
            <w:pPr>
              <w:spacing w:after="0"/>
              <w:rPr>
                <w:sz w:val="1"/>
                <w:szCs w:val="1"/>
                <w:color w:val="auto"/>
              </w:rPr>
            </w:pPr>
          </w:p>
        </w:tc>
      </w:tr>
      <w:tr>
        <w:trPr>
          <w:trHeight w:val="149"/>
        </w:trPr>
        <w:tc>
          <w:tcPr>
            <w:tcW w:w="254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Chief Financial Officer</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275,000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139,838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415,161</w:t>
            </w:r>
          </w:p>
        </w:tc>
        <w:tc>
          <w:tcPr>
            <w:tcW w:w="0" w:type="dxa"/>
            <w:vAlign w:val="bottom"/>
          </w:tcPr>
          <w:p>
            <w:pPr>
              <w:spacing w:after="0"/>
              <w:rPr>
                <w:sz w:val="1"/>
                <w:szCs w:val="1"/>
                <w:color w:val="auto"/>
              </w:rPr>
            </w:pPr>
          </w:p>
        </w:tc>
      </w:tr>
      <w:tr>
        <w:trPr>
          <w:trHeight w:val="182"/>
        </w:trPr>
        <w:tc>
          <w:tcPr>
            <w:tcW w:w="2540" w:type="dxa"/>
            <w:vAlign w:val="bottom"/>
          </w:tcPr>
          <w:p>
            <w:pPr>
              <w:ind w:left="200"/>
              <w:spacing w:after="0"/>
              <w:rPr>
                <w:sz w:val="20"/>
                <w:szCs w:val="20"/>
                <w:color w:val="auto"/>
              </w:rPr>
            </w:pPr>
            <w:r>
              <w:rPr>
                <w:rFonts w:ascii="Arial" w:cs="Arial" w:eastAsia="Arial" w:hAnsi="Arial"/>
                <w:sz w:val="14"/>
                <w:szCs w:val="14"/>
                <w:color w:val="auto"/>
              </w:rPr>
              <w:t>(Principal Financial Officer) (6)</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2008</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132,212</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68,750</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2,352,058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2,553,020</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Christopher C. Richardson</w:t>
            </w:r>
          </w:p>
        </w:tc>
        <w:tc>
          <w:tcPr>
            <w:tcW w:w="6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297,500</w:t>
            </w:r>
          </w:p>
        </w:tc>
        <w:tc>
          <w:tcPr>
            <w:tcW w:w="7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134,470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2,527</w:t>
            </w:r>
          </w:p>
        </w:tc>
        <w:tc>
          <w:tcPr>
            <w:tcW w:w="84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434,497</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General Counsel and Director</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297,500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76,275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5,244</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379,019</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2008</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297,500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7,750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323,250</w:t>
            </w:r>
          </w:p>
        </w:tc>
        <w:tc>
          <w:tcPr>
            <w:tcW w:w="0" w:type="dxa"/>
            <w:vAlign w:val="bottom"/>
          </w:tcPr>
          <w:p>
            <w:pPr>
              <w:spacing w:after="0"/>
              <w:rPr>
                <w:sz w:val="1"/>
                <w:szCs w:val="1"/>
                <w:color w:val="auto"/>
              </w:rPr>
            </w:pPr>
          </w:p>
        </w:tc>
      </w:tr>
      <w:tr>
        <w:trPr>
          <w:trHeight w:val="278"/>
        </w:trPr>
        <w:tc>
          <w:tcPr>
            <w:tcW w:w="2540" w:type="dxa"/>
            <w:vAlign w:val="bottom"/>
          </w:tcPr>
          <w:p>
            <w:pPr>
              <w:spacing w:after="0"/>
              <w:rPr>
                <w:sz w:val="20"/>
                <w:szCs w:val="20"/>
                <w:color w:val="auto"/>
              </w:rPr>
            </w:pPr>
            <w:r>
              <w:rPr>
                <w:rFonts w:ascii="Arial" w:cs="Arial" w:eastAsia="Arial" w:hAnsi="Arial"/>
                <w:sz w:val="14"/>
                <w:szCs w:val="14"/>
                <w:color w:val="auto"/>
              </w:rPr>
              <w:t>Mr. Joseph N. Mildenhall</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2010</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300,000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266,750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135,600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2,963</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705,313</w:t>
            </w:r>
          </w:p>
        </w:tc>
        <w:tc>
          <w:tcPr>
            <w:tcW w:w="0" w:type="dxa"/>
            <w:vAlign w:val="bottom"/>
          </w:tcPr>
          <w:p>
            <w:pPr>
              <w:spacing w:after="0"/>
              <w:rPr>
                <w:sz w:val="1"/>
                <w:szCs w:val="1"/>
                <w:color w:val="auto"/>
              </w:rPr>
            </w:pPr>
          </w:p>
        </w:tc>
      </w:tr>
      <w:tr>
        <w:trPr>
          <w:trHeight w:val="182"/>
        </w:trPr>
        <w:tc>
          <w:tcPr>
            <w:tcW w:w="2540" w:type="dxa"/>
            <w:vAlign w:val="bottom"/>
          </w:tcPr>
          <w:p>
            <w:pPr>
              <w:ind w:left="200"/>
              <w:spacing w:after="0"/>
              <w:rPr>
                <w:sz w:val="20"/>
                <w:szCs w:val="20"/>
                <w:color w:val="auto"/>
              </w:rPr>
            </w:pPr>
            <w:r>
              <w:rPr>
                <w:rFonts w:ascii="Arial" w:cs="Arial" w:eastAsia="Arial" w:hAnsi="Arial"/>
                <w:sz w:val="14"/>
                <w:szCs w:val="14"/>
                <w:i w:val="1"/>
                <w:iCs w:val="1"/>
                <w:color w:val="auto"/>
              </w:rPr>
              <w:t>Chief Information Officer</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2009</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78,075</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580,650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44,356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17,887</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720,968</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Dr. Kathy Player</w:t>
            </w:r>
          </w:p>
        </w:tc>
        <w:tc>
          <w:tcPr>
            <w:tcW w:w="6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275,000</w:t>
            </w:r>
          </w:p>
        </w:tc>
        <w:tc>
          <w:tcPr>
            <w:tcW w:w="7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266,750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120,175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2,610</w:t>
            </w:r>
          </w:p>
        </w:tc>
        <w:tc>
          <w:tcPr>
            <w:tcW w:w="84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664,535</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Grand Canyon University President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275,000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139,838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5,346</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420,184</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2008</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230,000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398,139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7,750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710,889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199" w:hanging="388"/>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Mr. Mueller, Dr. Meyer, Mr. Bachus and Dr. Player, the amounts in this column for 2008 reflect non-performance-related bonuses that were negotiated in connection with the employment agreements we entered into with them prior to our initial public offering, as well as, for Dr. Player only, an additional discretionary bonus of $6,250. All other amounts in this column reflect discretionary bonuses paid prior to the time we became a public company.</w:t>
      </w:r>
    </w:p>
    <w:p>
      <w:pPr>
        <w:spacing w:after="0" w:line="38" w:lineRule="exact"/>
        <w:rPr>
          <w:rFonts w:ascii="Arial" w:cs="Arial" w:eastAsia="Arial" w:hAnsi="Arial"/>
          <w:sz w:val="18"/>
          <w:szCs w:val="18"/>
          <w:color w:val="auto"/>
        </w:rPr>
      </w:pPr>
    </w:p>
    <w:p>
      <w:pPr>
        <w:ind w:left="720" w:right="179" w:hanging="388"/>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an unrestricted stock grant made to Mr. Mueller in 2008 in connection with out initial public offering. The compensation costs are based on the grant date fair value for the shares of common stock granted. Such grant date fair value has been calculated on the basis of the fair market value of our common stock on the grant date. No shares of stock were granted in any year prior to 2008.</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179" w:hanging="388"/>
        <w:spacing w:after="0" w:line="255"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the stock options granted to the named executive officers in 2010, 2009 and 2008. The compensation costs are based on the grant date fair value of each stock option and do not take into account any estimated forfeitures related to service-based vesting conditions, if any. Assumptions used in the calculation of the grant date fair value of each option granted during the 2010, 2009 and 2008 fiscal year are set forth in Notes 2 and 15 to our financial statements for the fiscal year ended December 31, 2010 included in our 2010 Annual Report on Form 10-K. No options were granted in any year prior to 2008.</w:t>
      </w:r>
    </w:p>
    <w:p>
      <w:pPr>
        <w:spacing w:after="0" w:line="44" w:lineRule="exact"/>
        <w:rPr>
          <w:rFonts w:ascii="Arial" w:cs="Arial" w:eastAsia="Arial" w:hAnsi="Arial"/>
          <w:sz w:val="18"/>
          <w:szCs w:val="18"/>
          <w:color w:val="auto"/>
        </w:rPr>
      </w:pPr>
    </w:p>
    <w:p>
      <w:pPr>
        <w:ind w:left="720" w:hanging="38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Cash Incentive Plan.</w:t>
      </w:r>
    </w:p>
    <w:p>
      <w:pPr>
        <w:spacing w:after="0" w:line="76" w:lineRule="exact"/>
        <w:rPr>
          <w:rFonts w:ascii="Arial" w:cs="Arial" w:eastAsia="Arial" w:hAnsi="Arial"/>
          <w:sz w:val="18"/>
          <w:szCs w:val="18"/>
          <w:color w:val="auto"/>
        </w:rPr>
      </w:pPr>
    </w:p>
    <w:p>
      <w:pPr>
        <w:ind w:left="720" w:right="279" w:hanging="388"/>
        <w:spacing w:after="0" w:line="293"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Mr. Brent D. Richardson, the amounts in this column include the value of payments made by us on a Company-owned vehicle used by Mr. Richardson. In 2009 for Mr. Mueller, the amount in this column reflects the value of tuition-free enrollment for an additional child at Grand Canyon University (beyond the single spouse or child tuition benefit available to all full-time Company employees at that time). For Mr. Mueller, Dr. Meyer, Mr. Christopher D. Richardson, Mr. Joseph N. Mildenhall and Dr. Player, the amounts in this column reflect matching payments made by the Company under our 401(k) plan. In 2010 and 2009, the amounts in this column include company paid life insurance premiums for all named executive officers.</w:t>
      </w:r>
    </w:p>
    <w:p>
      <w:pPr>
        <w:spacing w:after="0" w:line="16" w:lineRule="exact"/>
        <w:rPr>
          <w:rFonts w:ascii="Arial" w:cs="Arial" w:eastAsia="Arial" w:hAnsi="Arial"/>
          <w:sz w:val="16"/>
          <w:szCs w:val="16"/>
          <w:color w:val="auto"/>
        </w:rPr>
      </w:pPr>
    </w:p>
    <w:p>
      <w:pPr>
        <w:ind w:left="720" w:right="899" w:hanging="388"/>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Mueller, Dr. Meyer, and Mr. Bachus commenced employment with us on July 1, 2008. Mr. Mildenhall commenced employment with us on September 16,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2010 Grants of Plan-Based Awards</w:t>
      </w:r>
    </w:p>
    <w:p>
      <w:pPr>
        <w:spacing w:after="0" w:line="185" w:lineRule="exact"/>
        <w:rPr>
          <w:sz w:val="20"/>
          <w:szCs w:val="20"/>
          <w:color w:val="auto"/>
        </w:rPr>
      </w:pPr>
    </w:p>
    <w:p>
      <w:pPr>
        <w:ind w:left="340" w:right="299" w:firstLine="778"/>
        <w:spacing w:after="0" w:line="308" w:lineRule="auto"/>
        <w:rPr>
          <w:sz w:val="20"/>
          <w:szCs w:val="20"/>
          <w:color w:val="auto"/>
        </w:rPr>
      </w:pPr>
      <w:r>
        <w:rPr>
          <w:rFonts w:ascii="Arial" w:cs="Arial" w:eastAsia="Arial" w:hAnsi="Arial"/>
          <w:sz w:val="17"/>
          <w:szCs w:val="17"/>
          <w:color w:val="auto"/>
        </w:rPr>
        <w:t>The following table sets forth certain information with respect to incentive plan awards under our Cash Incentive Plan and our Equity Incentive Plan for the fiscal year ended December 31, 2010 to each of our named executive officers: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All Other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Awards:</w:t>
            </w:r>
          </w:p>
        </w:tc>
        <w:tc>
          <w:tcPr>
            <w:tcW w:w="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Exercise or</w:t>
            </w:r>
          </w:p>
        </w:tc>
        <w:tc>
          <w:tcPr>
            <w:tcW w:w="8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Base Price</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Fair Value of</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1"/>
              </w:rPr>
              <w:t>Estimated Future Payouts Under Non-Equity</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Securities</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of Option</w:t>
            </w:r>
          </w:p>
        </w:tc>
        <w:tc>
          <w:tcPr>
            <w:tcW w:w="8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Stock and</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1"/>
              </w:rPr>
              <w:t>Incentive Plan Awards(1)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r>
      <w:tr>
        <w:trPr>
          <w:trHeight w:val="210"/>
        </w:trPr>
        <w:tc>
          <w:tcPr>
            <w:tcW w:w="1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Grant Date</w:t>
            </w:r>
          </w:p>
        </w:tc>
        <w:tc>
          <w:tcPr>
            <w:tcW w:w="1220" w:type="dxa"/>
            <w:vAlign w:val="bottom"/>
            <w:gridSpan w:val="3"/>
          </w:tcPr>
          <w:p>
            <w:pPr>
              <w:spacing w:after="0"/>
              <w:rPr>
                <w:sz w:val="20"/>
                <w:szCs w:val="20"/>
                <w:color w:val="auto"/>
              </w:rPr>
            </w:pPr>
            <w:r>
              <w:rPr>
                <w:rFonts w:ascii="Arial" w:cs="Arial" w:eastAsia="Arial" w:hAnsi="Arial"/>
                <w:sz w:val="18"/>
                <w:szCs w:val="18"/>
                <w:b w:val="1"/>
                <w:bCs w:val="1"/>
                <w:u w:val="single" w:color="auto"/>
                <w:color w:val="auto"/>
              </w:rPr>
              <w:t>Threshold($</w:t>
            </w: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u w:val="single" w:color="auto"/>
                <w:color w:val="auto"/>
                <w:w w:val="93"/>
              </w:rPr>
              <w:t>Target($</w:t>
            </w:r>
            <w:r>
              <w:rPr>
                <w:rFonts w:ascii="Arial" w:cs="Arial" w:eastAsia="Arial" w:hAnsi="Arial"/>
                <w:sz w:val="18"/>
                <w:szCs w:val="18"/>
                <w:b w:val="1"/>
                <w:bCs w:val="1"/>
                <w:color w:val="auto"/>
                <w:w w:val="93"/>
              </w:rPr>
              <w:t>)</w:t>
            </w:r>
          </w:p>
        </w:tc>
        <w:tc>
          <w:tcPr>
            <w:tcW w:w="1220" w:type="dxa"/>
            <w:vAlign w:val="bottom"/>
            <w:gridSpan w:val="3"/>
          </w:tcPr>
          <w:p>
            <w:pPr>
              <w:ind w:left="220"/>
              <w:spacing w:after="0"/>
              <w:rPr>
                <w:sz w:val="20"/>
                <w:szCs w:val="20"/>
                <w:color w:val="auto"/>
              </w:rPr>
            </w:pPr>
            <w:r>
              <w:rPr>
                <w:rFonts w:ascii="Arial" w:cs="Arial" w:eastAsia="Arial" w:hAnsi="Arial"/>
                <w:sz w:val="18"/>
                <w:szCs w:val="18"/>
                <w:b w:val="1"/>
                <w:bCs w:val="1"/>
                <w:u w:val="single" w:color="auto"/>
                <w:color w:val="auto"/>
                <w:w w:val="93"/>
              </w:rPr>
              <w:t>Maximum($</w:t>
            </w:r>
            <w:r>
              <w:rPr>
                <w:rFonts w:ascii="Arial" w:cs="Arial" w:eastAsia="Arial" w:hAnsi="Arial"/>
                <w:sz w:val="18"/>
                <w:szCs w:val="18"/>
                <w:b w:val="1"/>
                <w:bCs w:val="1"/>
                <w:color w:val="auto"/>
                <w:w w:val="93"/>
              </w:rPr>
              <w:t>)</w:t>
            </w: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 (#)</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w:t>
            </w:r>
          </w:p>
        </w:tc>
        <w:tc>
          <w:tcPr>
            <w:tcW w:w="8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Awards(2)</w:t>
            </w:r>
          </w:p>
        </w:tc>
      </w:tr>
      <w:tr>
        <w:trPr>
          <w:trHeight w:val="195"/>
        </w:trPr>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Brent D.</w:t>
            </w:r>
          </w:p>
        </w:tc>
        <w:tc>
          <w:tcPr>
            <w:tcW w:w="1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Richardson</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25,000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2"/>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Feb. 25,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Brian E. Mueller</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300,000</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840,000</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1,067,000</w:t>
            </w:r>
          </w:p>
        </w:tc>
        <w:tc>
          <w:tcPr>
            <w:tcW w:w="80" w:type="dxa"/>
            <w:vAlign w:val="bottom"/>
          </w:tcPr>
          <w:p>
            <w:pPr>
              <w:spacing w:after="0"/>
              <w:rPr>
                <w:sz w:val="20"/>
                <w:szCs w:val="20"/>
                <w:color w:val="auto"/>
              </w:rPr>
            </w:pPr>
          </w:p>
        </w:tc>
      </w:tr>
      <w:tr>
        <w:trPr>
          <w:trHeight w:val="202"/>
        </w:trPr>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Feb. 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89"/>
              </w:rPr>
              <w:t>Dr. W. Stan Meyer</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131,250</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262,500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367,500</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426,800</w:t>
            </w:r>
          </w:p>
        </w:tc>
        <w:tc>
          <w:tcPr>
            <w:tcW w:w="80" w:type="dxa"/>
            <w:vAlign w:val="bottom"/>
            <w:shd w:val="clear" w:color="auto" w:fill="CCEEFF"/>
          </w:tcPr>
          <w:p>
            <w:pPr>
              <w:spacing w:after="0"/>
              <w:rPr>
                <w:sz w:val="20"/>
                <w:szCs w:val="20"/>
                <w:color w:val="auto"/>
              </w:rPr>
            </w:pPr>
          </w:p>
        </w:tc>
      </w:tr>
      <w:tr>
        <w:trPr>
          <w:trHeight w:val="202"/>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Feb. 25,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w w:val="95"/>
              </w:rPr>
              <w:t>Daniel E. Bachus</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131,250</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262,500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367,500</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426,800</w:t>
            </w:r>
          </w:p>
        </w:tc>
        <w:tc>
          <w:tcPr>
            <w:tcW w:w="80" w:type="dxa"/>
            <w:vAlign w:val="bottom"/>
          </w:tcPr>
          <w:p>
            <w:pPr>
              <w:spacing w:after="0"/>
              <w:rPr>
                <w:sz w:val="20"/>
                <w:szCs w:val="20"/>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C.</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Richardson</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Joseph 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40" w:type="dxa"/>
            <w:vAlign w:val="bottom"/>
          </w:tcPr>
          <w:p>
            <w:pPr>
              <w:ind w:left="200"/>
              <w:spacing w:after="0"/>
              <w:rPr>
                <w:sz w:val="20"/>
                <w:szCs w:val="20"/>
                <w:color w:val="auto"/>
              </w:rPr>
            </w:pPr>
            <w:r>
              <w:rPr>
                <w:rFonts w:ascii="Arial" w:cs="Arial" w:eastAsia="Arial" w:hAnsi="Arial"/>
                <w:sz w:val="18"/>
                <w:szCs w:val="18"/>
                <w:color w:val="auto"/>
              </w:rPr>
              <w:t>Mildenhall</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Feb. 25, 2010</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74,375</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148,750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208,250</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266,750</w:t>
            </w:r>
          </w:p>
        </w:tc>
        <w:tc>
          <w:tcPr>
            <w:tcW w:w="80" w:type="dxa"/>
            <w:vAlign w:val="bottom"/>
          </w:tcPr>
          <w:p>
            <w:pPr>
              <w:spacing w:after="0"/>
              <w:rPr>
                <w:sz w:val="20"/>
                <w:szCs w:val="20"/>
                <w:color w:val="auto"/>
              </w:rPr>
            </w:pPr>
          </w:p>
        </w:tc>
      </w:tr>
      <w:tr>
        <w:trPr>
          <w:trHeight w:val="202"/>
        </w:trPr>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Feb. 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68,750</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137,500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8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left="720" w:right="359" w:hanging="388"/>
        <w:spacing w:after="0" w:line="264"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reflect the Threshold, Target and Maximum bonuses payable to our named executive officers under our Cash Incentive Plan. All such awards have been paid, and the actual amounts paid are set forth in the Summary Compensation Table above.</w:t>
      </w:r>
    </w:p>
    <w:p>
      <w:pPr>
        <w:spacing w:after="0" w:line="32" w:lineRule="exact"/>
        <w:rPr>
          <w:rFonts w:ascii="Arial" w:cs="Arial" w:eastAsia="Arial" w:hAnsi="Arial"/>
          <w:sz w:val="18"/>
          <w:szCs w:val="18"/>
          <w:color w:val="auto"/>
        </w:rPr>
      </w:pPr>
    </w:p>
    <w:p>
      <w:pPr>
        <w:ind w:left="720" w:right="339" w:hanging="388"/>
        <w:spacing w:after="0" w:line="279"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dollar value reported in this column with respect to option awards represents the grant date fair value of each option award determined in accordance with the provisions of SFAS 123(R). A discussion of the valuation assumptions used in the SFAS 123(R) calculation of grant date fair value is set forth in Notes 2 and 15 to our financial statements for the fiscal year ended December 31, 2010, included in our 2010 Annual Report on Form 10-K.</w:t>
      </w: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2010 Outstanding Equity Awards at Fiscal Year-End</w:t>
      </w:r>
    </w:p>
    <w:p>
      <w:pPr>
        <w:spacing w:after="0" w:line="198" w:lineRule="exact"/>
        <w:rPr>
          <w:sz w:val="20"/>
          <w:szCs w:val="20"/>
          <w:color w:val="auto"/>
        </w:rPr>
      </w:pPr>
    </w:p>
    <w:p>
      <w:pPr>
        <w:ind w:left="340" w:right="739" w:firstLine="778"/>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ind w:left="780"/>
              <w:spacing w:after="0"/>
              <w:rPr>
                <w:sz w:val="20"/>
                <w:szCs w:val="20"/>
                <w:color w:val="auto"/>
              </w:rPr>
            </w:pPr>
            <w:r>
              <w:rPr>
                <w:rFonts w:ascii="Arial" w:cs="Arial" w:eastAsia="Arial" w:hAnsi="Arial"/>
                <w:sz w:val="18"/>
                <w:szCs w:val="18"/>
                <w:b w:val="1"/>
                <w:bCs w:val="1"/>
                <w:color w:val="auto"/>
              </w:rPr>
              <w:t>Option Awards(1)</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56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Market Value</w:t>
            </w: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Shares of</w:t>
            </w:r>
          </w:p>
        </w:tc>
        <w:tc>
          <w:tcPr>
            <w:tcW w:w="12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178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Unexercised</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Stock That</w:t>
            </w:r>
          </w:p>
        </w:tc>
        <w:tc>
          <w:tcPr>
            <w:tcW w:w="12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Stock That</w:t>
            </w: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Options (#)</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Options (#)</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1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Option Expiration</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Have Not</w:t>
            </w:r>
          </w:p>
        </w:tc>
        <w:tc>
          <w:tcPr>
            <w:tcW w:w="12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Have Not</w:t>
            </w: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Unexercisable</w:t>
            </w: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Date</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12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r>
      <w:tr>
        <w:trPr>
          <w:trHeight w:val="20"/>
        </w:trPr>
        <w:tc>
          <w:tcPr>
            <w:tcW w:w="1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February 25, 2020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437,315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655,973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19, 2018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Dr. W. Stan Meyer</w:t>
            </w: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February 25, 2020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174,926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262,389</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20"/>
                <w:szCs w:val="20"/>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November 19, 2018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February 25, 2020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157,433</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236,151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19, 2018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Joseph N. Mildenhall</w:t>
            </w: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February 25, 2020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15,000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20"/>
                <w:szCs w:val="20"/>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September 16, 2019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February 25, 2020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31,955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26,240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19, 2018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720" w:right="159" w:hanging="388"/>
        <w:spacing w:after="0" w:line="285"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Dr. Player, 29,463 shares covered by her exercisable options were fully vested upon grant. The shares covered by the options granted to Mr. Mueller, Dr. Meyer, Mr. Bachus, Mr. Mildenhall and the remainder of Dr. Player’s options vest in five successive equal annual installments upon the completion of each year of service with us over the five year period measured from their grant date, subject to fully accelerated vesting in the event of a termination of employment by us without cause or by the executive for good reason within 12 months following a change in control of the Company. Mr. Mueller, Dr. Meyer, Mr. Bachus and</w:t>
      </w:r>
    </w:p>
    <w:p>
      <w:pPr>
        <w:spacing w:after="0" w:line="2" w:lineRule="exact"/>
        <w:rPr>
          <w:rFonts w:ascii="Arial" w:cs="Arial" w:eastAsia="Arial" w:hAnsi="Arial"/>
          <w:sz w:val="16"/>
          <w:szCs w:val="16"/>
          <w:color w:val="auto"/>
        </w:rPr>
      </w:pPr>
    </w:p>
    <w:p>
      <w:pPr>
        <w:ind w:left="720" w:right="819"/>
        <w:spacing w:after="0" w:line="290" w:lineRule="auto"/>
        <w:rPr>
          <w:rFonts w:ascii="Arial" w:cs="Arial" w:eastAsia="Arial" w:hAnsi="Arial"/>
          <w:sz w:val="16"/>
          <w:szCs w:val="16"/>
          <w:color w:val="auto"/>
        </w:rPr>
      </w:pPr>
      <w:r>
        <w:rPr>
          <w:rFonts w:ascii="Arial" w:cs="Arial" w:eastAsia="Arial" w:hAnsi="Arial"/>
          <w:sz w:val="17"/>
          <w:szCs w:val="17"/>
          <w:color w:val="auto"/>
        </w:rPr>
        <w:t>Mr. Mildenhall also receive partially accelerated vesting through the next vesting date immediately following the date of termination, upon the termination of employment by us without cause or by the executive for good reason.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85" w:lineRule="exact"/>
        <w:rPr>
          <w:sz w:val="20"/>
          <w:szCs w:val="20"/>
          <w:color w:val="auto"/>
        </w:rPr>
      </w:pPr>
    </w:p>
    <w:p>
      <w:pPr>
        <w:ind w:left="340" w:right="699" w:firstLine="778"/>
        <w:spacing w:after="0" w:line="277" w:lineRule="auto"/>
        <w:rPr>
          <w:sz w:val="20"/>
          <w:szCs w:val="20"/>
          <w:color w:val="auto"/>
        </w:rPr>
      </w:pPr>
      <w:r>
        <w:rPr>
          <w:rFonts w:ascii="Arial" w:cs="Arial" w:eastAsia="Arial" w:hAnsi="Arial"/>
          <w:sz w:val="18"/>
          <w:szCs w:val="18"/>
          <w:color w:val="auto"/>
        </w:rPr>
        <w:t>Dr. Player was the only one of our named executive officers that exercised stock options during the fiscal year ended December 31,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Option Awards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89"/>
              </w:rPr>
              <w:t>Number of Shares Acquired</w:t>
            </w:r>
          </w:p>
        </w:tc>
        <w:tc>
          <w:tcPr>
            <w:tcW w:w="11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Value Realized</w:t>
            </w:r>
          </w:p>
        </w:tc>
        <w:tc>
          <w:tcPr>
            <w:tcW w:w="100" w:type="dxa"/>
            <w:vAlign w:val="bottom"/>
          </w:tcPr>
          <w:p>
            <w:pPr>
              <w:spacing w:after="0"/>
              <w:rPr>
                <w:sz w:val="16"/>
                <w:szCs w:val="16"/>
                <w:color w:val="auto"/>
              </w:rPr>
            </w:pPr>
          </w:p>
        </w:tc>
      </w:t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2160" w:type="dxa"/>
            <w:vAlign w:val="bottom"/>
          </w:tcPr>
          <w:p>
            <w:pPr>
              <w:ind w:left="520"/>
              <w:spacing w:after="0"/>
              <w:rPr>
                <w:sz w:val="20"/>
                <w:szCs w:val="20"/>
                <w:color w:val="auto"/>
              </w:rPr>
            </w:pPr>
            <w:r>
              <w:rPr>
                <w:rFonts w:ascii="Arial" w:cs="Arial" w:eastAsia="Arial" w:hAnsi="Arial"/>
                <w:sz w:val="18"/>
                <w:szCs w:val="18"/>
                <w:b w:val="1"/>
                <w:bCs w:val="1"/>
                <w:color w:val="auto"/>
              </w:rPr>
              <w:t>on Exercise (#)</w:t>
            </w:r>
          </w:p>
        </w:tc>
        <w:tc>
          <w:tcPr>
            <w:tcW w:w="3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on Exercise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w:t>
            </w:r>
          </w:p>
        </w:tc>
      </w:tr>
      <w:tr>
        <w:trPr>
          <w:trHeight w:val="20"/>
        </w:trPr>
        <w:tc>
          <w:tcPr>
            <w:tcW w:w="5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85" w:lineRule="exact"/>
        <w:rPr>
          <w:sz w:val="20"/>
          <w:szCs w:val="20"/>
          <w:color w:val="auto"/>
        </w:rPr>
      </w:pPr>
    </w:p>
    <w:p>
      <w:pPr>
        <w:jc w:val="both"/>
        <w:ind w:left="340" w:right="399" w:firstLine="778"/>
        <w:spacing w:after="0" w:line="286" w:lineRule="auto"/>
        <w:rPr>
          <w:sz w:val="20"/>
          <w:szCs w:val="20"/>
          <w:color w:val="auto"/>
        </w:rPr>
      </w:pPr>
      <w:r>
        <w:rPr>
          <w:rFonts w:ascii="Arial" w:cs="Arial" w:eastAsia="Arial" w:hAnsi="Arial"/>
          <w:sz w:val="16"/>
          <w:szCs w:val="16"/>
          <w:color w:val="auto"/>
        </w:rPr>
        <w:t>We are parties to employment agreements with each of our named executive officers. The agreements with Mr. Mueller, Dr. Meyer, and Mr. Bachus (entered into in July 2008), and the agreements with Messrs. Richardson and Richardson and Dr. Player (entered into in September 2008) each have a four-year term that automatically renew for one year periods after the initial four-year term unless either party provides written notice that it does not wish to renew the respective agreement. The agreement with</w:t>
      </w:r>
    </w:p>
    <w:p>
      <w:pPr>
        <w:spacing w:after="0" w:line="2" w:lineRule="exact"/>
        <w:rPr>
          <w:sz w:val="20"/>
          <w:szCs w:val="20"/>
          <w:color w:val="auto"/>
        </w:rPr>
      </w:pPr>
    </w:p>
    <w:p>
      <w:pPr>
        <w:ind w:left="340" w:right="199"/>
        <w:spacing w:after="0" w:line="290" w:lineRule="auto"/>
        <w:rPr>
          <w:sz w:val="20"/>
          <w:szCs w:val="20"/>
          <w:color w:val="auto"/>
        </w:rPr>
      </w:pPr>
      <w:r>
        <w:rPr>
          <w:rFonts w:ascii="Arial" w:cs="Arial" w:eastAsia="Arial" w:hAnsi="Arial"/>
          <w:sz w:val="17"/>
          <w:szCs w:val="17"/>
          <w:color w:val="auto"/>
        </w:rPr>
        <w:t>Mr. Mildenhall (entered into in September 2009) has a three-year term and is also subject to automatic renewal. Except with respect to certain items of compensation, as described below, the terms of each agreement are similar in all material respects.</w:t>
      </w:r>
    </w:p>
    <w:p>
      <w:pPr>
        <w:spacing w:after="0" w:line="121" w:lineRule="exact"/>
        <w:rPr>
          <w:sz w:val="20"/>
          <w:szCs w:val="20"/>
          <w:color w:val="auto"/>
        </w:rPr>
      </w:pPr>
    </w:p>
    <w:p>
      <w:pPr>
        <w:ind w:left="1480" w:hanging="378"/>
        <w:spacing w:after="0"/>
        <w:tabs>
          <w:tab w:leader="none" w:pos="14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The agreements with each of Brent D. Richardson and Christopher C. Richardson provide for a base salary of</w:t>
      </w:r>
    </w:p>
    <w:p>
      <w:pPr>
        <w:spacing w:after="0" w:line="34" w:lineRule="exact"/>
        <w:rPr>
          <w:rFonts w:ascii="Arial" w:cs="Arial" w:eastAsia="Arial" w:hAnsi="Arial"/>
          <w:sz w:val="17"/>
          <w:szCs w:val="17"/>
          <w:b w:val="1"/>
          <w:bCs w:val="1"/>
          <w:color w:val="auto"/>
        </w:rPr>
      </w:pPr>
    </w:p>
    <w:p>
      <w:pPr>
        <w:ind w:left="1480" w:right="259"/>
        <w:spacing w:after="0" w:line="288" w:lineRule="auto"/>
        <w:rPr>
          <w:rFonts w:ascii="Arial" w:cs="Arial" w:eastAsia="Arial" w:hAnsi="Arial"/>
          <w:sz w:val="17"/>
          <w:szCs w:val="17"/>
          <w:b w:val="1"/>
          <w:bCs w:val="1"/>
          <w:color w:val="auto"/>
        </w:rPr>
      </w:pPr>
      <w:r>
        <w:rPr>
          <w:rFonts w:ascii="Arial" w:cs="Arial" w:eastAsia="Arial" w:hAnsi="Arial"/>
          <w:sz w:val="16"/>
          <w:szCs w:val="16"/>
          <w:color w:val="auto"/>
        </w:rPr>
        <w:t>$297,500, subject to annual review by the Compensation Committee, and entitle each to receive performance bonuses as determined by the Compensation Committee based upon the Company’s achievement of performance, budgetary, and other objectives, as set in advance by the Compensation Committee. The agreements do not set a target performance bonus as percentage of base salary, but leave such target to be determined by the Compensation Committee. In addition, and also as discussed elsewhere in this proxy statement, although Messrs. Richardson and Richardson are eligible to participate in the Equity Incentive Plan, we do not anticipate granting any material awards under the Equity Incentive Plan to them and their agreements do not provide for any such awards.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80" w:right="279" w:hanging="378"/>
        <w:spacing w:after="0" w:line="273" w:lineRule="auto"/>
        <w:tabs>
          <w:tab w:leader="none" w:pos="148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The agreements with each of Mr. Mueller, Dr. Meyer, Mr. Bachus, Mr. Mildenhall and Dr. Player provide for a base salary and a target bonus under our Cash Incentive Plan. Effective June 1, 2010, the Compensation Committee increased the base salaries of Mr. Mueller, Dr. Meyer and Mr. Bachus to $600,000, $350,000 and $350,000 from $500,000, $300,000 and $275,000, respectively, and also increased the target bonus for Dr. Meyer and Mr. Bachus to 75% of base salary from 50% of base salary. Mr. Mueller, Dr. Meyer, Mr. Bachus , Mr. Mildenhall, and Dr. Player are also eligible to receive equity incentive awards under our Equity Incentive Plan.</w:t>
      </w:r>
    </w:p>
    <w:p>
      <w:pPr>
        <w:spacing w:after="0" w:line="137" w:lineRule="exact"/>
        <w:rPr>
          <w:rFonts w:ascii="Arial" w:cs="Arial" w:eastAsia="Arial" w:hAnsi="Arial"/>
          <w:sz w:val="17"/>
          <w:szCs w:val="17"/>
          <w:b w:val="1"/>
          <w:bCs w:val="1"/>
          <w:color w:val="auto"/>
        </w:rPr>
      </w:pPr>
    </w:p>
    <w:p>
      <w:pPr>
        <w:ind w:left="1480" w:right="299" w:hanging="378"/>
        <w:spacing w:after="0" w:line="277" w:lineRule="auto"/>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129" w:lineRule="exact"/>
        <w:rPr>
          <w:rFonts w:ascii="Arial" w:cs="Arial" w:eastAsia="Arial" w:hAnsi="Arial"/>
          <w:sz w:val="18"/>
          <w:szCs w:val="18"/>
          <w:b w:val="1"/>
          <w:bCs w:val="1"/>
          <w:color w:val="auto"/>
        </w:rPr>
      </w:pPr>
    </w:p>
    <w:p>
      <w:pPr>
        <w:ind w:left="1480" w:right="399" w:hanging="378"/>
        <w:spacing w:after="0" w:line="277" w:lineRule="auto"/>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43" w:lineRule="exact"/>
        <w:rPr>
          <w:sz w:val="20"/>
          <w:szCs w:val="20"/>
          <w:color w:val="auto"/>
        </w:rPr>
      </w:pPr>
    </w:p>
    <w:p>
      <w:pPr>
        <w:ind w:left="340" w:right="299" w:firstLine="778"/>
        <w:spacing w:after="0" w:line="259"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9" w:lineRule="exact"/>
        <w:rPr>
          <w:sz w:val="20"/>
          <w:szCs w:val="20"/>
          <w:color w:val="auto"/>
        </w:rPr>
      </w:pPr>
    </w:p>
    <w:p>
      <w:pPr>
        <w:ind w:left="340" w:right="699" w:firstLine="778"/>
        <w:spacing w:after="0" w:line="277" w:lineRule="auto"/>
        <w:rPr>
          <w:sz w:val="20"/>
          <w:szCs w:val="20"/>
          <w:color w:val="auto"/>
        </w:rPr>
      </w:pPr>
      <w:r>
        <w:rPr>
          <w:rFonts w:ascii="Arial" w:cs="Arial" w:eastAsia="Arial" w:hAnsi="Arial"/>
          <w:sz w:val="18"/>
          <w:szCs w:val="18"/>
          <w:color w:val="auto"/>
        </w:rPr>
        <w:t>Our employment agreements with our named executive officers entitle them to certain severance payments and other benefits in the event of certain types of terminations, which are summarized below.</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85" w:lineRule="exact"/>
        <w:rPr>
          <w:sz w:val="20"/>
          <w:szCs w:val="20"/>
          <w:color w:val="auto"/>
        </w:rPr>
      </w:pPr>
    </w:p>
    <w:p>
      <w:pPr>
        <w:ind w:left="340" w:right="179" w:firstLine="778"/>
        <w:spacing w:after="0" w:line="286"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 rated to the date of termination, and all fringe benefits through the date of termination, and all of such officer’s vested and unvested options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98" w:lineRule="exact"/>
        <w:rPr>
          <w:sz w:val="20"/>
          <w:szCs w:val="20"/>
          <w:color w:val="auto"/>
        </w:rPr>
      </w:pPr>
    </w:p>
    <w:p>
      <w:pPr>
        <w:ind w:left="340" w:right="219" w:firstLine="778"/>
        <w:spacing w:after="0" w:line="286" w:lineRule="auto"/>
        <w:rPr>
          <w:sz w:val="20"/>
          <w:szCs w:val="20"/>
          <w:color w:val="auto"/>
        </w:rPr>
      </w:pPr>
      <w:r>
        <w:rPr>
          <w:rFonts w:ascii="Arial" w:cs="Arial" w:eastAsia="Arial" w:hAnsi="Arial"/>
          <w:sz w:val="17"/>
          <w:szCs w:val="17"/>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 rated to the date of termination, as well as a severance package consisting of the following:</w:t>
      </w:r>
    </w:p>
    <w:p>
      <w:pPr>
        <w:spacing w:after="0" w:line="125" w:lineRule="exact"/>
        <w:rPr>
          <w:sz w:val="20"/>
          <w:szCs w:val="20"/>
          <w:color w:val="auto"/>
        </w:rPr>
      </w:pPr>
    </w:p>
    <w:p>
      <w:pPr>
        <w:jc w:val="both"/>
        <w:ind w:left="1480" w:right="319" w:hanging="378"/>
        <w:spacing w:after="0" w:line="286" w:lineRule="auto"/>
        <w:tabs>
          <w:tab w:leader="none" w:pos="14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a severance payment equivalent to 12 months of the executive’s base salary then in effect on the date of termination, payable in accordance with the Company’s regular payroll cycle commencing with the first payroll date occurring on or after the 60th day following the date of the executive’s termination of employment;</w:t>
      </w:r>
    </w:p>
    <w:p>
      <w:pPr>
        <w:spacing w:after="0" w:line="125" w:lineRule="exact"/>
        <w:rPr>
          <w:rFonts w:ascii="Arial" w:cs="Arial" w:eastAsia="Arial" w:hAnsi="Arial"/>
          <w:sz w:val="17"/>
          <w:szCs w:val="17"/>
          <w:b w:val="1"/>
          <w:bCs w:val="1"/>
          <w:color w:val="auto"/>
        </w:rPr>
      </w:pPr>
    </w:p>
    <w:p>
      <w:pPr>
        <w:ind w:left="1480" w:hanging="378"/>
        <w:spacing w:after="0"/>
        <w:tabs>
          <w:tab w:leader="none" w:pos="14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payment by us of the premiums required to continue the executive’s group health care coverage for a period of</w:t>
      </w:r>
    </w:p>
    <w:p>
      <w:pPr>
        <w:spacing w:after="0" w:line="34" w:lineRule="exact"/>
        <w:rPr>
          <w:rFonts w:ascii="Arial" w:cs="Arial" w:eastAsia="Arial" w:hAnsi="Arial"/>
          <w:sz w:val="17"/>
          <w:szCs w:val="17"/>
          <w:b w:val="1"/>
          <w:bCs w:val="1"/>
          <w:color w:val="auto"/>
        </w:rPr>
      </w:pPr>
    </w:p>
    <w:p>
      <w:pPr>
        <w:ind w:left="1480" w:right="179"/>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62" w:lineRule="exact"/>
        <w:rPr>
          <w:rFonts w:ascii="Arial" w:cs="Arial" w:eastAsia="Arial" w:hAnsi="Arial"/>
          <w:sz w:val="17"/>
          <w:szCs w:val="17"/>
          <w:b w:val="1"/>
          <w:bCs w:val="1"/>
          <w:color w:val="auto"/>
        </w:rPr>
      </w:pPr>
    </w:p>
    <w:p>
      <w:pPr>
        <w:ind w:left="1480" w:right="159" w:hanging="378"/>
        <w:spacing w:after="0" w:line="264" w:lineRule="auto"/>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with respect to Mr. Mueller, Dr. Meyer, and Mr. Bachus, acceleration of the vesting of the next annual installment of the options granted to them in November 2008 that would otherwise have vested on the next vesting date following the termination of the executive’s employment.</w:t>
      </w:r>
    </w:p>
    <w:p>
      <w:pPr>
        <w:spacing w:after="0" w:line="141" w:lineRule="exact"/>
        <w:rPr>
          <w:sz w:val="20"/>
          <w:szCs w:val="20"/>
          <w:color w:val="auto"/>
        </w:rPr>
      </w:pPr>
    </w:p>
    <w:p>
      <w:pPr>
        <w:ind w:left="340" w:right="159" w:firstLine="778"/>
        <w:spacing w:after="0" w:line="276" w:lineRule="auto"/>
        <w:rPr>
          <w:sz w:val="20"/>
          <w:szCs w:val="20"/>
          <w:color w:val="auto"/>
        </w:rPr>
      </w:pPr>
      <w:r>
        <w:rPr>
          <w:rFonts w:ascii="Arial" w:cs="Arial" w:eastAsia="Arial" w:hAnsi="Arial"/>
          <w:sz w:val="17"/>
          <w:szCs w:val="17"/>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32" w:lineRule="exact"/>
        <w:rPr>
          <w:sz w:val="20"/>
          <w:szCs w:val="20"/>
          <w:color w:val="auto"/>
        </w:rPr>
      </w:pPr>
    </w:p>
    <w:p>
      <w:pPr>
        <w:ind w:left="340" w:right="239" w:firstLine="778"/>
        <w:spacing w:after="0" w:line="290" w:lineRule="auto"/>
        <w:rPr>
          <w:sz w:val="20"/>
          <w:szCs w:val="20"/>
          <w:color w:val="auto"/>
        </w:rPr>
      </w:pPr>
      <w:r>
        <w:rPr>
          <w:rFonts w:ascii="Arial" w:cs="Arial" w:eastAsia="Arial" w:hAnsi="Arial"/>
          <w:sz w:val="16"/>
          <w:szCs w:val="16"/>
          <w:color w:val="auto"/>
        </w:rPr>
        <w:t>For purposes of each of the employment agreements, “Good Reason” is defined as the occurrence of any of the following conditions without the executive’s written consent, which condition remains in effect 30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85" w:lineRule="exact"/>
        <w:rPr>
          <w:sz w:val="20"/>
          <w:szCs w:val="20"/>
          <w:color w:val="auto"/>
        </w:rPr>
      </w:pPr>
    </w:p>
    <w:p>
      <w:pPr>
        <w:ind w:left="340" w:right="219" w:firstLine="778"/>
        <w:spacing w:after="0" w:line="283"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12 months following a “Change in Control,” then, in addition to receiving his or her base salary then in effect, pro rated to the date of termination, and the severance package described above, the named executive officer will also be entitled to acceleration of the vesting of all stock options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w:t>
      </w:r>
    </w:p>
    <w:p>
      <w:pPr>
        <w:spacing w:after="0" w:line="5" w:lineRule="exact"/>
        <w:rPr>
          <w:sz w:val="20"/>
          <w:szCs w:val="20"/>
          <w:color w:val="auto"/>
        </w:rPr>
      </w:pPr>
    </w:p>
    <w:p>
      <w:pPr>
        <w:ind w:left="340" w:right="219" w:hanging="8"/>
        <w:spacing w:after="0" w:line="268" w:lineRule="auto"/>
        <w:tabs>
          <w:tab w:leader="none" w:pos="6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98" w:lineRule="exact"/>
        <w:rPr>
          <w:sz w:val="20"/>
          <w:szCs w:val="20"/>
          <w:color w:val="auto"/>
        </w:rPr>
      </w:pPr>
    </w:p>
    <w:p>
      <w:pPr>
        <w:ind w:left="340" w:right="219" w:firstLine="778"/>
        <w:spacing w:after="0" w:line="287" w:lineRule="auto"/>
        <w:rPr>
          <w:sz w:val="20"/>
          <w:szCs w:val="20"/>
          <w:color w:val="auto"/>
        </w:rPr>
      </w:pPr>
      <w:r>
        <w:rPr>
          <w:rFonts w:ascii="Arial" w:cs="Arial" w:eastAsia="Arial" w:hAnsi="Arial"/>
          <w:sz w:val="16"/>
          <w:szCs w:val="16"/>
          <w:color w:val="auto"/>
        </w:rPr>
        <w:t>Each of the agreements prohibits the executives from engaging in any work that creates an actual conflict of interest with us, and includes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28" w:lineRule="exact"/>
        <w:rPr>
          <w:sz w:val="20"/>
          <w:szCs w:val="20"/>
          <w:color w:val="auto"/>
        </w:rPr>
      </w:pPr>
    </w:p>
    <w:p>
      <w:pPr>
        <w:ind w:left="340" w:right="219" w:firstLine="778"/>
        <w:spacing w:after="0" w:line="276" w:lineRule="auto"/>
        <w:rPr>
          <w:sz w:val="20"/>
          <w:szCs w:val="20"/>
          <w:color w:val="auto"/>
        </w:rPr>
      </w:pPr>
      <w:r>
        <w:rPr>
          <w:rFonts w:ascii="Arial" w:cs="Arial" w:eastAsia="Arial" w:hAnsi="Arial"/>
          <w:sz w:val="17"/>
          <w:szCs w:val="17"/>
          <w:color w:val="auto"/>
        </w:rPr>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31, 2010.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9"/>
            <w:vMerge w:val="restart"/>
          </w:tcPr>
          <w:p>
            <w:pPr>
              <w:jc w:val="right"/>
              <w:ind w:right="240"/>
              <w:spacing w:after="0"/>
              <w:rPr>
                <w:sz w:val="20"/>
                <w:szCs w:val="20"/>
                <w:color w:val="auto"/>
              </w:rPr>
            </w:pPr>
            <w:r>
              <w:rPr>
                <w:rFonts w:ascii="Arial" w:cs="Arial" w:eastAsia="Arial" w:hAnsi="Arial"/>
                <w:sz w:val="14"/>
                <w:szCs w:val="14"/>
                <w:b w:val="1"/>
                <w:bCs w:val="1"/>
                <w:color w:val="auto"/>
                <w:w w:val="92"/>
              </w:rPr>
              <w:t>Termination without Cause or for Good Reason</w:t>
            </w:r>
          </w:p>
        </w:tc>
        <w:tc>
          <w:tcPr>
            <w:tcW w:w="3680" w:type="dxa"/>
            <w:vAlign w:val="bottom"/>
            <w:gridSpan w:val="11"/>
          </w:tcPr>
          <w:p>
            <w:pPr>
              <w:ind w:left="40"/>
              <w:spacing w:after="0"/>
              <w:rPr>
                <w:sz w:val="20"/>
                <w:szCs w:val="20"/>
                <w:color w:val="auto"/>
              </w:rPr>
            </w:pPr>
            <w:r>
              <w:rPr>
                <w:rFonts w:ascii="Arial" w:cs="Arial" w:eastAsia="Arial" w:hAnsi="Arial"/>
                <w:sz w:val="14"/>
                <w:szCs w:val="14"/>
                <w:b w:val="1"/>
                <w:bCs w:val="1"/>
                <w:color w:val="auto"/>
                <w:w w:val="95"/>
              </w:rPr>
              <w:t>Termination without Cause or for Good Reason following</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9"/>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7"/>
              </w:rPr>
              <w:t>a Change in Control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4"/>
              </w:rPr>
              <w:t>Cash</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Acceleration of</w:t>
            </w:r>
          </w:p>
        </w:tc>
        <w:tc>
          <w:tcPr>
            <w:tcW w:w="140" w:type="dxa"/>
            <w:vAlign w:val="bottom"/>
          </w:tcPr>
          <w:p>
            <w:pPr>
              <w:spacing w:after="0"/>
              <w:rPr>
                <w:sz w:val="10"/>
                <w:szCs w:val="10"/>
                <w:color w:val="auto"/>
              </w:rPr>
            </w:pPr>
          </w:p>
        </w:tc>
        <w:tc>
          <w:tcPr>
            <w:tcW w:w="11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Cash Payment</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Benefits</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Acceleration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Payment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Vesting of Options</w:t>
            </w: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Vesting of Options</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Brent D. Richardson</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297,500</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14,681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297,500</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14,681</w:t>
            </w:r>
          </w:p>
        </w:tc>
        <w:tc>
          <w:tcPr>
            <w:tcW w:w="1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Brian E. Mueller</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14,681</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1,659,611</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4,978,834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W. Stan Meyer</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14,681</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663,844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14,681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1,991,533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Daniel E. Bachus</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14,681</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597,461</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1,792,382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Joseph N. Mildenhall</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11,283</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38,400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11,283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Christopher C. Richardson</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14,462</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297,500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Kathy Player</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5,075</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5,075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296,503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Assumes a termination date of December 31, 2010, and is based on the executive’s salary in effect at such date.</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76" w:lineRule="exact"/>
        <w:rPr>
          <w:rFonts w:ascii="Arial" w:cs="Arial" w:eastAsia="Arial" w:hAnsi="Arial"/>
          <w:sz w:val="18"/>
          <w:szCs w:val="18"/>
          <w:color w:val="auto"/>
        </w:rPr>
      </w:pPr>
    </w:p>
    <w:p>
      <w:pPr>
        <w:ind w:left="720" w:right="399" w:hanging="388"/>
        <w:spacing w:after="0" w:line="342"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Calculated based on an assumed termination date of December 31, 2010 and the closing market price of our common stock on the Nasdaq Global Market on such date, less the applicable exercise price for each option for which vesting is accelerated.</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following table sets forth information regarding the beneficial ownership of our common stock as of February 28, 2011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t>
      </w:r>
    </w:p>
    <w:p>
      <w:pPr>
        <w:spacing w:after="0" w:line="170" w:lineRule="exact"/>
        <w:rPr>
          <w:sz w:val="20"/>
          <w:szCs w:val="20"/>
          <w:color w:val="auto"/>
        </w:rPr>
      </w:pPr>
    </w:p>
    <w:p>
      <w:pPr>
        <w:ind w:left="1480" w:right="359" w:hanging="378"/>
        <w:spacing w:after="0" w:line="277"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each of our directors;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each of our named executive officers;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all of our directors and named executive officers as a group.</w:t>
      </w:r>
    </w:p>
    <w:p>
      <w:pPr>
        <w:spacing w:after="0" w:line="185" w:lineRule="exact"/>
        <w:rPr>
          <w:sz w:val="20"/>
          <w:szCs w:val="20"/>
          <w:color w:val="auto"/>
        </w:rPr>
      </w:pPr>
    </w:p>
    <w:p>
      <w:pPr>
        <w:ind w:left="340" w:right="239" w:firstLine="778"/>
        <w:spacing w:after="0" w:line="290"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3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calculations of beneficial ownership in this table are based on 45,661,714 shares outstanding at February 28, 2011.</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4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Common Stock</w:t>
            </w:r>
          </w:p>
        </w:tc>
      </w:tr>
      <w:tr>
        <w:trPr>
          <w:trHeight w:val="191"/>
        </w:trPr>
        <w:tc>
          <w:tcPr>
            <w:tcW w:w="17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Amount and Nature of</w:t>
            </w:r>
          </w:p>
        </w:tc>
        <w:tc>
          <w:tcPr>
            <w:tcW w:w="1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 Ownership</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Percent of Class</w:t>
            </w:r>
            <w:r>
              <w:rPr>
                <w:rFonts w:ascii="Arial" w:cs="Arial" w:eastAsia="Arial" w:hAnsi="Arial"/>
                <w:sz w:val="15"/>
                <w:szCs w:val="15"/>
                <w:color w:val="auto"/>
                <w:w w:val="87"/>
              </w:rPr>
              <w:t>(1)</w:t>
            </w: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80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Endeavour Capital Fund IV, L.P. and affiliates</w:t>
            </w:r>
            <w:r>
              <w:rPr>
                <w:rFonts w:ascii="Arial" w:cs="Arial" w:eastAsia="Arial" w:hAnsi="Arial"/>
                <w:sz w:val="15"/>
                <w:szCs w:val="15"/>
                <w:color w:val="auto"/>
              </w:rPr>
              <w:t>(2)</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5,000,000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(3)</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4,785,291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Wells Fargo and Company</w:t>
            </w:r>
            <w:r>
              <w:rPr>
                <w:rFonts w:ascii="Arial" w:cs="Arial" w:eastAsia="Arial" w:hAnsi="Arial"/>
                <w:sz w:val="15"/>
                <w:szCs w:val="15"/>
                <w:color w:val="auto"/>
              </w:rPr>
              <w:t>(4)</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2,843,887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2,602,841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(6)</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2,611,504</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(7)</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566,644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(7)</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185,426</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(7)</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175,433</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r>
              <w:rPr>
                <w:rFonts w:ascii="Arial" w:cs="Arial" w:eastAsia="Arial" w:hAnsi="Arial"/>
                <w:sz w:val="15"/>
                <w:szCs w:val="15"/>
                <w:color w:val="auto"/>
              </w:rPr>
              <w:t>(8)</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2,536,631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(7)</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21,100</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r>
              <w:rPr>
                <w:rFonts w:ascii="Arial" w:cs="Arial" w:eastAsia="Arial" w:hAnsi="Arial"/>
                <w:sz w:val="15"/>
                <w:szCs w:val="15"/>
                <w:color w:val="auto"/>
              </w:rPr>
              <w:t>(7)</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36,955</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(9)</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5,010,000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(10)</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5,005,000</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David J. Johnson</w:t>
            </w:r>
            <w:r>
              <w:rPr>
                <w:rFonts w:ascii="Arial" w:cs="Arial" w:eastAsia="Arial" w:hAnsi="Arial"/>
                <w:sz w:val="15"/>
                <w:szCs w:val="15"/>
                <w:color w:val="auto"/>
              </w:rPr>
              <w:t>(7)</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109,870</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8,139</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Gerald J. Colangelo</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2,532</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(12 persons)</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16,269,234</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r>
      <w:tr>
        <w:trPr>
          <w:trHeight w:val="176"/>
        </w:trPr>
        <w:tc>
          <w:tcPr>
            <w:tcW w:w="1740" w:type="dxa"/>
            <w:vAlign w:val="bottom"/>
            <w:tcBorders>
              <w:bottom w:val="single" w:sz="8" w:color="auto"/>
            </w:tcBorders>
          </w:tcPr>
          <w:p>
            <w:pPr>
              <w:spacing w:after="0"/>
              <w:rPr>
                <w:sz w:val="15"/>
                <w:szCs w:val="15"/>
                <w:color w:val="auto"/>
              </w:rPr>
            </w:pPr>
          </w:p>
        </w:tc>
        <w:tc>
          <w:tcPr>
            <w:tcW w:w="3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7" w:lineRule="exact"/>
        <w:rPr>
          <w:sz w:val="20"/>
          <w:szCs w:val="20"/>
          <w:color w:val="auto"/>
        </w:rPr>
      </w:pPr>
    </w:p>
    <w:p>
      <w:pPr>
        <w:ind w:left="720" w:right="299" w:hanging="388"/>
        <w:spacing w:after="0" w:line="297"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319" w:hanging="388"/>
        <w:spacing w:after="0" w:line="25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Endeavour Capital IV, LLC is the general partner of the Endeavour Entities and, except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w:t>
      </w:r>
    </w:p>
    <w:p>
      <w:pPr>
        <w:spacing w:after="0" w:line="39" w:lineRule="exact"/>
        <w:rPr>
          <w:rFonts w:ascii="Arial" w:cs="Arial" w:eastAsia="Arial" w:hAnsi="Arial"/>
          <w:sz w:val="18"/>
          <w:szCs w:val="18"/>
          <w:color w:val="auto"/>
        </w:rPr>
      </w:pPr>
    </w:p>
    <w:p>
      <w:pPr>
        <w:ind w:left="720" w:right="259" w:hanging="388"/>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information for FMR, LLC is based on a Schedule 13G filed with the Securities and Exchange Commission on January 10, 2011. The address for FMR, LLC is 82 Devonshire Street, Boston, MA 02109.</w:t>
      </w:r>
    </w:p>
    <w:p>
      <w:pPr>
        <w:spacing w:after="0" w:line="21" w:lineRule="exact"/>
        <w:rPr>
          <w:rFonts w:ascii="Arial" w:cs="Arial" w:eastAsia="Arial" w:hAnsi="Arial"/>
          <w:sz w:val="18"/>
          <w:szCs w:val="18"/>
          <w:color w:val="auto"/>
        </w:rPr>
      </w:pPr>
    </w:p>
    <w:p>
      <w:pPr>
        <w:ind w:left="720" w:right="259" w:hanging="388"/>
        <w:spacing w:after="0" w:line="325"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information for Wells Fargo and Company is based on a Schedule 13G filed with the Securities and Exchange Commission on January 20, 2011. The address for Wells Fargo and Company is 420 Montgomery Street, San Francisco, CA 94163.</w:t>
      </w:r>
    </w:p>
    <w:p>
      <w:pPr>
        <w:spacing w:after="0" w:line="1" w:lineRule="exact"/>
        <w:rPr>
          <w:rFonts w:ascii="Arial" w:cs="Arial" w:eastAsia="Arial" w:hAnsi="Arial"/>
          <w:sz w:val="16"/>
          <w:szCs w:val="16"/>
          <w:color w:val="auto"/>
        </w:rPr>
      </w:pPr>
    </w:p>
    <w:p>
      <w:pPr>
        <w:ind w:left="720" w:right="779" w:hanging="388"/>
        <w:spacing w:after="0" w:line="306"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information for BlackRock, Inc. is based on a Schedule 13G filed with the Securities and Exchange Commission on January 21, 2011. The address for BlackRock, Inc. is 55 East 52nd Street, New York, NY 10055.</w:t>
      </w:r>
    </w:p>
    <w:p>
      <w:pPr>
        <w:spacing w:after="0" w:line="1" w:lineRule="exact"/>
        <w:rPr>
          <w:rFonts w:ascii="Arial" w:cs="Arial" w:eastAsia="Arial" w:hAnsi="Arial"/>
          <w:sz w:val="17"/>
          <w:szCs w:val="17"/>
          <w:color w:val="auto"/>
        </w:rPr>
      </w:pPr>
    </w:p>
    <w:p>
      <w:pPr>
        <w:ind w:left="720" w:right="199" w:hanging="388"/>
        <w:spacing w:after="0" w:line="26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2,611,504 shares of common stock held of record by Exeter Capital, LLC, a limited liability company of which Brent D. Richardson, our Executive Chairman, is the manager, which are attributable to, and beneficially owned by, Mr. Brent D. Richardson.</w:t>
      </w:r>
    </w:p>
    <w:p>
      <w:pPr>
        <w:spacing w:after="0" w:line="32"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shares of common stock issuable upon exercise of vested stock options.</w:t>
      </w:r>
    </w:p>
    <w:p>
      <w:pPr>
        <w:spacing w:after="0" w:line="76" w:lineRule="exact"/>
        <w:rPr>
          <w:rFonts w:ascii="Arial" w:cs="Arial" w:eastAsia="Arial" w:hAnsi="Arial"/>
          <w:sz w:val="18"/>
          <w:szCs w:val="18"/>
          <w:color w:val="auto"/>
        </w:rPr>
      </w:pPr>
    </w:p>
    <w:p>
      <w:pPr>
        <w:ind w:left="720" w:right="219" w:hanging="388"/>
        <w:spacing w:after="0" w:line="26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2,536,631 shares of common stock held of record by Calle Camelia Investments, LLC, a limited liability company of which Christopher C. Richardson, our General Counsel and a director, is a manager, which are attributable to, and beneficially owned by, Mr. Christopher C. Richardson.</w:t>
      </w:r>
    </w:p>
    <w:p>
      <w:pPr>
        <w:spacing w:after="0" w:line="32" w:lineRule="exact"/>
        <w:rPr>
          <w:rFonts w:ascii="Arial" w:cs="Arial" w:eastAsia="Arial" w:hAnsi="Arial"/>
          <w:sz w:val="18"/>
          <w:szCs w:val="18"/>
          <w:color w:val="auto"/>
        </w:rPr>
      </w:pPr>
    </w:p>
    <w:p>
      <w:pPr>
        <w:ind w:left="720" w:right="179" w:hanging="388"/>
        <w:spacing w:after="0" w:line="30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5,000,000 shares of common stock held beneficially and of record by the Endeavour Entities (see note (2) above) and 10,000 shares of common stock held of record by Mr. Heath. Mr. Heath, who is a managing member of Endeavour Capital IV, LLC, the general partner of the Endeavour Entities, and serves on our Board of Directors, disclaims beneficial ownership of the shares held of record by any of the Endeavour Entities except to the extent of his pecuniary interest in such shares.</w:t>
      </w:r>
    </w:p>
    <w:p>
      <w:pPr>
        <w:spacing w:after="0" w:line="5" w:lineRule="exact"/>
        <w:rPr>
          <w:rFonts w:ascii="Arial" w:cs="Arial" w:eastAsia="Arial" w:hAnsi="Arial"/>
          <w:sz w:val="16"/>
          <w:szCs w:val="16"/>
          <w:color w:val="auto"/>
        </w:rPr>
      </w:pPr>
    </w:p>
    <w:p>
      <w:pPr>
        <w:ind w:left="720" w:right="179" w:hanging="388"/>
        <w:spacing w:after="0" w:line="30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5,000,000 shares of common stock held beneficially and of record by the Endeavour Entities (see note (2) above) and 5,000 shares of common stock held of record by Mr. Dorman. Mr. Dorman, who is a managing member of Endeavour Capital IV, LLC, the general partner of the Endeavour Entities, and serves on our Board of Directors, disclaims beneficial ownership of the shares held of record by any of the Endeavour Entities except to the extent of his pecuniary interest in such shares.</w:t>
      </w:r>
    </w:p>
    <w:p>
      <w:pPr>
        <w:spacing w:after="0" w:line="123" w:lineRule="exact"/>
        <w:rPr>
          <w:sz w:val="20"/>
          <w:szCs w:val="20"/>
          <w:color w:val="auto"/>
        </w:rPr>
      </w:pPr>
    </w:p>
    <w:p>
      <w:pPr>
        <w:ind w:left="340" w:right="2459" w:firstLine="2295"/>
        <w:spacing w:after="0" w:line="456" w:lineRule="auto"/>
        <w:rPr>
          <w:sz w:val="20"/>
          <w:szCs w:val="20"/>
          <w:color w:val="auto"/>
        </w:rPr>
      </w:pPr>
      <w:r>
        <w:rPr>
          <w:rFonts w:ascii="Arial" w:cs="Arial" w:eastAsia="Arial" w:hAnsi="Arial"/>
          <w:sz w:val="18"/>
          <w:szCs w:val="18"/>
          <w:b w:val="1"/>
          <w:bCs w:val="1"/>
          <w:color w:val="auto"/>
        </w:rPr>
        <w:t>CERTAIN RELATIONSHIPS AND RELATED TRANSACTIONS Policies and Procedures for Related Party Transactions</w:t>
      </w:r>
    </w:p>
    <w:p>
      <w:pPr>
        <w:spacing w:after="0" w:line="1" w:lineRule="exact"/>
        <w:rPr>
          <w:sz w:val="20"/>
          <w:szCs w:val="20"/>
          <w:color w:val="auto"/>
        </w:rPr>
      </w:pPr>
    </w:p>
    <w:p>
      <w:pPr>
        <w:ind w:left="340" w:right="179" w:firstLine="778"/>
        <w:spacing w:after="0" w:line="286" w:lineRule="auto"/>
        <w:rPr>
          <w:sz w:val="20"/>
          <w:szCs w:val="20"/>
          <w:color w:val="auto"/>
        </w:rPr>
      </w:pPr>
      <w:r>
        <w:rPr>
          <w:rFonts w:ascii="Arial" w:cs="Arial" w:eastAsia="Arial" w:hAnsi="Arial"/>
          <w:sz w:val="16"/>
          <w:szCs w:val="16"/>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Certain Transactions</w:t>
      </w:r>
    </w:p>
    <w:p>
      <w:pPr>
        <w:spacing w:after="0" w:line="202" w:lineRule="exact"/>
        <w:rPr>
          <w:sz w:val="20"/>
          <w:szCs w:val="20"/>
          <w:color w:val="auto"/>
        </w:rPr>
      </w:pPr>
    </w:p>
    <w:p>
      <w:pPr>
        <w:ind w:left="340" w:right="319" w:firstLine="778"/>
        <w:spacing w:after="0" w:line="259" w:lineRule="auto"/>
        <w:rPr>
          <w:sz w:val="20"/>
          <w:szCs w:val="20"/>
          <w:color w:val="auto"/>
        </w:rPr>
      </w:pPr>
      <w:r>
        <w:rPr>
          <w:rFonts w:ascii="Arial" w:cs="Arial" w:eastAsia="Arial" w:hAnsi="Arial"/>
          <w:sz w:val="18"/>
          <w:szCs w:val="18"/>
          <w:color w:val="auto"/>
        </w:rPr>
        <w:t>Set forth below is a summary of certain transactions since January 1, 2010,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Agreements with Mind Streams and Lifetime Learning</w:t>
      </w:r>
    </w:p>
    <w:p>
      <w:pPr>
        <w:spacing w:after="0" w:line="185" w:lineRule="exact"/>
        <w:rPr>
          <w:sz w:val="20"/>
          <w:szCs w:val="20"/>
          <w:color w:val="auto"/>
        </w:rPr>
      </w:pPr>
    </w:p>
    <w:p>
      <w:pPr>
        <w:ind w:left="340" w:right="219" w:firstLine="778"/>
        <w:spacing w:after="0" w:line="289" w:lineRule="auto"/>
        <w:rPr>
          <w:sz w:val="20"/>
          <w:szCs w:val="20"/>
          <w:color w:val="auto"/>
        </w:rPr>
      </w:pPr>
      <w:r>
        <w:rPr>
          <w:rFonts w:ascii="Arial" w:cs="Arial" w:eastAsia="Arial" w:hAnsi="Arial"/>
          <w:sz w:val="16"/>
          <w:szCs w:val="16"/>
          <w:color w:val="auto"/>
        </w:rPr>
        <w:t>Through December 2010, we were a party to an agreement with Mind Streams, LLC, which is owned and operated, in part, by Gail Richardson, the father of Brent D. Richardson, our Executive Chairman, and Christopher C. Richardson, our General Counsel and a director. Pursuant to this agreement, Mind Streams identified qualified applicants for admission to Grand Canyon University in return for which it was a paid a stated percentage of the net revenue (calculated as tuition actually received, less scholarships, refunds, and allowances) derived by us from those identified applicants that matriculate at Grand Canyon University. Additionally in 2010, we entered into an agreement with Lifetime Learning, LLC, another entity owned and operated, in part, by Gail Richardson, which generates and sells information regarding prospective students to us. For the year ended December 31, 2010, we expensed approximately $8.8 million pursuant to these arrangements, exclusive of the settlement arrangement discussed in the following paragraph and, as of December 31, 2010, approximately $9.4 million was due to these related parties.</w:t>
      </w:r>
    </w:p>
    <w:p>
      <w:pPr>
        <w:spacing w:after="0" w:line="140" w:lineRule="exact"/>
        <w:rPr>
          <w:sz w:val="20"/>
          <w:szCs w:val="20"/>
          <w:color w:val="auto"/>
        </w:rPr>
      </w:pPr>
    </w:p>
    <w:p>
      <w:pPr>
        <w:ind w:left="340" w:right="179" w:firstLine="778"/>
        <w:spacing w:after="0" w:line="269" w:lineRule="auto"/>
        <w:rPr>
          <w:sz w:val="20"/>
          <w:szCs w:val="20"/>
          <w:color w:val="auto"/>
        </w:rPr>
      </w:pPr>
      <w:r>
        <w:rPr>
          <w:rFonts w:ascii="Arial" w:cs="Arial" w:eastAsia="Arial" w:hAnsi="Arial"/>
          <w:sz w:val="17"/>
          <w:szCs w:val="17"/>
          <w:color w:val="auto"/>
        </w:rPr>
        <w:t>As a result of new rules adopted by the Department of Education and effective July 1, 2011, we determined that revenue sharing arrangements like the agreement with MindStreams will most likely no longer be permitted. Accordingly, we allowed the agreement with MindStreams to expire by its terms effective December 31, 2010. In connection with such planned expiration and in consideration for amounts that we would continue to owe to Mind Streams under the arrangement following such expiration in respect of anticipated net revenue derived from any such currently matriculated students identified by Mind Streams who continue to take courses at the University in the future, we entered into an agreement with MindStreams, dated December 30, 2010, pursuant to which we agreed to pay Mind Streams an amount equal to (a) $8.5 million, plus (b) Mind Streams’ applicable share of any net revenue actually received by us on or before February 28, 2011 with respect to any such matriculated students that began a course prior to November 1, 2010. In return, Mind Streams agreed to (i) accept such amounts in full and complete satisfaction of all amounts owed by us to Mind Streams under the agreement, and (ii) transfer to us a proprietary database of potential student contacts. The amount paid by us covers both the present value of Mind Streams’ allocable share of such anticipated net revenue as well as the value of the acquired database.</w:t>
      </w:r>
    </w:p>
    <w:p>
      <w:pPr>
        <w:spacing w:after="0" w:line="13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left="340" w:right="399" w:firstLine="778"/>
        <w:spacing w:after="0" w:line="257" w:lineRule="auto"/>
        <w:rPr>
          <w:sz w:val="20"/>
          <w:szCs w:val="20"/>
          <w:color w:val="auto"/>
        </w:rPr>
      </w:pPr>
      <w:r>
        <w:rPr>
          <w:rFonts w:ascii="Arial" w:cs="Arial" w:eastAsia="Arial" w:hAnsi="Arial"/>
          <w:sz w:val="18"/>
          <w:szCs w:val="18"/>
          <w:color w:val="auto"/>
        </w:rPr>
        <w:t>Section 16(a) of the Exchange Act requires that our Company’s directors and executive officers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2010.</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HOUSEHOLDING OF PROXY MATERIALS</w:t>
      </w:r>
    </w:p>
    <w:p>
      <w:pPr>
        <w:spacing w:after="0" w:line="202" w:lineRule="exact"/>
        <w:rPr>
          <w:sz w:val="20"/>
          <w:szCs w:val="20"/>
          <w:color w:val="auto"/>
        </w:rPr>
      </w:pPr>
    </w:p>
    <w:p>
      <w:pPr>
        <w:ind w:left="340" w:right="199" w:firstLine="778"/>
        <w:spacing w:after="0" w:line="269" w:lineRule="auto"/>
        <w:rPr>
          <w:sz w:val="20"/>
          <w:szCs w:val="20"/>
          <w:color w:val="auto"/>
        </w:rPr>
      </w:pPr>
      <w:r>
        <w:rPr>
          <w:rFonts w:ascii="Arial" w:cs="Arial" w:eastAsia="Arial" w:hAnsi="Arial"/>
          <w:sz w:val="17"/>
          <w:szCs w:val="17"/>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left="340" w:right="339" w:firstLine="778"/>
        <w:spacing w:after="0" w:line="286" w:lineRule="auto"/>
        <w:rPr>
          <w:sz w:val="20"/>
          <w:szCs w:val="20"/>
          <w:color w:val="auto"/>
        </w:rPr>
      </w:pPr>
      <w:r>
        <w:rPr>
          <w:rFonts w:ascii="Arial" w:cs="Arial" w:eastAsia="Arial" w:hAnsi="Arial"/>
          <w:sz w:val="16"/>
          <w:szCs w:val="16"/>
          <w:color w:val="auto"/>
        </w:rPr>
        <w:t xml:space="preserve">Our 2010 annual report and our Annual Report on Form 10-K for fiscal year 2010, including financial statements, are available electronically along with our proxy statement to all stockholders of record as of March 28, 2011,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 Form 10-K, for the fiscal year ended</w:t>
      </w:r>
    </w:p>
    <w:p>
      <w:pPr>
        <w:spacing w:after="0" w:line="2" w:lineRule="exact"/>
        <w:rPr>
          <w:sz w:val="20"/>
          <w:szCs w:val="20"/>
          <w:color w:val="auto"/>
        </w:rPr>
      </w:pPr>
    </w:p>
    <w:p>
      <w:pPr>
        <w:ind w:left="340" w:right="699"/>
        <w:spacing w:after="0" w:line="261" w:lineRule="auto"/>
        <w:rPr>
          <w:sz w:val="20"/>
          <w:szCs w:val="20"/>
          <w:color w:val="auto"/>
        </w:rPr>
      </w:pPr>
      <w:r>
        <w:rPr>
          <w:rFonts w:ascii="Arial" w:cs="Arial" w:eastAsia="Arial" w:hAnsi="Arial"/>
          <w:sz w:val="18"/>
          <w:szCs w:val="18"/>
          <w:b w:val="1"/>
          <w:bCs w:val="1"/>
          <w:color w:val="auto"/>
        </w:rPr>
        <w:t>December 31, 2010, and our proxy statement may do so without charge by writing to Investor Relations, Grand Canyon Education, Inc., 3300 W. Camelback Road, Phoenix, Arizona 85017.</w:t>
      </w:r>
    </w:p>
    <w:p>
      <w:pPr>
        <w:spacing w:after="0" w:line="157" w:lineRule="exact"/>
        <w:rPr>
          <w:sz w:val="20"/>
          <w:szCs w:val="20"/>
          <w:color w:val="auto"/>
        </w:rPr>
      </w:pPr>
    </w:p>
    <w:p>
      <w:pPr>
        <w:ind w:left="340" w:right="179" w:firstLine="778"/>
        <w:spacing w:after="0" w:line="259" w:lineRule="auto"/>
        <w:rPr>
          <w:sz w:val="20"/>
          <w:szCs w:val="20"/>
          <w:color w:val="auto"/>
        </w:rPr>
      </w:pPr>
      <w:r>
        <w:rPr>
          <w:rFonts w:ascii="Arial" w:cs="Arial" w:eastAsia="Arial" w:hAnsi="Arial"/>
          <w:sz w:val="18"/>
          <w:szCs w:val="18"/>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1577975"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779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Christopher C. Richardson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March 28, 2011</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APPENDIX A — GRAND CANYON EDUCATION, INC. ANNUAL CASH INCENTIVE PLAN</w:t>
      </w:r>
    </w:p>
    <w:p>
      <w:pPr>
        <w:spacing w:after="0" w:line="19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Annual Cash Incentive Plan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PLAN OBJECTIVE</w:t>
      </w:r>
    </w:p>
    <w:p>
      <w:pPr>
        <w:spacing w:after="0" w:line="198" w:lineRule="exact"/>
        <w:rPr>
          <w:sz w:val="20"/>
          <w:szCs w:val="20"/>
          <w:color w:val="auto"/>
        </w:rPr>
      </w:pPr>
    </w:p>
    <w:p>
      <w:pPr>
        <w:ind w:left="340" w:right="319" w:firstLine="778"/>
        <w:spacing w:after="0" w:line="281" w:lineRule="auto"/>
        <w:rPr>
          <w:sz w:val="20"/>
          <w:szCs w:val="20"/>
          <w:color w:val="auto"/>
        </w:rPr>
      </w:pPr>
      <w:r>
        <w:rPr>
          <w:rFonts w:ascii="Arial" w:cs="Arial" w:eastAsia="Arial" w:hAnsi="Arial"/>
          <w:sz w:val="17"/>
          <w:szCs w:val="17"/>
          <w:color w:val="auto"/>
        </w:rPr>
        <w:t>The Grand Canyon Education, Inc. Annual Cash Incentive Plan (the “</w:t>
      </w:r>
      <w:r>
        <w:rPr>
          <w:rFonts w:ascii="Arial" w:cs="Arial" w:eastAsia="Arial" w:hAnsi="Arial"/>
          <w:sz w:val="17"/>
          <w:szCs w:val="17"/>
          <w:b w:val="1"/>
          <w:bCs w:val="1"/>
          <w:color w:val="auto"/>
        </w:rPr>
        <w:t>Plan</w:t>
      </w:r>
      <w:r>
        <w:rPr>
          <w:rFonts w:ascii="Arial" w:cs="Arial" w:eastAsia="Arial" w:hAnsi="Arial"/>
          <w:sz w:val="17"/>
          <w:szCs w:val="17"/>
          <w:color w:val="auto"/>
        </w:rPr>
        <w:t>”) is an annual cash bonus program designed to motivate eligible participants to achieve financial and strategic objectives of Grand Canyon Education, Inc. (the “</w:t>
      </w:r>
      <w:r>
        <w:rPr>
          <w:rFonts w:ascii="Arial" w:cs="Arial" w:eastAsia="Arial" w:hAnsi="Arial"/>
          <w:sz w:val="17"/>
          <w:szCs w:val="17"/>
          <w:b w:val="1"/>
          <w:bCs w:val="1"/>
          <w:color w:val="auto"/>
        </w:rPr>
        <w:t>Company</w:t>
      </w:r>
      <w:r>
        <w:rPr>
          <w:rFonts w:ascii="Arial" w:cs="Arial" w:eastAsia="Arial" w:hAnsi="Arial"/>
          <w:sz w:val="17"/>
          <w:szCs w:val="17"/>
          <w:color w:val="auto"/>
        </w:rPr>
        <w:t>”). The Plan is intended to satisfy the applicable provisions of Section 162(m) of the Internal Revenue Code of 1986, as amended and the regulations thereunder (“</w:t>
      </w:r>
      <w:r>
        <w:rPr>
          <w:rFonts w:ascii="Arial" w:cs="Arial" w:eastAsia="Arial" w:hAnsi="Arial"/>
          <w:sz w:val="17"/>
          <w:szCs w:val="17"/>
          <w:b w:val="1"/>
          <w:bCs w:val="1"/>
          <w:color w:val="auto"/>
        </w:rPr>
        <w:t>Section 162(m)</w:t>
      </w:r>
      <w:r>
        <w:rPr>
          <w:rFonts w:ascii="Arial" w:cs="Arial" w:eastAsia="Arial" w:hAnsi="Arial"/>
          <w:sz w:val="17"/>
          <w:szCs w:val="17"/>
          <w:color w:val="auto"/>
        </w:rPr>
        <w:t>”), with respect to participants who are Covered Employees.</w:t>
      </w:r>
    </w:p>
    <w:p>
      <w:pPr>
        <w:spacing w:after="0" w:line="124" w:lineRule="exact"/>
        <w:rPr>
          <w:sz w:val="20"/>
          <w:szCs w:val="20"/>
          <w:color w:val="auto"/>
        </w:rPr>
      </w:pPr>
    </w:p>
    <w:p>
      <w:pPr>
        <w:ind w:left="560" w:hanging="228"/>
        <w:spacing w:after="0"/>
        <w:tabs>
          <w:tab w:leader="none" w:pos="5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ADMINISTRATOR</w:t>
      </w:r>
    </w:p>
    <w:p>
      <w:pPr>
        <w:spacing w:after="0" w:line="184" w:lineRule="exact"/>
        <w:rPr>
          <w:rFonts w:ascii="Arial" w:cs="Arial" w:eastAsia="Arial" w:hAnsi="Arial"/>
          <w:sz w:val="18"/>
          <w:szCs w:val="18"/>
          <w:b w:val="1"/>
          <w:bCs w:val="1"/>
          <w:color w:val="auto"/>
        </w:rPr>
      </w:pPr>
    </w:p>
    <w:p>
      <w:pPr>
        <w:ind w:left="340" w:right="239" w:firstLine="770"/>
        <w:spacing w:after="0" w:line="298" w:lineRule="auto"/>
        <w:tabs>
          <w:tab w:leader="none" w:pos="1359"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Plan shall be administered by the Compensation Committee (the “</w:t>
      </w:r>
      <w:r>
        <w:rPr>
          <w:rFonts w:ascii="Arial" w:cs="Arial" w:eastAsia="Arial" w:hAnsi="Arial"/>
          <w:sz w:val="16"/>
          <w:szCs w:val="16"/>
          <w:b w:val="1"/>
          <w:bCs w:val="1"/>
          <w:color w:val="auto"/>
        </w:rPr>
        <w:t>Committee</w:t>
      </w:r>
      <w:r>
        <w:rPr>
          <w:rFonts w:ascii="Arial" w:cs="Arial" w:eastAsia="Arial" w:hAnsi="Arial"/>
          <w:sz w:val="16"/>
          <w:szCs w:val="16"/>
          <w:color w:val="auto"/>
        </w:rPr>
        <w:t>”) of the Board of Directors of the Company. The Committee shall be comprised of not fewer than two members who shall be “outside directors” within the meaning of Section 162(m). The Committee may delegate responsibility for plan administration to a designee; provided, however, the Committee may not delegate its responsibility regarding the grant and administration of awards which are intended to qualify as performance-based compensation under Section 162(m). The term “</w:t>
      </w:r>
      <w:r>
        <w:rPr>
          <w:rFonts w:ascii="Arial" w:cs="Arial" w:eastAsia="Arial" w:hAnsi="Arial"/>
          <w:sz w:val="16"/>
          <w:szCs w:val="16"/>
          <w:b w:val="1"/>
          <w:bCs w:val="1"/>
          <w:color w:val="auto"/>
        </w:rPr>
        <w:t>Plan Administrator</w:t>
      </w:r>
      <w:r>
        <w:rPr>
          <w:rFonts w:ascii="Arial" w:cs="Arial" w:eastAsia="Arial" w:hAnsi="Arial"/>
          <w:sz w:val="16"/>
          <w:szCs w:val="16"/>
          <w:color w:val="auto"/>
        </w:rPr>
        <w:t>” as used herein shall mean the Committee or its designee.</w:t>
      </w:r>
    </w:p>
    <w:p>
      <w:pPr>
        <w:spacing w:after="0" w:line="131" w:lineRule="exact"/>
        <w:rPr>
          <w:rFonts w:ascii="Arial" w:cs="Arial" w:eastAsia="Arial" w:hAnsi="Arial"/>
          <w:sz w:val="16"/>
          <w:szCs w:val="16"/>
          <w:color w:val="auto"/>
        </w:rPr>
      </w:pPr>
    </w:p>
    <w:p>
      <w:pPr>
        <w:ind w:left="340" w:right="159" w:firstLine="770"/>
        <w:spacing w:after="0" w:line="270" w:lineRule="auto"/>
        <w:tabs>
          <w:tab w:leader="none" w:pos="1369"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Plan Administrator shall have full authority to establish the rules and regulations relating to the Plan, to interpret the Plan and those rules and regulations, to select participants in the Plan, to determine each participant’s target award, to approve all of the awards, to decide the facts in any case arising under the Plan and to make all other determinations, including factual determinations, and to take all other actions necessary or appropriate for the proper administration of the Plan, including the delegation of such authority or power, where appropriate; provided, however, that only the Committee shall have authority to amend or terminate the Plan, and the Plan Administrator shall not be authorized to increase the amount of the award payable to a Covered Employee that would otherwise be payable pursuant to the terms of the Plan. The Plan Administrator’s administration of the Plan, including all such rules and regulations, interpretations, selections, determinations, approvals, decisions, delegations, amendments, terminations and other actions, shall be final and binding on the Company and all employees of the Company, including, the participants in the Plan and their respective beneficiaries.</w:t>
      </w:r>
    </w:p>
    <w:p>
      <w:pPr>
        <w:spacing w:after="0" w:line="133"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189" w:lineRule="exact"/>
        <w:rPr>
          <w:sz w:val="20"/>
          <w:szCs w:val="20"/>
          <w:color w:val="auto"/>
        </w:rPr>
      </w:pPr>
    </w:p>
    <w:p>
      <w:pPr>
        <w:ind w:left="340" w:right="179" w:firstLine="778"/>
        <w:spacing w:after="0" w:line="277" w:lineRule="auto"/>
        <w:rPr>
          <w:sz w:val="20"/>
          <w:szCs w:val="20"/>
          <w:color w:val="auto"/>
        </w:rPr>
      </w:pPr>
      <w:r>
        <w:rPr>
          <w:rFonts w:ascii="Arial" w:cs="Arial" w:eastAsia="Arial" w:hAnsi="Arial"/>
          <w:sz w:val="18"/>
          <w:szCs w:val="18"/>
          <w:color w:val="auto"/>
        </w:rPr>
        <w:t>Subject to such limitations or restrictions as the Plan Administrator may impose, the individuals eligible to participate in the Plan shall be regular employees of the Company and its subsidiaries, if any.</w:t>
      </w:r>
    </w:p>
    <w:p>
      <w:pPr>
        <w:spacing w:after="0" w:line="143" w:lineRule="exact"/>
        <w:rPr>
          <w:sz w:val="20"/>
          <w:szCs w:val="20"/>
          <w:color w:val="auto"/>
        </w:rPr>
      </w:pPr>
    </w:p>
    <w:p>
      <w:pPr>
        <w:ind w:left="340" w:right="199" w:firstLine="778"/>
        <w:spacing w:after="0" w:line="264" w:lineRule="auto"/>
        <w:rPr>
          <w:sz w:val="20"/>
          <w:szCs w:val="20"/>
          <w:color w:val="auto"/>
        </w:rPr>
      </w:pPr>
      <w:r>
        <w:rPr>
          <w:rFonts w:ascii="Arial" w:cs="Arial" w:eastAsia="Arial" w:hAnsi="Arial"/>
          <w:sz w:val="18"/>
          <w:szCs w:val="18"/>
          <w:color w:val="auto"/>
        </w:rPr>
        <w:t>The Plan Administrator shall select the actual individuals who shall participate in the Plan for each Plan Year; provided that such selection with respect to those individuals who are Covered Employees shall be designated in writing no later than the Section 162(m) Designation Date.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b w:val="1"/>
          <w:bCs w:val="1"/>
          <w:u w:val="single" w:color="auto"/>
          <w:color w:val="auto"/>
        </w:rPr>
        <w:t>PERFORMANCE GOALS</w:t>
      </w:r>
    </w:p>
    <w:p>
      <w:pPr>
        <w:spacing w:after="0" w:line="189" w:lineRule="exact"/>
        <w:rPr>
          <w:sz w:val="20"/>
          <w:szCs w:val="20"/>
          <w:color w:val="auto"/>
        </w:rPr>
      </w:pPr>
    </w:p>
    <w:p>
      <w:pPr>
        <w:ind w:left="340" w:right="439" w:firstLine="770"/>
        <w:spacing w:after="0" w:line="276" w:lineRule="auto"/>
        <w:tabs>
          <w:tab w:leader="none" w:pos="1363"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each Plan Year for which awards are to be made under the Plan, the Plan Administrator will pre-establish the performance goal(s) to be achieved in order for any awards to be payable for that Plan Year and the threshold, target and maximum bonus amounts that may be paid if the performance goals are met; provided that with respect to those individuals who are Covered Employees the applicable performance goal(s) shall be established by the Plan Administrator in writing no later than the Section 162(m) Designation Date and otherwise in accordance with the requirements of Section 162(m).</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79" w:firstLine="770"/>
        <w:spacing w:after="0" w:line="277" w:lineRule="auto"/>
        <w:tabs>
          <w:tab w:leader="none" w:pos="13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goal(s) for participants who are Covered Employees will be based on one or more of the following business or operational criteria:</w:t>
      </w:r>
    </w:p>
    <w:p>
      <w:pPr>
        <w:spacing w:after="0" w:line="143" w:lineRule="exact"/>
        <w:rPr>
          <w:rFonts w:ascii="Arial" w:cs="Arial" w:eastAsia="Arial" w:hAnsi="Arial"/>
          <w:sz w:val="18"/>
          <w:szCs w:val="18"/>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revenue targets;</w:t>
      </w:r>
    </w:p>
    <w:p>
      <w:pPr>
        <w:spacing w:after="0" w:line="184" w:lineRule="exact"/>
        <w:rPr>
          <w:rFonts w:ascii="Arial" w:cs="Arial" w:eastAsia="Arial" w:hAnsi="Arial"/>
          <w:sz w:val="18"/>
          <w:szCs w:val="18"/>
          <w:b w:val="1"/>
          <w:bCs w:val="1"/>
          <w:color w:val="auto"/>
        </w:rPr>
      </w:pPr>
    </w:p>
    <w:p>
      <w:pPr>
        <w:ind w:left="1880" w:right="339" w:hanging="386"/>
        <w:spacing w:after="0" w:line="277" w:lineRule="auto"/>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Adjusted EBITDA targets (as such term is defined from time to time in the Company’s periodic reports as filed with the Securities and Exchange Commission);</w:t>
      </w:r>
    </w:p>
    <w:p>
      <w:pPr>
        <w:spacing w:after="0" w:line="129" w:lineRule="exact"/>
        <w:rPr>
          <w:rFonts w:ascii="Arial" w:cs="Arial" w:eastAsia="Arial" w:hAnsi="Arial"/>
          <w:sz w:val="18"/>
          <w:szCs w:val="18"/>
          <w:b w:val="1"/>
          <w:bCs w:val="1"/>
          <w:color w:val="auto"/>
        </w:rPr>
      </w:pPr>
    </w:p>
    <w:p>
      <w:pPr>
        <w:ind w:left="1880" w:right="579" w:hanging="386"/>
        <w:spacing w:after="0" w:line="277" w:lineRule="auto"/>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return measures (including, but not limited to, return on assets, capital, investment, equity or sales, and total stockholder return);</w:t>
      </w:r>
    </w:p>
    <w:p>
      <w:pPr>
        <w:spacing w:after="0" w:line="143"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earnings per share;</w:t>
      </w:r>
    </w:p>
    <w:p>
      <w:pPr>
        <w:spacing w:after="0" w:line="184"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net income (before or after taxes) or operating income;</w:t>
      </w:r>
    </w:p>
    <w:p>
      <w:pPr>
        <w:spacing w:after="0" w:line="184"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budget comparisons;</w:t>
      </w:r>
    </w:p>
    <w:p>
      <w:pPr>
        <w:spacing w:after="0" w:line="198"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regulatory compliance;</w:t>
      </w:r>
    </w:p>
    <w:p>
      <w:pPr>
        <w:spacing w:after="0" w:line="184"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productivity improvements;</w:t>
      </w:r>
    </w:p>
    <w:p>
      <w:pPr>
        <w:spacing w:after="0" w:line="184"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measures of student satisfaction or achievement;</w:t>
      </w:r>
    </w:p>
    <w:p>
      <w:pPr>
        <w:spacing w:after="0" w:line="198"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any combination of, or a specified increase in, any of the foregoing; and</w:t>
      </w:r>
    </w:p>
    <w:p>
      <w:pPr>
        <w:spacing w:after="0" w:line="184" w:lineRule="exact"/>
        <w:rPr>
          <w:rFonts w:ascii="Arial" w:cs="Arial" w:eastAsia="Arial" w:hAnsi="Arial"/>
          <w:sz w:val="18"/>
          <w:szCs w:val="18"/>
          <w:b w:val="1"/>
          <w:bCs w:val="1"/>
          <w:color w:val="auto"/>
        </w:rPr>
      </w:pPr>
    </w:p>
    <w:p>
      <w:pPr>
        <w:ind w:left="1880" w:hanging="386"/>
        <w:spacing w:after="0"/>
        <w:tabs>
          <w:tab w:leader="none" w:pos="18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the completion of corporate transactions intended to enhance the Company’s revenue or profitability.</w:t>
      </w:r>
    </w:p>
    <w:p>
      <w:pPr>
        <w:spacing w:after="0" w:line="185" w:lineRule="exact"/>
        <w:rPr>
          <w:sz w:val="20"/>
          <w:szCs w:val="20"/>
          <w:color w:val="auto"/>
        </w:rPr>
      </w:pPr>
    </w:p>
    <w:p>
      <w:pPr>
        <w:jc w:val="both"/>
        <w:ind w:left="340" w:right="219" w:firstLine="778"/>
        <w:spacing w:after="0" w:line="264" w:lineRule="auto"/>
        <w:rPr>
          <w:sz w:val="20"/>
          <w:szCs w:val="20"/>
          <w:color w:val="auto"/>
        </w:rPr>
      </w:pPr>
      <w:r>
        <w:rPr>
          <w:rFonts w:ascii="Arial" w:cs="Arial" w:eastAsia="Arial" w:hAnsi="Arial"/>
          <w:sz w:val="18"/>
          <w:szCs w:val="18"/>
          <w:color w:val="auto"/>
        </w:rPr>
        <w:t>Each of these measures will be defined by the Plan Administrator on a corporation, subsidiary, group or division basis and may be stated as an absolute value or as a value determined relative to a budget, an index or the performance of other entities and may include or exclude specified extraordinary items, as determined by the Plan Administrator.</w:t>
      </w:r>
    </w:p>
    <w:p>
      <w:pPr>
        <w:spacing w:after="0" w:line="154" w:lineRule="exact"/>
        <w:rPr>
          <w:sz w:val="20"/>
          <w:szCs w:val="20"/>
          <w:color w:val="auto"/>
        </w:rPr>
      </w:pPr>
    </w:p>
    <w:p>
      <w:pPr>
        <w:ind w:left="340" w:right="299" w:firstLine="770"/>
        <w:spacing w:after="0" w:line="277" w:lineRule="auto"/>
        <w:tabs>
          <w:tab w:leader="none" w:pos="135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specific goals for participants who are not Covered Employees may be based on the foregoing criteria or any other criteria determined by the Plan Administrator.</w:t>
      </w:r>
    </w:p>
    <w:p>
      <w:pPr>
        <w:spacing w:after="0" w:line="129" w:lineRule="exact"/>
        <w:rPr>
          <w:rFonts w:ascii="Arial" w:cs="Arial" w:eastAsia="Arial" w:hAnsi="Arial"/>
          <w:sz w:val="18"/>
          <w:szCs w:val="18"/>
          <w:color w:val="auto"/>
        </w:rPr>
      </w:pPr>
    </w:p>
    <w:p>
      <w:pPr>
        <w:ind w:left="340" w:right="239" w:firstLine="770"/>
        <w:spacing w:after="0" w:line="264" w:lineRule="auto"/>
        <w:tabs>
          <w:tab w:leader="none" w:pos="136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 performance goal for any participant may be used that would result in a payment being made under this plan that is based in any part, directly or indirectly, upon success in securing student enrollments or the award of financial aid in violation of applicable law.</w:t>
      </w:r>
    </w:p>
    <w:p>
      <w:pPr>
        <w:spacing w:after="0" w:line="13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 xml:space="preserve">V. </w:t>
      </w:r>
      <w:r>
        <w:rPr>
          <w:rFonts w:ascii="Arial" w:cs="Arial" w:eastAsia="Arial" w:hAnsi="Arial"/>
          <w:sz w:val="18"/>
          <w:szCs w:val="18"/>
          <w:b w:val="1"/>
          <w:bCs w:val="1"/>
          <w:u w:val="single" w:color="auto"/>
          <w:color w:val="auto"/>
        </w:rPr>
        <w:t>TARGET BONUS LEVELS</w:t>
      </w:r>
    </w:p>
    <w:p>
      <w:pPr>
        <w:spacing w:after="0" w:line="202" w:lineRule="exact"/>
        <w:rPr>
          <w:rFonts w:ascii="Arial" w:cs="Arial" w:eastAsia="Arial" w:hAnsi="Arial"/>
          <w:sz w:val="18"/>
          <w:szCs w:val="18"/>
          <w:color w:val="auto"/>
        </w:rPr>
      </w:pPr>
    </w:p>
    <w:p>
      <w:pPr>
        <w:ind w:left="340" w:right="359" w:firstLine="770"/>
        <w:spacing w:after="0" w:line="255" w:lineRule="auto"/>
        <w:tabs>
          <w:tab w:leader="none" w:pos="135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Plan Administrator shall specify the threshold, target and maximum credited performance level(s) to be achieved with respect to the applicable performance goal(s) determined in accordance with Article IV, and the bonus amounts for each participant in the Plan that will be paid upon the attainment of the specified levels of achievement of the performance goal(s); provided that, with respect to those individuals who are Covered Employees, the Plan Administrator’s specification shall be made in writing no later than the Section 162(m) Designation Date. The Plan Administrator may also establish individual performance goals for each participant.</w:t>
      </w:r>
    </w:p>
    <w:p>
      <w:pPr>
        <w:spacing w:after="0" w:line="152" w:lineRule="exact"/>
        <w:rPr>
          <w:rFonts w:ascii="Arial" w:cs="Arial" w:eastAsia="Arial" w:hAnsi="Arial"/>
          <w:sz w:val="18"/>
          <w:szCs w:val="18"/>
          <w:color w:val="auto"/>
        </w:rPr>
      </w:pPr>
    </w:p>
    <w:p>
      <w:pPr>
        <w:ind w:left="340" w:right="279" w:firstLine="770"/>
        <w:spacing w:after="0" w:line="255" w:lineRule="auto"/>
        <w:tabs>
          <w:tab w:leader="none" w:pos="13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participant will earn a bonus for a Plan Year based on the achievement of the performance goal(s) established by the Plan Administrator. The Plan Administrator may adjust, upward or downward, the bonus amount for each participant who is not a Covered Employee, based on the Plan Administrator’s determination of the participant’s achievement of personal and other performance goals established by the Plan Administrator and other factors as the Plan Administrator determines. The Plan Administrator may reduce (but not increase) the bonus amount for each Covered Employee based on the Plan Administrator’s determination of the participant’s achievement of personal and other performance goals established by the Plan Administrator and other factors as the Plan Administrator determines.</w:t>
      </w:r>
    </w:p>
    <w:p>
      <w:pPr>
        <w:spacing w:after="0" w:line="148" w:lineRule="exact"/>
        <w:rPr>
          <w:rFonts w:ascii="Arial" w:cs="Arial" w:eastAsia="Arial" w:hAnsi="Arial"/>
          <w:sz w:val="18"/>
          <w:szCs w:val="18"/>
          <w:color w:val="auto"/>
        </w:rPr>
      </w:pPr>
    </w:p>
    <w:p>
      <w:pPr>
        <w:jc w:val="both"/>
        <w:ind w:left="340" w:right="179" w:firstLine="770"/>
        <w:spacing w:after="0" w:line="264" w:lineRule="auto"/>
        <w:tabs>
          <w:tab w:leader="none" w:pos="13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Unless determined otherwise by the Plan Administrator, the target bonus amounts will be expressed as either an absolute dollar amount or a percentage of a participant’s base salary. In no event may the bonus paid to a participant for a Plan Year exceed two hundred percent (200%) of the participant’s base salary for the Plan Year.</w:t>
      </w:r>
    </w:p>
    <w:p>
      <w:pPr>
        <w:spacing w:after="0" w:line="154" w:lineRule="exact"/>
        <w:rPr>
          <w:rFonts w:ascii="Arial" w:cs="Arial" w:eastAsia="Arial" w:hAnsi="Arial"/>
          <w:sz w:val="18"/>
          <w:szCs w:val="18"/>
          <w:color w:val="auto"/>
        </w:rPr>
      </w:pPr>
    </w:p>
    <w:p>
      <w:pPr>
        <w:ind w:left="1360" w:hanging="250"/>
        <w:spacing w:after="0"/>
        <w:tabs>
          <w:tab w:leader="none" w:pos="13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maximum amount of compensation that a Covered Employee may receive under the Plan for any Plan Year is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$2,000,000.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b w:val="1"/>
          <w:bCs w:val="1"/>
          <w:u w:val="single" w:color="auto"/>
          <w:color w:val="auto"/>
        </w:rPr>
        <w:t>PAYMENT OF BONUSES</w:t>
      </w:r>
    </w:p>
    <w:p>
      <w:pPr>
        <w:spacing w:after="0" w:line="202" w:lineRule="exact"/>
        <w:rPr>
          <w:sz w:val="20"/>
          <w:szCs w:val="20"/>
          <w:color w:val="auto"/>
        </w:rPr>
      </w:pPr>
    </w:p>
    <w:p>
      <w:pPr>
        <w:ind w:left="340" w:right="159" w:firstLine="770"/>
        <w:spacing w:after="0" w:line="254" w:lineRule="auto"/>
        <w:tabs>
          <w:tab w:leader="none" w:pos="13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Plan Administrator shall certify in writing the actual extent to which the applicable performance goal(s) have been achieved for the Plan Year and announce to the participants the bonus amounts that will be paid by the Company as soon as practicable following the final determination of the Company’s financial results for the Plan Year. Payment of the bonuses certified by the Plan Administrator shall be made in a single lump sum cash payment as soon as practicable following such certification but in any event no later than the 15th day of the third month following the end of the Plan Year. However, the Plan Administrator may provide with respect to participants, including Covered Employees, for periodic payments of bonuses based on achievement of the applicable performance goal(s) for one or more interim periods during a Plan Year (each an “</w:t>
      </w:r>
      <w:r>
        <w:rPr>
          <w:rFonts w:ascii="Arial" w:cs="Arial" w:eastAsia="Arial" w:hAnsi="Arial"/>
          <w:sz w:val="18"/>
          <w:szCs w:val="18"/>
          <w:b w:val="1"/>
          <w:bCs w:val="1"/>
          <w:color w:val="auto"/>
        </w:rPr>
        <w:t>Interim Performance Period</w:t>
      </w:r>
      <w:r>
        <w:rPr>
          <w:rFonts w:ascii="Arial" w:cs="Arial" w:eastAsia="Arial" w:hAnsi="Arial"/>
          <w:sz w:val="18"/>
          <w:szCs w:val="18"/>
          <w:color w:val="auto"/>
        </w:rPr>
        <w:t>”), as the Plan Administrator determines.</w:t>
      </w:r>
    </w:p>
    <w:p>
      <w:pPr>
        <w:spacing w:after="0" w:line="151" w:lineRule="exact"/>
        <w:rPr>
          <w:rFonts w:ascii="Arial" w:cs="Arial" w:eastAsia="Arial" w:hAnsi="Arial"/>
          <w:sz w:val="18"/>
          <w:szCs w:val="18"/>
          <w:color w:val="auto"/>
        </w:rPr>
      </w:pPr>
    </w:p>
    <w:p>
      <w:pPr>
        <w:ind w:left="340" w:right="639" w:firstLine="770"/>
        <w:spacing w:after="0" w:line="277" w:lineRule="auto"/>
        <w:tabs>
          <w:tab w:leader="none" w:pos="13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Participants must be employed on the last day of the Plan Year or Interim Performance Period, as applicable, to be eligible for a bonus payment under the Plan, except as described in subsections (c) and (d) below.</w:t>
      </w:r>
    </w:p>
    <w:p>
      <w:pPr>
        <w:spacing w:after="0" w:line="129" w:lineRule="exact"/>
        <w:rPr>
          <w:rFonts w:ascii="Arial" w:cs="Arial" w:eastAsia="Arial" w:hAnsi="Arial"/>
          <w:sz w:val="18"/>
          <w:szCs w:val="18"/>
          <w:color w:val="auto"/>
        </w:rPr>
      </w:pPr>
    </w:p>
    <w:p>
      <w:pPr>
        <w:ind w:left="340" w:right="219" w:firstLine="770"/>
        <w:spacing w:after="0" w:line="288" w:lineRule="auto"/>
        <w:tabs>
          <w:tab w:leader="none" w:pos="1363"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Participants who terminate employment prior to the last day of the Plan Year or Interim Performance Period, as applicable, will not be eligible for any bonus payment for that Plan Year or Interim Performance Period. However, the Plan Administrator shall have the discretion to authorize a full or partial payment of the bonus to which the participant would have actually become entitled had such individual continued in employee status through the payment date, should such individual’s employment terminate prior to such date by reason of his or her death, disability, retirement or involuntary termination due to a reduction in force, departmental reduction or job reduction that occurs after at least six (6) months of service during the Plan Year. The bonus amounts in these cases will be based on the achievement of the performance goal(s) for the entire Plan Year or Interim Performance Period, as applicable, and the participant’s actual level of individual performance. Such bonus amounts may be prorated based on the period of the participant’s actual employment during the Plan Year. Payment will be made in a single payment at the same time as all other bonuses for the Plan Year or Interim Performance Period, as applicable, are distributed.</w:t>
      </w:r>
    </w:p>
    <w:p>
      <w:pPr>
        <w:spacing w:after="0" w:line="142" w:lineRule="exact"/>
        <w:rPr>
          <w:rFonts w:ascii="Arial" w:cs="Arial" w:eastAsia="Arial" w:hAnsi="Arial"/>
          <w:sz w:val="16"/>
          <w:szCs w:val="16"/>
          <w:color w:val="auto"/>
        </w:rPr>
      </w:pPr>
    </w:p>
    <w:p>
      <w:pPr>
        <w:ind w:left="340" w:right="519" w:firstLine="770"/>
        <w:spacing w:after="0" w:line="264" w:lineRule="auto"/>
        <w:tabs>
          <w:tab w:leader="none" w:pos="13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the death of a participant, any bonus payable to the participant shall be paid to his or her beneficiary named under the Company-sponsored life insurance plan. If no life insurance beneficiary is designated, the beneficiary will be the decedent’s estate.</w:t>
      </w:r>
    </w:p>
    <w:p>
      <w:pPr>
        <w:spacing w:after="0" w:line="140" w:lineRule="exact"/>
        <w:rPr>
          <w:rFonts w:ascii="Arial" w:cs="Arial" w:eastAsia="Arial" w:hAnsi="Arial"/>
          <w:sz w:val="18"/>
          <w:szCs w:val="18"/>
          <w:color w:val="auto"/>
        </w:rPr>
      </w:pPr>
    </w:p>
    <w:p>
      <w:pPr>
        <w:ind w:left="340" w:right="479" w:firstLine="770"/>
        <w:spacing w:after="0" w:line="277" w:lineRule="auto"/>
        <w:tabs>
          <w:tab w:leader="none" w:pos="13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Plan Administrator may establish appropriate terms and conditions to accommodate newly hired and transferred employees, consistent, in the case of a Covered Employee, with Section 162(m).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CHANGES TO PERFORMANCE GOALS AND TARGET AWARDS</w:t>
      </w:r>
    </w:p>
    <w:p>
      <w:pPr>
        <w:spacing w:after="0" w:line="202" w:lineRule="exact"/>
        <w:rPr>
          <w:sz w:val="20"/>
          <w:szCs w:val="20"/>
          <w:color w:val="auto"/>
        </w:rPr>
      </w:pPr>
    </w:p>
    <w:p>
      <w:pPr>
        <w:ind w:left="340" w:right="179" w:firstLine="778"/>
        <w:spacing w:after="0" w:line="289" w:lineRule="auto"/>
        <w:rPr>
          <w:sz w:val="20"/>
          <w:szCs w:val="20"/>
          <w:color w:val="auto"/>
        </w:rPr>
      </w:pPr>
      <w:r>
        <w:rPr>
          <w:rFonts w:ascii="Arial" w:cs="Arial" w:eastAsia="Arial" w:hAnsi="Arial"/>
          <w:sz w:val="16"/>
          <w:szCs w:val="16"/>
          <w:color w:val="auto"/>
        </w:rPr>
        <w:t>At any time prior to the final determination of bonuses earned, for participants other than Covered Employees, the Plan Administrator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any change due to any merger, consolidation, acquisition, reorganization, stock split, stock dividend, combination of shares or other changes in the Company’s corporate structure or shares, or any other change of a similar nature. The Plan Administrator may make the foregoing adjustments with respect to Covered Employees’ awards to the extent the Plan Administrator deems appropriate, provided that the pre-established terms of the award contemplate the specific adjustment(s) to be made and the adjustment(s) otherwise conform to the requirements of Section 162(m).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DEFERRALS</w:t>
      </w:r>
    </w:p>
    <w:p>
      <w:pPr>
        <w:spacing w:after="0" w:line="189" w:lineRule="exact"/>
        <w:rPr>
          <w:sz w:val="20"/>
          <w:szCs w:val="20"/>
          <w:color w:val="auto"/>
        </w:rPr>
      </w:pPr>
    </w:p>
    <w:p>
      <w:pPr>
        <w:ind w:left="340" w:right="239" w:firstLine="778"/>
        <w:spacing w:after="0" w:line="342" w:lineRule="auto"/>
        <w:rPr>
          <w:sz w:val="20"/>
          <w:szCs w:val="20"/>
          <w:color w:val="auto"/>
        </w:rPr>
      </w:pPr>
      <w:r>
        <w:rPr>
          <w:rFonts w:ascii="Arial" w:cs="Arial" w:eastAsia="Arial" w:hAnsi="Arial"/>
          <w:sz w:val="16"/>
          <w:szCs w:val="16"/>
          <w:color w:val="auto"/>
        </w:rPr>
        <w:t>Participants who are eligible to participate in any deferred compensation plan of the Company, if any, may elect to defer all or a portion of the payment of their Plan awards to the extent and in accordance with the requirements of such deferral plan.</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IX. </w:t>
      </w:r>
      <w:r>
        <w:rPr>
          <w:rFonts w:ascii="Arial" w:cs="Arial" w:eastAsia="Arial" w:hAnsi="Arial"/>
          <w:sz w:val="18"/>
          <w:szCs w:val="18"/>
          <w:b w:val="1"/>
          <w:bCs w:val="1"/>
          <w:u w:val="single" w:color="auto"/>
          <w:color w:val="auto"/>
        </w:rPr>
        <w:t>AMENDMENT AND TERMINATION</w:t>
      </w:r>
    </w:p>
    <w:p>
      <w:pPr>
        <w:spacing w:after="0" w:line="202" w:lineRule="exact"/>
        <w:rPr>
          <w:sz w:val="20"/>
          <w:szCs w:val="20"/>
          <w:color w:val="auto"/>
        </w:rPr>
      </w:pPr>
    </w:p>
    <w:p>
      <w:pPr>
        <w:ind w:left="340" w:right="299" w:firstLine="778"/>
        <w:spacing w:after="0" w:line="279" w:lineRule="auto"/>
        <w:rPr>
          <w:sz w:val="20"/>
          <w:szCs w:val="20"/>
          <w:color w:val="auto"/>
        </w:rPr>
      </w:pPr>
      <w:r>
        <w:rPr>
          <w:rFonts w:ascii="Arial" w:cs="Arial" w:eastAsia="Arial" w:hAnsi="Arial"/>
          <w:sz w:val="17"/>
          <w:szCs w:val="17"/>
          <w:color w:val="auto"/>
        </w:rPr>
        <w:t>Notwithstanding the above, the Committee, at its sole discretion, may amend, modify or change the Plan or its implementation at any time, including, but not limited to, revising performance targets, bonus multipliers, strategic goals and objectives and actual bonus payments. However, such amendment shall not occur without the appropriate approval of the Company’s stockholders, if such approval is required by Section 162(m). The Committee may terminate the Plan at any time.</w:t>
      </w:r>
    </w:p>
    <w:p>
      <w:pPr>
        <w:spacing w:after="0" w:line="127" w:lineRule="exact"/>
        <w:rPr>
          <w:sz w:val="20"/>
          <w:szCs w:val="20"/>
          <w:color w:val="auto"/>
        </w:rPr>
      </w:pPr>
    </w:p>
    <w:p>
      <w:pPr>
        <w:ind w:left="560" w:hanging="228"/>
        <w:spacing w:after="0"/>
        <w:tabs>
          <w:tab w:leader="none" w:pos="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88" w:lineRule="exact"/>
        <w:rPr>
          <w:rFonts w:ascii="Arial" w:cs="Arial" w:eastAsia="Arial" w:hAnsi="Arial"/>
          <w:sz w:val="18"/>
          <w:szCs w:val="18"/>
          <w:b w:val="1"/>
          <w:bCs w:val="1"/>
          <w:color w:val="auto"/>
        </w:rPr>
      </w:pPr>
    </w:p>
    <w:p>
      <w:pPr>
        <w:ind w:left="1360" w:hanging="250"/>
        <w:spacing w:after="0"/>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following definitions shall apply:</w:t>
      </w:r>
    </w:p>
    <w:p>
      <w:pPr>
        <w:spacing w:after="0" w:line="194" w:lineRule="exact"/>
        <w:rPr>
          <w:rFonts w:ascii="Arial" w:cs="Arial" w:eastAsia="Arial" w:hAnsi="Arial"/>
          <w:sz w:val="18"/>
          <w:szCs w:val="18"/>
          <w:color w:val="auto"/>
        </w:rPr>
      </w:pPr>
    </w:p>
    <w:p>
      <w:pPr>
        <w:ind w:left="1120" w:right="179" w:firstLine="348"/>
        <w:spacing w:after="0" w:line="276" w:lineRule="auto"/>
        <w:tabs>
          <w:tab w:leader="none" w:pos="1693" w:val="left"/>
        </w:tabs>
        <w:numPr>
          <w:ilvl w:val="2"/>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Employee</w:t>
      </w:r>
      <w:r>
        <w:rPr>
          <w:rFonts w:ascii="Arial" w:cs="Arial" w:eastAsia="Arial" w:hAnsi="Arial"/>
          <w:sz w:val="17"/>
          <w:szCs w:val="17"/>
          <w:color w:val="auto"/>
        </w:rPr>
        <w:t>” means a participant who is or may reasonably be expected to become as of the last day of the applicable Plan Year one of the group of “covered employees” as defined in the regulations promulgated under</w:t>
      </w:r>
    </w:p>
    <w:p>
      <w:pPr>
        <w:ind w:left="1120"/>
        <w:spacing w:after="0"/>
        <w:rPr>
          <w:rFonts w:ascii="Arial" w:cs="Arial" w:eastAsia="Arial" w:hAnsi="Arial"/>
          <w:sz w:val="17"/>
          <w:szCs w:val="17"/>
          <w:color w:val="auto"/>
        </w:rPr>
      </w:pPr>
      <w:r>
        <w:rPr>
          <w:rFonts w:ascii="Arial" w:cs="Arial" w:eastAsia="Arial" w:hAnsi="Arial"/>
          <w:sz w:val="18"/>
          <w:szCs w:val="18"/>
          <w:color w:val="auto"/>
        </w:rPr>
        <w:t>Section 162(m), or any successor statute.</w:t>
      </w:r>
    </w:p>
    <w:p>
      <w:pPr>
        <w:spacing w:after="0" w:line="166" w:lineRule="exact"/>
        <w:rPr>
          <w:rFonts w:ascii="Arial" w:cs="Arial" w:eastAsia="Arial" w:hAnsi="Arial"/>
          <w:sz w:val="17"/>
          <w:szCs w:val="17"/>
          <w:color w:val="auto"/>
        </w:rPr>
      </w:pPr>
    </w:p>
    <w:p>
      <w:pPr>
        <w:ind w:left="1740" w:hanging="272"/>
        <w:spacing w:after="0"/>
        <w:tabs>
          <w:tab w:leader="none" w:pos="17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Year</w:t>
      </w:r>
      <w:r>
        <w:rPr>
          <w:rFonts w:ascii="Arial" w:cs="Arial" w:eastAsia="Arial" w:hAnsi="Arial"/>
          <w:sz w:val="18"/>
          <w:szCs w:val="18"/>
          <w:color w:val="auto"/>
        </w:rPr>
        <w:t>” means the calendar year beginning January 1 and ending December 31.</w:t>
      </w:r>
    </w:p>
    <w:p>
      <w:pPr>
        <w:spacing w:after="0" w:line="184" w:lineRule="exact"/>
        <w:rPr>
          <w:rFonts w:ascii="Arial" w:cs="Arial" w:eastAsia="Arial" w:hAnsi="Arial"/>
          <w:sz w:val="18"/>
          <w:szCs w:val="18"/>
          <w:color w:val="auto"/>
        </w:rPr>
      </w:pPr>
    </w:p>
    <w:p>
      <w:pPr>
        <w:ind w:left="1120" w:right="179" w:firstLine="348"/>
        <w:spacing w:after="0" w:line="314" w:lineRule="auto"/>
        <w:tabs>
          <w:tab w:leader="none" w:pos="1793" w:val="left"/>
        </w:tabs>
        <w:numPr>
          <w:ilvl w:val="2"/>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162(m) Designation Date</w:t>
      </w:r>
      <w:r>
        <w:rPr>
          <w:rFonts w:ascii="Arial" w:cs="Arial" w:eastAsia="Arial" w:hAnsi="Arial"/>
          <w:sz w:val="16"/>
          <w:szCs w:val="16"/>
          <w:color w:val="auto"/>
        </w:rPr>
        <w:t xml:space="preserve">” means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of (A) the date 90 days after the period of service to which the performance goal(s) relates or (B) the date on which 25% of the period of service to which the performance goal(s) relates has elapsed, and in any event at a time when the outcome of the performance goal(s) remains substantially uncertain.</w:t>
      </w:r>
    </w:p>
    <w:p>
      <w:pPr>
        <w:spacing w:after="0" w:line="119" w:lineRule="exact"/>
        <w:rPr>
          <w:rFonts w:ascii="Arial" w:cs="Arial" w:eastAsia="Arial" w:hAnsi="Arial"/>
          <w:sz w:val="16"/>
          <w:szCs w:val="16"/>
          <w:color w:val="auto"/>
        </w:rPr>
      </w:pPr>
    </w:p>
    <w:p>
      <w:pPr>
        <w:jc w:val="both"/>
        <w:ind w:left="340" w:right="359" w:firstLine="770"/>
        <w:spacing w:after="0" w:line="259" w:lineRule="auto"/>
        <w:tabs>
          <w:tab w:leader="none" w:pos="13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Neither the establishment of the Plan, nor any action taken hereunder, shall be construed as giving any participant any right to be retained in the employ of the Company or any of its subsidiaries. Nothing in the Plan, and no action taken pursuant to the Plan, shall affect the right of the Company to terminate a participant’s employment at any time and for any or no reason. The Company is under no obligation to continue the Plan.</w:t>
      </w:r>
    </w:p>
    <w:p>
      <w:pPr>
        <w:spacing w:after="0" w:line="146" w:lineRule="exact"/>
        <w:rPr>
          <w:rFonts w:ascii="Arial" w:cs="Arial" w:eastAsia="Arial" w:hAnsi="Arial"/>
          <w:sz w:val="18"/>
          <w:szCs w:val="18"/>
          <w:color w:val="auto"/>
        </w:rPr>
      </w:pPr>
    </w:p>
    <w:p>
      <w:pPr>
        <w:ind w:left="340" w:right="259" w:firstLine="770"/>
        <w:spacing w:after="0" w:line="257" w:lineRule="auto"/>
        <w:tabs>
          <w:tab w:leader="none" w:pos="13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participant’s right and interest under the Plan may not be assigned or transferred, except upon death, and any attempted assignment or transfer shall be null and void and shall extinguish, in the Company’s sole discretion, the Company’s obligation under the Plan to pay awards with respect to the participant. The Company’s obligations under the Plan may be assigned to any corporation which acquires all or substantially all of the Company’s assets or any corporation into which the Company may be merged or consolidated.</w:t>
      </w:r>
    </w:p>
    <w:p>
      <w:pPr>
        <w:spacing w:after="0" w:line="147" w:lineRule="exact"/>
        <w:rPr>
          <w:rFonts w:ascii="Arial" w:cs="Arial" w:eastAsia="Arial" w:hAnsi="Arial"/>
          <w:sz w:val="18"/>
          <w:szCs w:val="18"/>
          <w:color w:val="auto"/>
        </w:rPr>
      </w:pPr>
    </w:p>
    <w:p>
      <w:pPr>
        <w:ind w:left="340" w:right="179" w:firstLine="770"/>
        <w:spacing w:after="0" w:line="259" w:lineRule="auto"/>
        <w:tabs>
          <w:tab w:leader="none" w:pos="1369"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Plan shall be unfunded. The Company shall not be required to establish any special or separate fund, or to make any other segregation of assets, to assure payment of awards. The Company’s obligations hereunder shall constitute a general, unsecured obligation; awards shall be paid solely out of the Company’s general assets, and no participant shall have any right to any specific assets of the Company.</w:t>
      </w:r>
    </w:p>
    <w:p>
      <w:pPr>
        <w:spacing w:after="0" w:line="159" w:lineRule="exact"/>
        <w:rPr>
          <w:rFonts w:ascii="Arial" w:cs="Arial" w:eastAsia="Arial" w:hAnsi="Arial"/>
          <w:sz w:val="18"/>
          <w:szCs w:val="18"/>
          <w:color w:val="auto"/>
        </w:rPr>
      </w:pPr>
    </w:p>
    <w:p>
      <w:pPr>
        <w:ind w:left="340" w:right="579" w:firstLine="770"/>
        <w:spacing w:after="0" w:line="277" w:lineRule="auto"/>
        <w:tabs>
          <w:tab w:leader="none" w:pos="1359"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shall have the right to deduct from awards any and all federal, state and local taxes or other amounts required by law to be withheld.</w:t>
      </w:r>
    </w:p>
    <w:p>
      <w:pPr>
        <w:spacing w:after="0" w:line="129" w:lineRule="exact"/>
        <w:rPr>
          <w:rFonts w:ascii="Arial" w:cs="Arial" w:eastAsia="Arial" w:hAnsi="Arial"/>
          <w:sz w:val="18"/>
          <w:szCs w:val="18"/>
          <w:color w:val="auto"/>
        </w:rPr>
      </w:pPr>
    </w:p>
    <w:p>
      <w:pPr>
        <w:ind w:left="340" w:right="659" w:firstLine="770"/>
        <w:spacing w:after="0" w:line="308" w:lineRule="auto"/>
        <w:tabs>
          <w:tab w:leader="none" w:pos="1339"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validity, construction, interpretation and effect of the Plan shall exclusively be governed by and determined in accordance with the laws of the State of Delaware without giving effect to principles of conflicts of laws.</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1009650</wp:posOffset>
            </wp:positionV>
            <wp:extent cx="1624965" cy="295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4965" cy="29591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308610</wp:posOffset>
            </wp:positionV>
            <wp:extent cx="797560" cy="591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75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IMPORTANT ANNUAL MEETING INFORMATION</w:t>
      </w:r>
    </w:p>
    <w:p>
      <w:pPr>
        <w:spacing w:after="0" w:line="88"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Electronic Voting Instructions</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You can vote by Internet or telephone!</w:t>
      </w:r>
    </w:p>
    <w:p>
      <w:pPr>
        <w:spacing w:after="0" w:line="1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36"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Instead of mailing your proxy, you may choose one of the two voting</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methods outlined below to vote your proxy.</w:t>
      </w:r>
    </w:p>
    <w:p>
      <w:pPr>
        <w:spacing w:after="0" w:line="163"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VALIDATION DETAILS ARE LOCATED BELOW IN THE TITLE BAR.</w:t>
      </w:r>
    </w:p>
    <w:p>
      <w:pPr>
        <w:spacing w:after="0" w:line="14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Proxies submitted by the Internet or telephone must be received by</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11:00 p.m., Pacific Time, on Monday, May 16, 2011.</w:t>
      </w:r>
    </w:p>
    <w:p>
      <w:pPr>
        <w:spacing w:after="0" w:line="95"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Vote by Internet</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Log on to the Internet and go to</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www.envisionreports.com/LOPE</w:t>
      </w:r>
    </w:p>
    <w:p>
      <w:pPr>
        <w:spacing w:after="0" w:line="145"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 the steps outlined on the secured website.</w:t>
      </w:r>
    </w:p>
    <w:p>
      <w:pPr>
        <w:spacing w:after="0" w:line="11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Vote by telephone</w:t>
      </w:r>
    </w:p>
    <w:p>
      <w:pPr>
        <w:sectPr>
          <w:pgSz w:w="11900" w:h="16838" w:orient="portrait"/>
          <w:cols w:equalWidth="0" w:num="1">
            <w:col w:w="11420"/>
          </w:cols>
          <w:pgMar w:left="240" w:top="419" w:right="239" w:bottom="748" w:gutter="0" w:footer="0" w:header="0"/>
        </w:sectPr>
      </w:pPr>
    </w:p>
    <w:p>
      <w:pPr>
        <w:spacing w:after="0" w:line="200" w:lineRule="exact"/>
        <w:rPr>
          <w:sz w:val="20"/>
          <w:szCs w:val="20"/>
          <w:color w:val="auto"/>
        </w:rPr>
      </w:pP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65"/>
        </w:trPr>
        <w:tc>
          <w:tcPr>
            <w:tcW w:w="410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440" w:type="dxa"/>
            <w:vAlign w:val="bottom"/>
            <w:vMerge w:val="restart"/>
          </w:tcPr>
          <w:p>
            <w:pPr>
              <w:ind w:left="6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416"/>
        </w:trPr>
        <w:tc>
          <w:tcPr>
            <w:tcW w:w="410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17474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59" w:right="1540" w:hanging="159"/>
        <w:spacing w:after="0" w:line="250" w:lineRule="auto"/>
        <w:tabs>
          <w:tab w:leader="none" w:pos="139"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 xml:space="preserve">Call toll free 1-800-652-VOTE (8683) within the USA, US territories &amp; Canada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spacing w:after="0" w:line="145" w:lineRule="exact"/>
        <w:rPr>
          <w:rFonts w:ascii="Arial" w:cs="Arial" w:eastAsia="Arial" w:hAnsi="Arial"/>
          <w:sz w:val="14"/>
          <w:szCs w:val="14"/>
          <w:b w:val="1"/>
          <w:bCs w:val="1"/>
          <w:color w:val="auto"/>
        </w:rPr>
      </w:pPr>
    </w:p>
    <w:p>
      <w:pPr>
        <w:ind w:left="159" w:right="1860" w:hanging="159"/>
        <w:spacing w:after="0" w:line="258" w:lineRule="auto"/>
        <w:tabs>
          <w:tab w:leader="none" w:pos="139"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Follow the instructions provided by the recorded message.</w:t>
      </w:r>
    </w:p>
    <w:p>
      <w:pPr>
        <w:spacing w:after="0" w:line="294" w:lineRule="exact"/>
        <w:rPr>
          <w:sz w:val="20"/>
          <w:szCs w:val="20"/>
          <w:color w:val="auto"/>
        </w:rPr>
      </w:pPr>
    </w:p>
    <w:p>
      <w:pPr>
        <w:sectPr>
          <w:pgSz w:w="11900" w:h="16838" w:orient="portrait"/>
          <w:cols w:equalWidth="0" w:num="2">
            <w:col w:w="5661" w:space="720"/>
            <w:col w:w="5039"/>
          </w:cols>
          <w:pgMar w:left="240" w:top="419" w:right="239" w:bottom="748" w:gutter="0" w:footer="0" w:header="0"/>
          <w:type w:val="continuous"/>
        </w:sectPr>
      </w:pPr>
    </w:p>
    <w:p>
      <w:pPr>
        <w:ind w:left="340"/>
        <w:spacing w:after="0"/>
        <w:rPr>
          <w:sz w:val="20"/>
          <w:szCs w:val="20"/>
          <w:color w:val="auto"/>
        </w:rPr>
      </w:pPr>
      <w:r>
        <w:rPr>
          <w:rFonts w:ascii="Arial" w:cs="Arial" w:eastAsia="Arial" w:hAnsi="Arial"/>
          <w:sz w:val="25"/>
          <w:szCs w:val="25"/>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102870</wp:posOffset>
            </wp:positionV>
            <wp:extent cx="617474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 xml:space="preserve">IF YOU HAVE NOT VOTED VIA THE INTERNET </w:t>
      </w:r>
      <w:r>
        <w:rPr>
          <w:rFonts w:ascii="Arial" w:cs="Arial" w:eastAsia="Arial" w:hAnsi="Arial"/>
          <w:sz w:val="11"/>
          <w:szCs w:val="11"/>
          <w:b w:val="1"/>
          <w:bCs w:val="1"/>
          <w:u w:val="single" w:color="auto"/>
          <w:color w:val="auto"/>
        </w:rPr>
        <w:t>OR</w:t>
      </w:r>
      <w:r>
        <w:rPr>
          <w:rFonts w:ascii="Arial" w:cs="Arial" w:eastAsia="Arial" w:hAnsi="Arial"/>
          <w:sz w:val="11"/>
          <w:szCs w:val="11"/>
          <w:b w:val="1"/>
          <w:bCs w:val="1"/>
          <w:color w:val="auto"/>
        </w:rPr>
        <w:t xml:space="preserve"> TELEPHONE, FOLD ALONG THE PERFORATION, DETACH AND RETURN THE BOTTOM PORTION IN THE ENCLOSED ENVELOPE.</w:t>
      </w:r>
    </w:p>
    <w:p>
      <w:pPr>
        <w:spacing w:after="0" w:line="177" w:lineRule="exact"/>
        <w:rPr>
          <w:sz w:val="20"/>
          <w:szCs w:val="20"/>
          <w:color w:val="auto"/>
        </w:rPr>
      </w:pPr>
    </w:p>
    <w:p>
      <w:pPr>
        <w:ind w:left="1900" w:right="1380" w:hanging="1518"/>
        <w:spacing w:after="0" w:line="271" w:lineRule="auto"/>
        <w:tabs>
          <w:tab w:leader="none" w:pos="713" w:val="left"/>
        </w:tabs>
        <w:numPr>
          <w:ilvl w:val="0"/>
          <w:numId w:val="55"/>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4 and 6 and </w:t>
      </w:r>
      <w:r>
        <w:rPr>
          <w:rFonts w:ascii="Arial" w:cs="Arial" w:eastAsia="Arial" w:hAnsi="Arial"/>
          <w:sz w:val="18"/>
          <w:szCs w:val="18"/>
          <w:b w:val="1"/>
          <w:bCs w:val="1"/>
          <w:u w:val="single" w:color="auto"/>
          <w:color w:val="auto"/>
        </w:rPr>
        <w:t>3 YRS</w:t>
      </w:r>
      <w:r>
        <w:rPr>
          <w:rFonts w:ascii="Arial" w:cs="Arial" w:eastAsia="Arial" w:hAnsi="Arial"/>
          <w:sz w:val="18"/>
          <w:szCs w:val="18"/>
          <w:b w:val="1"/>
          <w:bCs w:val="1"/>
          <w:color w:val="auto"/>
        </w:rPr>
        <w:t xml:space="preserve"> for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-281940</wp:posOffset>
            </wp:positionV>
            <wp:extent cx="18034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58"/>
        </w:trPr>
        <w:tc>
          <w:tcPr>
            <w:tcW w:w="1720" w:type="dxa"/>
            <w:vAlign w:val="bottom"/>
            <w:vMerge w:val="restart"/>
          </w:tcPr>
          <w:p>
            <w:pPr>
              <w:spacing w:after="0"/>
              <w:rPr>
                <w:sz w:val="20"/>
                <w:szCs w:val="20"/>
                <w:color w:val="auto"/>
              </w:rPr>
            </w:pPr>
            <w:r>
              <w:rPr>
                <w:rFonts w:ascii="Arial" w:cs="Arial" w:eastAsia="Arial" w:hAnsi="Arial"/>
                <w:sz w:val="14"/>
                <w:szCs w:val="14"/>
                <w:color w:val="auto"/>
              </w:rPr>
              <w:t>1.  Election of Directors:</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560" w:type="dxa"/>
            <w:vAlign w:val="bottom"/>
            <w:vMerge w:val="restart"/>
          </w:tcPr>
          <w:p>
            <w:pPr>
              <w:ind w:left="20"/>
              <w:spacing w:after="0"/>
              <w:rPr>
                <w:sz w:val="20"/>
                <w:szCs w:val="20"/>
                <w:color w:val="auto"/>
              </w:rPr>
            </w:pPr>
            <w:r>
              <w:rPr>
                <w:rFonts w:ascii="Arial" w:cs="Arial" w:eastAsia="Arial" w:hAnsi="Arial"/>
                <w:sz w:val="14"/>
                <w:szCs w:val="14"/>
                <w:color w:val="auto"/>
              </w:rPr>
              <w:t>- Brent D. Richardson</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560" w:type="dxa"/>
            <w:vAlign w:val="bottom"/>
            <w:vMerge w:val="restart"/>
          </w:tcPr>
          <w:p>
            <w:pPr>
              <w:ind w:left="20"/>
              <w:spacing w:after="0"/>
              <w:rPr>
                <w:sz w:val="20"/>
                <w:szCs w:val="20"/>
                <w:color w:val="auto"/>
              </w:rPr>
            </w:pPr>
            <w:r>
              <w:rPr>
                <w:rFonts w:ascii="Arial" w:cs="Arial" w:eastAsia="Arial" w:hAnsi="Arial"/>
                <w:sz w:val="14"/>
                <w:szCs w:val="14"/>
                <w:color w:val="auto"/>
              </w:rPr>
              <w:t>- Brian E. Mueller</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 Christopher C. Richardson</w:t>
            </w:r>
          </w:p>
        </w:tc>
        <w:tc>
          <w:tcPr>
            <w:tcW w:w="1120" w:type="dxa"/>
            <w:vAlign w:val="bottom"/>
          </w:tcPr>
          <w:p>
            <w:pPr>
              <w:jc w:val="right"/>
              <w:spacing w:after="0" w:line="258" w:lineRule="exact"/>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32"/>
        </w:trPr>
        <w:tc>
          <w:tcPr>
            <w:tcW w:w="17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7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7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1560" w:type="dxa"/>
            <w:vAlign w:val="bottom"/>
          </w:tcPr>
          <w:p>
            <w:pPr>
              <w:ind w:left="20"/>
              <w:spacing w:after="0"/>
              <w:rPr>
                <w:sz w:val="20"/>
                <w:szCs w:val="20"/>
                <w:color w:val="auto"/>
              </w:rPr>
            </w:pPr>
            <w:r>
              <w:rPr>
                <w:rFonts w:ascii="Arial" w:cs="Arial" w:eastAsia="Arial" w:hAnsi="Arial"/>
                <w:sz w:val="14"/>
                <w:szCs w:val="14"/>
                <w:color w:val="auto"/>
              </w:rPr>
              <w:t>- Chad N. Heath</w:t>
            </w:r>
          </w:p>
        </w:tc>
        <w:tc>
          <w:tcPr>
            <w:tcW w:w="340" w:type="dxa"/>
            <w:vAlign w:val="bottom"/>
          </w:tcPr>
          <w:p>
            <w:pPr>
              <w:jc w:val="right"/>
              <w:spacing w:after="0"/>
              <w:rPr>
                <w:sz w:val="20"/>
                <w:szCs w:val="20"/>
                <w:color w:val="auto"/>
              </w:rPr>
            </w:pPr>
            <w:r>
              <w:rPr>
                <w:rFonts w:ascii="Arial" w:cs="Arial" w:eastAsia="Arial" w:hAnsi="Arial"/>
                <w:sz w:val="14"/>
                <w:szCs w:val="14"/>
                <w:color w:val="auto"/>
              </w:rPr>
              <w:t>05</w:t>
            </w:r>
          </w:p>
        </w:tc>
        <w:tc>
          <w:tcPr>
            <w:tcW w:w="1560" w:type="dxa"/>
            <w:vAlign w:val="bottom"/>
          </w:tcPr>
          <w:p>
            <w:pPr>
              <w:ind w:left="20"/>
              <w:spacing w:after="0"/>
              <w:rPr>
                <w:sz w:val="20"/>
                <w:szCs w:val="20"/>
                <w:color w:val="auto"/>
              </w:rPr>
            </w:pPr>
            <w:r>
              <w:rPr>
                <w:rFonts w:ascii="Arial" w:cs="Arial" w:eastAsia="Arial" w:hAnsi="Arial"/>
                <w:sz w:val="14"/>
                <w:szCs w:val="14"/>
                <w:color w:val="auto"/>
              </w:rPr>
              <w:t>- D. Mark Dorman</w:t>
            </w:r>
          </w:p>
        </w:tc>
        <w:tc>
          <w:tcPr>
            <w:tcW w:w="360" w:type="dxa"/>
            <w:vAlign w:val="bottom"/>
          </w:tcPr>
          <w:p>
            <w:pPr>
              <w:jc w:val="right"/>
              <w:spacing w:after="0"/>
              <w:rPr>
                <w:sz w:val="20"/>
                <w:szCs w:val="20"/>
                <w:color w:val="auto"/>
              </w:rPr>
            </w:pPr>
            <w:r>
              <w:rPr>
                <w:rFonts w:ascii="Arial" w:cs="Arial" w:eastAsia="Arial" w:hAnsi="Arial"/>
                <w:sz w:val="14"/>
                <w:szCs w:val="14"/>
                <w:color w:val="auto"/>
              </w:rPr>
              <w:t>06</w:t>
            </w:r>
          </w:p>
        </w:tc>
        <w:tc>
          <w:tcPr>
            <w:tcW w:w="2720" w:type="dxa"/>
            <w:vAlign w:val="bottom"/>
          </w:tcPr>
          <w:p>
            <w:pPr>
              <w:ind w:left="20"/>
              <w:spacing w:after="0"/>
              <w:rPr>
                <w:sz w:val="20"/>
                <w:szCs w:val="20"/>
                <w:color w:val="auto"/>
              </w:rPr>
            </w:pPr>
            <w:r>
              <w:rPr>
                <w:rFonts w:ascii="Arial" w:cs="Arial" w:eastAsia="Arial" w:hAnsi="Arial"/>
                <w:sz w:val="14"/>
                <w:szCs w:val="14"/>
                <w:color w:val="auto"/>
              </w:rPr>
              <w:t>- David J. Johnson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07</w:t>
            </w:r>
          </w:p>
        </w:tc>
        <w:tc>
          <w:tcPr>
            <w:tcW w:w="1560" w:type="dxa"/>
            <w:vAlign w:val="bottom"/>
          </w:tcPr>
          <w:p>
            <w:pPr>
              <w:ind w:left="20"/>
              <w:spacing w:after="0"/>
              <w:rPr>
                <w:sz w:val="20"/>
                <w:szCs w:val="20"/>
                <w:color w:val="auto"/>
              </w:rPr>
            </w:pPr>
            <w:r>
              <w:rPr>
                <w:rFonts w:ascii="Arial" w:cs="Arial" w:eastAsia="Arial" w:hAnsi="Arial"/>
                <w:sz w:val="14"/>
                <w:szCs w:val="14"/>
                <w:color w:val="auto"/>
              </w:rPr>
              <w:t>- Jack A. Henry</w:t>
            </w:r>
          </w:p>
        </w:tc>
        <w:tc>
          <w:tcPr>
            <w:tcW w:w="340" w:type="dxa"/>
            <w:vAlign w:val="bottom"/>
          </w:tcPr>
          <w:p>
            <w:pPr>
              <w:jc w:val="right"/>
              <w:spacing w:after="0"/>
              <w:rPr>
                <w:sz w:val="20"/>
                <w:szCs w:val="20"/>
                <w:color w:val="auto"/>
              </w:rPr>
            </w:pPr>
            <w:r>
              <w:rPr>
                <w:rFonts w:ascii="Arial" w:cs="Arial" w:eastAsia="Arial" w:hAnsi="Arial"/>
                <w:sz w:val="14"/>
                <w:szCs w:val="14"/>
                <w:color w:val="auto"/>
              </w:rPr>
              <w:t>08</w:t>
            </w:r>
          </w:p>
        </w:tc>
        <w:tc>
          <w:tcPr>
            <w:tcW w:w="1560" w:type="dxa"/>
            <w:vAlign w:val="bottom"/>
          </w:tcPr>
          <w:p>
            <w:pPr>
              <w:ind w:left="20"/>
              <w:spacing w:after="0"/>
              <w:rPr>
                <w:sz w:val="20"/>
                <w:szCs w:val="20"/>
                <w:color w:val="auto"/>
              </w:rPr>
            </w:pPr>
            <w:r>
              <w:rPr>
                <w:rFonts w:ascii="Arial" w:cs="Arial" w:eastAsia="Arial" w:hAnsi="Arial"/>
                <w:sz w:val="14"/>
                <w:szCs w:val="14"/>
                <w:color w:val="auto"/>
              </w:rPr>
              <w:t>- Gerald J. Colangelo</w:t>
            </w:r>
          </w:p>
        </w:tc>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1420"/>
          </w:cols>
          <w:pgMar w:left="240" w:top="419" w:right="239" w:bottom="748" w:gutter="0" w:footer="0" w:header="0"/>
          <w:type w:val="continuous"/>
        </w:sectPr>
      </w:pPr>
    </w:p>
    <w:tbl>
      <w:tblPr>
        <w:tblLayout w:type="fixed"/>
        <w:tblInd w:w="340" w:type="dxa"/>
        <w:tblCellMar>
          <w:top w:w="0" w:type="dxa"/>
          <w:left w:w="0" w:type="dxa"/>
          <w:bottom w:w="0" w:type="dxa"/>
          <w:right w:w="0" w:type="dxa"/>
        </w:tblCellMar>
      </w:tblPr>
      <w:tr>
        <w:trPr>
          <w:trHeight w:val="177"/>
        </w:trPr>
        <w:tc>
          <w:tcPr>
            <w:tcW w:w="260" w:type="dxa"/>
            <w:vAlign w:val="bottom"/>
            <w:vMerge w:val="restart"/>
          </w:tcPr>
          <w:p>
            <w:pPr>
              <w:spacing w:after="0"/>
              <w:rPr>
                <w:sz w:val="20"/>
                <w:szCs w:val="20"/>
                <w:color w:val="auto"/>
              </w:rPr>
            </w:pPr>
            <w:r>
              <w:rPr>
                <w:rFonts w:ascii="Arial" w:cs="Arial" w:eastAsia="Arial" w:hAnsi="Arial"/>
                <w:sz w:val="36"/>
                <w:szCs w:val="36"/>
                <w:color w:val="auto"/>
              </w:rPr>
              <w:t>o</w:t>
            </w: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Mark here to vote FOR all</w:t>
            </w:r>
          </w:p>
        </w:tc>
        <w:tc>
          <w:tcPr>
            <w:tcW w:w="420" w:type="dxa"/>
            <w:vAlign w:val="bottom"/>
            <w:vMerge w:val="restart"/>
          </w:tcPr>
          <w:p>
            <w:pPr>
              <w:ind w:left="160"/>
              <w:spacing w:after="0"/>
              <w:rPr>
                <w:sz w:val="20"/>
                <w:szCs w:val="20"/>
                <w:color w:val="auto"/>
              </w:rPr>
            </w:pPr>
            <w:r>
              <w:rPr>
                <w:rFonts w:ascii="Arial" w:cs="Arial" w:eastAsia="Arial" w:hAnsi="Arial"/>
                <w:sz w:val="36"/>
                <w:szCs w:val="36"/>
                <w:color w:val="auto"/>
              </w:rPr>
              <w:t>o</w:t>
            </w:r>
          </w:p>
        </w:tc>
        <w:tc>
          <w:tcPr>
            <w:tcW w:w="2040" w:type="dxa"/>
            <w:vAlign w:val="bottom"/>
            <w:gridSpan w:val="5"/>
          </w:tcPr>
          <w:p>
            <w:pPr>
              <w:ind w:left="80"/>
              <w:spacing w:after="0"/>
              <w:rPr>
                <w:sz w:val="20"/>
                <w:szCs w:val="20"/>
                <w:color w:val="auto"/>
              </w:rPr>
            </w:pPr>
            <w:r>
              <w:rPr>
                <w:rFonts w:ascii="Arial" w:cs="Arial" w:eastAsia="Arial" w:hAnsi="Arial"/>
                <w:sz w:val="14"/>
                <w:szCs w:val="14"/>
                <w:b w:val="1"/>
                <w:bCs w:val="1"/>
                <w:color w:val="auto"/>
              </w:rPr>
              <w:t>Mark here to WITHHOLD</w:t>
            </w:r>
          </w:p>
        </w:tc>
        <w:tc>
          <w:tcPr>
            <w:tcW w:w="0" w:type="dxa"/>
            <w:vAlign w:val="bottom"/>
          </w:tcPr>
          <w:p>
            <w:pPr>
              <w:spacing w:after="0"/>
              <w:rPr>
                <w:sz w:val="1"/>
                <w:szCs w:val="1"/>
                <w:color w:val="auto"/>
              </w:rPr>
            </w:pPr>
          </w:p>
        </w:tc>
      </w:tr>
      <w:tr>
        <w:trPr>
          <w:trHeight w:val="264"/>
        </w:trPr>
        <w:tc>
          <w:tcPr>
            <w:tcW w:w="260" w:type="dxa"/>
            <w:vAlign w:val="bottom"/>
            <w:vMerge w:val="continue"/>
          </w:tcPr>
          <w:p>
            <w:pPr>
              <w:spacing w:after="0"/>
              <w:rPr>
                <w:sz w:val="22"/>
                <w:szCs w:val="22"/>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rPr>
              <w:t>nominees</w:t>
            </w:r>
          </w:p>
        </w:tc>
        <w:tc>
          <w:tcPr>
            <w:tcW w:w="3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vote from all</w:t>
            </w: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nominees</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center"/>
              <w:ind w:left="442"/>
              <w:spacing w:after="0"/>
              <w:rPr>
                <w:sz w:val="20"/>
                <w:szCs w:val="20"/>
                <w:color w:val="auto"/>
              </w:rPr>
            </w:pPr>
            <w:r>
              <w:rPr>
                <w:rFonts w:ascii="Arial" w:cs="Arial" w:eastAsia="Arial" w:hAnsi="Arial"/>
                <w:sz w:val="14"/>
                <w:szCs w:val="14"/>
                <w:b w:val="1"/>
                <w:bCs w:val="1"/>
                <w:color w:val="auto"/>
              </w:rPr>
              <w:t>For</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Against</w:t>
            </w:r>
          </w:p>
        </w:tc>
        <w:tc>
          <w:tcPr>
            <w:tcW w:w="58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32"/>
        </w:trPr>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jc w:val="center"/>
              <w:ind w:left="422"/>
              <w:spacing w:after="0" w:line="32" w:lineRule="exact"/>
              <w:rPr>
                <w:sz w:val="20"/>
                <w:szCs w:val="20"/>
                <w:color w:val="auto"/>
              </w:rPr>
            </w:pPr>
            <w:r>
              <w:rPr>
                <w:rFonts w:ascii="Arial" w:cs="Arial" w:eastAsia="Arial" w:hAnsi="Arial"/>
                <w:sz w:val="3"/>
                <w:szCs w:val="3"/>
                <w:color w:val="auto"/>
              </w:rPr>
              <w:t>o</w:t>
            </w:r>
          </w:p>
        </w:tc>
        <w:tc>
          <w:tcPr>
            <w:tcW w:w="160" w:type="dxa"/>
            <w:vAlign w:val="bottom"/>
          </w:tcPr>
          <w:p>
            <w:pPr>
              <w:spacing w:after="0"/>
              <w:rPr>
                <w:sz w:val="2"/>
                <w:szCs w:val="2"/>
                <w:color w:val="auto"/>
              </w:rPr>
            </w:pPr>
          </w:p>
        </w:tc>
        <w:tc>
          <w:tcPr>
            <w:tcW w:w="480" w:type="dxa"/>
            <w:vAlign w:val="bottom"/>
          </w:tcPr>
          <w:p>
            <w:pPr>
              <w:jc w:val="center"/>
              <w:ind w:right="97"/>
              <w:spacing w:after="0" w:line="32" w:lineRule="exact"/>
              <w:rPr>
                <w:sz w:val="20"/>
                <w:szCs w:val="20"/>
                <w:color w:val="auto"/>
              </w:rPr>
            </w:pPr>
            <w:r>
              <w:rPr>
                <w:rFonts w:ascii="Arial" w:cs="Arial" w:eastAsia="Arial" w:hAnsi="Arial"/>
                <w:sz w:val="3"/>
                <w:szCs w:val="3"/>
                <w:color w:val="auto"/>
              </w:rPr>
              <w:t>o</w:t>
            </w:r>
          </w:p>
        </w:tc>
        <w:tc>
          <w:tcPr>
            <w:tcW w:w="580" w:type="dxa"/>
            <w:vAlign w:val="bottom"/>
            <w:gridSpan w:val="2"/>
          </w:tcPr>
          <w:p>
            <w:pPr>
              <w:jc w:val="center"/>
              <w:spacing w:after="0" w:line="32" w:lineRule="exact"/>
              <w:rPr>
                <w:sz w:val="20"/>
                <w:szCs w:val="20"/>
                <w:color w:val="auto"/>
              </w:rPr>
            </w:pPr>
            <w:r>
              <w:rPr>
                <w:rFonts w:ascii="Arial" w:cs="Arial" w:eastAsia="Arial" w:hAnsi="Arial"/>
                <w:sz w:val="3"/>
                <w:szCs w:val="3"/>
                <w:color w:val="auto"/>
              </w:rPr>
              <w:t>o</w:t>
            </w:r>
          </w:p>
        </w:tc>
        <w:tc>
          <w:tcPr>
            <w:tcW w:w="0" w:type="dxa"/>
            <w:vAlign w:val="bottom"/>
          </w:tcPr>
          <w:p>
            <w:pPr>
              <w:spacing w:after="0" w:line="20" w:lineRule="exact"/>
              <w:rPr>
                <w:sz w:val="1"/>
                <w:szCs w:val="1"/>
                <w:color w:val="auto"/>
              </w:rPr>
            </w:pPr>
          </w:p>
        </w:tc>
      </w:tr>
    </w:tbl>
    <w:p>
      <w:pPr>
        <w:ind w:left="540" w:right="1760" w:hanging="202"/>
        <w:spacing w:after="0" w:line="250" w:lineRule="auto"/>
        <w:rPr>
          <w:sz w:val="20"/>
          <w:szCs w:val="20"/>
          <w:color w:val="auto"/>
        </w:rPr>
      </w:pPr>
      <w:r>
        <w:rPr>
          <w:rFonts w:ascii="Arial" w:cs="Arial" w:eastAsia="Arial" w:hAnsi="Arial"/>
          <w:sz w:val="14"/>
          <w:szCs w:val="14"/>
          <w:color w:val="auto"/>
        </w:rPr>
        <w:t>2. To approve the Annual Cash Incentive Plan in accordance with Section 162(m) of the Internal Revenue Code.</w:t>
      </w:r>
    </w:p>
    <w:p>
      <w:pPr>
        <w:spacing w:after="0" w:line="20" w:lineRule="exact"/>
        <w:rPr>
          <w:sz w:val="20"/>
          <w:szCs w:val="20"/>
          <w:color w:val="auto"/>
        </w:rPr>
      </w:pPr>
      <w:r>
        <w:rPr>
          <w:sz w:val="20"/>
          <w:szCs w:val="20"/>
          <w:color w:val="auto"/>
        </w:rPr>
        <w:br w:type="column"/>
      </w:r>
    </w:p>
    <w:p>
      <w:pPr>
        <w:ind w:left="343" w:right="2980" w:hanging="343"/>
        <w:spacing w:after="0" w:line="181" w:lineRule="auto"/>
        <w:tabs>
          <w:tab w:leader="none" w:pos="343" w:val="left"/>
        </w:tabs>
        <w:numPr>
          <w:ilvl w:val="0"/>
          <w:numId w:val="56"/>
        </w:numPr>
        <w:rPr>
          <w:rFonts w:ascii="Arial" w:cs="Arial" w:eastAsia="Arial" w:hAnsi="Arial"/>
          <w:sz w:val="35"/>
          <w:szCs w:val="35"/>
          <w:color w:val="auto"/>
          <w:vertAlign w:val="subscript"/>
        </w:rPr>
      </w:pPr>
      <w:r>
        <w:rPr>
          <w:rFonts w:ascii="Arial" w:cs="Arial" w:eastAsia="Arial" w:hAnsi="Arial"/>
          <w:sz w:val="12"/>
          <w:szCs w:val="12"/>
          <w:b w:val="1"/>
          <w:bCs w:val="1"/>
          <w:color w:val="auto"/>
        </w:rPr>
        <w:t xml:space="preserve">For All </w:t>
      </w:r>
      <w:r>
        <w:rPr>
          <w:rFonts w:ascii="Arial" w:cs="Arial" w:eastAsia="Arial" w:hAnsi="Arial"/>
          <w:sz w:val="12"/>
          <w:szCs w:val="12"/>
          <w:b w:val="1"/>
          <w:bCs w:val="1"/>
          <w:u w:val="single" w:color="auto"/>
          <w:color w:val="auto"/>
        </w:rPr>
        <w:t>EXCEPT</w:t>
      </w:r>
      <w:r>
        <w:rPr>
          <w:rFonts w:ascii="Arial" w:cs="Arial" w:eastAsia="Arial" w:hAnsi="Arial"/>
          <w:sz w:val="12"/>
          <w:szCs w:val="12"/>
          <w:b w:val="1"/>
          <w:bCs w:val="1"/>
          <w:color w:val="auto"/>
        </w:rPr>
        <w:t xml:space="preserve"> </w:t>
      </w:r>
      <w:r>
        <w:rPr>
          <w:rFonts w:ascii="Arial" w:cs="Arial" w:eastAsia="Arial" w:hAnsi="Arial"/>
          <w:sz w:val="12"/>
          <w:szCs w:val="12"/>
          <w:color w:val="auto"/>
        </w:rPr>
        <w:t>- To withhold authority to vote</w:t>
      </w:r>
      <w:r>
        <w:rPr>
          <w:rFonts w:ascii="Arial" w:cs="Arial" w:eastAsia="Arial" w:hAnsi="Arial"/>
          <w:sz w:val="12"/>
          <w:szCs w:val="12"/>
          <w:b w:val="1"/>
          <w:bCs w:val="1"/>
          <w:color w:val="auto"/>
        </w:rPr>
        <w:t xml:space="preserve"> </w:t>
      </w:r>
      <w:r>
        <w:rPr>
          <w:rFonts w:ascii="Arial" w:cs="Arial" w:eastAsia="Arial" w:hAnsi="Arial"/>
          <w:sz w:val="12"/>
          <w:szCs w:val="12"/>
          <w:color w:val="auto"/>
        </w:rPr>
        <w:t>for any nominee(s), write the name(s) of such nominee(s) below.</w:t>
      </w:r>
    </w:p>
    <w:p>
      <w:pPr>
        <w:spacing w:after="0" w:line="205" w:lineRule="exact"/>
        <w:rPr>
          <w:sz w:val="20"/>
          <w:szCs w:val="20"/>
          <w:color w:val="auto"/>
        </w:rPr>
      </w:pPr>
    </w:p>
    <w:tbl>
      <w:tblPr>
        <w:tblLayout w:type="fixed"/>
        <w:tblInd w:w="203"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540" w:type="dxa"/>
            <w:vAlign w:val="bottom"/>
          </w:tcPr>
          <w:p>
            <w:pPr>
              <w:jc w:val="center"/>
              <w:ind w:left="19"/>
              <w:spacing w:after="0"/>
              <w:rPr>
                <w:sz w:val="20"/>
                <w:szCs w:val="20"/>
                <w:color w:val="auto"/>
              </w:rPr>
            </w:pPr>
            <w:r>
              <w:rPr>
                <w:rFonts w:ascii="Arial" w:cs="Arial" w:eastAsia="Arial" w:hAnsi="Arial"/>
                <w:sz w:val="14"/>
                <w:szCs w:val="14"/>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Arial" w:cs="Arial" w:eastAsia="Arial" w:hAnsi="Arial"/>
                <w:sz w:val="14"/>
                <w:szCs w:val="14"/>
                <w:color w:val="auto"/>
              </w:rPr>
              <w:t>3. To approve the Section 162(m) limits of</w:t>
            </w:r>
          </w:p>
        </w:tc>
        <w:tc>
          <w:tcPr>
            <w:tcW w:w="540" w:type="dxa"/>
            <w:vAlign w:val="bottom"/>
          </w:tcPr>
          <w:p>
            <w:pPr>
              <w:jc w:val="center"/>
              <w:spacing w:after="0" w:line="162" w:lineRule="exact"/>
              <w:rPr>
                <w:sz w:val="20"/>
                <w:szCs w:val="20"/>
                <w:color w:val="auto"/>
              </w:rPr>
            </w:pPr>
            <w:r>
              <w:rPr>
                <w:rFonts w:ascii="Arial" w:cs="Arial" w:eastAsia="Arial" w:hAnsi="Arial"/>
                <w:sz w:val="18"/>
                <w:szCs w:val="18"/>
                <w:color w:val="auto"/>
              </w:rPr>
              <w:t>o</w:t>
            </w:r>
          </w:p>
        </w:tc>
        <w:tc>
          <w:tcPr>
            <w:tcW w:w="680" w:type="dxa"/>
            <w:vAlign w:val="bottom"/>
          </w:tcPr>
          <w:p>
            <w:pPr>
              <w:jc w:val="center"/>
              <w:spacing w:after="0" w:line="162" w:lineRule="exact"/>
              <w:rPr>
                <w:sz w:val="20"/>
                <w:szCs w:val="20"/>
                <w:color w:val="auto"/>
              </w:rPr>
            </w:pPr>
            <w:r>
              <w:rPr>
                <w:rFonts w:ascii="Arial" w:cs="Arial" w:eastAsia="Arial" w:hAnsi="Arial"/>
                <w:sz w:val="18"/>
                <w:szCs w:val="18"/>
                <w:color w:val="auto"/>
              </w:rPr>
              <w:t>o</w:t>
            </w:r>
          </w:p>
        </w:tc>
        <w:tc>
          <w:tcPr>
            <w:tcW w:w="580" w:type="dxa"/>
            <w:vAlign w:val="bottom"/>
          </w:tcPr>
          <w:p>
            <w:pPr>
              <w:jc w:val="center"/>
              <w:spacing w:after="0" w:line="162"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2"/>
        </w:trPr>
        <w:tc>
          <w:tcPr>
            <w:tcW w:w="29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920" w:type="dxa"/>
            <w:vAlign w:val="bottom"/>
          </w:tcPr>
          <w:p>
            <w:pPr>
              <w:ind w:left="220"/>
              <w:spacing w:after="0"/>
              <w:rPr>
                <w:sz w:val="20"/>
                <w:szCs w:val="20"/>
                <w:color w:val="auto"/>
              </w:rPr>
            </w:pPr>
            <w:r>
              <w:rPr>
                <w:rFonts w:ascii="Arial" w:cs="Arial" w:eastAsia="Arial" w:hAnsi="Arial"/>
                <w:sz w:val="14"/>
                <w:szCs w:val="14"/>
                <w:color w:val="auto"/>
              </w:rPr>
              <w:t>our 2008 Equity Incentive Plan.</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ectPr>
          <w:pgSz w:w="11900" w:h="16838" w:orient="portrait"/>
          <w:cols w:equalWidth="0" w:num="2">
            <w:col w:w="5040" w:space="77"/>
            <w:col w:w="6303"/>
          </w:cols>
          <w:pgMar w:left="240" w:top="419" w:right="239" w:bottom="748" w:gutter="0" w:footer="0" w:header="0"/>
          <w:type w:val="continuous"/>
        </w:sect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640" w:type="dxa"/>
            <w:vAlign w:val="bottom"/>
          </w:tcPr>
          <w:p>
            <w:pPr>
              <w:jc w:val="center"/>
              <w:ind w:left="139"/>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62"/>
        </w:trPr>
        <w:tc>
          <w:tcPr>
            <w:tcW w:w="2940" w:type="dxa"/>
            <w:vAlign w:val="bottom"/>
            <w:vMerge w:val="restart"/>
          </w:tcPr>
          <w:p>
            <w:pPr>
              <w:spacing w:after="0"/>
              <w:rPr>
                <w:sz w:val="20"/>
                <w:szCs w:val="20"/>
                <w:color w:val="auto"/>
              </w:rPr>
            </w:pPr>
            <w:r>
              <w:rPr>
                <w:rFonts w:ascii="Arial" w:cs="Arial" w:eastAsia="Arial" w:hAnsi="Arial"/>
                <w:sz w:val="14"/>
                <w:szCs w:val="14"/>
                <w:color w:val="auto"/>
              </w:rPr>
              <w:t>4. To approve, on an advisory basis, the</w:t>
            </w:r>
          </w:p>
        </w:tc>
        <w:tc>
          <w:tcPr>
            <w:tcW w:w="640" w:type="dxa"/>
            <w:vAlign w:val="bottom"/>
          </w:tcPr>
          <w:p>
            <w:pPr>
              <w:jc w:val="center"/>
              <w:ind w:left="139"/>
              <w:spacing w:after="0" w:line="162" w:lineRule="exact"/>
              <w:rPr>
                <w:sz w:val="20"/>
                <w:szCs w:val="20"/>
                <w:color w:val="auto"/>
              </w:rPr>
            </w:pPr>
            <w:r>
              <w:rPr>
                <w:rFonts w:ascii="Arial" w:cs="Arial" w:eastAsia="Arial" w:hAnsi="Arial"/>
                <w:sz w:val="18"/>
                <w:szCs w:val="18"/>
                <w:color w:val="auto"/>
              </w:rPr>
              <w:t>o</w:t>
            </w:r>
          </w:p>
        </w:tc>
        <w:tc>
          <w:tcPr>
            <w:tcW w:w="660" w:type="dxa"/>
            <w:vAlign w:val="bottom"/>
          </w:tcPr>
          <w:p>
            <w:pPr>
              <w:jc w:val="center"/>
              <w:spacing w:after="0" w:line="162" w:lineRule="exact"/>
              <w:rPr>
                <w:sz w:val="20"/>
                <w:szCs w:val="20"/>
                <w:color w:val="auto"/>
              </w:rPr>
            </w:pPr>
            <w:r>
              <w:rPr>
                <w:rFonts w:ascii="Arial" w:cs="Arial" w:eastAsia="Arial" w:hAnsi="Arial"/>
                <w:sz w:val="18"/>
                <w:szCs w:val="18"/>
                <w:color w:val="auto"/>
              </w:rPr>
              <w:t>o</w:t>
            </w:r>
          </w:p>
        </w:tc>
        <w:tc>
          <w:tcPr>
            <w:tcW w:w="560" w:type="dxa"/>
            <w:vAlign w:val="bottom"/>
          </w:tcPr>
          <w:p>
            <w:pPr>
              <w:jc w:val="center"/>
              <w:spacing w:after="0" w:line="162"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2"/>
        </w:trPr>
        <w:tc>
          <w:tcPr>
            <w:tcW w:w="294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40" w:type="dxa"/>
            <w:vAlign w:val="bottom"/>
          </w:tcPr>
          <w:p>
            <w:pPr>
              <w:ind w:left="200"/>
              <w:spacing w:after="0"/>
              <w:rPr>
                <w:sz w:val="20"/>
                <w:szCs w:val="20"/>
                <w:color w:val="auto"/>
              </w:rPr>
            </w:pPr>
            <w:r>
              <w:rPr>
                <w:rFonts w:ascii="Arial" w:cs="Arial" w:eastAsia="Arial" w:hAnsi="Arial"/>
                <w:sz w:val="14"/>
                <w:szCs w:val="14"/>
                <w:color w:val="auto"/>
              </w:rPr>
              <w:t>compensation of our named executive</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00"/>
              <w:spacing w:after="0"/>
              <w:rPr>
                <w:sz w:val="20"/>
                <w:szCs w:val="20"/>
                <w:color w:val="auto"/>
              </w:rPr>
            </w:pPr>
            <w:r>
              <w:rPr>
                <w:rFonts w:ascii="Arial" w:cs="Arial" w:eastAsia="Arial" w:hAnsi="Arial"/>
                <w:sz w:val="14"/>
                <w:szCs w:val="14"/>
                <w:color w:val="auto"/>
              </w:rPr>
              <w:t>officers.</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3" w:hanging="203"/>
        <w:spacing w:after="0" w:line="247" w:lineRule="auto"/>
        <w:tabs>
          <w:tab w:leader="none" w:pos="19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 recommend, on an advisory basis, the frequency of the advisory vote on named executive officer compensation.</w:t>
      </w:r>
    </w:p>
    <w:p>
      <w:pPr>
        <w:spacing w:after="0" w:line="20" w:lineRule="exact"/>
        <w:rPr>
          <w:sz w:val="20"/>
          <w:szCs w:val="20"/>
          <w:color w:val="auto"/>
        </w:rPr>
      </w:pPr>
      <w:r>
        <w:rPr>
          <w:sz w:val="20"/>
          <w:szCs w:val="20"/>
          <w:color w:val="auto"/>
        </w:rPr>
        <w:br w:type="column"/>
      </w:r>
    </w:p>
    <w:p>
      <w:pPr>
        <w:spacing w:after="0"/>
        <w:tabs>
          <w:tab w:leader="none" w:pos="380" w:val="left"/>
          <w:tab w:leader="none" w:pos="920" w:val="left"/>
          <w:tab w:leader="none" w:pos="1420" w:val="left"/>
        </w:tabs>
        <w:rPr>
          <w:sz w:val="20"/>
          <w:szCs w:val="20"/>
          <w:color w:val="auto"/>
        </w:rPr>
      </w:pPr>
      <w:r>
        <w:rPr>
          <w:rFonts w:ascii="Arial" w:cs="Arial" w:eastAsia="Arial" w:hAnsi="Arial"/>
          <w:sz w:val="14"/>
          <w:szCs w:val="14"/>
          <w:b w:val="1"/>
          <w:bCs w:val="1"/>
          <w:color w:val="auto"/>
        </w:rPr>
        <w:t>1 Yr</w:t>
        <w:tab/>
        <w:t>2 Yrs</w:t>
        <w:tab/>
        <w:t>3 Yrs</w:t>
        <w:tab/>
        <w:t>Abstain</w:t>
      </w:r>
    </w:p>
    <w:p>
      <w:pPr>
        <w:spacing w:after="0" w:line="18" w:lineRule="exact"/>
        <w:rPr>
          <w:sz w:val="20"/>
          <w:szCs w:val="20"/>
          <w:color w:val="auto"/>
        </w:rPr>
      </w:pPr>
    </w:p>
    <w:p>
      <w:pPr>
        <w:ind w:left="40"/>
        <w:spacing w:after="0"/>
        <w:tabs>
          <w:tab w:leader="none" w:pos="1020" w:val="left"/>
          <w:tab w:leader="none" w:pos="1600" w:val="left"/>
        </w:tabs>
        <w:rPr>
          <w:sz w:val="20"/>
          <w:szCs w:val="20"/>
          <w:color w:val="auto"/>
        </w:rPr>
      </w:pPr>
      <w:r>
        <w:rPr>
          <w:rFonts w:ascii="Arial" w:cs="Arial" w:eastAsia="Arial" w:hAnsi="Arial"/>
          <w:sz w:val="36"/>
          <w:szCs w:val="36"/>
          <w:color w:val="auto"/>
        </w:rPr>
        <w:t>o  o</w:t>
        <w:tab/>
        <w:t>o</w:t>
      </w:r>
      <w:r>
        <w:rPr>
          <w:sz w:val="20"/>
          <w:szCs w:val="20"/>
          <w:color w:val="auto"/>
        </w:rPr>
        <w:tab/>
      </w:r>
      <w:r>
        <w:rPr>
          <w:rFonts w:ascii="Arial" w:cs="Arial" w:eastAsia="Arial" w:hAnsi="Arial"/>
          <w:sz w:val="32"/>
          <w:szCs w:val="32"/>
          <w:color w:val="auto"/>
        </w:rPr>
        <w:t>o</w:t>
      </w:r>
    </w:p>
    <w:p>
      <w:pPr>
        <w:spacing w:after="0" w:line="450" w:lineRule="exact"/>
        <w:rPr>
          <w:sz w:val="20"/>
          <w:szCs w:val="20"/>
          <w:color w:val="auto"/>
        </w:rPr>
      </w:pPr>
    </w:p>
    <w:p>
      <w:pPr>
        <w:sectPr>
          <w:pgSz w:w="11900" w:h="16838" w:orient="portrait"/>
          <w:cols w:equalWidth="0" w:num="3">
            <w:col w:w="5140" w:space="257"/>
            <w:col w:w="2583" w:space="100"/>
            <w:col w:w="3340"/>
          </w:cols>
          <w:pgMar w:left="240" w:top="419" w:right="239" w:bottom="748" w:gutter="0" w:footer="0" w:header="0"/>
          <w:type w:val="continuous"/>
        </w:sectPr>
      </w:pPr>
    </w:p>
    <w:p>
      <w:pPr>
        <w:spacing w:after="0" w:line="191" w:lineRule="exact"/>
        <w:rPr>
          <w:sz w:val="20"/>
          <w:szCs w:val="20"/>
          <w:color w:val="auto"/>
        </w:rPr>
      </w:pPr>
    </w:p>
    <w:p>
      <w:pPr>
        <w:ind w:left="540" w:hanging="208"/>
        <w:spacing w:after="0" w:line="247" w:lineRule="auto"/>
        <w:tabs>
          <w:tab w:leader="none" w:pos="535"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our independent registered public accounting firm for the fiscal year ending December 31,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For  Against  Abstain</w:t>
      </w:r>
    </w:p>
    <w:p>
      <w:pPr>
        <w:spacing w:after="0" w:line="18" w:lineRule="exact"/>
        <w:rPr>
          <w:sz w:val="20"/>
          <w:szCs w:val="20"/>
          <w:color w:val="auto"/>
        </w:rPr>
      </w:pPr>
    </w:p>
    <w:p>
      <w:pPr>
        <w:ind w:left="20"/>
        <w:spacing w:after="0"/>
        <w:tabs>
          <w:tab w:leader="none" w:pos="500" w:val="left"/>
          <w:tab w:leader="none" w:pos="1120" w:val="left"/>
        </w:tabs>
        <w:rPr>
          <w:sz w:val="20"/>
          <w:szCs w:val="20"/>
          <w:color w:val="auto"/>
        </w:rPr>
      </w:pPr>
      <w:r>
        <w:rPr>
          <w:rFonts w:ascii="Arial" w:cs="Arial" w:eastAsia="Arial" w:hAnsi="Arial"/>
          <w:sz w:val="36"/>
          <w:szCs w:val="36"/>
          <w:color w:val="auto"/>
        </w:rPr>
        <w:t>o</w:t>
        <w:tab/>
        <w:t>o</w:t>
      </w:r>
      <w:r>
        <w:rPr>
          <w:sz w:val="20"/>
          <w:szCs w:val="20"/>
          <w:color w:val="auto"/>
        </w:rPr>
        <w:tab/>
      </w:r>
      <w:r>
        <w:rPr>
          <w:rFonts w:ascii="Arial" w:cs="Arial" w:eastAsia="Arial" w:hAnsi="Arial"/>
          <w:sz w:val="32"/>
          <w:szCs w:val="32"/>
          <w:color w:val="auto"/>
        </w:rPr>
        <w:t>o</w:t>
      </w:r>
    </w:p>
    <w:p>
      <w:pPr>
        <w:spacing w:after="0" w:line="450" w:lineRule="exact"/>
        <w:rPr>
          <w:sz w:val="20"/>
          <w:szCs w:val="20"/>
          <w:color w:val="auto"/>
        </w:rPr>
      </w:pPr>
    </w:p>
    <w:p>
      <w:pPr>
        <w:sectPr>
          <w:pgSz w:w="11900" w:h="16838" w:orient="portrait"/>
          <w:cols w:equalWidth="0" w:num="2">
            <w:col w:w="3220" w:space="320"/>
            <w:col w:w="7880"/>
          </w:cols>
          <w:pgMar w:left="240" w:top="419" w:right="239" w:bottom="748" w:gutter="0" w:footer="0" w:header="0"/>
          <w:type w:val="continuous"/>
        </w:sectPr>
      </w:pPr>
    </w:p>
    <w:p>
      <w:pPr>
        <w:spacing w:after="0" w:line="74" w:lineRule="exact"/>
        <w:rPr>
          <w:sz w:val="20"/>
          <w:szCs w:val="20"/>
          <w:color w:val="auto"/>
        </w:rPr>
      </w:pPr>
    </w:p>
    <w:p>
      <w:pPr>
        <w:ind w:left="320"/>
        <w:spacing w:after="0"/>
        <w:rPr>
          <w:sz w:val="20"/>
          <w:szCs w:val="20"/>
          <w:color w:val="auto"/>
        </w:rPr>
      </w:pPr>
      <w:r>
        <w:rPr>
          <w:sz w:val="1"/>
          <w:szCs w:val="1"/>
          <w:color w:val="auto"/>
        </w:rPr>
        <w:drawing>
          <wp:inline distT="0" distB="0" distL="0" distR="0">
            <wp:extent cx="25400" cy="1543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400" cy="154305"/>
                    </a:xfrm>
                    <a:prstGeom prst="rect">
                      <a:avLst/>
                    </a:prstGeom>
                    <a:noFill/>
                    <a:ln>
                      <a:noFill/>
                    </a:ln>
                  </pic:spPr>
                </pic:pic>
              </a:graphicData>
            </a:graphic>
          </wp:inline>
        </w:drawing>
      </w:r>
      <w:r>
        <w:rPr>
          <w:rFonts w:ascii="Arial" w:cs="Arial" w:eastAsia="Arial" w:hAnsi="Arial"/>
          <w:sz w:val="18"/>
          <w:szCs w:val="18"/>
          <w:b w:val="1"/>
          <w:bCs w:val="1"/>
          <w:color w:val="FFFFFF"/>
        </w:rPr>
        <w:t xml:space="preserve"> B </w:t>
      </w:r>
      <w:r>
        <w:rPr>
          <w:rFonts w:ascii="Arial" w:cs="Arial" w:eastAsia="Arial" w:hAnsi="Arial"/>
          <w:sz w:val="18"/>
          <w:szCs w:val="18"/>
          <w:b w:val="1"/>
          <w:bCs w:val="1"/>
          <w:color w:val="000000"/>
        </w:rPr>
        <w:t>Authorized Signatures — This section must be completed for your vote to be counted. — Date and Sign Below</w:t>
      </w:r>
    </w:p>
    <w:p>
      <w:pPr>
        <w:spacing w:after="0" w:line="93" w:lineRule="exact"/>
        <w:rPr>
          <w:sz w:val="20"/>
          <w:szCs w:val="20"/>
          <w:color w:val="auto"/>
        </w:rPr>
      </w:pPr>
    </w:p>
    <w:p>
      <w:pPr>
        <w:ind w:left="340" w:right="1380"/>
        <w:spacing w:after="0" w:line="258" w:lineRule="auto"/>
        <w:rPr>
          <w:sz w:val="20"/>
          <w:szCs w:val="20"/>
          <w:color w:val="auto"/>
        </w:rPr>
      </w:pPr>
      <w:r>
        <w:rPr>
          <w:rFonts w:ascii="Arial" w:cs="Arial" w:eastAsia="Arial" w:hAnsi="Arial"/>
          <w:sz w:val="14"/>
          <w:szCs w:val="14"/>
          <w:color w:val="auto"/>
        </w:rPr>
        <w:t>Please sign exactly as your name(s) appear on the proxy. If held in joint tenancy, all persons must sign. Trustee, administrators, etc., should include title and authority. Corporations should provide the full name of corporation and the title of the authorized officer signing the proxy.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Date (mm/dd/yyyy) — Please print date below.</w:t>
            </w:r>
          </w:p>
        </w:tc>
        <w:tc>
          <w:tcPr>
            <w:tcW w:w="400" w:type="dxa"/>
            <w:vAlign w:val="bottom"/>
          </w:tcPr>
          <w:p>
            <w:pPr>
              <w:spacing w:after="0"/>
              <w:rPr>
                <w:sz w:val="12"/>
                <w:szCs w:val="12"/>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6"/>
              </w:rPr>
              <w:t>Signature 1 — Please keep signature within the box.</w:t>
            </w:r>
          </w:p>
        </w:tc>
        <w:tc>
          <w:tcPr>
            <w:tcW w:w="400" w:type="dxa"/>
            <w:vAlign w:val="bottom"/>
          </w:tcPr>
          <w:p>
            <w:pPr>
              <w:spacing w:after="0"/>
              <w:rPr>
                <w:sz w:val="12"/>
                <w:szCs w:val="12"/>
                <w:color w:val="auto"/>
              </w:rPr>
            </w:pPr>
          </w:p>
        </w:tc>
        <w:tc>
          <w:tcPr>
            <w:tcW w:w="3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5"/>
              </w:rPr>
              <w:t>Signature 2 — Please keep signature within the box.</w:t>
            </w:r>
          </w:p>
        </w:tc>
        <w:tc>
          <w:tcPr>
            <w:tcW w:w="1360" w:type="dxa"/>
            <w:vAlign w:val="bottom"/>
          </w:tcPr>
          <w:p>
            <w:pPr>
              <w:spacing w:after="0"/>
              <w:rPr>
                <w:sz w:val="12"/>
                <w:szCs w:val="12"/>
                <w:color w:val="auto"/>
              </w:rPr>
            </w:pPr>
          </w:p>
        </w:tc>
      </w:tr>
      <w:tr>
        <w:trPr>
          <w:trHeight w:val="412"/>
        </w:trPr>
        <w:tc>
          <w:tcPr>
            <w:tcW w:w="340" w:type="dxa"/>
            <w:vAlign w:val="bottom"/>
            <w:tcBorders>
              <w:right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9"/>
              <w:spacing w:after="0" w:line="411" w:lineRule="exact"/>
              <w:rPr>
                <w:sz w:val="20"/>
                <w:szCs w:val="20"/>
                <w:color w:val="auto"/>
              </w:rPr>
            </w:pPr>
            <w:r>
              <w:rPr>
                <w:rFonts w:ascii="Arial" w:cs="Arial" w:eastAsia="Arial" w:hAnsi="Arial"/>
                <w:sz w:val="36"/>
                <w:szCs w:val="36"/>
                <w:color w:val="auto"/>
              </w:rPr>
              <w:t>/</w:t>
            </w:r>
          </w:p>
        </w:tc>
        <w:tc>
          <w:tcPr>
            <w:tcW w:w="1880" w:type="dxa"/>
            <w:vAlign w:val="bottom"/>
            <w:tcBorders>
              <w:bottom w:val="single" w:sz="8" w:color="auto"/>
              <w:right w:val="single" w:sz="8" w:color="auto"/>
            </w:tcBorders>
          </w:tcPr>
          <w:p>
            <w:pPr>
              <w:jc w:val="right"/>
              <w:ind w:right="1260"/>
              <w:spacing w:after="0" w:line="411" w:lineRule="exact"/>
              <w:rPr>
                <w:sz w:val="20"/>
                <w:szCs w:val="20"/>
                <w:color w:val="auto"/>
              </w:rPr>
            </w:pPr>
            <w:r>
              <w:rPr>
                <w:rFonts w:ascii="Arial" w:cs="Arial" w:eastAsia="Arial" w:hAnsi="Arial"/>
                <w:sz w:val="36"/>
                <w:szCs w:val="36"/>
                <w:color w:val="auto"/>
              </w:rPr>
              <w:t>/</w:t>
            </w:r>
          </w:p>
        </w:tc>
        <w:tc>
          <w:tcPr>
            <w:tcW w:w="40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631"/>
        </w:trPr>
        <w:tc>
          <w:tcPr>
            <w:tcW w:w="3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36"/>
                <w:szCs w:val="36"/>
                <w:color w:val="auto"/>
              </w:rPr>
              <w:t>n</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0" w:type="dxa"/>
            <w:vAlign w:val="bottom"/>
            <w:gridSpan w:val="2"/>
          </w:tcPr>
          <w:p>
            <w:pPr>
              <w:jc w:val="right"/>
              <w:spacing w:after="0"/>
              <w:rPr>
                <w:sz w:val="20"/>
                <w:szCs w:val="20"/>
                <w:color w:val="auto"/>
              </w:rPr>
            </w:pPr>
            <w:r>
              <w:rPr>
                <w:rFonts w:ascii="Arial" w:cs="Arial" w:eastAsia="Arial" w:hAnsi="Arial"/>
                <w:sz w:val="36"/>
                <w:szCs w:val="36"/>
                <w:b w:val="1"/>
                <w:bCs w:val="1"/>
                <w:color w:val="auto"/>
              </w:rPr>
              <w:t>+</w:t>
            </w:r>
          </w:p>
        </w:tc>
        <w:tc>
          <w:tcPr>
            <w:tcW w:w="1360" w:type="dxa"/>
            <w:vAlign w:val="bottom"/>
          </w:tcPr>
          <w:p>
            <w:pPr>
              <w:spacing w:after="0"/>
              <w:rPr>
                <w:sz w:val="24"/>
                <w:szCs w:val="24"/>
                <w:color w:val="auto"/>
              </w:rPr>
            </w:pPr>
          </w:p>
        </w:tc>
      </w:tr>
      <w:tr>
        <w:trPr>
          <w:trHeight w:val="605"/>
        </w:trPr>
        <w:tc>
          <w:tcPr>
            <w:tcW w:w="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748"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ANNUAL MEETING OF STOCKHOLDERS</w:t>
      </w:r>
    </w:p>
    <w:p>
      <w:pPr>
        <w:spacing w:after="0" w:line="18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Tuesday, May 17, 2011</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10:00 a.m.</w:t>
      </w:r>
    </w:p>
    <w:p>
      <w:pPr>
        <w:spacing w:after="0" w:line="14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Grand Canyon Education, Inc.</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McKinley Hall</w:t>
      </w:r>
    </w:p>
    <w:p>
      <w:pPr>
        <w:jc w:val="center"/>
        <w:ind w:right="-180"/>
        <w:spacing w:after="0" w:line="234" w:lineRule="auto"/>
        <w:rPr>
          <w:sz w:val="20"/>
          <w:szCs w:val="20"/>
          <w:color w:val="auto"/>
        </w:rPr>
      </w:pPr>
      <w:r>
        <w:rPr>
          <w:rFonts w:ascii="Arial" w:cs="Arial" w:eastAsia="Arial" w:hAnsi="Arial"/>
          <w:sz w:val="18"/>
          <w:szCs w:val="18"/>
          <w:b w:val="1"/>
          <w:bCs w:val="1"/>
          <w:color w:val="auto"/>
        </w:rPr>
        <w:t>3300 W. Camelback Road</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Phoenix, Arizona 85017</w:t>
      </w:r>
    </w:p>
    <w:p>
      <w:pPr>
        <w:spacing w:after="0" w:line="149" w:lineRule="exact"/>
        <w:rPr>
          <w:sz w:val="20"/>
          <w:szCs w:val="20"/>
          <w:color w:val="auto"/>
        </w:rPr>
      </w:pPr>
    </w:p>
    <w:p>
      <w:pPr>
        <w:jc w:val="center"/>
        <w:ind w:left="520" w:right="1400"/>
        <w:spacing w:after="0" w:line="247"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17, 2011. This proxy statement and our annual report for the year ended December 31, 2010, are available and may be viewed at www.edocumentview.com/LOPE.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 xml:space="preserve">IF YOU HAVE NOT VOTED VIA THE INTERNET </w:t>
      </w:r>
      <w:r>
        <w:rPr>
          <w:rFonts w:ascii="Arial" w:cs="Arial" w:eastAsia="Arial" w:hAnsi="Arial"/>
          <w:sz w:val="11"/>
          <w:szCs w:val="11"/>
          <w:b w:val="1"/>
          <w:bCs w:val="1"/>
          <w:u w:val="single" w:color="auto"/>
          <w:color w:val="auto"/>
        </w:rPr>
        <w:t>OR</w:t>
      </w:r>
      <w:r>
        <w:rPr>
          <w:rFonts w:ascii="Arial" w:cs="Arial" w:eastAsia="Arial" w:hAnsi="Arial"/>
          <w:sz w:val="11"/>
          <w:szCs w:val="11"/>
          <w:b w:val="1"/>
          <w:bCs w:val="1"/>
          <w:color w:val="auto"/>
        </w:rPr>
        <w:t xml:space="preserve"> TELEPHONE, FOLD ALONG THE PERFORATION, DETACH AND RETURN THE BOTTOM PORTION IN THE ENCLOSED ENVELOPE.</w:t>
      </w:r>
    </w:p>
    <w:p>
      <w:pPr>
        <w:spacing w:after="0" w:line="165" w:lineRule="exact"/>
        <w:rPr>
          <w:sz w:val="20"/>
          <w:szCs w:val="20"/>
          <w:color w:val="auto"/>
        </w:rPr>
      </w:pPr>
    </w:p>
    <w:p>
      <w:pPr>
        <w:ind w:left="340"/>
        <w:spacing w:after="0"/>
        <w:tabs>
          <w:tab w:leader="none" w:pos="9660" w:val="left"/>
        </w:tabs>
        <w:rPr>
          <w:sz w:val="20"/>
          <w:szCs w:val="20"/>
          <w:color w:val="auto"/>
        </w:rPr>
      </w:pPr>
      <w:r>
        <w:rPr>
          <w:rFonts w:ascii="Arial" w:cs="Arial" w:eastAsia="Arial" w:hAnsi="Arial"/>
          <w:sz w:val="25"/>
          <w:szCs w:val="25"/>
          <w:b w:val="1"/>
          <w:bCs w:val="1"/>
          <w:color w:val="auto"/>
        </w:rPr>
        <w:t>Proxy — Grand Canyon Education, Inc.</w:t>
      </w:r>
      <w:r>
        <w:rPr>
          <w:sz w:val="20"/>
          <w:szCs w:val="20"/>
          <w:color w:val="auto"/>
        </w:rPr>
        <w:tab/>
      </w:r>
      <w:r>
        <w:rPr>
          <w:rFonts w:ascii="Arial" w:cs="Arial" w:eastAsia="Arial" w:hAnsi="Arial"/>
          <w:sz w:val="34"/>
          <w:szCs w:val="3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-217170</wp:posOffset>
            </wp:positionV>
            <wp:extent cx="58743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4385"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-3175</wp:posOffset>
            </wp:positionV>
            <wp:extent cx="58743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74385" cy="1714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auto"/>
        </w:rPr>
        <w:t>Notice of 2011 Annual Meeting of Stockholders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McKinley Hall</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3300 W. Camelback Road</w:t>
      </w:r>
    </w:p>
    <w:p>
      <w:pPr>
        <w:ind w:left="340"/>
        <w:spacing w:after="0"/>
        <w:rPr>
          <w:sz w:val="20"/>
          <w:szCs w:val="20"/>
          <w:color w:val="auto"/>
        </w:rPr>
      </w:pPr>
      <w:r>
        <w:rPr>
          <w:rFonts w:ascii="Arial" w:cs="Arial" w:eastAsia="Arial" w:hAnsi="Arial"/>
          <w:sz w:val="18"/>
          <w:szCs w:val="18"/>
          <w:b w:val="1"/>
          <w:bCs w:val="1"/>
          <w:color w:val="auto"/>
        </w:rPr>
        <w:t>Phoenix, Arizona 85017</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Proxy Solicited by Board of Directors for Annual Meeting — Tuesday, May 17, 2011</w:t>
      </w:r>
    </w:p>
    <w:p>
      <w:pPr>
        <w:spacing w:after="0" w:line="212" w:lineRule="exact"/>
        <w:rPr>
          <w:sz w:val="20"/>
          <w:szCs w:val="20"/>
          <w:color w:val="auto"/>
        </w:rPr>
      </w:pPr>
    </w:p>
    <w:p>
      <w:pPr>
        <w:jc w:val="both"/>
        <w:ind w:left="340" w:right="179"/>
        <w:spacing w:after="0" w:line="250" w:lineRule="auto"/>
        <w:rPr>
          <w:sz w:val="20"/>
          <w:szCs w:val="20"/>
          <w:color w:val="auto"/>
        </w:rPr>
      </w:pPr>
      <w:r>
        <w:rPr>
          <w:rFonts w:ascii="Arial" w:cs="Arial" w:eastAsia="Arial" w:hAnsi="Arial"/>
          <w:sz w:val="14"/>
          <w:szCs w:val="14"/>
          <w:color w:val="auto"/>
        </w:rPr>
        <w:t>Brian E. Mueller and Daniel E. Bachus,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Tuesday, May 17, 2011 or at any postponement or adjournment thereof.</w:t>
      </w:r>
    </w:p>
    <w:p>
      <w:pPr>
        <w:spacing w:after="0" w:line="131" w:lineRule="exact"/>
        <w:rPr>
          <w:sz w:val="20"/>
          <w:szCs w:val="20"/>
          <w:color w:val="auto"/>
        </w:rPr>
      </w:pPr>
    </w:p>
    <w:p>
      <w:pPr>
        <w:jc w:val="both"/>
        <w:ind w:left="340" w:right="179"/>
        <w:spacing w:after="0" w:line="271"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ITEMS 1, 2, 3, 4 AND 6 AND 3 YRS FOR ITEM 5.</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In their discretion, the Proxies are authorized to vote upon such other business as may properly come before the meeting.</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(Items to be voted appear on reverse side.)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 xml:space="preserve">C </w:t>
      </w:r>
      <w:r>
        <w:rPr>
          <w:rFonts w:ascii="Arial" w:cs="Arial" w:eastAsia="Arial" w:hAnsi="Arial"/>
          <w:sz w:val="18"/>
          <w:szCs w:val="18"/>
          <w:b w:val="1"/>
          <w:bCs w:val="1"/>
          <w:color w:val="000000"/>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11176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80010</wp:posOffset>
            </wp:positionV>
            <wp:extent cx="6393180" cy="4673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93180"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
        <w:spacing w:after="0"/>
        <w:tabs>
          <w:tab w:leader="none" w:pos="9820" w:val="left"/>
        </w:tabs>
        <w:rPr>
          <w:sz w:val="20"/>
          <w:szCs w:val="20"/>
          <w:color w:val="auto"/>
        </w:rPr>
      </w:pPr>
      <w:r>
        <w:rPr>
          <w:rFonts w:ascii="Arial" w:cs="Arial" w:eastAsia="Arial" w:hAnsi="Arial"/>
          <w:sz w:val="36"/>
          <w:szCs w:val="36"/>
          <w:color w:val="auto"/>
        </w:rPr>
        <w:t>n</w:t>
      </w:r>
      <w:r>
        <w:rPr>
          <w:sz w:val="20"/>
          <w:szCs w:val="20"/>
          <w:color w:val="auto"/>
        </w:rPr>
        <w:tab/>
      </w:r>
      <w:r>
        <w:rPr>
          <w:rFonts w:ascii="Arial" w:cs="Arial" w:eastAsia="Arial" w:hAnsi="Arial"/>
          <w:sz w:val="36"/>
          <w:szCs w:val="36"/>
          <w:b w:val="1"/>
          <w:bCs w:val="1"/>
          <w:color w:val="auto"/>
        </w:rPr>
        <w:t>+</w:t>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o"/>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lvl w:ilvl="1">
      <w:lvlJc w:val="left"/>
      <w:lvlText w:val="%2."/>
      <w:numFmt w:val="lowerLetter"/>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lowerRoman"/>
      <w:start w:val="4"/>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upperLetter"/>
      <w:start w:val="4"/>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lvl w:ilvl="1">
      <w:lvlJc w:val="left"/>
      <w:lvlText w:val="(%2)"/>
      <w:numFmt w:val="lowerRoman"/>
      <w:start w:val="4"/>
    </w:lvl>
  </w:abstractNum>
  <w:abstractNum w:abstractNumId="14">
    <w:nsid w:val="3804823E"/>
    <w:multiLevelType w:val="hybridMultilevel"/>
    <w:lvl w:ilvl="0">
      <w:lvlJc w:val="left"/>
      <w:lvlText w:val="•"/>
      <w:numFmt w:val="bullet"/>
      <w:start w:val="1"/>
    </w:lvl>
    <w:lvl w:ilvl="1">
      <w:lvlJc w:val="left"/>
      <w:lvlText w:val="(%2)"/>
      <w:numFmt w:val="lowerRoman"/>
      <w:start w:val="23"/>
    </w:lvl>
  </w:abstractNum>
  <w:abstractNum w:abstractNumId="15">
    <w:nsid w:val="77465F01"/>
    <w:multiLevelType w:val="hybridMultilevel"/>
    <w:lvl w:ilvl="0">
      <w:lvlJc w:val="left"/>
      <w:lvlText w:val="•"/>
      <w:numFmt w:val="bullet"/>
      <w:start w:val="1"/>
    </w:lvl>
    <w:lvl w:ilvl="1">
      <w:lvlJc w:val="left"/>
      <w:lvlText w:val="(%2)"/>
      <w:numFmt w:val="lowerRoman"/>
      <w:start w:val="27"/>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lowerRoman"/>
      <w:start w:val="3"/>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3"/>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lowerRoman"/>
      <w:start w:val="2"/>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2"/>
    </w:lvl>
  </w:abstractNum>
  <w:abstractNum w:abstractNumId="45">
    <w:nsid w:val="75C6C33A"/>
    <w:multiLevelType w:val="hybridMultilevel"/>
    <w:lvl w:ilvl="0">
      <w:lvlJc w:val="left"/>
      <w:lvlText w:val="%1."/>
      <w:numFmt w:val="upperLetter"/>
      <w:start w:val="35"/>
    </w:lvl>
    <w:lvl w:ilvl="1">
      <w:lvlJc w:val="left"/>
      <w:lvlText w:val="(%2)"/>
      <w:numFmt w:val="lowerLetter"/>
      <w:start w:val="1"/>
    </w:lvl>
  </w:abstractNum>
  <w:abstractNum w:abstractNumId="46">
    <w:nsid w:val="12E685FB"/>
    <w:multiLevelType w:val="hybridMultilevel"/>
    <w:lvl w:ilvl="0">
      <w:lvlJc w:val="left"/>
      <w:lvlText w:val="%1."/>
      <w:numFmt w:val="upperLetter"/>
      <w:start w:val="6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2"/>
    </w:lvl>
    <w:lvl w:ilvl="1">
      <w:lvlJc w:val="left"/>
      <w:lvlText w:val="•"/>
      <w:numFmt w:val="bullet"/>
      <w:start w:val="1"/>
    </w:lvl>
  </w:abstractNum>
  <w:abstractNum w:abstractNumId="49">
    <w:nsid w:val="374A3FE6"/>
    <w:multiLevelType w:val="hybridMultilevel"/>
    <w:lvl w:ilvl="0">
      <w:lvlJc w:val="left"/>
      <w:lvlText w:val="%1"/>
      <w:numFmt w:val="upperLetter"/>
      <w:start w:val="1"/>
    </w:lvl>
    <w:lvl w:ilvl="1">
      <w:lvlJc w:val="left"/>
      <w:lvlText w:val="(%2)"/>
      <w:numFmt w:val="lowerLetter"/>
      <w:start w:val="3"/>
    </w:lvl>
  </w:abstractNum>
  <w:abstractNum w:abstractNumId="50">
    <w:nsid w:val="4F4EF005"/>
    <w:multiLevelType w:val="hybridMultilevel"/>
    <w:lvl w:ilvl="0">
      <w:lvlJc w:val="left"/>
      <w:lvlText w:val="%1"/>
      <w:numFmt w:val="upperLetter"/>
      <w:start w:val="1"/>
    </w:lvl>
    <w:lvl w:ilvl="1">
      <w:lvlJc w:val="left"/>
      <w:lvlText w:val="(%2)"/>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upperLetter"/>
      <w:start w:val="24"/>
    </w:lvl>
    <w:lvl w:ilvl="1">
      <w:lvlJc w:val="left"/>
      <w:lvlText w:val="(%2)"/>
      <w:numFmt w:val="lowerLetter"/>
      <w:start w:val="1"/>
    </w:lvl>
    <w:lvl w:ilvl="2">
      <w:lvlJc w:val="left"/>
      <w:lvlText w:val="(%3)"/>
      <w:numFmt w:val="lowerRoman"/>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A"/>
      <w:numFmt w:val="bullet"/>
      <w:start w:val="1"/>
    </w:lvl>
  </w:abstractNum>
  <w:abstractNum w:abstractNumId="55">
    <w:nsid w:val="1CF10FD8"/>
    <w:multiLevelType w:val="hybridMultilevel"/>
    <w:lvl w:ilvl="0">
      <w:lvlJc w:val="left"/>
      <w:lvlText w:val="o"/>
      <w:numFmt w:val="bullet"/>
      <w:start w:val="1"/>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2019-12-11T08:01:26Z</dcterms:created>
  <dcterms:modified xsi:type="dcterms:W3CDTF">2019-12-11T08:01:26Z</dcterms:modified>
</cp:coreProperties>
</file>