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5"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Grand Canyon Education, Inc.</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38526M106</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2019</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38526M106</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7023"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4,711,399</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4,711,399</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ind w:left="1800" w:hanging="423"/>
        <w:spacing w:after="0" w:line="237" w:lineRule="auto"/>
        <w:tabs>
          <w:tab w:leader="none" w:pos="18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4,711,399</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9.7%</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38526M106</w:t>
      </w:r>
      <w:r>
        <w:rPr>
          <w:sz w:val="20"/>
          <w:szCs w:val="20"/>
          <w:color w:val="auto"/>
        </w:rPr>
        <w:tab/>
      </w:r>
      <w:r>
        <w:rPr>
          <w:rFonts w:ascii="Courier New" w:cs="Courier New" w:eastAsia="Courier New" w:hAnsi="Courier New"/>
          <w:sz w:val="16"/>
          <w:szCs w:val="16"/>
          <w:color w:val="auto"/>
        </w:rPr>
        <w:t>Page 2 of 5</w:t>
      </w:r>
    </w:p>
    <w:p>
      <w:pPr>
        <w:sectPr>
          <w:pgSz w:w="11900" w:h="16838" w:orient="portrait"/>
          <w:cols w:equalWidth="0" w:num="1">
            <w:col w:w="10219"/>
          </w:cols>
          <w:pgMar w:left="240" w:top="344" w:right="1440" w:bottom="1440" w:gutter="0" w:footer="0" w:header="0"/>
        </w:sectPr>
      </w:pPr>
    </w:p>
    <w:bookmarkStart w:id="2" w:name="page3"/>
    <w:bookmarkEnd w:id="2"/>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Grand Canyon Education,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3300 W. Camelback Road</w:t>
      </w:r>
    </w:p>
    <w:p>
      <w:pPr>
        <w:ind w:left="740"/>
        <w:spacing w:after="0"/>
        <w:rPr>
          <w:sz w:val="20"/>
          <w:szCs w:val="20"/>
          <w:color w:val="auto"/>
        </w:rPr>
      </w:pPr>
      <w:r>
        <w:rPr>
          <w:rFonts w:ascii="Courier New" w:cs="Courier New" w:eastAsia="Courier New" w:hAnsi="Courier New"/>
          <w:sz w:val="18"/>
          <w:szCs w:val="18"/>
          <w:color w:val="auto"/>
        </w:rPr>
        <w:t>Phoenix, AZ 85017</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38526M106</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divisions of CRMC and Capital International Limited collectively provide investment management services under the name Capital World Investors. Capital World Investors is deemed to be the beneficial owner of 4,711,399 shares or 9.7% of the 48,225,070 shares believed to be outstanding.</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38526M106</w:t>
      </w:r>
      <w:r>
        <w:rPr>
          <w:sz w:val="20"/>
          <w:szCs w:val="20"/>
          <w:color w:val="auto"/>
        </w:rPr>
        <w:tab/>
      </w:r>
      <w:r>
        <w:rPr>
          <w:rFonts w:ascii="Courier New" w:cs="Courier New" w:eastAsia="Courier New" w:hAnsi="Courier New"/>
          <w:sz w:val="16"/>
          <w:szCs w:val="16"/>
          <w:color w:val="auto"/>
        </w:rPr>
        <w:t>Page 3 of 5</w:t>
      </w:r>
    </w:p>
    <w:p>
      <w:pPr>
        <w:sectPr>
          <w:pgSz w:w="11900" w:h="16838" w:orient="portrait"/>
          <w:cols w:equalWidth="0" w:num="1">
            <w:col w:w="10219"/>
          </w:cols>
          <w:pgMar w:left="240" w:top="717" w:right="1440" w:bottom="1440" w:gutter="0" w:footer="0" w:header="0"/>
        </w:sectPr>
      </w:pPr>
    </w:p>
    <w:bookmarkStart w:id="3" w:name="page4"/>
    <w:bookmarkEnd w:id="3"/>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One or more clients of Capital World Investors have the right to receive or the power to direct the receipt of dividends from, or the proceeds from the sale of, the Common Stock of Grand Canyon Education, Inc.. Capital World Investors holds more than five percent of the outstanding Common Stock of Grand Canyon Education, Inc. as of December 31, 2019 on behalf of each of the following client(s):</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Growth Fund of America</w:t>
      </w:r>
    </w:p>
    <w:p>
      <w:pPr>
        <w:spacing w:after="0" w:line="207"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380" w:type="dxa"/>
            <w:vAlign w:val="bottom"/>
          </w:tcPr>
          <w:p>
            <w:pPr>
              <w:ind w:left="220"/>
              <w:spacing w:after="0"/>
              <w:rPr>
                <w:sz w:val="20"/>
                <w:szCs w:val="20"/>
                <w:color w:val="auto"/>
              </w:rPr>
            </w:pPr>
            <w:r>
              <w:rPr>
                <w:rFonts w:ascii="Courier New" w:cs="Courier New" w:eastAsia="Courier New" w:hAnsi="Courier New"/>
                <w:sz w:val="18"/>
                <w:szCs w:val="18"/>
                <w:color w:val="auto"/>
              </w:rPr>
              <w:t>February 12, 2020</w:t>
            </w:r>
          </w:p>
        </w:tc>
        <w:tc>
          <w:tcPr>
            <w:tcW w:w="1940" w:type="dxa"/>
            <w:vAlign w:val="bottom"/>
          </w:tcPr>
          <w:p>
            <w:pPr>
              <w:spacing w:after="0"/>
              <w:rPr>
                <w:sz w:val="17"/>
                <w:szCs w:val="17"/>
                <w:color w:val="auto"/>
              </w:rPr>
            </w:pP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 Michael J. Triessl</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Michael J. Triessl -</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Senior Vice</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President and Senior</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Counsel, Fund</w:t>
            </w:r>
          </w:p>
        </w:tc>
      </w:tr>
      <w:tr>
        <w:trPr>
          <w:trHeight w:val="203"/>
        </w:trPr>
        <w:tc>
          <w:tcPr>
            <w:tcW w:w="1360" w:type="dxa"/>
            <w:vAlign w:val="bottom"/>
          </w:tcPr>
          <w:p>
            <w:pPr>
              <w:spacing w:after="0"/>
              <w:rPr>
                <w:sz w:val="17"/>
                <w:szCs w:val="17"/>
                <w:color w:val="auto"/>
              </w:rPr>
            </w:pPr>
          </w:p>
        </w:tc>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Business Management Group</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Capital Research 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Management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38526M106</w:t>
      </w:r>
      <w:r>
        <w:rPr>
          <w:sz w:val="20"/>
          <w:szCs w:val="20"/>
          <w:color w:val="auto"/>
        </w:rPr>
        <w:tab/>
      </w:r>
      <w:r>
        <w:rPr>
          <w:rFonts w:ascii="Courier New" w:cs="Courier New" w:eastAsia="Courier New" w:hAnsi="Courier New"/>
          <w:sz w:val="16"/>
          <w:szCs w:val="16"/>
          <w:color w:val="auto"/>
        </w:rPr>
        <w:t>Page 4 of 5</w:t>
      </w:r>
    </w:p>
    <w:p>
      <w:pPr>
        <w:sectPr>
          <w:pgSz w:w="11900" w:h="16838" w:orient="portrait"/>
          <w:cols w:equalWidth="0" w:num="1">
            <w:col w:w="10219"/>
          </w:cols>
          <w:pgMar w:left="240" w:top="520"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38526M106</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2020-02-14T05:10:32Z</dcterms:created>
  <dcterms:modified xsi:type="dcterms:W3CDTF">2020-02-14T05:10:32Z</dcterms:modified>
</cp:coreProperties>
</file>