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pPr>
      <w:hyperlink w:anchor="TOC">
        <w:bookmarkStart w:id="0" w:name="lope-20260930x10q.htm"/>
        <w:bookmarkStart w:id="1" w:name="kslope2026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pPr>
      <w:r>
        <w:t>​</w:t>
      </w:r>
    </w:p>
    <w:p>
      <w:pPr>
        <w:pStyle w:val="TextBody"/>
        <w:bidi w:val="0"/>
        <w:spacing w:before="0" w:after="240"/>
        <w:ind w:left="0" w:right="0" w:hanging="0"/>
        <w:jc w:val="center"/>
      </w:pPr>
      <w:r>
        <w:t>​</w:t>
      </w:r>
    </w:p>
    <w:p>
      <w:pPr>
        <w:pStyle w:val="TextBody"/>
        <w:bidi w:val="0"/>
        <w:spacing w:before="0" w:after="0"/>
        <w:ind w:left="0" w:right="0" w:hanging="0"/>
        <w:jc w:val="center"/>
        <w:rPr>
          <w:rFonts w:ascii="Times New Roman;Times;serif" w:hAnsi="Times New Roman;Times;serif"/>
          <w:b/>
          <w:sz w:val="28"/>
        </w:rPr>
      </w:pPr>
      <w:bookmarkStart w:id="2" w:name="_9487851b_6491_4aaf_94e7_bf071f084713"/>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pPr>
      <w:r>
        <w:t>​</w:t>
      </w:r>
    </w:p>
    <w:p>
      <w:pPr>
        <w:pStyle w:val="TextBody"/>
        <w:pBdr>
          <w:top w:val="single" w:sz="2" w:space="1" w:color="000000"/>
        </w:pBdr>
        <w:bidi w:val="0"/>
        <w:spacing w:before="0" w:after="240"/>
        <w:ind w:left="0" w:right="0" w:hanging="0"/>
        <w:jc w:val="center"/>
      </w:pPr>
      <w: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pBdr>
          <w:bottom w:val="single" w:sz="2" w:space="1" w:color="000000"/>
        </w:pBdr>
        <w:bidi w:val="0"/>
        <w:spacing w:before="0" w:after="240"/>
        <w:ind w:left="0" w:right="0" w:hanging="0"/>
        <w:jc w:val="left"/>
      </w:pPr>
      <w:r>
        <w:t>​</w:t>
      </w:r>
    </w:p>
    <w:p>
      <w:pPr>
        <w:pStyle w:val="TextBody"/>
        <w:bidi w:val="0"/>
        <w:spacing w:before="0" w:after="240"/>
        <w:ind w:left="0" w:right="0" w:hanging="0"/>
        <w:jc w:val="left"/>
      </w:pPr>
      <w: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p>
      <w:pPr>
        <w:pStyle w:val="Normal"/>
        <w:bidi w:val="0"/>
        <w:spacing w:before="0" w:after="0"/>
        <w:jc w:val="left"/>
        <w:rPr>
          <w:sz w:val="4"/>
          <w:szCs w:val="4"/>
        </w:rPr>
      </w:pPr>
      <w:r>
        <w:rPr>
          <w:sz w:val="4"/>
          <w:szCs w:val="4"/>
        </w:rPr>
      </w:r>
      <w:bookmarkStart w:id="3" w:name="Tc_cKX0W14pK0u3XHIBMlwGnA_2_1"/>
      <w:bookmarkStart w:id="4" w:name="Tc_5f0VXax84UiUPgyPtWbrJQ_0_1"/>
      <w:bookmarkStart w:id="5" w:name="_3686098e_700e_402f_aca5_708f1036acad"/>
      <w:bookmarkStart w:id="6" w:name="Tc_cKX0W14pK0u3XHIBMlwGnA_2_1"/>
      <w:bookmarkStart w:id="7" w:name="Tc_5f0VXax84UiUPgyPtWbrJQ_0_1"/>
      <w:bookmarkStart w:id="8" w:name="_3686098e_700e_402f_aca5_708f1036acad"/>
      <w:bookmarkEnd w:id="6"/>
      <w:bookmarkEnd w:id="7"/>
      <w:bookmarkEnd w:id="8"/>
    </w:p>
    <w:tbl>
      <w:tblPr>
        <w:tblW w:w="10205" w:type="dxa"/>
        <w:jc w:val="left"/>
        <w:tblInd w:w="0" w:type="dxa"/>
        <w:tblLayout w:type="fixed"/>
        <w:tblCellMar>
          <w:top w:w="0" w:type="dxa"/>
          <w:left w:w="0" w:type="dxa"/>
          <w:bottom w:w="0" w:type="dxa"/>
          <w:right w:w="0" w:type="dxa"/>
        </w:tblCellMar>
      </w:tblPr>
      <w:tblGrid>
        <w:gridCol w:w="331"/>
        <w:gridCol w:w="9874"/>
      </w:tblGrid>
      <w:tr>
        <w:tc>
          <w:tcPr>
            <w:tcW w:w="331" w:type="dxa"/>
            <w:tcBorders/>
            <w:vAlign w:val="center"/>
          </w:tcPr>
          <w:p>
            <w:pPr>
              <w:pStyle w:val="TableContents"/>
              <w:bidi w:val="0"/>
              <w:spacing w:before="0" w:after="0"/>
              <w:ind w:left="0" w:right="0" w:hanging="0"/>
              <w:jc w:val="left"/>
            </w:pPr>
            <w: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r>
        <w:tc>
          <w:tcPr>
            <w:tcW w:w="331" w:type="dxa"/>
            <w:tcBorders/>
            <w:vAlign w:val="center"/>
          </w:tcPr>
          <w:p>
            <w:pPr>
              <w:pStyle w:val="TableContents"/>
              <w:bidi w:val="0"/>
              <w:spacing w:before="0" w:after="240"/>
              <w:ind w:left="0" w:right="0" w:hanging="0"/>
              <w:jc w:val="left"/>
            </w:pPr>
            <w:r>
              <w:t>​</w:t>
            </w:r>
          </w:p>
        </w:tc>
        <w:tc>
          <w:tcPr>
            <w:tcW w:w="9874" w:type="dxa"/>
            <w:tcBorders/>
            <w:vAlign w:val="center"/>
          </w:tcPr>
          <w:p>
            <w:pPr>
              <w:pStyle w:val="TableContents"/>
              <w:bidi w:val="0"/>
              <w:spacing w:before="0" w:after="240"/>
              <w:ind w:left="0" w:right="0" w:hanging="0"/>
              <w:jc w:val="left"/>
            </w:pPr>
            <w:r>
              <w:t>​</w:t>
            </w:r>
          </w:p>
        </w:tc>
      </w:tr>
      <w:tr>
        <w:tc>
          <w:tcPr>
            <w:tcW w:w="331" w:type="dxa"/>
            <w:tcBorders/>
            <w:vAlign w:val="center"/>
          </w:tcPr>
          <w:p>
            <w:pPr>
              <w:pStyle w:val="TableContents"/>
              <w:bidi w:val="0"/>
              <w:spacing w:before="0" w:after="240"/>
              <w:ind w:left="0" w:right="0" w:hanging="0"/>
              <w:jc w:val="left"/>
            </w:pPr>
            <w: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quarterly period ended September 30, 2026</w:t>
            </w:r>
          </w:p>
        </w:tc>
      </w:tr>
    </w:tbl>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240"/>
        <w:ind w:left="0" w:right="0" w:hanging="0"/>
        <w:jc w:val="center"/>
      </w:pPr>
      <w:r>
        <w:t>​</w:t>
      </w:r>
    </w:p>
    <w:p>
      <w:pPr>
        <w:pStyle w:val="Normal"/>
        <w:bidi w:val="0"/>
        <w:spacing w:before="0" w:after="0"/>
        <w:jc w:val="left"/>
        <w:rPr>
          <w:sz w:val="4"/>
          <w:szCs w:val="4"/>
        </w:rPr>
      </w:pPr>
      <w:r>
        <w:rPr>
          <w:sz w:val="4"/>
          <w:szCs w:val="4"/>
        </w:rPr>
      </w:r>
      <w:bookmarkStart w:id="9" w:name="Tc_nzGbuYXjeEC03PLixQKscQ_3_1"/>
      <w:bookmarkStart w:id="10" w:name="Tc_dc_6cUsdkkWBngNjnbRdVA_1_1"/>
      <w:bookmarkStart w:id="11" w:name="_2e915763_74e6_4785_9417_f193d4dd04bc"/>
      <w:bookmarkStart w:id="12" w:name="Tc_nzGbuYXjeEC03PLixQKscQ_3_1"/>
      <w:bookmarkStart w:id="13" w:name="Tc_dc_6cUsdkkWBngNjnbRdVA_1_1"/>
      <w:bookmarkStart w:id="14" w:name="_2e915763_74e6_4785_9417_f193d4dd04bc"/>
      <w:bookmarkEnd w:id="12"/>
      <w:bookmarkEnd w:id="13"/>
      <w:bookmarkEnd w:id="14"/>
    </w:p>
    <w:tbl>
      <w:tblPr>
        <w:tblW w:w="10205" w:type="dxa"/>
        <w:jc w:val="left"/>
        <w:tblInd w:w="0" w:type="dxa"/>
        <w:tblLayout w:type="fixed"/>
        <w:tblCellMar>
          <w:top w:w="0" w:type="dxa"/>
          <w:left w:w="0" w:type="dxa"/>
          <w:bottom w:w="0" w:type="dxa"/>
          <w:right w:w="0" w:type="dxa"/>
        </w:tblCellMar>
      </w:tblPr>
      <w:tblGrid>
        <w:gridCol w:w="331"/>
        <w:gridCol w:w="9874"/>
      </w:tblGrid>
      <w:tr>
        <w:tc>
          <w:tcPr>
            <w:tcW w:w="331" w:type="dxa"/>
            <w:tcBorders/>
            <w:vAlign w:val="center"/>
          </w:tcPr>
          <w:p>
            <w:pPr>
              <w:pStyle w:val="TableContents"/>
              <w:bidi w:val="0"/>
              <w:spacing w:before="0" w:after="0"/>
              <w:ind w:left="0" w:right="0" w:hanging="0"/>
              <w:jc w:val="left"/>
            </w:pPr>
            <w:r>
              <w:t>​</w:t>
            </w:r>
          </w:p>
        </w:tc>
        <w:tc>
          <w:tcPr>
            <w:tcW w:w="9874" w:type="dxa"/>
            <w:tcBorders/>
            <w:vAlign w:val="center"/>
          </w:tcPr>
          <w:p>
            <w:pPr>
              <w:pStyle w:val="TableContents"/>
              <w:bidi w:val="0"/>
              <w:spacing w:before="0" w:after="0"/>
              <w:ind w:left="0" w:right="0" w:hanging="0"/>
              <w:jc w:val="left"/>
            </w:pPr>
            <w:r>
              <w:t>​</w:t>
            </w:r>
          </w:p>
        </w:tc>
      </w:tr>
      <w:tr>
        <w:tc>
          <w:tcPr>
            <w:tcW w:w="331" w:type="dxa"/>
            <w:tcBorders/>
            <w:vAlign w:val="center"/>
          </w:tcPr>
          <w:p>
            <w:pPr>
              <w:pStyle w:val="TableContents"/>
              <w:bidi w:val="0"/>
              <w:spacing w:before="0" w:after="0"/>
              <w:ind w:left="0" w:right="0" w:hanging="0"/>
              <w:jc w:val="left"/>
            </w:pPr>
            <w: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c>
          <w:tcPr>
            <w:tcW w:w="331" w:type="dxa"/>
            <w:tcBorders/>
            <w:vAlign w:val="center"/>
          </w:tcPr>
          <w:p>
            <w:pPr>
              <w:pStyle w:val="TableContents"/>
              <w:bidi w:val="0"/>
              <w:spacing w:before="0" w:after="240"/>
              <w:ind w:left="0" w:right="0" w:hanging="0"/>
              <w:jc w:val="left"/>
            </w:pPr>
            <w:r>
              <w:t>​</w:t>
            </w:r>
          </w:p>
        </w:tc>
        <w:tc>
          <w:tcPr>
            <w:tcW w:w="9874" w:type="dxa"/>
            <w:tcBorders/>
            <w:vAlign w:val="center"/>
          </w:tcPr>
          <w:p>
            <w:pPr>
              <w:pStyle w:val="TableContents"/>
              <w:bidi w:val="0"/>
              <w:spacing w:before="0" w:after="240"/>
              <w:ind w:left="0" w:right="0" w:hanging="0"/>
              <w:jc w:val="left"/>
            </w:pPr>
            <w:r>
              <w:t>​</w:t>
            </w:r>
          </w:p>
        </w:tc>
      </w:tr>
      <w:tr>
        <w:tc>
          <w:tcPr>
            <w:tcW w:w="331" w:type="dxa"/>
            <w:tcBorders/>
            <w:vAlign w:val="center"/>
          </w:tcPr>
          <w:p>
            <w:pPr>
              <w:pStyle w:val="TableContents"/>
              <w:bidi w:val="0"/>
              <w:spacing w:before="0" w:after="240"/>
              <w:ind w:left="0" w:right="0" w:hanging="0"/>
              <w:jc w:val="left"/>
            </w:pPr>
            <w: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For the transition period from to </w:t>
            </w:r>
          </w:p>
        </w:tc>
      </w:tr>
    </w:tbl>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001-34211</w:t>
      </w:r>
    </w:p>
    <w:p>
      <w:pPr>
        <w:pStyle w:val="TextBody"/>
        <w:bidi w:val="0"/>
        <w:spacing w:before="0" w:after="240"/>
        <w:ind w:left="0" w:right="0" w:hanging="0"/>
        <w:jc w:val="center"/>
      </w:pPr>
      <w:r>
        <w:t>​</w:t>
      </w:r>
    </w:p>
    <w:p>
      <w:pPr>
        <w:pStyle w:val="TextBody"/>
        <w:pBdr>
          <w:top w:val="single" w:sz="2" w:space="1" w:color="000000"/>
        </w:pBdr>
        <w:bidi w:val="0"/>
        <w:spacing w:before="0" w:after="240"/>
        <w:ind w:left="0" w:right="0" w:hanging="0"/>
        <w:jc w:val="center"/>
      </w:pPr>
      <w: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GRAND CANYON EDUCATION,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center"/>
      </w:pPr>
      <w:r>
        <w:t>​</w:t>
      </w:r>
    </w:p>
    <w:p>
      <w:pPr>
        <w:pStyle w:val="TextBody"/>
        <w:pBdr>
          <w:top w:val="single" w:sz="2" w:space="1" w:color="000000"/>
        </w:pBdr>
        <w:bidi w:val="0"/>
        <w:spacing w:before="0" w:after="240"/>
        <w:ind w:left="0" w:right="0" w:hanging="0"/>
        <w:jc w:val="center"/>
      </w:pPr>
      <w:r>
        <w:t>​</w:t>
      </w:r>
    </w:p>
    <w:p>
      <w:pPr>
        <w:pStyle w:val="Normal"/>
        <w:bidi w:val="0"/>
        <w:spacing w:before="0" w:after="0"/>
        <w:jc w:val="left"/>
        <w:rPr>
          <w:sz w:val="4"/>
          <w:szCs w:val="4"/>
        </w:rPr>
      </w:pPr>
      <w:r>
        <w:rPr>
          <w:sz w:val="4"/>
          <w:szCs w:val="4"/>
        </w:rPr>
      </w:r>
      <w:bookmarkStart w:id="15" w:name="Tc_OwJFEjSMQUmO7NpE7tZQJA_2_2"/>
      <w:bookmarkStart w:id="16" w:name="Tc_ujJKsoSYBUuX1e1oHD9s_w_2_0"/>
      <w:bookmarkStart w:id="17" w:name="_ab6b0fdd_ca48_4162_a11d_9c80f8b48fcb"/>
      <w:bookmarkStart w:id="18" w:name="Tc_OwJFEjSMQUmO7NpE7tZQJA_2_2"/>
      <w:bookmarkStart w:id="19" w:name="Tc_ujJKsoSYBUuX1e1oHD9s_w_2_0"/>
      <w:bookmarkStart w:id="20" w:name="_ab6b0fdd_ca48_4162_a11d_9c80f8b48fcb"/>
      <w:bookmarkEnd w:id="18"/>
      <w:bookmarkEnd w:id="19"/>
      <w:bookmarkEnd w:id="20"/>
    </w:p>
    <w:tbl>
      <w:tblPr>
        <w:tblW w:w="4713" w:type="dxa"/>
        <w:jc w:val="left"/>
        <w:tblInd w:w="0" w:type="dxa"/>
        <w:tblLayout w:type="fixed"/>
        <w:tblCellMar>
          <w:top w:w="0" w:type="dxa"/>
          <w:left w:w="0" w:type="dxa"/>
          <w:bottom w:w="0" w:type="dxa"/>
          <w:right w:w="0" w:type="dxa"/>
        </w:tblCellMar>
      </w:tblPr>
      <w:tblGrid>
        <w:gridCol w:w="2686"/>
        <w:gridCol w:w="346"/>
        <w:gridCol w:w="1681"/>
      </w:tblGrid>
      <w:tr>
        <w:tc>
          <w:tcPr>
            <w:tcW w:w="268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681" w:type="dxa"/>
            <w:tcBorders/>
            <w:vAlign w:val="center"/>
          </w:tcPr>
          <w:p>
            <w:pPr>
              <w:pStyle w:val="TableContents"/>
              <w:bidi w:val="0"/>
              <w:spacing w:before="0" w:after="0"/>
              <w:ind w:left="0" w:right="0" w:hanging="0"/>
              <w:jc w:val="left"/>
            </w:pPr>
            <w:r>
              <w:t>​</w:t>
            </w:r>
          </w:p>
        </w:tc>
      </w:tr>
      <w:tr>
        <w:tc>
          <w:tcPr>
            <w:tcW w:w="26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left"/>
            </w:pPr>
            <w:r>
              <w:t>  ​ ​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20-3356009</w:t>
            </w:r>
          </w:p>
        </w:tc>
      </w:tr>
      <w:tr>
        <w:tc>
          <w:tcPr>
            <w:tcW w:w="2686" w:type="dxa"/>
            <w:tcBorders/>
            <w:vAlign w:val="center"/>
          </w:tcPr>
          <w:p>
            <w:pPr>
              <w:pStyle w:val="TableContents"/>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(State or other jurisdiction of</w:t>
              <w:br/>
              <w:t>Incorporation or organization)</w:t>
            </w:r>
          </w:p>
        </w:tc>
        <w:tc>
          <w:tcPr>
            <w:tcW w:w="346" w:type="dxa"/>
            <w:tcBorders/>
            <w:vAlign w:val="center"/>
          </w:tcPr>
          <w:p>
            <w:pPr>
              <w:pStyle w:val="TableContents"/>
              <w:bidi w:val="0"/>
              <w:spacing w:before="0" w:after="240"/>
              <w:ind w:left="0" w:right="0" w:hanging="0"/>
              <w:jc w:val="left"/>
            </w:pPr>
            <w:r>
              <w:t>​</w:t>
            </w:r>
          </w:p>
        </w:tc>
        <w:tc>
          <w:tcPr>
            <w:tcW w:w="1681" w:type="dxa"/>
            <w:tcBorders/>
            <w:vAlign w:val="center"/>
          </w:tcPr>
          <w:p>
            <w:pPr>
              <w:pStyle w:val="TableContents"/>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(I.R.S. Employer</w:t>
              <w:br/>
              <w:t>Identification No.)</w:t>
            </w:r>
          </w:p>
        </w:tc>
      </w:tr>
    </w:tbl>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 W. Camelback Road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Phoenix, Arizona</w:t>
      </w:r>
      <w:r>
        <w:rPr>
          <w:rFonts w:ascii="Times New Roman;Times;serif" w:hAnsi="Times New Roman;Times;serif"/>
          <w:sz w:val="20"/>
        </w:rPr>
        <w:t xml:space="preserve"> </w:t>
      </w:r>
      <w:r>
        <w:rPr>
          <w:rFonts w:ascii="Times New Roman;Times;serif" w:hAnsi="Times New Roman;Times;serif"/>
          <w:b/>
          <w:sz w:val="20"/>
        </w:rPr>
        <w:t>85017</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(Address, including zip code, of principal executive offices)</w:t>
      </w:r>
    </w:p>
    <w:p>
      <w:pPr>
        <w:pStyle w:val="TextBody"/>
        <w:bidi w:val="0"/>
        <w:spacing w:before="0" w:after="240"/>
        <w:ind w:left="0" w:right="0" w:hanging="0"/>
        <w:jc w:val="center"/>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(602) 247-4400</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(Registrant’s telephone number, including area code)</w:t>
      </w:r>
    </w:p>
    <w:p>
      <w:pPr>
        <w:pStyle w:val="TextBody"/>
        <w:bidi w:val="0"/>
        <w:spacing w:before="0" w:after="240"/>
        <w:ind w:left="0" w:right="0" w:hanging="0"/>
        <w:jc w:val="center"/>
      </w:pPr>
      <w: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firstLine="720"/>
        <w:jc w:val="left"/>
      </w:pPr>
      <w:r>
        <w:t>​</w:t>
      </w:r>
    </w:p>
    <w:p>
      <w:pPr>
        <w:pStyle w:val="Normal"/>
        <w:bidi w:val="0"/>
        <w:spacing w:before="0" w:after="0"/>
        <w:jc w:val="left"/>
        <w:rPr>
          <w:sz w:val="4"/>
          <w:szCs w:val="4"/>
        </w:rPr>
      </w:pPr>
      <w:r>
        <w:rPr>
          <w:sz w:val="4"/>
          <w:szCs w:val="4"/>
        </w:rPr>
      </w:r>
      <w:bookmarkStart w:id="21" w:name="Tc_wK3zO8cMcEKDc-ahPDtrUA_0_2"/>
      <w:bookmarkStart w:id="22" w:name="Tc_zDgacFnNFkuh6O8hDtcs9w_0_1"/>
      <w:bookmarkStart w:id="23" w:name="Tc_ZdD7REnIM0OxI8fI42V-zA_0_0"/>
      <w:bookmarkStart w:id="24" w:name="_e7d5e65e_9e52_4cbe_be02_5582863c8dcf"/>
      <w:bookmarkStart w:id="25" w:name="Tc_wK3zO8cMcEKDc-ahPDtrUA_0_2"/>
      <w:bookmarkStart w:id="26" w:name="Tc_zDgacFnNFkuh6O8hDtcs9w_0_1"/>
      <w:bookmarkStart w:id="27" w:name="Tc_ZdD7REnIM0OxI8fI42V-zA_0_0"/>
      <w:bookmarkStart w:id="28" w:name="_e7d5e65e_9e52_4cbe_be02_5582863c8dcf"/>
      <w:bookmarkEnd w:id="25"/>
      <w:bookmarkEnd w:id="26"/>
      <w:bookmarkEnd w:id="27"/>
      <w:bookmarkEnd w:id="28"/>
    </w:p>
    <w:tbl>
      <w:tblPr>
        <w:tblW w:w="6168" w:type="dxa"/>
        <w:jc w:val="left"/>
        <w:tblInd w:w="0" w:type="dxa"/>
        <w:tblLayout w:type="fixed"/>
        <w:tblCellMar>
          <w:top w:w="28" w:type="dxa"/>
          <w:left w:w="28" w:type="dxa"/>
          <w:bottom w:w="28" w:type="dxa"/>
          <w:right w:w="28" w:type="dxa"/>
        </w:tblCellMar>
      </w:tblPr>
      <w:tblGrid>
        <w:gridCol w:w="1396"/>
        <w:gridCol w:w="1456"/>
        <w:gridCol w:w="3316"/>
      </w:tblGrid>
      <w:tr>
        <w:tc>
          <w:tcPr>
            <w:tcW w:w="13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c>
          <w:tcPr>
            <w:tcW w:w="13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LOPE</w:t>
            </w:r>
          </w:p>
        </w:tc>
        <w:tc>
          <w:tcPr>
            <w:tcW w:w="3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240"/>
        <w:ind w:left="0" w:right="0" w:firstLine="720"/>
        <w:jc w:val="left"/>
      </w:pPr>
      <w:r>
        <w:t>​</w:t>
      </w:r>
    </w:p>
    <w:p>
      <w:pPr>
        <w:pStyle w:val="TextBody"/>
        <w:bidi w:val="0"/>
        <w:spacing w:before="0" w:after="240"/>
        <w:ind w:left="0" w:right="0" w:hanging="0"/>
        <w:jc w:val="center"/>
      </w:pPr>
      <w:r>
        <w:t>​</w:t>
      </w:r>
    </w:p>
    <w:p>
      <w:pPr>
        <w:pStyle w:val="TextBody"/>
        <w:bidi w:val="0"/>
        <w:spacing w:before="0" w:after="0"/>
        <w:ind w:left="0" w:right="0" w:hanging="0"/>
        <w:jc w:val="both"/>
      </w:pPr>
      <w:bookmarkStart w:id="29" w:name="_cp_table_9_2"/>
      <w:bookmarkEnd w:id="29"/>
      <w:r>
        <w:rPr>
          <w:u w:val="single"/>
        </w:rPr>
        <w:t>​ ​​ ​</w:t>
      </w: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4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24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240"/>
        <w:ind w:left="0" w:right="0" w:firstLine="720"/>
        <w:jc w:val="left"/>
      </w:pPr>
      <w:r>
        <w:t>​</w:t>
      </w:r>
    </w:p>
    <w:tbl>
      <w:tblPr>
        <w:tblW w:w="5643" w:type="dxa"/>
        <w:jc w:val="left"/>
        <w:tblInd w:w="0" w:type="dxa"/>
        <w:tblLayout w:type="fixed"/>
        <w:tblCellMar>
          <w:top w:w="0" w:type="dxa"/>
          <w:left w:w="0" w:type="dxa"/>
          <w:bottom w:w="0" w:type="dxa"/>
          <w:right w:w="0" w:type="dxa"/>
        </w:tblCellMar>
      </w:tblPr>
      <w:tblGrid>
        <w:gridCol w:w="2416"/>
        <w:gridCol w:w="346"/>
        <w:gridCol w:w="2881"/>
      </w:tblGrid>
      <w:tr>
        <w:tc>
          <w:tcPr>
            <w:tcW w:w="241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881" w:type="dxa"/>
            <w:tcBorders/>
            <w:vAlign w:val="center"/>
          </w:tcPr>
          <w:p>
            <w:pPr>
              <w:pStyle w:val="TableContents"/>
              <w:bidi w:val="0"/>
              <w:spacing w:before="0" w:after="0"/>
              <w:ind w:left="0" w:right="0" w:hanging="0"/>
              <w:jc w:val="left"/>
            </w:pPr>
            <w:r>
              <w:t>​</w:t>
            </w:r>
          </w:p>
        </w:tc>
      </w:tr>
      <w:t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346" w:type="dxa"/>
            <w:tcBorders/>
            <w:vAlign w:val="center"/>
          </w:tcPr>
          <w:p>
            <w:pPr>
              <w:pStyle w:val="TableContents"/>
              <w:bidi w:val="0"/>
              <w:spacing w:before="0" w:after="0"/>
              <w:ind w:left="0" w:right="0" w:hanging="0"/>
              <w:jc w:val="left"/>
            </w:pPr>
            <w:r>
              <w:t>  ​ ​ ​</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Accelerated Filer                      ☐</w:t>
            </w:r>
          </w:p>
        </w:tc>
      </w:tr>
      <w:t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346" w:type="dxa"/>
            <w:tcBorders/>
            <w:vAlign w:val="center"/>
          </w:tcPr>
          <w:p>
            <w:pPr>
              <w:pStyle w:val="TableContents"/>
              <w:bidi w:val="0"/>
              <w:spacing w:before="0" w:after="240"/>
              <w:ind w:left="0" w:right="0" w:hanging="0"/>
              <w:jc w:val="left"/>
            </w:pPr>
            <w:r>
              <w:t>​</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Smaller Reporting Company     ☐</w:t>
            </w:r>
          </w:p>
        </w:tc>
      </w:tr>
      <w:tr>
        <w:tc>
          <w:tcPr>
            <w:tcW w:w="2416" w:type="dxa"/>
            <w:tcBorders/>
            <w:vAlign w:val="center"/>
          </w:tcPr>
          <w:p>
            <w:pPr>
              <w:pStyle w:val="TableContents"/>
              <w:bidi w:val="0"/>
              <w:spacing w:before="0" w:after="240"/>
              <w:ind w:left="0" w:right="0" w:hanging="0"/>
              <w:jc w:val="left"/>
            </w:pPr>
            <w:r>
              <w:t>​</w:t>
            </w:r>
          </w:p>
        </w:tc>
        <w:tc>
          <w:tcPr>
            <w:tcW w:w="346" w:type="dxa"/>
            <w:tcBorders/>
            <w:vAlign w:val="center"/>
          </w:tcPr>
          <w:p>
            <w:pPr>
              <w:pStyle w:val="TableContents"/>
              <w:bidi w:val="0"/>
              <w:spacing w:before="0" w:after="240"/>
              <w:ind w:left="0" w:right="0" w:hanging="0"/>
              <w:jc w:val="left"/>
            </w:pPr>
            <w:r>
              <w:t>​</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total number of shares of common stock outstanding as of November 2, 2026, was 25,510,517.</w:t>
      </w:r>
    </w:p>
    <w:p>
      <w:pPr>
        <w:pStyle w:val="TextBody"/>
        <w:bidi w:val="0"/>
        <w:spacing w:before="0" w:after="0"/>
        <w:ind w:left="0" w:right="0" w:hanging="0"/>
        <w:jc w:val="left"/>
      </w:pPr>
      <w:r>
        <w:t>​</w:t>
      </w:r>
    </w:p>
    <w:p>
      <w:pPr>
        <w:pStyle w:val="TextBody"/>
        <w:pBdr>
          <w:top w:val="single" w:sz="8" w:space="1" w:color="000000"/>
          <w:bottom w:val="single" w:sz="24" w:space="1" w:color="000000"/>
        </w:pBdr>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 w:name="_4c69ab39_80e8_4bb8_80d2_9a39f20a70cf"/>
      <w:bookmarkEnd w:id="30"/>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rFonts w:ascii="Times New Roman;Times;serif" w:hAnsi="Times New Roman;Times;serif"/>
          <w:b/>
          <w:sz w:val="20"/>
        </w:rPr>
      </w:pPr>
      <w:bookmarkStart w:id="31" w:name="TOC"/>
      <w:bookmarkEnd w:id="31"/>
      <w:r>
        <w:rPr>
          <w:rFonts w:ascii="Times New Roman;Times;serif" w:hAnsi="Times New Roman;Times;serif"/>
          <w:b/>
          <w:sz w:val="20"/>
        </w:rPr>
        <w:t>INDEX</w:t>
      </w:r>
    </w:p>
    <w:tbl>
      <w:tblPr>
        <w:tblW w:w="8447" w:type="dxa"/>
        <w:jc w:val="left"/>
        <w:tblInd w:w="0" w:type="dxa"/>
        <w:tblLayout w:type="fixed"/>
        <w:tblCellMar>
          <w:top w:w="0" w:type="dxa"/>
          <w:left w:w="0" w:type="dxa"/>
          <w:bottom w:w="0" w:type="dxa"/>
          <w:right w:w="0" w:type="dxa"/>
        </w:tblCellMar>
      </w:tblPr>
      <w:tblGrid>
        <w:gridCol w:w="7936"/>
        <w:gridCol w:w="511"/>
      </w:tblGrid>
      <w:tr>
        <w:tc>
          <w:tcPr>
            <w:tcW w:w="7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039360" cy="175260"/>
                      <wp:effectExtent l="0" t="0" r="0" b="0"/>
                      <wp:wrapNone/>
                      <wp:docPr id="1" name="Frame1"/>
                      <a:graphic xmlns:a="http://schemas.openxmlformats.org/drawingml/2006/main">
                        <a:graphicData uri="http://schemas.microsoft.com/office/word/2010/wordprocessingShape">
                          <wps:wsp>
                            <wps:cNvSpPr txBox="1"/>
                            <wps:spPr>
                              <a:xfrm>
                                <a:off x="0" y="0"/>
                                <a:ext cx="50393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11" w:type="dxa"/>
            <w:tcBorders/>
            <w:vAlign w:val="center"/>
          </w:tcPr>
          <w:p>
            <w:pPr>
              <w:pStyle w:val="TableContents"/>
              <w:bidi w:val="0"/>
              <w:spacing w:before="0" w:after="0"/>
              <w:ind w:left="0" w:right="0" w:hanging="0"/>
              <w:jc w:val="left"/>
            </w:pPr>
            <w:r>
              <w:t>​</w:t>
            </w:r>
          </w:p>
        </w:tc>
      </w:tr>
      <w:tr>
        <w:tc>
          <w:tcPr>
            <w:tcW w:w="7936" w:type="dxa"/>
            <w:tcBorders/>
            <w:vAlign w:val="center"/>
          </w:tcPr>
          <w:p>
            <w:pPr>
              <w:pStyle w:val="TableContents"/>
              <w:bidi w:val="0"/>
              <w:spacing w:before="0" w:after="0"/>
              <w:ind w:left="0" w:right="0" w:hanging="0"/>
              <w:jc w:val="left"/>
            </w:pPr>
            <w: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c>
          <w:tcPr>
            <w:tcW w:w="7936" w:type="dxa"/>
            <w:tcBorders/>
            <w:vAlign w:val="center"/>
          </w:tcPr>
          <w:p>
            <w:pPr>
              <w:pStyle w:val="TableContents"/>
              <w:bidi w:val="0"/>
              <w:spacing w:before="0" w:after="0"/>
              <w:ind w:left="0" w:right="0" w:hanging="0"/>
              <w:jc w:val="left"/>
            </w:pPr>
            <w:hyperlink w:anchor="PARTIFINANCIALINFORMATION_228034">
              <w:r>
                <w:rPr>
                  <w:rStyle w:val="InternetLink"/>
                  <w:rFonts w:ascii="Times New Roman;Times;serif" w:hAnsi="Times New Roman;Times;serif"/>
                  <w:b/>
                  <w:i w:val="false"/>
                  <w:caps w:val="false"/>
                  <w:smallCaps w:val="false"/>
                  <w:sz w:val="20"/>
                </w:rPr>
                <w:t>PART I – FINANCIAL INFORMATION</w:t>
              </w:r>
            </w:hyperlink>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r>
      <w:tr>
        <w:tc>
          <w:tcPr>
            <w:tcW w:w="7936"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240"/>
              <w:ind w:left="0" w:right="0" w:hanging="0"/>
              <w:jc w:val="right"/>
            </w:pPr>
            <w:r>
              <w:t>​</w:t>
            </w:r>
          </w:p>
        </w:tc>
      </w:tr>
      <w:tr>
        <w:tc>
          <w:tcPr>
            <w:tcW w:w="7936" w:type="dxa"/>
            <w:tcBorders/>
            <w:vAlign w:val="center"/>
          </w:tcPr>
          <w:p>
            <w:pPr>
              <w:pStyle w:val="TableContents"/>
              <w:bidi w:val="0"/>
              <w:spacing w:before="0" w:after="0"/>
              <w:ind w:left="0" w:right="0" w:hanging="0"/>
              <w:jc w:val="left"/>
            </w:pPr>
            <w:hyperlink w:anchor="Item1FinancialStatements_846248">
              <w:r>
                <w:rPr>
                  <w:rStyle w:val="InternetLink"/>
                  <w:rFonts w:ascii="Times New Roman;Times;serif" w:hAnsi="Times New Roman;Times;serif"/>
                  <w:b w:val="false"/>
                  <w:i w:val="false"/>
                  <w:caps w:val="false"/>
                  <w:smallCaps w:val="false"/>
                  <w:sz w:val="20"/>
                </w:rPr>
                <w:t>Item 1 Financial Statements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c>
          <w:tcPr>
            <w:tcW w:w="7936" w:type="dxa"/>
            <w:tcBorders/>
            <w:vAlign w:val="center"/>
          </w:tcPr>
          <w:p>
            <w:pPr>
              <w:pStyle w:val="TableContents"/>
              <w:bidi w:val="0"/>
              <w:spacing w:before="0" w:after="0"/>
              <w:ind w:left="0" w:right="0" w:hanging="0"/>
              <w:jc w:val="left"/>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c>
          <w:tcPr>
            <w:tcW w:w="7936" w:type="dxa"/>
            <w:tcBorders/>
            <w:vAlign w:val="center"/>
          </w:tcPr>
          <w:p>
            <w:pPr>
              <w:pStyle w:val="TableContents"/>
              <w:bidi w:val="0"/>
              <w:spacing w:before="0" w:after="0"/>
              <w:ind w:left="0" w:right="0" w:hanging="0"/>
              <w:jc w:val="left"/>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c>
          <w:tcPr>
            <w:tcW w:w="7936" w:type="dxa"/>
            <w:tcBorders/>
            <w:vAlign w:val="center"/>
          </w:tcPr>
          <w:p>
            <w:pPr>
              <w:pStyle w:val="TableContents"/>
              <w:bidi w:val="0"/>
              <w:spacing w:before="0" w:after="0"/>
              <w:ind w:left="0" w:right="0" w:hanging="0"/>
              <w:jc w:val="left"/>
            </w:pPr>
            <w:hyperlink w:anchor="Item4ControlsandProcedures_621985">
              <w:r>
                <w:rPr>
                  <w:rStyle w:val="InternetLink"/>
                  <w:rFonts w:ascii="Times New Roman;Times;serif" w:hAnsi="Times New Roman;Times;serif"/>
                  <w:b w:val="false"/>
                  <w:i w:val="false"/>
                  <w:caps w:val="false"/>
                  <w:smallCaps w:val="false"/>
                  <w:sz w:val="20"/>
                </w:rPr>
                <w:t>Item 4 Controls and Procedures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c>
          <w:tcPr>
            <w:tcW w:w="7936"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240"/>
              <w:ind w:left="0" w:right="0" w:hanging="0"/>
              <w:jc w:val="right"/>
            </w:pPr>
            <w:r>
              <w:t>​</w:t>
            </w:r>
          </w:p>
        </w:tc>
      </w:tr>
      <w:tr>
        <w:tc>
          <w:tcPr>
            <w:tcW w:w="7936" w:type="dxa"/>
            <w:tcBorders/>
            <w:vAlign w:val="center"/>
          </w:tcPr>
          <w:p>
            <w:pPr>
              <w:pStyle w:val="TableContents"/>
              <w:bidi w:val="0"/>
              <w:spacing w:before="0" w:after="0"/>
              <w:ind w:left="0" w:right="0" w:hanging="0"/>
              <w:jc w:val="left"/>
            </w:pPr>
            <w:hyperlink w:anchor="PARTIIOTHERINFORMATION_437433">
              <w:r>
                <w:rPr>
                  <w:rStyle w:val="InternetLink"/>
                  <w:rFonts w:ascii="Times New Roman;Times;serif" w:hAnsi="Times New Roman;Times;serif"/>
                  <w:b/>
                  <w:i w:val="false"/>
                  <w:caps w:val="false"/>
                  <w:smallCaps w:val="false"/>
                  <w:sz w:val="20"/>
                </w:rPr>
                <w:t>PART II –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w:t>
            </w:r>
          </w:p>
        </w:tc>
      </w:tr>
      <w:tr>
        <w:tc>
          <w:tcPr>
            <w:tcW w:w="7936"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240"/>
              <w:ind w:left="0" w:right="0" w:hanging="0"/>
              <w:jc w:val="right"/>
            </w:pPr>
            <w:r>
              <w:t>​</w:t>
            </w:r>
          </w:p>
        </w:tc>
      </w:tr>
      <w:tr>
        <w:tc>
          <w:tcPr>
            <w:tcW w:w="7936" w:type="dxa"/>
            <w:tcBorders/>
            <w:vAlign w:val="center"/>
          </w:tcPr>
          <w:p>
            <w:pPr>
              <w:pStyle w:val="TableContents"/>
              <w:bidi w:val="0"/>
              <w:spacing w:before="0" w:after="0"/>
              <w:ind w:left="0" w:right="0" w:hanging="0"/>
              <w:jc w:val="left"/>
            </w:pPr>
            <w:hyperlink w:anchor="Item1LegalProceedings_770208">
              <w:r>
                <w:rPr>
                  <w:rStyle w:val="InternetLink"/>
                  <w:rFonts w:ascii="Times New Roman;Times;serif" w:hAnsi="Times New Roman;Times;serif"/>
                  <w:b w:val="false"/>
                  <w:i w:val="false"/>
                  <w:caps w:val="false"/>
                  <w:smallCaps w:val="false"/>
                  <w:sz w:val="20"/>
                </w:rPr>
                <w:t>Item 1 Legal Proceedings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c>
          <w:tcPr>
            <w:tcW w:w="7936" w:type="dxa"/>
            <w:tcBorders/>
            <w:vAlign w:val="center"/>
          </w:tcPr>
          <w:p>
            <w:pPr>
              <w:pStyle w:val="TableContents"/>
              <w:bidi w:val="0"/>
              <w:spacing w:before="0" w:after="0"/>
              <w:ind w:left="0" w:right="0" w:hanging="0"/>
              <w:jc w:val="left"/>
            </w:pPr>
            <w:hyperlink w:anchor="Item1ARiskFactors_601971">
              <w:r>
                <w:rPr>
                  <w:rStyle w:val="InternetLink"/>
                  <w:rFonts w:ascii="Times New Roman;Times;serif" w:hAnsi="Times New Roman;Times;serif"/>
                  <w:b w:val="false"/>
                  <w:i w:val="false"/>
                  <w:caps w:val="false"/>
                  <w:smallCaps w:val="false"/>
                  <w:sz w:val="20"/>
                </w:rPr>
                <w:t>Item 1A Risk Factors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c>
          <w:tcPr>
            <w:tcW w:w="7936" w:type="dxa"/>
            <w:tcBorders/>
            <w:vAlign w:val="center"/>
          </w:tcPr>
          <w:p>
            <w:pPr>
              <w:pStyle w:val="TableContents"/>
              <w:bidi w:val="0"/>
              <w:spacing w:before="0" w:after="0"/>
              <w:ind w:left="0" w:right="0" w:hanging="0"/>
              <w:jc w:val="left"/>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c>
          <w:tcPr>
            <w:tcW w:w="7936" w:type="dxa"/>
            <w:tcBorders/>
            <w:vAlign w:val="center"/>
          </w:tcPr>
          <w:p>
            <w:pPr>
              <w:pStyle w:val="TableContents"/>
              <w:bidi w:val="0"/>
              <w:spacing w:before="0" w:after="0"/>
              <w:ind w:left="0" w:right="0" w:hanging="0"/>
              <w:jc w:val="left"/>
            </w:pPr>
            <w:hyperlink w:anchor="Item3DefaultsUponSeniorSecurities_862648">
              <w:r>
                <w:rPr>
                  <w:rStyle w:val="InternetLink"/>
                  <w:rFonts w:ascii="Times New Roman;Times;serif" w:hAnsi="Times New Roman;Times;serif"/>
                  <w:b w:val="false"/>
                  <w:i w:val="false"/>
                  <w:caps w:val="false"/>
                  <w:smallCaps w:val="false"/>
                  <w:sz w:val="20"/>
                </w:rPr>
                <w:t>Item 3 Defaults Upon Senior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c>
          <w:tcPr>
            <w:tcW w:w="7936" w:type="dxa"/>
            <w:tcBorders/>
            <w:vAlign w:val="center"/>
          </w:tcPr>
          <w:p>
            <w:pPr>
              <w:pStyle w:val="TableContents"/>
              <w:bidi w:val="0"/>
              <w:spacing w:before="0" w:after="0"/>
              <w:ind w:left="0" w:right="0" w:hanging="0"/>
              <w:jc w:val="left"/>
            </w:pPr>
            <w:hyperlink w:anchor="Item4MineSafetyDisclosures_953586">
              <w:r>
                <w:rPr>
                  <w:rStyle w:val="InternetLink"/>
                  <w:rFonts w:ascii="Times New Roman;Times;serif" w:hAnsi="Times New Roman;Times;serif"/>
                  <w:b w:val="false"/>
                  <w:i w:val="false"/>
                  <w:caps w:val="false"/>
                  <w:smallCaps w:val="false"/>
                  <w:sz w:val="20"/>
                </w:rPr>
                <w:t>Item 4 Mine Safety Disclosures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c>
          <w:tcPr>
            <w:tcW w:w="7936" w:type="dxa"/>
            <w:tcBorders/>
            <w:vAlign w:val="center"/>
          </w:tcPr>
          <w:p>
            <w:pPr>
              <w:pStyle w:val="TableContents"/>
              <w:bidi w:val="0"/>
              <w:spacing w:before="0" w:after="0"/>
              <w:ind w:left="0" w:right="0" w:hanging="0"/>
              <w:jc w:val="left"/>
            </w:pPr>
            <w:hyperlink w:anchor="Item5OtherInformation_422882">
              <w:r>
                <w:rPr>
                  <w:rStyle w:val="InternetLink"/>
                  <w:rFonts w:ascii="Times New Roman;Times;serif" w:hAnsi="Times New Roman;Times;serif"/>
                  <w:b w:val="false"/>
                  <w:i w:val="false"/>
                  <w:caps w:val="false"/>
                  <w:smallCaps w:val="false"/>
                  <w:sz w:val="20"/>
                </w:rPr>
                <w:t>Item 5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c>
          <w:tcPr>
            <w:tcW w:w="7936" w:type="dxa"/>
            <w:tcBorders/>
            <w:vAlign w:val="center"/>
          </w:tcPr>
          <w:p>
            <w:pPr>
              <w:pStyle w:val="TableContents"/>
              <w:bidi w:val="0"/>
              <w:spacing w:before="0" w:after="0"/>
              <w:ind w:left="0" w:right="0" w:hanging="0"/>
              <w:jc w:val="left"/>
            </w:pPr>
            <w:hyperlink w:anchor="Item6Exhibits_355966">
              <w:r>
                <w:rPr>
                  <w:rStyle w:val="InternetLink"/>
                  <w:rFonts w:ascii="Times New Roman;Times;serif" w:hAnsi="Times New Roman;Times;serif"/>
                  <w:b w:val="false"/>
                  <w:i w:val="false"/>
                  <w:caps w:val="false"/>
                  <w:smallCaps w:val="false"/>
                  <w:sz w:val="20"/>
                </w:rPr>
                <w:t>Item 6 Exhibits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c>
          <w:tcPr>
            <w:tcW w:w="7936" w:type="dxa"/>
            <w:tcBorders/>
            <w:vAlign w:val="center"/>
          </w:tcPr>
          <w:p>
            <w:pPr>
              <w:pStyle w:val="TableContents"/>
              <w:bidi w:val="0"/>
              <w:spacing w:before="0" w:after="0"/>
              <w:ind w:left="0" w:right="0" w:hanging="0"/>
              <w:jc w:val="left"/>
            </w:pPr>
            <w:hyperlink w:anchor="SIGNATURES_551969">
              <w:r>
                <w:rPr>
                  <w:rStyle w:val="InternetLink"/>
                  <w:rFonts w:ascii="Times New Roman;Times;serif" w:hAnsi="Times New Roman;Times;serif"/>
                  <w:b w:val="false"/>
                  <w:i w:val="false"/>
                  <w:caps w:val="false"/>
                  <w:smallCaps w:val="false"/>
                  <w:sz w:val="20"/>
                </w:rPr>
                <w:t>SIGNATURES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2" w:name="PARTIFINANCIALINFORMATION_228034"/>
      <w:bookmarkStart w:id="33" w:name="_4dee4dd3_a192_4cba_893f_3c5f06f1181e"/>
      <w:bookmarkEnd w:id="32"/>
      <w:bookmarkEnd w:id="33"/>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bookmarkStart w:id="34" w:name="Item1FinancialStatements_846248"/>
      <w:bookmarkEnd w:id="34"/>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Income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35" w:name="Tc_9I3b6L_FhECDO4HfmSCapQ_23_0"/>
      <w:bookmarkStart w:id="36" w:name="Tc_gkazF4qnsEWZk1AHkDYGbA_22_0"/>
      <w:bookmarkStart w:id="37" w:name="Tc_XiuI4EXOMUO6-xtjddp-QQ_21_11"/>
      <w:bookmarkStart w:id="38" w:name="Tc_thaKQg2f8kGA8yyCrHrC7A_21_8"/>
      <w:bookmarkStart w:id="39" w:name="Tc_E_5XOltblUetWLM3-ogTdw_21_5"/>
      <w:bookmarkStart w:id="40" w:name="Tc_EfBRlgqXIUqXGU_uxb384A_21_2"/>
      <w:bookmarkStart w:id="41" w:name="Tc_3V1VPL7O4UuN3O89CwB-1g_21_0"/>
      <w:bookmarkStart w:id="42" w:name="Tc_83r8jtKR20WXJMB-agUUjQ_20_11"/>
      <w:bookmarkStart w:id="43" w:name="Tc_NtwAFqnPf0WNzM9NFNs2aA_20_8"/>
      <w:bookmarkStart w:id="44" w:name="Tc_6bToCtx9Wkyx6kk25_tMMw_20_5"/>
      <w:bookmarkStart w:id="45" w:name="Tc_0CwnowaMSUittR8CumFpBQ_20_2"/>
      <w:bookmarkStart w:id="46" w:name="Tc_VjBEVY4AK0ebF3hHP6_SQQ_20_0"/>
      <w:bookmarkStart w:id="47" w:name="Tc_QJF_IEXXhkuSazMfxkfPvA_19_0"/>
      <w:bookmarkStart w:id="48" w:name="Tc_HWZIGJjwuESOJYpVvogTZQ_18_11"/>
      <w:bookmarkStart w:id="49" w:name="Tc_IHOPhi8nxEe9_4L8Fi-3uA_18_8"/>
      <w:bookmarkStart w:id="50" w:name="Tc_B88RfmuVQUK34zgaaWpbsg_18_5"/>
      <w:bookmarkStart w:id="51" w:name="Tc_TTrOsLZLOkGIUZBg8FeRHw_18_2"/>
      <w:bookmarkStart w:id="52" w:name="Tc_l6f6jXwle0ejrH3s6T9ybw_18_0"/>
      <w:bookmarkStart w:id="53" w:name="Tc_T8gSTWC9R0WqwO-6Pm-oLA_17_0"/>
      <w:bookmarkStart w:id="54" w:name="Tc_VwtwGapzQEqjXbUXm-EwJA_16_0"/>
      <w:bookmarkStart w:id="55" w:name="Tc_rpF5pfHPSUm1zV84UyjuHQ_15_0"/>
      <w:bookmarkStart w:id="56" w:name="Tc_GwgbqLVHfEiKZtIfYYUHJw_14_0"/>
      <w:bookmarkStart w:id="57" w:name="Tc_SEcFQLHvSEu1webCo_JELw_13_0"/>
      <w:bookmarkStart w:id="58" w:name="Tc_b9LeUrno8UCRpsgAX3H1cw_12_0"/>
      <w:bookmarkStart w:id="59" w:name="Tc_0z9WcdtkFkKPad2Kfd3zeA_11_9"/>
      <w:bookmarkStart w:id="60" w:name="Tc_wkMOBwjmNUGTG1VSNtRD5g_11_3"/>
      <w:bookmarkStart w:id="61" w:name="Tc_AhERzkLbPkq8WYSv9bsxnQ_11_0"/>
      <w:bookmarkStart w:id="62" w:name="Tc_4oQztlkCqECoFz-igmhP9A_10_9"/>
      <w:bookmarkStart w:id="63" w:name="Tc_h9PUKH0-9ES4YtWrW67Frw_10_3"/>
      <w:bookmarkStart w:id="64" w:name="Tc_8Dm7Pu6YrEC9npdCU9aMxw_10_0"/>
      <w:bookmarkStart w:id="65" w:name="Tc_1PVhIsFpY0mzqTuMhD6-NQ_9_0"/>
      <w:bookmarkStart w:id="66" w:name="Tc_FFBZF1rq606o6JCQCcQ7Fg_8_0"/>
      <w:bookmarkStart w:id="67" w:name="Tc_dj8vzk8KhUClZnJnpkeYyQ_7_0"/>
      <w:bookmarkStart w:id="68" w:name="Tc_ZFXhLydR40KowUs0tUJl1w_6_0"/>
      <w:bookmarkStart w:id="69" w:name="Tc_oIJ33J9H90ygQi09kh6a9Q_5_0"/>
      <w:bookmarkStart w:id="70" w:name="Tc_ZP1yOz3kaEuG2sgDRcOG4w_4_11"/>
      <w:bookmarkStart w:id="71" w:name="Tc_qyVzK9OsvUeAbpMzNG_FRA_4_8"/>
      <w:bookmarkStart w:id="72" w:name="Tc_2FZu8XKwHU-3MuruGjshCQ_4_5"/>
      <w:bookmarkStart w:id="73" w:name="Tc_ZRQ2KPS2PEqT3meSfn7kRA_4_2"/>
      <w:bookmarkStart w:id="74" w:name="Tc_aMTprTSf90ezWzK8Mt1x_A_4_0"/>
      <w:bookmarkStart w:id="75" w:name="Tc_Mr2yOJ-TmEmbfR4xopcMog_3_11"/>
      <w:bookmarkStart w:id="76" w:name="Tc_vBcZmxwIkkyeIS44f_Hfmg_3_8"/>
      <w:bookmarkStart w:id="77" w:name="Tc_kad402TFi0mMn9wxSKJxNQ_3_5"/>
      <w:bookmarkStart w:id="78" w:name="Tc_2dK_HWp9Ek2KrhboVWePzg_3_2"/>
      <w:bookmarkStart w:id="79" w:name="Tc_NkdOnE4u4EitrBhy1Fgglg_3_0"/>
      <w:bookmarkStart w:id="80" w:name="Tc_zC3kxQEqs0iKa5xFG-gbNQ_2_8"/>
      <w:bookmarkStart w:id="81" w:name="Tc_uC82_q5uaEGgJMu-CrcEPg_2_2"/>
      <w:bookmarkStart w:id="82" w:name="Tc_Jam6OQM-yEO7mFZACxDpqw_1_8"/>
      <w:bookmarkStart w:id="83" w:name="Tc__qj1W56VoUuikhEoELC0dQ_1_2"/>
      <w:bookmarkStart w:id="84" w:name="_3eb421a5_33df_466a_80ca_91955d2e906a"/>
      <w:bookmarkStart w:id="85" w:name="Tc_9I3b6L_FhECDO4HfmSCapQ_23_0"/>
      <w:bookmarkStart w:id="86" w:name="Tc_gkazF4qnsEWZk1AHkDYGbA_22_0"/>
      <w:bookmarkStart w:id="87" w:name="Tc_XiuI4EXOMUO6-xtjddp-QQ_21_11"/>
      <w:bookmarkStart w:id="88" w:name="Tc_thaKQg2f8kGA8yyCrHrC7A_21_8"/>
      <w:bookmarkStart w:id="89" w:name="Tc_E_5XOltblUetWLM3-ogTdw_21_5"/>
      <w:bookmarkStart w:id="90" w:name="Tc_EfBRlgqXIUqXGU_uxb384A_21_2"/>
      <w:bookmarkStart w:id="91" w:name="Tc_3V1VPL7O4UuN3O89CwB-1g_21_0"/>
      <w:bookmarkStart w:id="92" w:name="Tc_83r8jtKR20WXJMB-agUUjQ_20_11"/>
      <w:bookmarkStart w:id="93" w:name="Tc_NtwAFqnPf0WNzM9NFNs2aA_20_8"/>
      <w:bookmarkStart w:id="94" w:name="Tc_6bToCtx9Wkyx6kk25_tMMw_20_5"/>
      <w:bookmarkStart w:id="95" w:name="Tc_0CwnowaMSUittR8CumFpBQ_20_2"/>
      <w:bookmarkStart w:id="96" w:name="Tc_VjBEVY4AK0ebF3hHP6_SQQ_20_0"/>
      <w:bookmarkStart w:id="97" w:name="Tc_QJF_IEXXhkuSazMfxkfPvA_19_0"/>
      <w:bookmarkStart w:id="98" w:name="Tc_HWZIGJjwuESOJYpVvogTZQ_18_11"/>
      <w:bookmarkStart w:id="99" w:name="Tc_IHOPhi8nxEe9_4L8Fi-3uA_18_8"/>
      <w:bookmarkStart w:id="100" w:name="Tc_B88RfmuVQUK34zgaaWpbsg_18_5"/>
      <w:bookmarkStart w:id="101" w:name="Tc_TTrOsLZLOkGIUZBg8FeRHw_18_2"/>
      <w:bookmarkStart w:id="102" w:name="Tc_l6f6jXwle0ejrH3s6T9ybw_18_0"/>
      <w:bookmarkStart w:id="103" w:name="Tc_T8gSTWC9R0WqwO-6Pm-oLA_17_0"/>
      <w:bookmarkStart w:id="104" w:name="Tc_VwtwGapzQEqjXbUXm-EwJA_16_0"/>
      <w:bookmarkStart w:id="105" w:name="Tc_rpF5pfHPSUm1zV84UyjuHQ_15_0"/>
      <w:bookmarkStart w:id="106" w:name="Tc_GwgbqLVHfEiKZtIfYYUHJw_14_0"/>
      <w:bookmarkStart w:id="107" w:name="Tc_SEcFQLHvSEu1webCo_JELw_13_0"/>
      <w:bookmarkStart w:id="108" w:name="Tc_b9LeUrno8UCRpsgAX3H1cw_12_0"/>
      <w:bookmarkStart w:id="109" w:name="Tc_0z9WcdtkFkKPad2Kfd3zeA_11_9"/>
      <w:bookmarkStart w:id="110" w:name="Tc_wkMOBwjmNUGTG1VSNtRD5g_11_3"/>
      <w:bookmarkStart w:id="111" w:name="Tc_AhERzkLbPkq8WYSv9bsxnQ_11_0"/>
      <w:bookmarkStart w:id="112" w:name="Tc_4oQztlkCqECoFz-igmhP9A_10_9"/>
      <w:bookmarkStart w:id="113" w:name="Tc_h9PUKH0-9ES4YtWrW67Frw_10_3"/>
      <w:bookmarkStart w:id="114" w:name="Tc_8Dm7Pu6YrEC9npdCU9aMxw_10_0"/>
      <w:bookmarkStart w:id="115" w:name="Tc_1PVhIsFpY0mzqTuMhD6-NQ_9_0"/>
      <w:bookmarkStart w:id="116" w:name="Tc_FFBZF1rq606o6JCQCcQ7Fg_8_0"/>
      <w:bookmarkStart w:id="117" w:name="Tc_dj8vzk8KhUClZnJnpkeYyQ_7_0"/>
      <w:bookmarkStart w:id="118" w:name="Tc_ZFXhLydR40KowUs0tUJl1w_6_0"/>
      <w:bookmarkStart w:id="119" w:name="Tc_oIJ33J9H90ygQi09kh6a9Q_5_0"/>
      <w:bookmarkStart w:id="120" w:name="Tc_ZP1yOz3kaEuG2sgDRcOG4w_4_11"/>
      <w:bookmarkStart w:id="121" w:name="Tc_qyVzK9OsvUeAbpMzNG_FRA_4_8"/>
      <w:bookmarkStart w:id="122" w:name="Tc_2FZu8XKwHU-3MuruGjshCQ_4_5"/>
      <w:bookmarkStart w:id="123" w:name="Tc_ZRQ2KPS2PEqT3meSfn7kRA_4_2"/>
      <w:bookmarkStart w:id="124" w:name="Tc_aMTprTSf90ezWzK8Mt1x_A_4_0"/>
      <w:bookmarkStart w:id="125" w:name="Tc_Mr2yOJ-TmEmbfR4xopcMog_3_11"/>
      <w:bookmarkStart w:id="126" w:name="Tc_vBcZmxwIkkyeIS44f_Hfmg_3_8"/>
      <w:bookmarkStart w:id="127" w:name="Tc_kad402TFi0mMn9wxSKJxNQ_3_5"/>
      <w:bookmarkStart w:id="128" w:name="Tc_2dK_HWp9Ek2KrhboVWePzg_3_2"/>
      <w:bookmarkStart w:id="129" w:name="Tc_NkdOnE4u4EitrBhy1Fgglg_3_0"/>
      <w:bookmarkStart w:id="130" w:name="Tc_zC3kxQEqs0iKa5xFG-gbNQ_2_8"/>
      <w:bookmarkStart w:id="131" w:name="Tc_uC82_q5uaEGgJMu-CrcEPg_2_2"/>
      <w:bookmarkStart w:id="132" w:name="Tc_Jam6OQM-yEO7mFZACxDpqw_1_8"/>
      <w:bookmarkStart w:id="133" w:name="Tc__qj1W56VoUuikhEoELC0dQ_1_2"/>
      <w:bookmarkStart w:id="134" w:name="_3eb421a5_33df_466a_80ca_91955d2e906a"/>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tbl>
      <w:tblPr>
        <w:tblW w:w="9083" w:type="dxa"/>
        <w:jc w:val="left"/>
        <w:tblInd w:w="0" w:type="dxa"/>
        <w:tblLayout w:type="fixed"/>
        <w:tblCellMar>
          <w:top w:w="0" w:type="dxa"/>
          <w:left w:w="0" w:type="dxa"/>
          <w:bottom w:w="0" w:type="dxa"/>
          <w:right w:w="0" w:type="dxa"/>
        </w:tblCellMar>
      </w:tblPr>
      <w:tblGrid>
        <w:gridCol w:w="3886"/>
        <w:gridCol w:w="146"/>
        <w:gridCol w:w="211"/>
        <w:gridCol w:w="781"/>
        <w:gridCol w:w="346"/>
        <w:gridCol w:w="211"/>
        <w:gridCol w:w="781"/>
        <w:gridCol w:w="346"/>
        <w:gridCol w:w="211"/>
        <w:gridCol w:w="781"/>
        <w:gridCol w:w="346"/>
        <w:gridCol w:w="211"/>
        <w:gridCol w:w="826"/>
      </w:tblGrid>
      <w:tr>
        <w:tc>
          <w:tcPr>
            <w:tcW w:w="3886" w:type="dxa"/>
            <w:tcBorders/>
            <w:vAlign w:val="center"/>
          </w:tcPr>
          <w:p>
            <w:pPr>
              <w:pStyle w:val="TableContents"/>
              <w:bidi w:val="0"/>
              <w:spacing w:before="0" w:after="1"/>
              <w:ind w:left="0" w:right="0" w:hanging="0"/>
              <w:jc w:val="left"/>
            </w:pPr>
            <w: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2710" cy="175260"/>
                      <wp:effectExtent l="0" t="0" r="0" b="0"/>
                      <wp:wrapNone/>
                      <wp:docPr id="2" name="Frame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95935" cy="175260"/>
                      <wp:effectExtent l="0" t="0" r="0" b="0"/>
                      <wp:wrapNone/>
                      <wp:docPr id="4" name="Frame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95935" cy="175260"/>
                      <wp:effectExtent l="0" t="0" r="0" b="0"/>
                      <wp:wrapNone/>
                      <wp:docPr id="7" name="Frame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95935" cy="175260"/>
                      <wp:effectExtent l="0" t="0" r="0" b="0"/>
                      <wp:wrapNone/>
                      <wp:docPr id="10" name="Frame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24510" cy="175260"/>
                      <wp:effectExtent l="0" t="0" r="0" b="0"/>
                      <wp:wrapNone/>
                      <wp:docPr id="13" name="Frame1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3886" w:type="dxa"/>
            <w:tcBorders/>
            <w:vAlign w:val="center"/>
          </w:tcPr>
          <w:p>
            <w:pPr>
              <w:pStyle w:val="TableContents"/>
              <w:bidi w:val="0"/>
              <w:spacing w:before="0" w:after="1"/>
              <w:ind w:left="0" w:right="0" w:hanging="0"/>
              <w:jc w:val="left"/>
            </w:pPr>
            <w:r>
              <w:t>​</w:t>
            </w:r>
          </w:p>
        </w:tc>
        <w:tc>
          <w:tcPr>
            <w:tcW w:w="146" w:type="dxa"/>
            <w:tcBorders/>
            <w:vAlign w:val="center"/>
          </w:tcPr>
          <w:p>
            <w:pPr>
              <w:pStyle w:val="TableContents"/>
              <w:bidi w:val="0"/>
              <w:spacing w:before="0" w:after="1"/>
              <w:ind w:left="0" w:right="0" w:hanging="0"/>
              <w:jc w:val="left"/>
            </w:pPr>
            <w:r>
              <w:t>​</w:t>
            </w:r>
          </w:p>
        </w:tc>
        <w:tc>
          <w:tcPr>
            <w:tcW w:w="23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center"/>
            </w:pPr>
            <w:r>
              <w:t>​</w:t>
            </w:r>
          </w:p>
        </w:tc>
        <w:tc>
          <w:tcPr>
            <w:tcW w:w="237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c>
          <w:tcPr>
            <w:tcW w:w="3886" w:type="dxa"/>
            <w:tcBorders/>
            <w:vAlign w:val="center"/>
          </w:tcPr>
          <w:p>
            <w:pPr>
              <w:pStyle w:val="TableContents"/>
              <w:bidi w:val="0"/>
              <w:spacing w:before="0" w:after="1"/>
              <w:ind w:left="0" w:right="0" w:hanging="0"/>
              <w:jc w:val="left"/>
            </w:pPr>
            <w:r>
              <w:t>​</w:t>
            </w:r>
          </w:p>
        </w:tc>
        <w:tc>
          <w:tcPr>
            <w:tcW w:w="146" w:type="dxa"/>
            <w:tcBorders/>
            <w:vAlign w:val="center"/>
          </w:tcPr>
          <w:p>
            <w:pPr>
              <w:pStyle w:val="TableContents"/>
              <w:bidi w:val="0"/>
              <w:spacing w:before="0" w:after="1"/>
              <w:ind w:left="0" w:right="0" w:hanging="0"/>
              <w:jc w:val="left"/>
            </w:pPr>
            <w:r>
              <w:t>​</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before="0" w:after="1"/>
              <w:ind w:left="0" w:right="0" w:hanging="0"/>
              <w:jc w:val="center"/>
            </w:pPr>
            <w:r>
              <w:t>​</w:t>
            </w:r>
          </w:p>
        </w:tc>
        <w:tc>
          <w:tcPr>
            <w:tcW w:w="23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c>
          <w:tcPr>
            <w:tcW w:w="38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share data)</w:t>
            </w:r>
          </w:p>
        </w:tc>
        <w:tc>
          <w:tcPr>
            <w:tcW w:w="146" w:type="dxa"/>
            <w:tcBorders/>
            <w:vAlign w:val="center"/>
          </w:tcPr>
          <w:p>
            <w:pPr>
              <w:pStyle w:val="TableContents"/>
              <w:bidi w:val="0"/>
              <w:spacing w:before="0" w:after="1"/>
              <w:ind w:left="0" w:right="0" w:hanging="0"/>
              <w:jc w:val="left"/>
            </w:pPr>
            <w: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pPr>
            <w: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pPr>
            <w: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pPr>
            <w:r>
              <w:t>  ​ ​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Service revenue</w:t>
            </w:r>
          </w:p>
        </w:tc>
        <w:tc>
          <w:tcPr>
            <w:tcW w:w="1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267,346</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261,142</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840,151</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797,951</w:t>
            </w:r>
          </w:p>
        </w:tc>
      </w:tr>
      <w:t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1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781" w:type="dxa"/>
            <w:tcBorders/>
            <w:vAlign w:val="center"/>
          </w:tcPr>
          <w:p>
            <w:pPr>
              <w:pStyle w:val="TableContents"/>
              <w:bidi w:val="0"/>
              <w:spacing w:before="0" w:after="1"/>
              <w:ind w:left="0" w:right="0" w:hanging="0"/>
              <w:jc w:val="right"/>
            </w:pPr>
            <w:r>
              <w:t>  ​</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781" w:type="dxa"/>
            <w:tcBorders/>
            <w:vAlign w:val="center"/>
          </w:tcPr>
          <w:p>
            <w:pPr>
              <w:pStyle w:val="TableContents"/>
              <w:bidi w:val="0"/>
              <w:spacing w:before="0" w:after="1"/>
              <w:ind w:left="0" w:right="0" w:hanging="0"/>
              <w:jc w:val="right"/>
            </w:pPr>
            <w:r>
              <w:t>  ​</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781" w:type="dxa"/>
            <w:tcBorders/>
            <w:vAlign w:val="center"/>
          </w:tcPr>
          <w:p>
            <w:pPr>
              <w:pStyle w:val="TableContents"/>
              <w:bidi w:val="0"/>
              <w:spacing w:before="0" w:after="1"/>
              <w:ind w:left="0" w:right="0" w:hanging="0"/>
              <w:jc w:val="right"/>
            </w:pPr>
            <w:r>
              <w:t>  ​</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826" w:type="dxa"/>
            <w:tcBorders/>
            <w:vAlign w:val="center"/>
          </w:tcPr>
          <w:p>
            <w:pPr>
              <w:pStyle w:val="TableContents"/>
              <w:bidi w:val="0"/>
              <w:spacing w:before="0" w:after="1"/>
              <w:ind w:left="0" w:right="0" w:hanging="0"/>
              <w:jc w:val="right"/>
            </w:pPr>
            <w:r>
              <w:t>  ​</w:t>
            </w:r>
          </w:p>
        </w:tc>
      </w:tr>
      <w:t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1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43,060</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44,908</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133,735</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129,706</w:t>
            </w:r>
          </w:p>
        </w:tc>
      </w:tr>
      <w:t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1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88,343</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84,405</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268,272</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254,250</w:t>
            </w:r>
          </w:p>
        </w:tc>
      </w:tr>
      <w:t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1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65,453</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59,145</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189,403</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175,512</w:t>
            </w:r>
          </w:p>
        </w:tc>
      </w:tr>
      <w:t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16,919</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15,149</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37,347</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36,926</w:t>
            </w:r>
          </w:p>
        </w:tc>
      </w:tr>
      <w:t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Litigation settlement</w:t>
            </w:r>
          </w:p>
        </w:tc>
        <w:tc>
          <w:tcPr>
            <w:tcW w:w="1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81"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81"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w:t>
            </w:r>
          </w:p>
        </w:tc>
      </w:tr>
      <w:t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termination, impairment and other</w:t>
            </w:r>
          </w:p>
        </w:tc>
        <w:tc>
          <w:tcPr>
            <w:tcW w:w="1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81"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2,411</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81"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2,411</w:t>
            </w:r>
          </w:p>
        </w:tc>
      </w:tr>
      <w:t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1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2,105</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2,105</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6,315</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6,315</w:t>
            </w:r>
          </w:p>
        </w:tc>
      </w:tr>
      <w:t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costs and expenses</w:t>
            </w:r>
          </w:p>
        </w:tc>
        <w:tc>
          <w:tcPr>
            <w:tcW w:w="1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215,880</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243,123</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635,072</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640,120</w:t>
            </w:r>
          </w:p>
        </w:tc>
      </w:tr>
      <w:t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income</w:t>
            </w:r>
          </w:p>
        </w:tc>
        <w:tc>
          <w:tcPr>
            <w:tcW w:w="1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51,466</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18,019</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205,079</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157,831</w:t>
            </w:r>
          </w:p>
        </w:tc>
      </w:tr>
      <w:t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interest and other</w:t>
            </w:r>
          </w:p>
        </w:tc>
        <w:tc>
          <w:tcPr>
            <w:tcW w:w="1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2,289</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3,637</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8,012</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10,244</w:t>
            </w:r>
          </w:p>
        </w:tc>
      </w:tr>
      <w:t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1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53,755</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21,656</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213,091</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168,075</w:t>
            </w:r>
          </w:p>
        </w:tc>
      </w:tr>
      <w:t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10,742</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5,382</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48,878</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38,637</w:t>
            </w:r>
          </w:p>
        </w:tc>
      </w:tr>
      <w:t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1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43,013</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16,274</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164,213</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129,438</w:t>
            </w:r>
          </w:p>
        </w:tc>
      </w:tr>
      <w:t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Earnings per share:</w:t>
            </w:r>
          </w:p>
        </w:tc>
        <w:tc>
          <w:tcPr>
            <w:tcW w:w="1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781" w:type="dxa"/>
            <w:tcBorders/>
            <w:vAlign w:val="center"/>
          </w:tcPr>
          <w:p>
            <w:pPr>
              <w:pStyle w:val="TableContents"/>
              <w:bidi w:val="0"/>
              <w:spacing w:before="0" w:after="1"/>
              <w:ind w:left="0" w:right="0" w:hanging="0"/>
              <w:jc w:val="right"/>
            </w:pPr>
            <w:r>
              <w:t>  ​</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781" w:type="dxa"/>
            <w:tcBorders/>
            <w:vAlign w:val="center"/>
          </w:tcPr>
          <w:p>
            <w:pPr>
              <w:pStyle w:val="TableContents"/>
              <w:bidi w:val="0"/>
              <w:spacing w:before="0" w:after="1"/>
              <w:ind w:left="0" w:right="0" w:hanging="0"/>
              <w:jc w:val="right"/>
            </w:pPr>
            <w:r>
              <w:t>  ​</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781" w:type="dxa"/>
            <w:tcBorders/>
            <w:vAlign w:val="center"/>
          </w:tcPr>
          <w:p>
            <w:pPr>
              <w:pStyle w:val="TableContents"/>
              <w:bidi w:val="0"/>
              <w:spacing w:before="0" w:after="1"/>
              <w:ind w:left="0" w:right="0" w:hanging="0"/>
              <w:jc w:val="right"/>
            </w:pPr>
            <w:r>
              <w:t>  ​</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826" w:type="dxa"/>
            <w:tcBorders/>
            <w:vAlign w:val="center"/>
          </w:tcPr>
          <w:p>
            <w:pPr>
              <w:pStyle w:val="TableContents"/>
              <w:bidi w:val="0"/>
              <w:spacing w:before="0" w:after="1"/>
              <w:ind w:left="0" w:right="0" w:hanging="0"/>
              <w:jc w:val="right"/>
            </w:pPr>
            <w:r>
              <w:t>  ​</w:t>
            </w:r>
          </w:p>
        </w:tc>
      </w:tr>
      <w:t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income per share</w:t>
            </w:r>
          </w:p>
        </w:tc>
        <w:tc>
          <w:tcPr>
            <w:tcW w:w="1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0.59</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w:t>
            </w:r>
          </w:p>
        </w:tc>
      </w:tr>
      <w:t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Diluted income per share</w:t>
            </w:r>
          </w:p>
        </w:tc>
        <w:tc>
          <w:tcPr>
            <w:tcW w:w="146"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0.58</w:t>
            </w:r>
          </w:p>
        </w:tc>
        <w:tc>
          <w:tcPr>
            <w:tcW w:w="346"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w:t>
            </w:r>
          </w:p>
        </w:tc>
        <w:tc>
          <w:tcPr>
            <w:tcW w:w="346"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w:t>
            </w:r>
          </w:p>
        </w:tc>
      </w:tr>
      <w:t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weighted average shares outstanding</w:t>
            </w:r>
          </w:p>
        </w:tc>
        <w:tc>
          <w:tcPr>
            <w:tcW w:w="1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pPr>
            <w: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25,698</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pPr>
            <w: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27,740</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pPr>
            <w: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26,197</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pPr>
            <w: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28,002</w:t>
            </w:r>
          </w:p>
        </w:tc>
      </w:tr>
      <w:t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Diluted weighted average shares outstanding</w:t>
            </w:r>
          </w:p>
        </w:tc>
        <w:tc>
          <w:tcPr>
            <w:tcW w:w="146"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pPr>
            <w: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25,771</w:t>
            </w:r>
          </w:p>
        </w:tc>
        <w:tc>
          <w:tcPr>
            <w:tcW w:w="346"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pPr>
            <w: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27,897</w:t>
            </w:r>
          </w:p>
        </w:tc>
        <w:tc>
          <w:tcPr>
            <w:tcW w:w="346"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pPr>
            <w: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26,283</w:t>
            </w:r>
          </w:p>
        </w:tc>
        <w:tc>
          <w:tcPr>
            <w:tcW w:w="346"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pPr>
            <w:r>
              <w:t> </w:t>
            </w:r>
          </w:p>
        </w:tc>
        <w:tc>
          <w:tcPr>
            <w:tcW w:w="82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28,165</w:t>
            </w:r>
          </w:p>
        </w:tc>
      </w:tr>
    </w:tbl>
    <w:p>
      <w:pPr>
        <w:pStyle w:val="TextBody"/>
        <w:bidi w:val="0"/>
        <w:spacing w:before="0" w:after="240"/>
        <w:ind w:left="0" w:right="0" w:hanging="0"/>
        <w:jc w:val="left"/>
      </w:pPr>
      <w: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5" w:name="_7f11887f_66f3_42b6_8149_074dd5436eb6"/>
      <w:bookmarkEnd w:id="135"/>
      <w:r>
        <w:rPr>
          <w:rFonts w:ascii="Times New Roman;Times;serif" w:hAnsi="Times New Roman;Times;serif"/>
          <w:b/>
          <w:sz w:val="20"/>
        </w:rPr>
        <w:t>GRAND CANYON EDUCATION, INC.</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Normal"/>
        <w:bidi w:val="0"/>
        <w:spacing w:before="0" w:after="0"/>
        <w:jc w:val="left"/>
        <w:rPr>
          <w:sz w:val="4"/>
          <w:szCs w:val="4"/>
        </w:rPr>
      </w:pPr>
      <w:r>
        <w:rPr>
          <w:sz w:val="4"/>
          <w:szCs w:val="4"/>
        </w:rPr>
      </w:r>
      <w:bookmarkStart w:id="136" w:name="Tc_5p5nNX_5DkyXgzdKNxEZvA_40_5"/>
      <w:bookmarkStart w:id="137" w:name="Tc__tUe3I8vMUeuBe6_m_bT-g_40_2"/>
      <w:bookmarkStart w:id="138" w:name="Tc_edMDnxXKmE6INWwjs3XDaA_40_0"/>
      <w:bookmarkStart w:id="139" w:name="Tc_0NrDBX31NEaSFMf7ar4UnQ_39_0"/>
      <w:bookmarkStart w:id="140" w:name="Tc_k_d5ITVIDk-X42vfFvjzUQ_38_0"/>
      <w:bookmarkStart w:id="141" w:name="Tc_gptNzL70xUiUlhOZj4GHyw_37_0"/>
      <w:bookmarkStart w:id="142" w:name="Tc_kjxCPGKeCUeRNQlrdDW0Hw_36_0"/>
      <w:bookmarkStart w:id="143" w:name="Tc_ys4H4h4pC0qZHbvIekbCVQ_35_0"/>
      <w:bookmarkStart w:id="144" w:name="Tc_BIIUGtX3v0CvpHNul6Wraw_34_0"/>
      <w:bookmarkStart w:id="145" w:name="Tc_jzlj2LGUs0advyJcdO4iPw_33_0"/>
      <w:bookmarkStart w:id="146" w:name="Tc_HEFkLy8HXECLWQ7wz_9JNw_32_0"/>
      <w:bookmarkStart w:id="147" w:name="Tc_5X_DcYRLkEuJWr7S063_2w_31_0"/>
      <w:bookmarkStart w:id="148" w:name="Tc_lWG2Xr1v9UO0p19l6vKlXA_30_0"/>
      <w:bookmarkStart w:id="149" w:name="Tc_9eoZjArrPEyzwtfpQ6iG2w_29_0"/>
      <w:bookmarkStart w:id="150" w:name="Tc_qCTq15NLl0ig-DCQ4H-c0g_28_0"/>
      <w:bookmarkStart w:id="151" w:name="Tc_-DAsivyHoE-1Eel6Z-6BMg_27_0"/>
      <w:bookmarkStart w:id="152" w:name="Tc_ZP4mPslQgE669GItcTQ3nQ_26_0"/>
      <w:bookmarkStart w:id="153" w:name="Tc_84gqYq54T0C9JRNLNIeN7Q_25_0"/>
      <w:bookmarkStart w:id="154" w:name="Tc_uqmZNRwJQU-eS5pZSXT5Dw_24_6"/>
      <w:bookmarkStart w:id="155" w:name="Tc_ExVQPKrTdUyOqlEB4dbIuQ_24_0"/>
      <w:bookmarkStart w:id="156" w:name="Tc_UOs5L2wPEUG2zAvFBUiINg_23_0"/>
      <w:bookmarkStart w:id="157" w:name="Tc_wmJdlXFK8k243DxAyIktGQ_22_0"/>
      <w:bookmarkStart w:id="158" w:name="Tc_Tz3o1cQR-EKx_s4BRupigw_21_0"/>
      <w:bookmarkStart w:id="159" w:name="Tc_vAf6IgxoNEmFmzLYPUGUZg_20_5"/>
      <w:bookmarkStart w:id="160" w:name="Tc_Y5R5K0XAPEKOXv_suGG34g_20_2"/>
      <w:bookmarkStart w:id="161" w:name="Tc_OUnQp3TGK026fOMS_qHF4A_20_0"/>
      <w:bookmarkStart w:id="162" w:name="Tc_X9yXMYR8rU66RQoDvfEngA_19_0"/>
      <w:bookmarkStart w:id="163" w:name="Tc_hImOYpF7ckKi3PiVentKmA_18_0"/>
      <w:bookmarkStart w:id="164" w:name="Tc_Jh95z6P0b0ajXdow26WZRw_17_5"/>
      <w:bookmarkStart w:id="165" w:name="Tc_QmsGQjlUVUGSZ3fEZDHv6w_17_2"/>
      <w:bookmarkStart w:id="166" w:name="Tc_q1WsB7yIGUOSw0H_tYyTQQ_17_0"/>
      <w:bookmarkStart w:id="167" w:name="Tc_2VXcU538oE6F92YPgyk77w_16_0"/>
      <w:bookmarkStart w:id="168" w:name="Tc_OE_x7om8rkqHK8gBlVRxRg_15_0"/>
      <w:bookmarkStart w:id="169" w:name="Tc_Q7z0Ae4erUmYImM6WxxmOg_14_0"/>
      <w:bookmarkStart w:id="170" w:name="Tc_StemvYwdQkCvgKED3t_dDg_13_0"/>
      <w:bookmarkStart w:id="171" w:name="Tc_7JvawCDKmkyGADPnjLvO9Q_12_0"/>
      <w:bookmarkStart w:id="172" w:name="Tc_1DEGrDgMDEi7p4tEIaZgJA_11_0"/>
      <w:bookmarkStart w:id="173" w:name="Tc_M6EP67TE_E2BHpceYFFvLQ_10_0"/>
      <w:bookmarkStart w:id="174" w:name="Tc_M8IVyWF_p0CMft8gnF_25Q_9_0"/>
      <w:bookmarkStart w:id="175" w:name="Tc_T0R5IlePeUeAdB0-SRnIdg_8_0"/>
      <w:bookmarkStart w:id="176" w:name="Tc_SVYzEOr2-k2PDc0I8pysJg_7_0"/>
      <w:bookmarkStart w:id="177" w:name="Tc_pttxyGH_2U6xwI0nZY6-JA_6_5"/>
      <w:bookmarkStart w:id="178" w:name="Tc_yAyBMXzeD0KG1BhK_WHKwA_6_2"/>
      <w:bookmarkStart w:id="179" w:name="Tc_RZphGnWPwEOLgD93UeFy6Q_6_0"/>
      <w:bookmarkStart w:id="180" w:name="Tc_zsG8m_fyIEqVhioQrIChSQ_5_0"/>
      <w:bookmarkStart w:id="181" w:name="Tc_MMps6h1pIk-X6FvH3jFHKQ_4_0"/>
      <w:bookmarkStart w:id="182" w:name="Tc_p2gT4FPYUUKlXPNA1OZyOg_3_2"/>
      <w:bookmarkStart w:id="183" w:name="Tc_EymT1Vf_hUyW4hduGPJgpw_2_5"/>
      <w:bookmarkStart w:id="184" w:name="Tc_zIRUPiVvSU6dP8bgjJbeAw_2_2"/>
      <w:bookmarkStart w:id="185" w:name="Tc_X_e21gQx2kWwn1RurhwFfg_2_0"/>
      <w:bookmarkStart w:id="186" w:name="Tc_eSFspeNpqk2C_k4W7Bc38A_1_5"/>
      <w:bookmarkStart w:id="187" w:name="Tc_I7ueYdotNUq94ipbxj5ftg_1_2"/>
      <w:bookmarkStart w:id="188" w:name="_6c3c0cba_dd8e_483d_ae5e_303dce73d637"/>
      <w:bookmarkStart w:id="189" w:name="Tc_5p5nNX_5DkyXgzdKNxEZvA_40_5"/>
      <w:bookmarkStart w:id="190" w:name="Tc__tUe3I8vMUeuBe6_m_bT-g_40_2"/>
      <w:bookmarkStart w:id="191" w:name="Tc_edMDnxXKmE6INWwjs3XDaA_40_0"/>
      <w:bookmarkStart w:id="192" w:name="Tc_0NrDBX31NEaSFMf7ar4UnQ_39_0"/>
      <w:bookmarkStart w:id="193" w:name="Tc_k_d5ITVIDk-X42vfFvjzUQ_38_0"/>
      <w:bookmarkStart w:id="194" w:name="Tc_gptNzL70xUiUlhOZj4GHyw_37_0"/>
      <w:bookmarkStart w:id="195" w:name="Tc_kjxCPGKeCUeRNQlrdDW0Hw_36_0"/>
      <w:bookmarkStart w:id="196" w:name="Tc_ys4H4h4pC0qZHbvIekbCVQ_35_0"/>
      <w:bookmarkStart w:id="197" w:name="Tc_BIIUGtX3v0CvpHNul6Wraw_34_0"/>
      <w:bookmarkStart w:id="198" w:name="Tc_jzlj2LGUs0advyJcdO4iPw_33_0"/>
      <w:bookmarkStart w:id="199" w:name="Tc_HEFkLy8HXECLWQ7wz_9JNw_32_0"/>
      <w:bookmarkStart w:id="200" w:name="Tc_5X_DcYRLkEuJWr7S063_2w_31_0"/>
      <w:bookmarkStart w:id="201" w:name="Tc_lWG2Xr1v9UO0p19l6vKlXA_30_0"/>
      <w:bookmarkStart w:id="202" w:name="Tc_9eoZjArrPEyzwtfpQ6iG2w_29_0"/>
      <w:bookmarkStart w:id="203" w:name="Tc_qCTq15NLl0ig-DCQ4H-c0g_28_0"/>
      <w:bookmarkStart w:id="204" w:name="Tc_-DAsivyHoE-1Eel6Z-6BMg_27_0"/>
      <w:bookmarkStart w:id="205" w:name="Tc_ZP4mPslQgE669GItcTQ3nQ_26_0"/>
      <w:bookmarkStart w:id="206" w:name="Tc_84gqYq54T0C9JRNLNIeN7Q_25_0"/>
      <w:bookmarkStart w:id="207" w:name="Tc_uqmZNRwJQU-eS5pZSXT5Dw_24_6"/>
      <w:bookmarkStart w:id="208" w:name="Tc_ExVQPKrTdUyOqlEB4dbIuQ_24_0"/>
      <w:bookmarkStart w:id="209" w:name="Tc_UOs5L2wPEUG2zAvFBUiINg_23_0"/>
      <w:bookmarkStart w:id="210" w:name="Tc_wmJdlXFK8k243DxAyIktGQ_22_0"/>
      <w:bookmarkStart w:id="211" w:name="Tc_Tz3o1cQR-EKx_s4BRupigw_21_0"/>
      <w:bookmarkStart w:id="212" w:name="Tc_vAf6IgxoNEmFmzLYPUGUZg_20_5"/>
      <w:bookmarkStart w:id="213" w:name="Tc_Y5R5K0XAPEKOXv_suGG34g_20_2"/>
      <w:bookmarkStart w:id="214" w:name="Tc_OUnQp3TGK026fOMS_qHF4A_20_0"/>
      <w:bookmarkStart w:id="215" w:name="Tc_X9yXMYR8rU66RQoDvfEngA_19_0"/>
      <w:bookmarkStart w:id="216" w:name="Tc_hImOYpF7ckKi3PiVentKmA_18_0"/>
      <w:bookmarkStart w:id="217" w:name="Tc_Jh95z6P0b0ajXdow26WZRw_17_5"/>
      <w:bookmarkStart w:id="218" w:name="Tc_QmsGQjlUVUGSZ3fEZDHv6w_17_2"/>
      <w:bookmarkStart w:id="219" w:name="Tc_q1WsB7yIGUOSw0H_tYyTQQ_17_0"/>
      <w:bookmarkStart w:id="220" w:name="Tc_2VXcU538oE6F92YPgyk77w_16_0"/>
      <w:bookmarkStart w:id="221" w:name="Tc_OE_x7om8rkqHK8gBlVRxRg_15_0"/>
      <w:bookmarkStart w:id="222" w:name="Tc_Q7z0Ae4erUmYImM6WxxmOg_14_0"/>
      <w:bookmarkStart w:id="223" w:name="Tc_StemvYwdQkCvgKED3t_dDg_13_0"/>
      <w:bookmarkStart w:id="224" w:name="Tc_7JvawCDKmkyGADPnjLvO9Q_12_0"/>
      <w:bookmarkStart w:id="225" w:name="Tc_1DEGrDgMDEi7p4tEIaZgJA_11_0"/>
      <w:bookmarkStart w:id="226" w:name="Tc_M6EP67TE_E2BHpceYFFvLQ_10_0"/>
      <w:bookmarkStart w:id="227" w:name="Tc_M8IVyWF_p0CMft8gnF_25Q_9_0"/>
      <w:bookmarkStart w:id="228" w:name="Tc_T0R5IlePeUeAdB0-SRnIdg_8_0"/>
      <w:bookmarkStart w:id="229" w:name="Tc_SVYzEOr2-k2PDc0I8pysJg_7_0"/>
      <w:bookmarkStart w:id="230" w:name="Tc_pttxyGH_2U6xwI0nZY6-JA_6_5"/>
      <w:bookmarkStart w:id="231" w:name="Tc_yAyBMXzeD0KG1BhK_WHKwA_6_2"/>
      <w:bookmarkStart w:id="232" w:name="Tc_RZphGnWPwEOLgD93UeFy6Q_6_0"/>
      <w:bookmarkStart w:id="233" w:name="Tc_zsG8m_fyIEqVhioQrIChSQ_5_0"/>
      <w:bookmarkStart w:id="234" w:name="Tc_MMps6h1pIk-X6FvH3jFHKQ_4_0"/>
      <w:bookmarkStart w:id="235" w:name="Tc_p2gT4FPYUUKlXPNA1OZyOg_3_2"/>
      <w:bookmarkStart w:id="236" w:name="Tc_EymT1Vf_hUyW4hduGPJgpw_2_5"/>
      <w:bookmarkStart w:id="237" w:name="Tc_zIRUPiVvSU6dP8bgjJbeAw_2_2"/>
      <w:bookmarkStart w:id="238" w:name="Tc_X_e21gQx2kWwn1RurhwFfg_2_0"/>
      <w:bookmarkStart w:id="239" w:name="Tc_eSFspeNpqk2C_k4W7Bc38A_1_5"/>
      <w:bookmarkStart w:id="240" w:name="Tc_I7ueYdotNUq94ipbxj5ftg_1_2"/>
      <w:bookmarkStart w:id="241" w:name="_6c3c0cba_dd8e_483d_ae5e_303dce73d637"/>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tbl>
      <w:tblPr>
        <w:tblW w:w="10205" w:type="dxa"/>
        <w:jc w:val="left"/>
        <w:tblInd w:w="0" w:type="dxa"/>
        <w:tblLayout w:type="fixed"/>
        <w:tblCellMar>
          <w:top w:w="0" w:type="dxa"/>
          <w:left w:w="0" w:type="dxa"/>
          <w:bottom w:w="0" w:type="dxa"/>
          <w:right w:w="0" w:type="dxa"/>
        </w:tblCellMar>
      </w:tblPr>
      <w:tblGrid>
        <w:gridCol w:w="7218"/>
        <w:gridCol w:w="146"/>
        <w:gridCol w:w="211"/>
        <w:gridCol w:w="1013"/>
        <w:gridCol w:w="346"/>
        <w:gridCol w:w="211"/>
        <w:gridCol w:w="1060"/>
      </w:tblGrid>
      <w:tr>
        <w:tc>
          <w:tcPr>
            <w:tcW w:w="7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583430" cy="175260"/>
                      <wp:effectExtent l="0" t="0" r="0" b="0"/>
                      <wp:wrapNone/>
                      <wp:docPr id="14" name="Frame14"/>
                      <a:graphic xmlns:a="http://schemas.openxmlformats.org/drawingml/2006/main">
                        <a:graphicData uri="http://schemas.microsoft.com/office/word/2010/wordprocessingShape">
                          <wps:wsp>
                            <wps:cNvSpPr txBox="1"/>
                            <wps:spPr>
                              <a:xfrm>
                                <a:off x="0" y="0"/>
                                <a:ext cx="458343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92710" cy="175260"/>
                      <wp:effectExtent l="0" t="0" r="0" b="0"/>
                      <wp:wrapNone/>
                      <wp:docPr id="15" name="Frame1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3255" cy="175260"/>
                      <wp:effectExtent l="0" t="0" r="0" b="0"/>
                      <wp:wrapNone/>
                      <wp:docPr id="17" name="Frame17"/>
                      <a:graphic xmlns:a="http://schemas.openxmlformats.org/drawingml/2006/main">
                        <a:graphicData uri="http://schemas.microsoft.com/office/word/2010/wordprocessingShape">
                          <wps:wsp>
                            <wps:cNvSpPr txBox="1"/>
                            <wps:spPr>
                              <a:xfrm>
                                <a:off x="0" y="0"/>
                                <a:ext cx="6432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73100" cy="175260"/>
                      <wp:effectExtent l="0" t="0" r="0" b="0"/>
                      <wp:wrapNone/>
                      <wp:docPr id="20" name="Frame20"/>
                      <a:graphic xmlns:a="http://schemas.openxmlformats.org/drawingml/2006/main">
                        <a:graphicData uri="http://schemas.microsoft.com/office/word/2010/wordprocessingShape">
                          <wps:wsp>
                            <wps:cNvSpPr txBox="1"/>
                            <wps:spPr>
                              <a:xfrm>
                                <a:off x="0" y="0"/>
                                <a:ext cx="6731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7218" w:type="dxa"/>
            <w:tcBorders/>
            <w:vAlign w:val="center"/>
          </w:tcPr>
          <w:p>
            <w:pPr>
              <w:pStyle w:val="TableContents"/>
              <w:bidi w:val="0"/>
              <w:spacing w:before="0" w:after="0"/>
              <w:ind w:left="0" w:right="0" w:hanging="0"/>
              <w:jc w:val="center"/>
            </w:pPr>
            <w:r>
              <w:t>​</w:t>
            </w:r>
          </w:p>
        </w:tc>
        <w:tc>
          <w:tcPr>
            <w:tcW w:w="146" w:type="dxa"/>
            <w:tcBorders/>
            <w:vAlign w:val="center"/>
          </w:tcPr>
          <w:p>
            <w:pPr>
              <w:pStyle w:val="TableContents"/>
              <w:bidi w:val="0"/>
              <w:spacing w:before="0" w:after="0"/>
              <w:ind w:left="0" w:right="0" w:hanging="0"/>
              <w:jc w:val="left"/>
            </w:pPr>
            <w:r>
              <w:t>​</w:t>
            </w:r>
          </w:p>
        </w:tc>
        <w:tc>
          <w:tcPr>
            <w:tcW w:w="12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before="0" w:after="0"/>
              <w:ind w:left="0" w:right="0" w:hanging="0"/>
              <w:jc w:val="center"/>
            </w:pPr>
            <w:r>
              <w:t>  ​ ​ ​</w:t>
            </w:r>
          </w:p>
        </w:tc>
        <w:tc>
          <w:tcPr>
            <w:tcW w:w="12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c>
          <w:tcPr>
            <w:tcW w:w="721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par value)</w:t>
            </w:r>
          </w:p>
        </w:tc>
        <w:tc>
          <w:tcPr>
            <w:tcW w:w="146" w:type="dxa"/>
            <w:tcBorders/>
            <w:vAlign w:val="center"/>
          </w:tcPr>
          <w:p>
            <w:pPr>
              <w:pStyle w:val="TableContents"/>
              <w:bidi w:val="0"/>
              <w:spacing w:before="0" w:after="0"/>
              <w:ind w:left="0" w:right="0" w:hanging="0"/>
              <w:jc w:val="left"/>
            </w:pPr>
            <w:r>
              <w:t> </w:t>
            </w:r>
          </w:p>
        </w:tc>
        <w:tc>
          <w:tcPr>
            <w:tcW w:w="12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pPr>
            <w:r>
              <w:t>​</w:t>
            </w:r>
          </w:p>
        </w:tc>
        <w:tc>
          <w:tcPr>
            <w:tcW w:w="12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7218" w:type="dxa"/>
            <w:tcBorders/>
            <w:vAlign w:val="center"/>
          </w:tcPr>
          <w:p>
            <w:pPr>
              <w:pStyle w:val="TableContents"/>
              <w:bidi w:val="0"/>
              <w:spacing w:before="0" w:after="0"/>
              <w:ind w:left="0" w:right="0" w:hanging="0"/>
              <w:jc w:val="left"/>
            </w:pPr>
            <w:r>
              <w:t>​</w:t>
            </w:r>
          </w:p>
        </w:tc>
        <w:tc>
          <w:tcPr>
            <w:tcW w:w="146" w:type="dxa"/>
            <w:tcBorders/>
            <w:vAlign w:val="center"/>
          </w:tcPr>
          <w:p>
            <w:pPr>
              <w:pStyle w:val="TableContents"/>
              <w:bidi w:val="0"/>
              <w:spacing w:before="0" w:after="0"/>
              <w:ind w:left="0" w:right="0" w:hanging="0"/>
              <w:jc w:val="left"/>
            </w:pPr>
            <w:r>
              <w:t>​</w:t>
            </w:r>
          </w:p>
        </w:tc>
        <w:tc>
          <w:tcPr>
            <w:tcW w:w="12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pPr>
            <w:r>
              <w:t>​</w:t>
            </w:r>
          </w:p>
        </w:tc>
        <w:tc>
          <w:tcPr>
            <w:tcW w:w="211" w:type="dxa"/>
            <w:tcBorders/>
            <w:vAlign w:val="center"/>
          </w:tcPr>
          <w:p>
            <w:pPr>
              <w:pStyle w:val="TableContents"/>
              <w:bidi w:val="0"/>
              <w:spacing w:before="0" w:after="0"/>
              <w:ind w:left="0" w:right="0" w:hanging="0"/>
              <w:jc w:val="center"/>
            </w:pPr>
            <w:r>
              <w:t>​</w:t>
            </w:r>
          </w:p>
        </w:tc>
        <w:tc>
          <w:tcPr>
            <w:tcW w:w="1060" w:type="dxa"/>
            <w:tcBorders/>
            <w:vAlign w:val="center"/>
          </w:tcPr>
          <w:p>
            <w:pPr>
              <w:pStyle w:val="TableContents"/>
              <w:bidi w:val="0"/>
              <w:spacing w:before="0" w:after="0"/>
              <w:ind w:left="0" w:right="0" w:hanging="0"/>
              <w:jc w:val="center"/>
            </w:pPr>
            <w:r>
              <w:t>​</w:t>
            </w:r>
          </w:p>
        </w:tc>
      </w:tr>
      <w:tr>
        <w:tc>
          <w:tcPr>
            <w:tcW w:w="7218"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center"/>
            </w:pPr>
            <w:r>
              <w:t>​</w:t>
            </w:r>
          </w:p>
        </w:tc>
        <w:tc>
          <w:tcPr>
            <w:tcW w:w="1013" w:type="dxa"/>
            <w:tcBorders/>
            <w:shd w:fill="CCEEFF" w:val="clear"/>
            <w:vAlign w:val="center"/>
          </w:tcPr>
          <w:p>
            <w:pPr>
              <w:pStyle w:val="TableContents"/>
              <w:bidi w:val="0"/>
              <w:spacing w:before="0" w:after="0"/>
              <w:ind w:left="0" w:right="0" w:hanging="0"/>
              <w:jc w:val="center"/>
            </w:pPr>
            <w:r>
              <w:t>​</w:t>
            </w:r>
          </w:p>
        </w:tc>
        <w:tc>
          <w:tcPr>
            <w:tcW w:w="346" w:type="dxa"/>
            <w:tcBorders/>
            <w:shd w:fill="CCEEFF" w:val="clear"/>
            <w:vAlign w:val="center"/>
          </w:tcPr>
          <w:p>
            <w:pPr>
              <w:pStyle w:val="TableContents"/>
              <w:bidi w:val="0"/>
              <w:spacing w:before="0" w:after="0"/>
              <w:ind w:left="0" w:right="0" w:hanging="0"/>
              <w:jc w:val="center"/>
            </w:pPr>
            <w:r>
              <w:t>​</w:t>
            </w:r>
          </w:p>
        </w:tc>
        <w:tc>
          <w:tcPr>
            <w:tcW w:w="211" w:type="dxa"/>
            <w:tcBorders/>
            <w:shd w:fill="CCEEFF" w:val="clear"/>
            <w:vAlign w:val="center"/>
          </w:tcPr>
          <w:p>
            <w:pPr>
              <w:pStyle w:val="TableContents"/>
              <w:bidi w:val="0"/>
              <w:spacing w:before="0" w:after="0"/>
              <w:ind w:left="0" w:right="0" w:hanging="0"/>
              <w:jc w:val="center"/>
            </w:pPr>
            <w:r>
              <w:t>​</w:t>
            </w:r>
          </w:p>
        </w:tc>
        <w:tc>
          <w:tcPr>
            <w:tcW w:w="1060" w:type="dxa"/>
            <w:tcBorders/>
            <w:shd w:fill="CCEEFF" w:val="clear"/>
            <w:vAlign w:val="center"/>
          </w:tcPr>
          <w:p>
            <w:pPr>
              <w:pStyle w:val="TableContents"/>
              <w:bidi w:val="0"/>
              <w:spacing w:before="0" w:after="0"/>
              <w:ind w:left="0" w:right="0" w:hanging="0"/>
              <w:jc w:val="center"/>
            </w:pPr>
            <w:r>
              <w:t>​</w:t>
            </w:r>
          </w:p>
        </w:tc>
      </w:tr>
      <w:tr>
        <w:tc>
          <w:tcPr>
            <w:tcW w:w="72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1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1013"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 </w:t>
            </w:r>
          </w:p>
        </w:tc>
        <w:tc>
          <w:tcPr>
            <w:tcW w:w="211" w:type="dxa"/>
            <w:tcBorders/>
            <w:vAlign w:val="center"/>
          </w:tcPr>
          <w:p>
            <w:pPr>
              <w:pStyle w:val="TableContents"/>
              <w:bidi w:val="0"/>
              <w:spacing w:before="0" w:after="0"/>
              <w:ind w:left="0" w:right="0" w:hanging="0"/>
              <w:jc w:val="left"/>
            </w:pPr>
            <w:r>
              <w:t>​</w:t>
            </w:r>
          </w:p>
        </w:tc>
        <w:tc>
          <w:tcPr>
            <w:tcW w:w="1060" w:type="dxa"/>
            <w:tcBorders/>
            <w:vAlign w:val="center"/>
          </w:tcPr>
          <w:p>
            <w:pPr>
              <w:pStyle w:val="TableContents"/>
              <w:bidi w:val="0"/>
              <w:spacing w:before="0" w:after="0"/>
              <w:ind w:left="0" w:right="0" w:hanging="0"/>
              <w:jc w:val="right"/>
            </w:pPr>
            <w:r>
              <w:t>  ​</w:t>
            </w:r>
          </w:p>
        </w:tc>
      </w:tr>
      <w:tr>
        <w:tc>
          <w:tcPr>
            <w:tcW w:w="7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58,760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111,762</w:t>
            </w:r>
          </w:p>
        </w:tc>
      </w:tr>
      <w:tr>
        <w:tc>
          <w:tcPr>
            <w:tcW w:w="72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1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103,382</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188,317</w:t>
            </w:r>
          </w:p>
        </w:tc>
      </w:tr>
      <w:tr>
        <w:tc>
          <w:tcPr>
            <w:tcW w:w="7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114,470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84,278</w:t>
            </w:r>
          </w:p>
        </w:tc>
      </w:tr>
      <w:tr>
        <w:tc>
          <w:tcPr>
            <w:tcW w:w="72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w:t>
            </w:r>
          </w:p>
        </w:tc>
        <w:tc>
          <w:tcPr>
            <w:tcW w:w="1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8,703</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2,392</w:t>
            </w:r>
          </w:p>
        </w:tc>
      </w:tr>
      <w:tr>
        <w:tc>
          <w:tcPr>
            <w:tcW w:w="7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1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13,430</w:t>
            </w:r>
          </w:p>
        </w:tc>
      </w:tr>
      <w:tr>
        <w:tc>
          <w:tcPr>
            <w:tcW w:w="72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1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297,715</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400,179</w:t>
            </w:r>
          </w:p>
        </w:tc>
      </w:tr>
      <w:tr>
        <w:tc>
          <w:tcPr>
            <w:tcW w:w="7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183,224</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178,957</w:t>
            </w:r>
          </w:p>
        </w:tc>
      </w:tr>
      <w:tr>
        <w:tc>
          <w:tcPr>
            <w:tcW w:w="72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1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103,671</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96,571</w:t>
            </w:r>
          </w:p>
        </w:tc>
      </w:tr>
      <w:tr>
        <w:tc>
          <w:tcPr>
            <w:tcW w:w="7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Amortizable intangible assets, net</w:t>
            </w:r>
          </w:p>
        </w:tc>
        <w:tc>
          <w:tcPr>
            <w:tcW w:w="1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145,228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151,543</w:t>
            </w:r>
          </w:p>
        </w:tc>
      </w:tr>
      <w:tr>
        <w:tc>
          <w:tcPr>
            <w:tcW w:w="72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1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r>
      <w:tr>
        <w:tc>
          <w:tcPr>
            <w:tcW w:w="7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3,887</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4,289</w:t>
            </w:r>
          </w:p>
        </w:tc>
      </w:tr>
      <w:tr>
        <w:tc>
          <w:tcPr>
            <w:tcW w:w="72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1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894,491</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992,305</w:t>
            </w:r>
          </w:p>
        </w:tc>
      </w:tr>
      <w:tr>
        <w:tc>
          <w:tcPr>
            <w:tcW w:w="7218"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1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1013" w:type="dxa"/>
            <w:tcBorders/>
            <w:shd w:fill="CCEEFF" w:val="clear"/>
            <w:vAlign w:val="center"/>
          </w:tcPr>
          <w:p>
            <w:pPr>
              <w:pStyle w:val="TableContents"/>
              <w:bidi w:val="0"/>
              <w:spacing w:before="0" w:after="0"/>
              <w:ind w:left="0" w:right="0" w:hanging="0"/>
              <w:jc w:val="right"/>
            </w:pPr>
            <w:r>
              <w:t>  ​</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1060" w:type="dxa"/>
            <w:tcBorders/>
            <w:shd w:fill="CCEEFF" w:val="clear"/>
            <w:vAlign w:val="center"/>
          </w:tcPr>
          <w:p>
            <w:pPr>
              <w:pStyle w:val="TableContents"/>
              <w:bidi w:val="0"/>
              <w:spacing w:before="0" w:after="0"/>
              <w:ind w:left="0" w:right="0" w:hanging="0"/>
              <w:jc w:val="right"/>
            </w:pPr>
            <w:r>
              <w:t>  ​</w:t>
            </w:r>
          </w:p>
        </w:tc>
      </w:tr>
      <w:tr>
        <w:tc>
          <w:tcPr>
            <w:tcW w:w="72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1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right"/>
            </w:pPr>
            <w:r>
              <w:t>  ​</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1060" w:type="dxa"/>
            <w:tcBorders/>
            <w:vAlign w:val="center"/>
          </w:tcPr>
          <w:p>
            <w:pPr>
              <w:pStyle w:val="TableContents"/>
              <w:bidi w:val="0"/>
              <w:spacing w:before="0" w:after="0"/>
              <w:ind w:left="0" w:right="0" w:hanging="0"/>
              <w:jc w:val="right"/>
            </w:pPr>
            <w:r>
              <w:t>  ​</w:t>
            </w:r>
          </w:p>
        </w:tc>
      </w:tr>
      <w:tr>
        <w:tc>
          <w:tcPr>
            <w:tcW w:w="7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18,816</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24,347</w:t>
            </w:r>
          </w:p>
        </w:tc>
      </w:tr>
      <w:tr>
        <w:tc>
          <w:tcPr>
            <w:tcW w:w="72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 and benefits</w:t>
            </w:r>
          </w:p>
        </w:tc>
        <w:tc>
          <w:tcPr>
            <w:tcW w:w="1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29,816</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35,199</w:t>
            </w:r>
          </w:p>
        </w:tc>
      </w:tr>
      <w:tr>
        <w:tc>
          <w:tcPr>
            <w:tcW w:w="7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1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41,840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32,283</w:t>
            </w:r>
          </w:p>
        </w:tc>
      </w:tr>
      <w:tr>
        <w:tc>
          <w:tcPr>
            <w:tcW w:w="72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1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3,355</w:t>
            </w:r>
          </w:p>
        </w:tc>
      </w:tr>
      <w:tr>
        <w:tc>
          <w:tcPr>
            <w:tcW w:w="7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1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1060" w:type="dxa"/>
            <w:tcBorders/>
            <w:shd w:fill="CCEEFF" w:val="clear"/>
            <w:vAlign w:val="center"/>
          </w:tcPr>
          <w:p>
            <w:pPr>
              <w:pStyle w:val="TableContents"/>
              <w:bidi w:val="0"/>
              <w:spacing w:before="0" w:after="0"/>
              <w:ind w:left="0" w:right="0" w:hanging="0"/>
              <w:jc w:val="right"/>
            </w:pPr>
            <w:r>
              <w:t>—</w:t>
            </w:r>
          </w:p>
        </w:tc>
      </w:tr>
      <w:tr>
        <w:tc>
          <w:tcPr>
            <w:tcW w:w="72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lease liability</w:t>
            </w:r>
          </w:p>
        </w:tc>
        <w:tc>
          <w:tcPr>
            <w:tcW w:w="1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15,253</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14,568</w:t>
            </w:r>
          </w:p>
        </w:tc>
      </w:tr>
      <w:tr>
        <w:tc>
          <w:tcPr>
            <w:tcW w:w="72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1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112,738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109,752</w:t>
            </w:r>
          </w:p>
        </w:tc>
      </w:tr>
      <w:tr>
        <w:tc>
          <w:tcPr>
            <w:tcW w:w="72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 noncurrent</w:t>
            </w:r>
          </w:p>
        </w:tc>
        <w:tc>
          <w:tcPr>
            <w:tcW w:w="1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42,320</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41,426</w:t>
            </w:r>
          </w:p>
        </w:tc>
      </w:tr>
      <w:tr>
        <w:tc>
          <w:tcPr>
            <w:tcW w:w="7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liability</w:t>
            </w:r>
          </w:p>
        </w:tc>
        <w:tc>
          <w:tcPr>
            <w:tcW w:w="1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1,273</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w:t>
            </w:r>
          </w:p>
        </w:tc>
      </w:tr>
      <w:tr>
        <w:tc>
          <w:tcPr>
            <w:tcW w:w="72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 less current portion</w:t>
            </w:r>
          </w:p>
        </w:tc>
        <w:tc>
          <w:tcPr>
            <w:tcW w:w="1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98,758</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92,755</w:t>
            </w:r>
          </w:p>
        </w:tc>
      </w:tr>
      <w:tr>
        <w:tc>
          <w:tcPr>
            <w:tcW w:w="72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1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255,089</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245,372</w:t>
            </w:r>
          </w:p>
        </w:tc>
      </w:tr>
      <w:tr>
        <w:tc>
          <w:tcPr>
            <w:tcW w:w="72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1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right"/>
            </w:pPr>
            <w:r>
              <w:t>  ​</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1060" w:type="dxa"/>
            <w:tcBorders/>
            <w:vAlign w:val="center"/>
          </w:tcPr>
          <w:p>
            <w:pPr>
              <w:pStyle w:val="TableContents"/>
              <w:bidi w:val="0"/>
              <w:spacing w:before="0" w:after="0"/>
              <w:ind w:left="0" w:right="0" w:hanging="0"/>
              <w:jc w:val="right"/>
            </w:pPr>
            <w:r>
              <w:t>  ​</w:t>
            </w:r>
          </w:p>
        </w:tc>
      </w:tr>
      <w:tr>
        <w:tc>
          <w:tcPr>
            <w:tcW w:w="72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1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1013" w:type="dxa"/>
            <w:tcBorders/>
            <w:shd w:fill="CCEEFF" w:val="clear"/>
            <w:vAlign w:val="center"/>
          </w:tcPr>
          <w:p>
            <w:pPr>
              <w:pStyle w:val="TableContents"/>
              <w:bidi w:val="0"/>
              <w:spacing w:before="0" w:after="0"/>
              <w:ind w:left="0" w:right="0" w:hanging="0"/>
              <w:jc w:val="right"/>
            </w:pPr>
            <w:r>
              <w:t>  ​</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1060" w:type="dxa"/>
            <w:tcBorders/>
            <w:shd w:fill="CCEEFF" w:val="clear"/>
            <w:vAlign w:val="center"/>
          </w:tcPr>
          <w:p>
            <w:pPr>
              <w:pStyle w:val="TableContents"/>
              <w:bidi w:val="0"/>
              <w:spacing w:before="0" w:after="0"/>
              <w:ind w:left="0" w:right="0" w:hanging="0"/>
              <w:jc w:val="right"/>
            </w:pPr>
            <w:r>
              <w:t>  ​</w:t>
            </w:r>
          </w:p>
        </w:tc>
      </w:tr>
      <w:tr>
        <w:tc>
          <w:tcPr>
            <w:tcW w:w="72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$0.01 par value, 10,000 shares authorized; 0 shares issued and outstanding at September 30, 2026 and December 31, 2025</w:t>
            </w:r>
          </w:p>
        </w:tc>
        <w:tc>
          <w:tcPr>
            <w:tcW w:w="1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1060"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c>
          <w:tcPr>
            <w:tcW w:w="7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100,000 shares authorized; 54,265 and 54,178 shares issued and 25,726 and 27,393 shares outstanding at September 30, 2026 and December 31, 2025, respectively</w:t>
            </w:r>
          </w:p>
        </w:tc>
        <w:tc>
          <w:tcPr>
            <w:tcW w:w="1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r>
      <w:tr>
        <w:tc>
          <w:tcPr>
            <w:tcW w:w="72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Treasury stock, at cost, 28,539 and 26,785 shares of common stock at September 30, 2026 and December 31, 2025, respectively </w:t>
            </w:r>
          </w:p>
        </w:tc>
        <w:tc>
          <w:tcPr>
            <w:tcW w:w="1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(2,572,525)</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(2,291,610)</w:t>
            </w:r>
          </w:p>
        </w:tc>
      </w:tr>
      <w:tr>
        <w:tc>
          <w:tcPr>
            <w:tcW w:w="7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360,818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350,374</w:t>
            </w:r>
          </w:p>
        </w:tc>
      </w:tr>
      <w:tr>
        <w:tc>
          <w:tcPr>
            <w:tcW w:w="72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gain</w:t>
            </w:r>
          </w:p>
        </w:tc>
        <w:tc>
          <w:tcPr>
            <w:tcW w:w="1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r>
      <w:tr>
        <w:tc>
          <w:tcPr>
            <w:tcW w:w="7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1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2,851,329</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2,687,116</w:t>
            </w:r>
          </w:p>
        </w:tc>
      </w:tr>
      <w:tr>
        <w:tc>
          <w:tcPr>
            <w:tcW w:w="72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stockholders’ equity</w:t>
            </w:r>
          </w:p>
        </w:tc>
        <w:tc>
          <w:tcPr>
            <w:tcW w:w="1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639,402</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746,933</w:t>
            </w:r>
          </w:p>
        </w:tc>
      </w:tr>
      <w:tr>
        <w:tc>
          <w:tcPr>
            <w:tcW w:w="72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1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894,491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992,305</w:t>
            </w:r>
          </w:p>
        </w:tc>
      </w:tr>
    </w:tbl>
    <w:p>
      <w:pPr>
        <w:pStyle w:val="TextBody"/>
        <w:bidi w:val="0"/>
        <w:spacing w:before="0" w:after="0"/>
        <w:ind w:left="0" w:right="0" w:hanging="0"/>
        <w:jc w:val="left"/>
      </w:pPr>
      <w:r>
        <w:t>​</w:t>
      </w:r>
    </w:p>
    <w:p>
      <w:pPr>
        <w:pStyle w:val="TextBody"/>
        <w:bidi w:val="0"/>
        <w:spacing w:before="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240"/>
        <w:ind w:left="0" w:right="0" w:hanging="0"/>
        <w:jc w:val="center"/>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2" w:name="_2d47a25e_f053_450a_9d75_353417e912f9"/>
      <w:bookmarkEnd w:id="242"/>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Comprehensive Income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43" w:name="Tc_HIUODQ16_0O2wA9zSmXi4w_7_11"/>
      <w:bookmarkStart w:id="244" w:name="Tc_SnhGGx_xek-TOAn9uIK3tg_7_8"/>
      <w:bookmarkStart w:id="245" w:name="Tc_8MTd2YUwVke080ShS-Ft8Q_7_5"/>
      <w:bookmarkStart w:id="246" w:name="Tc_cpu1E2t7eE6FvLA8yAEZkQ_7_2"/>
      <w:bookmarkStart w:id="247" w:name="Tc_M6w0Ildpak23UZJqQkRm3w_7_0"/>
      <w:bookmarkStart w:id="248" w:name="Tc_eNXAK_X3Q0iVQDizrLgqzw_6_0"/>
      <w:bookmarkStart w:id="249" w:name="Tc_jGdh6u1o5UeTvc5pbYm2Yw_5_0"/>
      <w:bookmarkStart w:id="250" w:name="Tc_Zf8qlYcbwkKZPYupZ_piEg_4_11"/>
      <w:bookmarkStart w:id="251" w:name="Tc_kw88LavbskuxXJM9m8M9SQ_4_8"/>
      <w:bookmarkStart w:id="252" w:name="Tc_DA62U703-kaf0ULU9_vSkw_4_5"/>
      <w:bookmarkStart w:id="253" w:name="Tc_8rVPhg73SEOLvS8r6EngHg_4_2"/>
      <w:bookmarkStart w:id="254" w:name="Tc_iUv0s6Ps60uF5FViH1vV3w_4_0"/>
      <w:bookmarkStart w:id="255" w:name="Tc_qyuJPz3LFk2tDXV17-jp5w_3_11"/>
      <w:bookmarkStart w:id="256" w:name="Tc_-1YBm7h0T0-FCXwOuKHLIA_3_8"/>
      <w:bookmarkStart w:id="257" w:name="Tc_-gSV-578rUOv4LPRGbdxQw_3_5"/>
      <w:bookmarkStart w:id="258" w:name="Tc_wgleElcdMUC3nNrKQY2oIQ_3_2"/>
      <w:bookmarkStart w:id="259" w:name="Tc_Nhj5HqBBXEGsew8f_slTJw_3_0"/>
      <w:bookmarkStart w:id="260" w:name="Tc_jmXOwwQV80adC1EAOYYQ0Q_2_8"/>
      <w:bookmarkStart w:id="261" w:name="Tc_fg0itmmx9E6vWi7T9oRjdg_2_2"/>
      <w:bookmarkStart w:id="262" w:name="Tc_apJB0_cwM0iowym5u_PfQw_1_8"/>
      <w:bookmarkStart w:id="263" w:name="Tc_SP36xEghUE2ztW--jH9seA_1_2"/>
      <w:bookmarkStart w:id="264" w:name="_743169c8_3c37_4d4a_98c4_685ccd32df4d"/>
      <w:bookmarkStart w:id="265" w:name="Tc_HIUODQ16_0O2wA9zSmXi4w_7_11"/>
      <w:bookmarkStart w:id="266" w:name="Tc_SnhGGx_xek-TOAn9uIK3tg_7_8"/>
      <w:bookmarkStart w:id="267" w:name="Tc_8MTd2YUwVke080ShS-Ft8Q_7_5"/>
      <w:bookmarkStart w:id="268" w:name="Tc_cpu1E2t7eE6FvLA8yAEZkQ_7_2"/>
      <w:bookmarkStart w:id="269" w:name="Tc_M6w0Ildpak23UZJqQkRm3w_7_0"/>
      <w:bookmarkStart w:id="270" w:name="Tc_eNXAK_X3Q0iVQDizrLgqzw_6_0"/>
      <w:bookmarkStart w:id="271" w:name="Tc_jGdh6u1o5UeTvc5pbYm2Yw_5_0"/>
      <w:bookmarkStart w:id="272" w:name="Tc_Zf8qlYcbwkKZPYupZ_piEg_4_11"/>
      <w:bookmarkStart w:id="273" w:name="Tc_kw88LavbskuxXJM9m8M9SQ_4_8"/>
      <w:bookmarkStart w:id="274" w:name="Tc_DA62U703-kaf0ULU9_vSkw_4_5"/>
      <w:bookmarkStart w:id="275" w:name="Tc_8rVPhg73SEOLvS8r6EngHg_4_2"/>
      <w:bookmarkStart w:id="276" w:name="Tc_iUv0s6Ps60uF5FViH1vV3w_4_0"/>
      <w:bookmarkStart w:id="277" w:name="Tc_qyuJPz3LFk2tDXV17-jp5w_3_11"/>
      <w:bookmarkStart w:id="278" w:name="Tc_-1YBm7h0T0-FCXwOuKHLIA_3_8"/>
      <w:bookmarkStart w:id="279" w:name="Tc_-gSV-578rUOv4LPRGbdxQw_3_5"/>
      <w:bookmarkStart w:id="280" w:name="Tc_wgleElcdMUC3nNrKQY2oIQ_3_2"/>
      <w:bookmarkStart w:id="281" w:name="Tc_Nhj5HqBBXEGsew8f_slTJw_3_0"/>
      <w:bookmarkStart w:id="282" w:name="Tc_jmXOwwQV80adC1EAOYYQ0Q_2_8"/>
      <w:bookmarkStart w:id="283" w:name="Tc_fg0itmmx9E6vWi7T9oRjdg_2_2"/>
      <w:bookmarkStart w:id="284" w:name="Tc_apJB0_cwM0iowym5u_PfQw_1_8"/>
      <w:bookmarkStart w:id="285" w:name="Tc_SP36xEghUE2ztW--jH9seA_1_2"/>
      <w:bookmarkStart w:id="286" w:name="_743169c8_3c37_4d4a_98c4_685ccd32df4d"/>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tbl>
      <w:tblPr>
        <w:tblW w:w="10205" w:type="dxa"/>
        <w:jc w:val="left"/>
        <w:tblInd w:w="0" w:type="dxa"/>
        <w:tblLayout w:type="fixed"/>
        <w:tblCellMar>
          <w:top w:w="0" w:type="dxa"/>
          <w:left w:w="0" w:type="dxa"/>
          <w:bottom w:w="0" w:type="dxa"/>
          <w:right w:w="0" w:type="dxa"/>
        </w:tblCellMar>
      </w:tblPr>
      <w:tblGrid>
        <w:gridCol w:w="5148"/>
        <w:gridCol w:w="146"/>
        <w:gridCol w:w="211"/>
        <w:gridCol w:w="676"/>
        <w:gridCol w:w="346"/>
        <w:gridCol w:w="211"/>
        <w:gridCol w:w="676"/>
        <w:gridCol w:w="346"/>
        <w:gridCol w:w="211"/>
        <w:gridCol w:w="781"/>
        <w:gridCol w:w="346"/>
        <w:gridCol w:w="211"/>
        <w:gridCol w:w="896"/>
      </w:tblGrid>
      <w:tr>
        <w:tc>
          <w:tcPr>
            <w:tcW w:w="5148" w:type="dxa"/>
            <w:tcBorders/>
            <w:vAlign w:val="center"/>
          </w:tcPr>
          <w:p>
            <w:pPr>
              <w:pStyle w:val="TableContents"/>
              <w:bidi w:val="0"/>
              <w:spacing w:before="0" w:after="0"/>
              <w:ind w:left="0" w:right="0" w:hanging="0"/>
              <w:jc w:val="left"/>
            </w:pPr>
            <w: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92710" cy="175260"/>
                      <wp:effectExtent l="0" t="0" r="0" b="0"/>
                      <wp:wrapNone/>
                      <wp:docPr id="21" name="Frame2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29260" cy="175260"/>
                      <wp:effectExtent l="0" t="0" r="0" b="0"/>
                      <wp:wrapNone/>
                      <wp:docPr id="23" name="Frame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29260" cy="175260"/>
                      <wp:effectExtent l="0" t="0" r="0" b="0"/>
                      <wp:wrapNone/>
                      <wp:docPr id="26" name="Frame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95935" cy="175260"/>
                      <wp:effectExtent l="0" t="0" r="0" b="0"/>
                      <wp:wrapNone/>
                      <wp:docPr id="29" name="Frame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68960" cy="175260"/>
                      <wp:effectExtent l="0" t="0" r="0" b="0"/>
                      <wp:wrapNone/>
                      <wp:docPr id="32" name="Frame32"/>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5148" w:type="dxa"/>
            <w:tcBorders/>
            <w:vAlign w:val="center"/>
          </w:tcPr>
          <w:p>
            <w:pPr>
              <w:pStyle w:val="TableContents"/>
              <w:bidi w:val="0"/>
              <w:spacing w:before="0" w:after="0"/>
              <w:ind w:left="0" w:right="0" w:hanging="0"/>
              <w:jc w:val="left"/>
            </w:pPr>
            <w:r>
              <w:t>​</w:t>
            </w:r>
          </w:p>
        </w:tc>
        <w:tc>
          <w:tcPr>
            <w:tcW w:w="146" w:type="dxa"/>
            <w:tcBorders/>
            <w:vAlign w:val="center"/>
          </w:tcPr>
          <w:p>
            <w:pPr>
              <w:pStyle w:val="TableContents"/>
              <w:bidi w:val="0"/>
              <w:spacing w:before="0" w:after="0"/>
              <w:ind w:left="0" w:right="0" w:hanging="0"/>
              <w:jc w:val="left"/>
            </w:pPr>
            <w: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pPr>
            <w:r>
              <w:t>​</w:t>
            </w:r>
          </w:p>
        </w:tc>
        <w:tc>
          <w:tcPr>
            <w:tcW w:w="24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c>
          <w:tcPr>
            <w:tcW w:w="5148" w:type="dxa"/>
            <w:tcBorders/>
            <w:vAlign w:val="center"/>
          </w:tcPr>
          <w:p>
            <w:pPr>
              <w:pStyle w:val="TableContents"/>
              <w:bidi w:val="0"/>
              <w:spacing w:before="0" w:after="0"/>
              <w:ind w:left="0" w:right="0" w:hanging="0"/>
              <w:jc w:val="left"/>
            </w:pPr>
            <w:r>
              <w:t>​</w:t>
            </w:r>
          </w:p>
        </w:tc>
        <w:tc>
          <w:tcPr>
            <w:tcW w:w="146" w:type="dxa"/>
            <w:tcBorders/>
            <w:vAlign w:val="center"/>
          </w:tcPr>
          <w:p>
            <w:pPr>
              <w:pStyle w:val="TableContents"/>
              <w:bidi w:val="0"/>
              <w:spacing w:before="0" w:after="0"/>
              <w:ind w:left="0" w:right="0" w:hanging="0"/>
              <w:jc w:val="left"/>
            </w:pPr>
            <w:r>
              <w:t> </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before="0" w:after="0"/>
              <w:ind w:left="0" w:right="0" w:hanging="0"/>
              <w:jc w:val="center"/>
            </w:pPr>
            <w:r>
              <w:t>​</w:t>
            </w:r>
          </w:p>
        </w:tc>
        <w:tc>
          <w:tcPr>
            <w:tcW w:w="24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c>
          <w:tcPr>
            <w:tcW w:w="51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46" w:type="dxa"/>
            <w:tcBorders/>
            <w:vAlign w:val="center"/>
          </w:tcPr>
          <w:p>
            <w:pPr>
              <w:pStyle w:val="TableContents"/>
              <w:bidi w:val="0"/>
              <w:spacing w:before="0" w:after="0"/>
              <w:ind w:left="0" w:right="0" w:hanging="0"/>
              <w:jc w:val="left"/>
            </w:pPr>
            <w: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pPr>
            <w: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pPr>
            <w: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pPr>
            <w:r>
              <w:t>  ​ ​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51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1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43,013</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16,274</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164,213</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129,438</w:t>
            </w:r>
          </w:p>
        </w:tc>
      </w:tr>
      <w:tr>
        <w:tc>
          <w:tcPr>
            <w:tcW w:w="514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net of tax:</w:t>
            </w:r>
          </w:p>
        </w:tc>
        <w:tc>
          <w:tcPr>
            <w:tcW w:w="1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676" w:type="dxa"/>
            <w:tcBorders/>
            <w:vAlign w:val="center"/>
          </w:tcPr>
          <w:p>
            <w:pPr>
              <w:pStyle w:val="TableContents"/>
              <w:bidi w:val="0"/>
              <w:spacing w:before="0" w:after="0"/>
              <w:ind w:left="0" w:right="0" w:hanging="0"/>
              <w:jc w:val="right"/>
            </w:pPr>
            <w:r>
              <w:t>  ​</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676" w:type="dxa"/>
            <w:tcBorders/>
            <w:vAlign w:val="center"/>
          </w:tcPr>
          <w:p>
            <w:pPr>
              <w:pStyle w:val="TableContents"/>
              <w:bidi w:val="0"/>
              <w:spacing w:before="0" w:after="0"/>
              <w:ind w:left="0" w:right="0" w:hanging="0"/>
              <w:jc w:val="right"/>
            </w:pPr>
            <w:r>
              <w:t>  ​</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781" w:type="dxa"/>
            <w:tcBorders/>
            <w:vAlign w:val="center"/>
          </w:tcPr>
          <w:p>
            <w:pPr>
              <w:pStyle w:val="TableContents"/>
              <w:bidi w:val="0"/>
              <w:spacing w:before="0" w:after="0"/>
              <w:ind w:left="0" w:right="0" w:hanging="0"/>
              <w:jc w:val="right"/>
            </w:pPr>
            <w:r>
              <w:t>  ​</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896" w:type="dxa"/>
            <w:tcBorders/>
            <w:vAlign w:val="center"/>
          </w:tcPr>
          <w:p>
            <w:pPr>
              <w:pStyle w:val="TableContents"/>
              <w:bidi w:val="0"/>
              <w:spacing w:before="0" w:after="0"/>
              <w:ind w:left="0" w:right="0" w:hanging="0"/>
              <w:jc w:val="right"/>
            </w:pPr>
            <w:r>
              <w:t>  ​</w:t>
            </w:r>
          </w:p>
        </w:tc>
      </w:tr>
      <w:tr>
        <w:tc>
          <w:tcPr>
            <w:tcW w:w="51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available-for-sale securities, net of taxes of $194 and $121 for the three months ended September 30, 2026 and 2025, respectively, and $398 and $172 for the nine months ended September 30, 2026 and 2025, respectively</w:t>
            </w:r>
          </w:p>
        </w:tc>
        <w:tc>
          <w:tcPr>
            <w:tcW w:w="1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r>
      <w:tr>
        <w:tc>
          <w:tcPr>
            <w:tcW w:w="514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income</w:t>
            </w:r>
          </w:p>
        </w:tc>
        <w:tc>
          <w:tcPr>
            <w:tcW w:w="1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42,395</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16,660</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162,939</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129,989</w:t>
            </w:r>
          </w:p>
        </w:tc>
      </w:tr>
    </w:tbl>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87" w:name="_ba93085a_794a_412a_a045_8b51108fbd97"/>
      <w:bookmarkEnd w:id="287"/>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88" w:name="Tc_251qV27HOEC5troZ6OaL5w_21_21"/>
      <w:bookmarkStart w:id="289" w:name="Tc_eOpAwIZ-Rk6Z6bH4FBJa6Q_21_18"/>
      <w:bookmarkStart w:id="290" w:name="Tc_zakJF2rXtU-Us_AyVOCbxQ_21_15"/>
      <w:bookmarkStart w:id="291" w:name="Tc_Rw8in5zVP0y2obD08WtwhQ_21_12"/>
      <w:bookmarkStart w:id="292" w:name="Tc_b0nIrkaZOEWFm7YUs6vi4g_21_9"/>
      <w:bookmarkStart w:id="293" w:name="Tc_HhEVAw4vR0q0FF-tRP1cBQ_21_4"/>
      <w:bookmarkStart w:id="294" w:name="Tc_TpDo3GscQUCY-Y1EA6idJQ_21_0"/>
      <w:bookmarkStart w:id="295" w:name="Tc_LlcYy41omUKcQrHw0QB9ag_20_19"/>
      <w:bookmarkStart w:id="296" w:name="Tc_vuUs9SJjaEGWoY06BxjQgg_20_16"/>
      <w:bookmarkStart w:id="297" w:name="Tc_9O75_4gNaUWzy9YFLDAhrw_20_10"/>
      <w:bookmarkStart w:id="298" w:name="Tc_4BgoHf3wMUmaPt1-mRnGQA_20_7"/>
      <w:bookmarkStart w:id="299" w:name="Tc_lVzBANv6EUKOIjAu9Z2MkQ_20_5"/>
      <w:bookmarkStart w:id="300" w:name="Tc_2_RtAlw4TkaGcSLp2WRkqg_20_2"/>
      <w:bookmarkStart w:id="301" w:name="Tc_sA70g7ZW3kWcqGw5o9PMVA_20_0"/>
      <w:bookmarkStart w:id="302" w:name="Tc_yaJcnVYCjUCLuKuL6vpLZg_19_22"/>
      <w:bookmarkStart w:id="303" w:name="Tc_1bI2DZ1pbk-z60MSEuyYwQ_19_19"/>
      <w:bookmarkStart w:id="304" w:name="Tc_bXKCqg9SnkyqnQYjKlRaUQ_19_16"/>
      <w:bookmarkStart w:id="305" w:name="Tc_2UO3lkI_z0SNZQexvcUhqg_19_13"/>
      <w:bookmarkStart w:id="306" w:name="Tc_444FmbGZeUWmfOMLKcokMQ_19_10"/>
      <w:bookmarkStart w:id="307" w:name="Tc_9_43M9Zu4kqnxrKNnRLSgA_19_5"/>
      <w:bookmarkStart w:id="308" w:name="Tc_dBUXEWPfMkCUIWZ8lyonuA_19_2"/>
      <w:bookmarkStart w:id="309" w:name="Tc_UCocw9KToEO-H6jzRyD43Q_19_0"/>
      <w:bookmarkStart w:id="310" w:name="Tc_TUDOewQAqUOXyZAGORcJjA_18_19"/>
      <w:bookmarkStart w:id="311" w:name="Tc_nA16RVkfZE2lbETbghkIVQ_18_16"/>
      <w:bookmarkStart w:id="312" w:name="Tc_HCDRTyRVXEa39oAir4uJEQ_18_13"/>
      <w:bookmarkStart w:id="313" w:name="Tc_QQYe7iFZm0iRUObCvYaWAA_18_5"/>
      <w:bookmarkStart w:id="314" w:name="Tc_f0yF02fUpUC9X1eHQRR3PQ_18_2"/>
      <w:bookmarkStart w:id="315" w:name="Tc_vpQN7IeQQE6EwZLcXYS-dg_18_0"/>
      <w:bookmarkStart w:id="316" w:name="Tc_D5oYxDhzLk2hGGjMnvKwKQ_17_13"/>
      <w:bookmarkStart w:id="317" w:name="Tc_mVygcZSDJUaJ9RKE3JORLg_17_10"/>
      <w:bookmarkStart w:id="318" w:name="Tc_kzQJHDR7X0WNBdG0bHxOLg_17_7"/>
      <w:bookmarkStart w:id="319" w:name="Tc_2Jqy3ISfF0-xRCbZcf1dJg_17_5"/>
      <w:bookmarkStart w:id="320" w:name="Tc_BEJDGKK_hEu8J5Cx0nbF1A_17_2"/>
      <w:bookmarkStart w:id="321" w:name="Tc_lxh3Xkypr0iJDbjilTomrA_17_0"/>
      <w:bookmarkStart w:id="322" w:name="Tc_NarMbPzVfEW_inaCGR1COA_16_21"/>
      <w:bookmarkStart w:id="323" w:name="Tc_649jeF58E02S551WMWXR-g_16_18"/>
      <w:bookmarkStart w:id="324" w:name="Tc_fJNdIjz_dkmle6H_09nPGw_16_15"/>
      <w:bookmarkStart w:id="325" w:name="Tc_Fq2k-1BbuUGeWU-9TfSPIg_16_12"/>
      <w:bookmarkStart w:id="326" w:name="Tc_F9gdMhQQ8UWAcX28uLPI_w_16_9"/>
      <w:bookmarkStart w:id="327" w:name="Tc_z7qr1FKxEUqdVY2OK-70uw_16_4"/>
      <w:bookmarkStart w:id="328" w:name="Tc_6MzeC_eBnUedMwyurDV4aw_16_0"/>
      <w:bookmarkStart w:id="329" w:name="Tc_dNWoz-bSDEWdhOy7o5INug_15_19"/>
      <w:bookmarkStart w:id="330" w:name="Tc_F632VD4A5UmGGU_Pzk8oIA_15_16"/>
      <w:bookmarkStart w:id="331" w:name="Tc_Ir8Rsy9W80mMmriiPOteyg_15_10"/>
      <w:bookmarkStart w:id="332" w:name="Tc_gTUcuYbfikC4rIGTx9RELQ_15_7"/>
      <w:bookmarkStart w:id="333" w:name="Tc_G0FxH7ZgtkeLQkyW1ygijQ_15_5"/>
      <w:bookmarkStart w:id="334" w:name="Tc_83IbeMNuL0mn7QY_DmqeYQ_15_0"/>
      <w:bookmarkStart w:id="335" w:name="Tc_efDZnuu9s0iGYilTx93NYA_14_22"/>
      <w:bookmarkStart w:id="336" w:name="Tc_jOsxOp435k2cftaKgYe-EA_14_19"/>
      <w:bookmarkStart w:id="337" w:name="Tc_FaPc3p7V5EetwTcoxh7lug_14_16"/>
      <w:bookmarkStart w:id="338" w:name="Tc_rGK92Woi6UqtwHqBNT3qBw_14_13"/>
      <w:bookmarkStart w:id="339" w:name="Tc_jcm5pqoFb0GhBJm3puvCCg_14_10"/>
      <w:bookmarkStart w:id="340" w:name="Tc_IrFwBAkWoUi23V7K8h8hjg_14_5"/>
      <w:bookmarkStart w:id="341" w:name="Tc_noFUJQDIkE2B96QUzviEnw_14_2"/>
      <w:bookmarkStart w:id="342" w:name="Tc_qjJmuHsQHUunavk88RpKQw_14_0"/>
      <w:bookmarkStart w:id="343" w:name="Tc_gGVxfNs2gkqZtvClCnBFSQ_13_19"/>
      <w:bookmarkStart w:id="344" w:name="Tc_wIk1iPwlo0aDm-pQLGtBJA_13_16"/>
      <w:bookmarkStart w:id="345" w:name="Tc_NhVeRJyBlkqOgi1cr6qnOQ_13_13"/>
      <w:bookmarkStart w:id="346" w:name="Tc_rQ1VgVppCUS5EMXDY58Omg_13_5"/>
      <w:bookmarkStart w:id="347" w:name="Tc_MecE-5p-5EO33osudoM_wQ_13_2"/>
      <w:bookmarkStart w:id="348" w:name="Tc_GuPeOb-eM0mPAl1BGFKtyQ_13_0"/>
      <w:bookmarkStart w:id="349" w:name="Tc_As4HQLk__k6buTBG6_WKGw_12_13"/>
      <w:bookmarkStart w:id="350" w:name="Tc_o-HwdDtmlEupBm3ado5lvQ_12_10"/>
      <w:bookmarkStart w:id="351" w:name="Tc_qwgSlU9SVk2yS3pRB-xAEQ_12_7"/>
      <w:bookmarkStart w:id="352" w:name="Tc_HfOmq8RAcEK521NXzky-rA_12_5"/>
      <w:bookmarkStart w:id="353" w:name="Tc_naBgL1PfNU2xrU57ZDEEpg_12_2"/>
      <w:bookmarkStart w:id="354" w:name="Tc_BgbpqB8RfkaI3mbc-guQug_12_0"/>
      <w:bookmarkStart w:id="355" w:name="Tc_-WzoaMjWiE-KaUcoRzi5Hg_11_21"/>
      <w:bookmarkStart w:id="356" w:name="Tc_mzYoFGq9Z0iTKPeAjMEw3g_11_18"/>
      <w:bookmarkStart w:id="357" w:name="Tc_ju--07xwIEWkx5mELuwYgw_11_15"/>
      <w:bookmarkStart w:id="358" w:name="Tc_FgNtpucRl0Gp1dVWtUh3hA_11_12"/>
      <w:bookmarkStart w:id="359" w:name="Tc_m6tBpdKGi02tFH33vM4wUQ_11_9"/>
      <w:bookmarkStart w:id="360" w:name="Tc_NyeZ4gUGPk6Qpc8XlW4BNg_11_4"/>
      <w:bookmarkStart w:id="361" w:name="Tc_eq0WgOTsgUqCBRJq9J5OZQ_11_0"/>
      <w:bookmarkStart w:id="362" w:name="Tc_E43-VhwVQUmD82tjexAJ9g_10_19"/>
      <w:bookmarkStart w:id="363" w:name="Tc_rFz26c7leEas069qMKiOpA_10_16"/>
      <w:bookmarkStart w:id="364" w:name="Tc_Koa1V4zSJESMMUeLgjZsPg_10_0"/>
      <w:bookmarkStart w:id="365" w:name="Tc_mgIw1MG5_USjDjodmR69wQ_9_22"/>
      <w:bookmarkStart w:id="366" w:name="Tc_WN5mRHU9ikGGLwc0dYS2rA_9_19"/>
      <w:bookmarkStart w:id="367" w:name="Tc_9QmB63LT_UakonuyDUDSfA_9_16"/>
      <w:bookmarkStart w:id="368" w:name="Tc_lTLmlX1Fk0aOMKziJXLZNA_9_13"/>
      <w:bookmarkStart w:id="369" w:name="Tc_WoMp9tLFHEmH1nJGu2hRZQ_9_10"/>
      <w:bookmarkStart w:id="370" w:name="Tc_8va5ZgRig0ix10xDcmZJZQ_9_5"/>
      <w:bookmarkStart w:id="371" w:name="Tc_eASQlBhulkS1W3MwCoLLnA_9_2"/>
      <w:bookmarkStart w:id="372" w:name="Tc_VyRk5j7ZYkGutK6uKzppCg_9_0"/>
      <w:bookmarkStart w:id="373" w:name="Tc_U8lt2A_eZEGst5ttO1znWA_8_19"/>
      <w:bookmarkStart w:id="374" w:name="Tc_5D1brAZT2US8A2xPNQ8_Bg_8_16"/>
      <w:bookmarkStart w:id="375" w:name="Tc_R2gvg_YHmUi-eo394z09-A_8_13"/>
      <w:bookmarkStart w:id="376" w:name="Tc_h7keP7YPnkeDM_mUIPCQBg_8_5"/>
      <w:bookmarkStart w:id="377" w:name="Tc_L7CV9TOID0-BKsz1JUjBJA_8_2"/>
      <w:bookmarkStart w:id="378" w:name="Tc_VI5Vn8YhZUSghRlYFv2MAg_8_0"/>
      <w:bookmarkStart w:id="379" w:name="Tc_Zcr7oXugeEuTsfH42n0vxA_7_13"/>
      <w:bookmarkStart w:id="380" w:name="Tc_kBqo7uzH-ku43N5QZJGcAQ_7_10"/>
      <w:bookmarkStart w:id="381" w:name="Tc_ESjE3NCfmE2POw1cZ5QIeg_7_7"/>
      <w:bookmarkStart w:id="382" w:name="Tc_-eXrdYEolU6tHp4Yvp35uQ_7_5"/>
      <w:bookmarkStart w:id="383" w:name="Tc_-dWjPOB850mGArOpFZ8fFA_7_2"/>
      <w:bookmarkStart w:id="384" w:name="Tc_jduAAo7Sb0iJRDY7WfvbSg_7_0"/>
      <w:bookmarkStart w:id="385" w:name="Tc_aV7laxy-R0aDtv6MwBLiXg_6_21"/>
      <w:bookmarkStart w:id="386" w:name="Tc_JkVVHvwH0Eiee5EtjWC2Gg_6_18"/>
      <w:bookmarkStart w:id="387" w:name="Tc_wFlEMTA3DkGlfny4oYSgwQ_6_15"/>
      <w:bookmarkStart w:id="388" w:name="Tc_sVP7ohBo8kK2ygXO_z18Xg_6_12"/>
      <w:bookmarkStart w:id="389" w:name="Tc_Vc3J8QGg2kKKCDTBCSaiuQ_6_9"/>
      <w:bookmarkStart w:id="390" w:name="Tc_StHcidOvDESnbv5C41Fglg_6_4"/>
      <w:bookmarkStart w:id="391" w:name="Tc_qvFHcfh8Uk67ZpVWOp4z4Q_6_0"/>
      <w:bookmarkStart w:id="392" w:name="Tc_Se9tujoYcEqxATIxVlynxQ_5_21"/>
      <w:bookmarkStart w:id="393" w:name="Tc_NWgQAYarNEW3gdkoKWnaBg_5_18"/>
      <w:bookmarkStart w:id="394" w:name="Tc_9WPz8LJ8sE608EShFYvUSw_5_15"/>
      <w:bookmarkStart w:id="395" w:name="Tc_m0VdVApvhk6VI84ueTjvMA_5_12"/>
      <w:bookmarkStart w:id="396" w:name="Tc_DKc6mLY0y0y95gg1NsJBtw_5_9"/>
      <w:bookmarkStart w:id="397" w:name="Tc_R6QgZp4hQUe1_90xrjCpWw_5_7"/>
      <w:bookmarkStart w:id="398" w:name="Tc__q_UqfPZDkK_l2Q5Cc2Nhw_5_4"/>
      <w:bookmarkStart w:id="399" w:name="Tc_MTNuuhSXmUyS_1C1VMy7NQ_5_2"/>
      <w:bookmarkStart w:id="400" w:name="Tc_-p3UTRYrCE6Br8naUORDLw_4_18"/>
      <w:bookmarkStart w:id="401" w:name="Tc_35KWNOXEiESf7kBDSzlswA_4_15"/>
      <w:bookmarkStart w:id="402" w:name="Tc_kbrn6AG9wUOBNrsgc3K_XA_4_12"/>
      <w:bookmarkStart w:id="403" w:name="Tc_ejoLwjTDkE-cKnseneT5TQ_4_7"/>
      <w:bookmarkStart w:id="404" w:name="Tc_PC5kgBh4v0ycLj1Eh5KJ9A_4_2"/>
      <w:bookmarkStart w:id="405" w:name="Tc_9WFCdZT9BUKQoVY1uF3O2Q_3_15"/>
      <w:bookmarkStart w:id="406" w:name="Tc_VDmL1vMl20KD9OyDcGnSGQ_3_12"/>
      <w:bookmarkStart w:id="407" w:name="Tc_HxlAaw7zw0asSJM1RhKTDg_2_15"/>
      <w:bookmarkStart w:id="408" w:name="Tc_pqL7HEpjqkGdUj_TVyToXw_1_2"/>
      <w:bookmarkStart w:id="409" w:name="_6c2148fc_67e0_4c26_b347_3f3814c45b99"/>
      <w:bookmarkStart w:id="410" w:name="Tc_251qV27HOEC5troZ6OaL5w_21_21"/>
      <w:bookmarkStart w:id="411" w:name="Tc_eOpAwIZ-Rk6Z6bH4FBJa6Q_21_18"/>
      <w:bookmarkStart w:id="412" w:name="Tc_zakJF2rXtU-Us_AyVOCbxQ_21_15"/>
      <w:bookmarkStart w:id="413" w:name="Tc_Rw8in5zVP0y2obD08WtwhQ_21_12"/>
      <w:bookmarkStart w:id="414" w:name="Tc_b0nIrkaZOEWFm7YUs6vi4g_21_9"/>
      <w:bookmarkStart w:id="415" w:name="Tc_HhEVAw4vR0q0FF-tRP1cBQ_21_4"/>
      <w:bookmarkStart w:id="416" w:name="Tc_TpDo3GscQUCY-Y1EA6idJQ_21_0"/>
      <w:bookmarkStart w:id="417" w:name="Tc_LlcYy41omUKcQrHw0QB9ag_20_19"/>
      <w:bookmarkStart w:id="418" w:name="Tc_vuUs9SJjaEGWoY06BxjQgg_20_16"/>
      <w:bookmarkStart w:id="419" w:name="Tc_9O75_4gNaUWzy9YFLDAhrw_20_10"/>
      <w:bookmarkStart w:id="420" w:name="Tc_4BgoHf3wMUmaPt1-mRnGQA_20_7"/>
      <w:bookmarkStart w:id="421" w:name="Tc_lVzBANv6EUKOIjAu9Z2MkQ_20_5"/>
      <w:bookmarkStart w:id="422" w:name="Tc_2_RtAlw4TkaGcSLp2WRkqg_20_2"/>
      <w:bookmarkStart w:id="423" w:name="Tc_sA70g7ZW3kWcqGw5o9PMVA_20_0"/>
      <w:bookmarkStart w:id="424" w:name="Tc_yaJcnVYCjUCLuKuL6vpLZg_19_22"/>
      <w:bookmarkStart w:id="425" w:name="Tc_1bI2DZ1pbk-z60MSEuyYwQ_19_19"/>
      <w:bookmarkStart w:id="426" w:name="Tc_bXKCqg9SnkyqnQYjKlRaUQ_19_16"/>
      <w:bookmarkStart w:id="427" w:name="Tc_2UO3lkI_z0SNZQexvcUhqg_19_13"/>
      <w:bookmarkStart w:id="428" w:name="Tc_444FmbGZeUWmfOMLKcokMQ_19_10"/>
      <w:bookmarkStart w:id="429" w:name="Tc_9_43M9Zu4kqnxrKNnRLSgA_19_5"/>
      <w:bookmarkStart w:id="430" w:name="Tc_dBUXEWPfMkCUIWZ8lyonuA_19_2"/>
      <w:bookmarkStart w:id="431" w:name="Tc_UCocw9KToEO-H6jzRyD43Q_19_0"/>
      <w:bookmarkStart w:id="432" w:name="Tc_TUDOewQAqUOXyZAGORcJjA_18_19"/>
      <w:bookmarkStart w:id="433" w:name="Tc_nA16RVkfZE2lbETbghkIVQ_18_16"/>
      <w:bookmarkStart w:id="434" w:name="Tc_HCDRTyRVXEa39oAir4uJEQ_18_13"/>
      <w:bookmarkStart w:id="435" w:name="Tc_QQYe7iFZm0iRUObCvYaWAA_18_5"/>
      <w:bookmarkStart w:id="436" w:name="Tc_f0yF02fUpUC9X1eHQRR3PQ_18_2"/>
      <w:bookmarkStart w:id="437" w:name="Tc_vpQN7IeQQE6EwZLcXYS-dg_18_0"/>
      <w:bookmarkStart w:id="438" w:name="Tc_D5oYxDhzLk2hGGjMnvKwKQ_17_13"/>
      <w:bookmarkStart w:id="439" w:name="Tc_mVygcZSDJUaJ9RKE3JORLg_17_10"/>
      <w:bookmarkStart w:id="440" w:name="Tc_kzQJHDR7X0WNBdG0bHxOLg_17_7"/>
      <w:bookmarkStart w:id="441" w:name="Tc_2Jqy3ISfF0-xRCbZcf1dJg_17_5"/>
      <w:bookmarkStart w:id="442" w:name="Tc_BEJDGKK_hEu8J5Cx0nbF1A_17_2"/>
      <w:bookmarkStart w:id="443" w:name="Tc_lxh3Xkypr0iJDbjilTomrA_17_0"/>
      <w:bookmarkStart w:id="444" w:name="Tc_NarMbPzVfEW_inaCGR1COA_16_21"/>
      <w:bookmarkStart w:id="445" w:name="Tc_649jeF58E02S551WMWXR-g_16_18"/>
      <w:bookmarkStart w:id="446" w:name="Tc_fJNdIjz_dkmle6H_09nPGw_16_15"/>
      <w:bookmarkStart w:id="447" w:name="Tc_Fq2k-1BbuUGeWU-9TfSPIg_16_12"/>
      <w:bookmarkStart w:id="448" w:name="Tc_F9gdMhQQ8UWAcX28uLPI_w_16_9"/>
      <w:bookmarkStart w:id="449" w:name="Tc_z7qr1FKxEUqdVY2OK-70uw_16_4"/>
      <w:bookmarkStart w:id="450" w:name="Tc_6MzeC_eBnUedMwyurDV4aw_16_0"/>
      <w:bookmarkStart w:id="451" w:name="Tc_dNWoz-bSDEWdhOy7o5INug_15_19"/>
      <w:bookmarkStart w:id="452" w:name="Tc_F632VD4A5UmGGU_Pzk8oIA_15_16"/>
      <w:bookmarkStart w:id="453" w:name="Tc_Ir8Rsy9W80mMmriiPOteyg_15_10"/>
      <w:bookmarkStart w:id="454" w:name="Tc_gTUcuYbfikC4rIGTx9RELQ_15_7"/>
      <w:bookmarkStart w:id="455" w:name="Tc_G0FxH7ZgtkeLQkyW1ygijQ_15_5"/>
      <w:bookmarkStart w:id="456" w:name="Tc_83IbeMNuL0mn7QY_DmqeYQ_15_0"/>
      <w:bookmarkStart w:id="457" w:name="Tc_efDZnuu9s0iGYilTx93NYA_14_22"/>
      <w:bookmarkStart w:id="458" w:name="Tc_jOsxOp435k2cftaKgYe-EA_14_19"/>
      <w:bookmarkStart w:id="459" w:name="Tc_FaPc3p7V5EetwTcoxh7lug_14_16"/>
      <w:bookmarkStart w:id="460" w:name="Tc_rGK92Woi6UqtwHqBNT3qBw_14_13"/>
      <w:bookmarkStart w:id="461" w:name="Tc_jcm5pqoFb0GhBJm3puvCCg_14_10"/>
      <w:bookmarkStart w:id="462" w:name="Tc_IrFwBAkWoUi23V7K8h8hjg_14_5"/>
      <w:bookmarkStart w:id="463" w:name="Tc_noFUJQDIkE2B96QUzviEnw_14_2"/>
      <w:bookmarkStart w:id="464" w:name="Tc_qjJmuHsQHUunavk88RpKQw_14_0"/>
      <w:bookmarkStart w:id="465" w:name="Tc_gGVxfNs2gkqZtvClCnBFSQ_13_19"/>
      <w:bookmarkStart w:id="466" w:name="Tc_wIk1iPwlo0aDm-pQLGtBJA_13_16"/>
      <w:bookmarkStart w:id="467" w:name="Tc_NhVeRJyBlkqOgi1cr6qnOQ_13_13"/>
      <w:bookmarkStart w:id="468" w:name="Tc_rQ1VgVppCUS5EMXDY58Omg_13_5"/>
      <w:bookmarkStart w:id="469" w:name="Tc_MecE-5p-5EO33osudoM_wQ_13_2"/>
      <w:bookmarkStart w:id="470" w:name="Tc_GuPeOb-eM0mPAl1BGFKtyQ_13_0"/>
      <w:bookmarkStart w:id="471" w:name="Tc_As4HQLk__k6buTBG6_WKGw_12_13"/>
      <w:bookmarkStart w:id="472" w:name="Tc_o-HwdDtmlEupBm3ado5lvQ_12_10"/>
      <w:bookmarkStart w:id="473" w:name="Tc_qwgSlU9SVk2yS3pRB-xAEQ_12_7"/>
      <w:bookmarkStart w:id="474" w:name="Tc_HfOmq8RAcEK521NXzky-rA_12_5"/>
      <w:bookmarkStart w:id="475" w:name="Tc_naBgL1PfNU2xrU57ZDEEpg_12_2"/>
      <w:bookmarkStart w:id="476" w:name="Tc_BgbpqB8RfkaI3mbc-guQug_12_0"/>
      <w:bookmarkStart w:id="477" w:name="Tc_-WzoaMjWiE-KaUcoRzi5Hg_11_21"/>
      <w:bookmarkStart w:id="478" w:name="Tc_mzYoFGq9Z0iTKPeAjMEw3g_11_18"/>
      <w:bookmarkStart w:id="479" w:name="Tc_ju--07xwIEWkx5mELuwYgw_11_15"/>
      <w:bookmarkStart w:id="480" w:name="Tc_FgNtpucRl0Gp1dVWtUh3hA_11_12"/>
      <w:bookmarkStart w:id="481" w:name="Tc_m6tBpdKGi02tFH33vM4wUQ_11_9"/>
      <w:bookmarkStart w:id="482" w:name="Tc_NyeZ4gUGPk6Qpc8XlW4BNg_11_4"/>
      <w:bookmarkStart w:id="483" w:name="Tc_eq0WgOTsgUqCBRJq9J5OZQ_11_0"/>
      <w:bookmarkStart w:id="484" w:name="Tc_E43-VhwVQUmD82tjexAJ9g_10_19"/>
      <w:bookmarkStart w:id="485" w:name="Tc_rFz26c7leEas069qMKiOpA_10_16"/>
      <w:bookmarkStart w:id="486" w:name="Tc_Koa1V4zSJESMMUeLgjZsPg_10_0"/>
      <w:bookmarkStart w:id="487" w:name="Tc_mgIw1MG5_USjDjodmR69wQ_9_22"/>
      <w:bookmarkStart w:id="488" w:name="Tc_WN5mRHU9ikGGLwc0dYS2rA_9_19"/>
      <w:bookmarkStart w:id="489" w:name="Tc_9QmB63LT_UakonuyDUDSfA_9_16"/>
      <w:bookmarkStart w:id="490" w:name="Tc_lTLmlX1Fk0aOMKziJXLZNA_9_13"/>
      <w:bookmarkStart w:id="491" w:name="Tc_WoMp9tLFHEmH1nJGu2hRZQ_9_10"/>
      <w:bookmarkStart w:id="492" w:name="Tc_8va5ZgRig0ix10xDcmZJZQ_9_5"/>
      <w:bookmarkStart w:id="493" w:name="Tc_eASQlBhulkS1W3MwCoLLnA_9_2"/>
      <w:bookmarkStart w:id="494" w:name="Tc_VyRk5j7ZYkGutK6uKzppCg_9_0"/>
      <w:bookmarkStart w:id="495" w:name="Tc_U8lt2A_eZEGst5ttO1znWA_8_19"/>
      <w:bookmarkStart w:id="496" w:name="Tc_5D1brAZT2US8A2xPNQ8_Bg_8_16"/>
      <w:bookmarkStart w:id="497" w:name="Tc_R2gvg_YHmUi-eo394z09-A_8_13"/>
      <w:bookmarkStart w:id="498" w:name="Tc_h7keP7YPnkeDM_mUIPCQBg_8_5"/>
      <w:bookmarkStart w:id="499" w:name="Tc_L7CV9TOID0-BKsz1JUjBJA_8_2"/>
      <w:bookmarkStart w:id="500" w:name="Tc_VI5Vn8YhZUSghRlYFv2MAg_8_0"/>
      <w:bookmarkStart w:id="501" w:name="Tc_Zcr7oXugeEuTsfH42n0vxA_7_13"/>
      <w:bookmarkStart w:id="502" w:name="Tc_kBqo7uzH-ku43N5QZJGcAQ_7_10"/>
      <w:bookmarkStart w:id="503" w:name="Tc_ESjE3NCfmE2POw1cZ5QIeg_7_7"/>
      <w:bookmarkStart w:id="504" w:name="Tc_-eXrdYEolU6tHp4Yvp35uQ_7_5"/>
      <w:bookmarkStart w:id="505" w:name="Tc_-dWjPOB850mGArOpFZ8fFA_7_2"/>
      <w:bookmarkStart w:id="506" w:name="Tc_jduAAo7Sb0iJRDY7WfvbSg_7_0"/>
      <w:bookmarkStart w:id="507" w:name="Tc_aV7laxy-R0aDtv6MwBLiXg_6_21"/>
      <w:bookmarkStart w:id="508" w:name="Tc_JkVVHvwH0Eiee5EtjWC2Gg_6_18"/>
      <w:bookmarkStart w:id="509" w:name="Tc_wFlEMTA3DkGlfny4oYSgwQ_6_15"/>
      <w:bookmarkStart w:id="510" w:name="Tc_sVP7ohBo8kK2ygXO_z18Xg_6_12"/>
      <w:bookmarkStart w:id="511" w:name="Tc_Vc3J8QGg2kKKCDTBCSaiuQ_6_9"/>
      <w:bookmarkStart w:id="512" w:name="Tc_StHcidOvDESnbv5C41Fglg_6_4"/>
      <w:bookmarkStart w:id="513" w:name="Tc_qvFHcfh8Uk67ZpVWOp4z4Q_6_0"/>
      <w:bookmarkStart w:id="514" w:name="Tc_Se9tujoYcEqxATIxVlynxQ_5_21"/>
      <w:bookmarkStart w:id="515" w:name="Tc_NWgQAYarNEW3gdkoKWnaBg_5_18"/>
      <w:bookmarkStart w:id="516" w:name="Tc_9WPz8LJ8sE608EShFYvUSw_5_15"/>
      <w:bookmarkStart w:id="517" w:name="Tc_m0VdVApvhk6VI84ueTjvMA_5_12"/>
      <w:bookmarkStart w:id="518" w:name="Tc_DKc6mLY0y0y95gg1NsJBtw_5_9"/>
      <w:bookmarkStart w:id="519" w:name="Tc_R6QgZp4hQUe1_90xrjCpWw_5_7"/>
      <w:bookmarkStart w:id="520" w:name="Tc__q_UqfPZDkK_l2Q5Cc2Nhw_5_4"/>
      <w:bookmarkStart w:id="521" w:name="Tc_MTNuuhSXmUyS_1C1VMy7NQ_5_2"/>
      <w:bookmarkStart w:id="522" w:name="Tc_-p3UTRYrCE6Br8naUORDLw_4_18"/>
      <w:bookmarkStart w:id="523" w:name="Tc_35KWNOXEiESf7kBDSzlswA_4_15"/>
      <w:bookmarkStart w:id="524" w:name="Tc_kbrn6AG9wUOBNrsgc3K_XA_4_12"/>
      <w:bookmarkStart w:id="525" w:name="Tc_ejoLwjTDkE-cKnseneT5TQ_4_7"/>
      <w:bookmarkStart w:id="526" w:name="Tc_PC5kgBh4v0ycLj1Eh5KJ9A_4_2"/>
      <w:bookmarkStart w:id="527" w:name="Tc_9WFCdZT9BUKQoVY1uF3O2Q_3_15"/>
      <w:bookmarkStart w:id="528" w:name="Tc_VDmL1vMl20KD9OyDcGnSGQ_3_12"/>
      <w:bookmarkStart w:id="529" w:name="Tc_HxlAaw7zw0asSJM1RhKTDg_2_15"/>
      <w:bookmarkStart w:id="530" w:name="Tc_pqL7HEpjqkGdUj_TVyToXw_1_2"/>
      <w:bookmarkStart w:id="531" w:name="_6c2148fc_67e0_4c26_b347_3f3814c45b9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tbl>
      <w:tblPr>
        <w:tblW w:w="11046" w:type="dxa"/>
        <w:jc w:val="left"/>
        <w:tblInd w:w="0" w:type="dxa"/>
        <w:tblLayout w:type="fixed"/>
        <w:tblCellMar>
          <w:top w:w="0" w:type="dxa"/>
          <w:left w:w="0" w:type="dxa"/>
          <w:bottom w:w="0" w:type="dxa"/>
          <w:right w:w="0" w:type="dxa"/>
        </w:tblCellMar>
      </w:tblPr>
      <w:tblGrid>
        <w:gridCol w:w="1396"/>
        <w:gridCol w:w="226"/>
        <w:gridCol w:w="676"/>
        <w:gridCol w:w="226"/>
        <w:gridCol w:w="280"/>
        <w:gridCol w:w="561"/>
        <w:gridCol w:w="226"/>
        <w:gridCol w:w="676"/>
        <w:gridCol w:w="226"/>
        <w:gridCol w:w="211"/>
        <w:gridCol w:w="991"/>
        <w:gridCol w:w="226"/>
        <w:gridCol w:w="211"/>
        <w:gridCol w:w="781"/>
        <w:gridCol w:w="226"/>
        <w:gridCol w:w="370"/>
        <w:gridCol w:w="846"/>
        <w:gridCol w:w="226"/>
        <w:gridCol w:w="211"/>
        <w:gridCol w:w="931"/>
        <w:gridCol w:w="226"/>
        <w:gridCol w:w="211"/>
        <w:gridCol w:w="886"/>
      </w:tblGrid>
      <w:tr>
        <w:tc>
          <w:tcPr>
            <w:tcW w:w="1396"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3510" cy="175260"/>
                      <wp:effectExtent l="0" t="0" r="0" b="0"/>
                      <wp:wrapNone/>
                      <wp:docPr id="33" name="Frame3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29260" cy="175260"/>
                      <wp:effectExtent l="0" t="0" r="0" b="0"/>
                      <wp:wrapNone/>
                      <wp:docPr id="34" name="Frame3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3510" cy="175260"/>
                      <wp:effectExtent l="0" t="0" r="0" b="0"/>
                      <wp:wrapNone/>
                      <wp:docPr id="35" name="Frame3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77800" cy="175260"/>
                      <wp:effectExtent l="0" t="0" r="0" b="0"/>
                      <wp:wrapNone/>
                      <wp:docPr id="36" name="Frame36"/>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356235" cy="175260"/>
                      <wp:effectExtent l="0" t="0" r="0" b="0"/>
                      <wp:wrapNone/>
                      <wp:docPr id="37" name="Frame37"/>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43510" cy="175260"/>
                      <wp:effectExtent l="0" t="0" r="0" b="0"/>
                      <wp:wrapNone/>
                      <wp:docPr id="38" name="Frame3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29260" cy="175260"/>
                      <wp:effectExtent l="0" t="0" r="0" b="0"/>
                      <wp:wrapNone/>
                      <wp:docPr id="39" name="Frame3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43510" cy="175260"/>
                      <wp:effectExtent l="0" t="0" r="0" b="0"/>
                      <wp:wrapNone/>
                      <wp:docPr id="40" name="Frame4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29285" cy="175260"/>
                      <wp:effectExtent l="0" t="0" r="0" b="0"/>
                      <wp:wrapNone/>
                      <wp:docPr id="42" name="Frame4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43510" cy="175260"/>
                      <wp:effectExtent l="0" t="0" r="0" b="0"/>
                      <wp:wrapNone/>
                      <wp:docPr id="43" name="Frame4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95935" cy="175260"/>
                      <wp:effectExtent l="0" t="0" r="0" b="0"/>
                      <wp:wrapNone/>
                      <wp:docPr id="45" name="Frame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43510" cy="175260"/>
                      <wp:effectExtent l="0" t="0" r="0" b="0"/>
                      <wp:wrapNone/>
                      <wp:docPr id="46" name="Frame4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34950" cy="175260"/>
                      <wp:effectExtent l="0" t="0" r="0" b="0"/>
                      <wp:wrapNone/>
                      <wp:docPr id="47" name="Frame47"/>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37210" cy="175260"/>
                      <wp:effectExtent l="0" t="0" r="0" b="0"/>
                      <wp:wrapNone/>
                      <wp:docPr id="48" name="Frame48"/>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43510" cy="175260"/>
                      <wp:effectExtent l="0" t="0" r="0" b="0"/>
                      <wp:wrapNone/>
                      <wp:docPr id="49" name="Frame4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91185" cy="175260"/>
                      <wp:effectExtent l="0" t="0" r="0" b="0"/>
                      <wp:wrapNone/>
                      <wp:docPr id="51" name="Frame5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43510" cy="175260"/>
                      <wp:effectExtent l="0" t="0" r="0" b="0"/>
                      <wp:wrapNone/>
                      <wp:docPr id="52" name="Frame5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62610" cy="175260"/>
                      <wp:effectExtent l="0" t="0" r="0" b="0"/>
                      <wp:wrapNone/>
                      <wp:docPr id="54" name="Frame5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396"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left"/>
            </w:pPr>
            <w:r>
              <w:t>​</w:t>
            </w:r>
          </w:p>
        </w:tc>
        <w:tc>
          <w:tcPr>
            <w:tcW w:w="5291"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2026</w:t>
            </w:r>
          </w:p>
        </w:tc>
        <w:tc>
          <w:tcPr>
            <w:tcW w:w="226" w:type="dxa"/>
            <w:tcBorders/>
            <w:vAlign w:val="center"/>
          </w:tcPr>
          <w:p>
            <w:pPr>
              <w:pStyle w:val="TableContents"/>
              <w:bidi w:val="0"/>
              <w:spacing w:before="0" w:after="0"/>
              <w:ind w:left="0" w:right="0" w:hanging="0"/>
              <w:jc w:val="left"/>
            </w:pPr>
            <w:r>
              <w:t>​</w:t>
            </w:r>
          </w:p>
        </w:tc>
        <w:tc>
          <w:tcPr>
            <w:tcW w:w="370"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93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86" w:type="dxa"/>
            <w:tcBorders/>
            <w:vAlign w:val="center"/>
          </w:tcPr>
          <w:p>
            <w:pPr>
              <w:pStyle w:val="TableContents"/>
              <w:bidi w:val="0"/>
              <w:spacing w:before="0" w:after="0"/>
              <w:ind w:left="0" w:right="0" w:hanging="0"/>
              <w:jc w:val="right"/>
            </w:pPr>
            <w:r>
              <w:t>​</w:t>
            </w:r>
          </w:p>
        </w:tc>
      </w:tr>
      <w:tr>
        <w:tc>
          <w:tcPr>
            <w:tcW w:w="1396"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center"/>
            </w:pPr>
            <w:r>
              <w:t>​</w:t>
            </w:r>
          </w:p>
        </w:tc>
        <w:tc>
          <w:tcPr>
            <w:tcW w:w="280" w:type="dxa"/>
            <w:tcBorders/>
            <w:vAlign w:val="center"/>
          </w:tcPr>
          <w:p>
            <w:pPr>
              <w:pStyle w:val="TableContents"/>
              <w:bidi w:val="0"/>
              <w:spacing w:before="0" w:after="0"/>
              <w:ind w:left="0" w:right="0" w:hanging="0"/>
              <w:jc w:val="left"/>
            </w:pPr>
            <w:r>
              <w:t>​</w:t>
            </w:r>
          </w:p>
        </w:tc>
        <w:tc>
          <w:tcPr>
            <w:tcW w:w="56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center"/>
            </w:pPr>
            <w:r>
              <w:t>​</w:t>
            </w:r>
          </w:p>
        </w:tc>
        <w:tc>
          <w:tcPr>
            <w:tcW w:w="676"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center"/>
            </w:pPr>
            <w:r>
              <w:t>​</w:t>
            </w:r>
          </w:p>
        </w:tc>
        <w:tc>
          <w:tcPr>
            <w:tcW w:w="211" w:type="dxa"/>
            <w:tcBorders/>
            <w:vAlign w:val="center"/>
          </w:tcPr>
          <w:p>
            <w:pPr>
              <w:pStyle w:val="TableContents"/>
              <w:bidi w:val="0"/>
              <w:spacing w:before="0" w:after="0"/>
              <w:ind w:left="0" w:right="0" w:hanging="0"/>
              <w:jc w:val="left"/>
            </w:pPr>
            <w:r>
              <w:t>​</w:t>
            </w:r>
          </w:p>
        </w:tc>
        <w:tc>
          <w:tcPr>
            <w:tcW w:w="99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center"/>
            </w:pPr>
            <w:r>
              <w:t>​</w:t>
            </w:r>
          </w:p>
        </w:tc>
        <w:tc>
          <w:tcPr>
            <w:tcW w:w="992" w:type="dxa"/>
            <w:gridSpan w:val="2"/>
            <w:tcBorders/>
            <w:vAlign w:val="center"/>
          </w:tcPr>
          <w:p>
            <w:pPr>
              <w:pStyle w:val="TableContents"/>
              <w:bidi w:val="0"/>
              <w:spacing w:before="0" w:after="0"/>
              <w:ind w:left="0" w:right="0" w:hanging="0"/>
              <w:jc w:val="center"/>
            </w:pPr>
            <w:r>
              <w:t>​</w:t>
            </w:r>
          </w:p>
        </w:tc>
        <w:tc>
          <w:tcPr>
            <w:tcW w:w="226" w:type="dxa"/>
            <w:tcBorders/>
            <w:vAlign w:val="center"/>
          </w:tcPr>
          <w:p>
            <w:pPr>
              <w:pStyle w:val="TableContents"/>
              <w:bidi w:val="0"/>
              <w:spacing w:before="0" w:after="0"/>
              <w:ind w:left="0" w:right="0" w:hanging="0"/>
              <w:jc w:val="center"/>
            </w:pPr>
            <w: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0"/>
              <w:ind w:left="0" w:right="0" w:hanging="0"/>
              <w:jc w:val="center"/>
            </w:pPr>
            <w:r>
              <w:t>​</w:t>
            </w:r>
          </w:p>
        </w:tc>
        <w:tc>
          <w:tcPr>
            <w:tcW w:w="211" w:type="dxa"/>
            <w:tcBorders/>
            <w:vAlign w:val="center"/>
          </w:tcPr>
          <w:p>
            <w:pPr>
              <w:pStyle w:val="TableContents"/>
              <w:bidi w:val="0"/>
              <w:spacing w:before="0" w:after="0"/>
              <w:ind w:left="0" w:right="0" w:hanging="0"/>
              <w:jc w:val="left"/>
            </w:pPr>
            <w:r>
              <w:t>​</w:t>
            </w:r>
          </w:p>
        </w:tc>
        <w:tc>
          <w:tcPr>
            <w:tcW w:w="93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center"/>
            </w:pPr>
            <w:r>
              <w:t>​</w:t>
            </w:r>
          </w:p>
        </w:tc>
        <w:tc>
          <w:tcPr>
            <w:tcW w:w="211" w:type="dxa"/>
            <w:tcBorders/>
            <w:vAlign w:val="center"/>
          </w:tcPr>
          <w:p>
            <w:pPr>
              <w:pStyle w:val="TableContents"/>
              <w:bidi w:val="0"/>
              <w:spacing w:before="0" w:after="0"/>
              <w:ind w:left="0" w:right="0" w:hanging="0"/>
              <w:jc w:val="left"/>
            </w:pPr>
            <w:r>
              <w:t>​</w:t>
            </w:r>
          </w:p>
        </w:tc>
        <w:tc>
          <w:tcPr>
            <w:tcW w:w="886" w:type="dxa"/>
            <w:tcBorders/>
            <w:vAlign w:val="center"/>
          </w:tcPr>
          <w:p>
            <w:pPr>
              <w:pStyle w:val="TableContents"/>
              <w:bidi w:val="0"/>
              <w:spacing w:before="0" w:after="0"/>
              <w:ind w:left="0" w:right="0" w:hanging="0"/>
              <w:jc w:val="right"/>
            </w:pPr>
            <w:r>
              <w:t>​</w:t>
            </w:r>
          </w:p>
        </w:tc>
      </w:tr>
      <w:tr>
        <w:tc>
          <w:tcPr>
            <w:tcW w:w="1396"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center"/>
            </w:pPr>
            <w:r>
              <w:t>​</w:t>
            </w:r>
          </w:p>
        </w:tc>
        <w:tc>
          <w:tcPr>
            <w:tcW w:w="280" w:type="dxa"/>
            <w:tcBorders/>
            <w:vAlign w:val="center"/>
          </w:tcPr>
          <w:p>
            <w:pPr>
              <w:pStyle w:val="TableContents"/>
              <w:bidi w:val="0"/>
              <w:spacing w:before="0" w:after="0"/>
              <w:ind w:left="0" w:right="0" w:hanging="0"/>
              <w:jc w:val="left"/>
            </w:pPr>
            <w:r>
              <w:t>​</w:t>
            </w:r>
          </w:p>
        </w:tc>
        <w:tc>
          <w:tcPr>
            <w:tcW w:w="56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center"/>
            </w:pPr>
            <w:r>
              <w:t>​</w:t>
            </w:r>
          </w:p>
        </w:tc>
        <w:tc>
          <w:tcPr>
            <w:tcW w:w="676"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center"/>
            </w:pPr>
            <w:r>
              <w:t>​</w:t>
            </w:r>
          </w:p>
        </w:tc>
        <w:tc>
          <w:tcPr>
            <w:tcW w:w="211" w:type="dxa"/>
            <w:tcBorders/>
            <w:vAlign w:val="center"/>
          </w:tcPr>
          <w:p>
            <w:pPr>
              <w:pStyle w:val="TableContents"/>
              <w:bidi w:val="0"/>
              <w:spacing w:before="0" w:after="0"/>
              <w:ind w:left="0" w:right="0" w:hanging="0"/>
              <w:jc w:val="left"/>
            </w:pPr>
            <w:r>
              <w:t>​</w:t>
            </w:r>
          </w:p>
        </w:tc>
        <w:tc>
          <w:tcPr>
            <w:tcW w:w="99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center"/>
            </w:pPr>
            <w: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26" w:type="dxa"/>
            <w:tcBorders/>
            <w:vAlign w:val="center"/>
          </w:tcPr>
          <w:p>
            <w:pPr>
              <w:pStyle w:val="TableContents"/>
              <w:bidi w:val="0"/>
              <w:spacing w:before="0" w:after="0"/>
              <w:ind w:left="0" w:right="0" w:hanging="0"/>
              <w:jc w:val="center"/>
            </w:pPr>
            <w: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26" w:type="dxa"/>
            <w:tcBorders/>
            <w:vAlign w:val="center"/>
          </w:tcPr>
          <w:p>
            <w:pPr>
              <w:pStyle w:val="TableContents"/>
              <w:bidi w:val="0"/>
              <w:spacing w:before="0" w:after="0"/>
              <w:ind w:left="0" w:right="0" w:hanging="0"/>
              <w:jc w:val="center"/>
            </w:pPr>
            <w:r>
              <w:t>​</w:t>
            </w:r>
          </w:p>
        </w:tc>
        <w:tc>
          <w:tcPr>
            <w:tcW w:w="211" w:type="dxa"/>
            <w:tcBorders/>
            <w:vAlign w:val="center"/>
          </w:tcPr>
          <w:p>
            <w:pPr>
              <w:pStyle w:val="TableContents"/>
              <w:bidi w:val="0"/>
              <w:spacing w:before="0" w:after="0"/>
              <w:ind w:left="0" w:right="0" w:hanging="0"/>
              <w:jc w:val="left"/>
            </w:pPr>
            <w:r>
              <w:t>​</w:t>
            </w:r>
          </w:p>
        </w:tc>
        <w:tc>
          <w:tcPr>
            <w:tcW w:w="93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center"/>
            </w:pPr>
            <w:r>
              <w:t>​</w:t>
            </w:r>
          </w:p>
        </w:tc>
        <w:tc>
          <w:tcPr>
            <w:tcW w:w="211" w:type="dxa"/>
            <w:tcBorders/>
            <w:vAlign w:val="center"/>
          </w:tcPr>
          <w:p>
            <w:pPr>
              <w:pStyle w:val="TableContents"/>
              <w:bidi w:val="0"/>
              <w:spacing w:before="0" w:after="0"/>
              <w:ind w:left="0" w:right="0" w:hanging="0"/>
              <w:jc w:val="left"/>
            </w:pPr>
            <w:r>
              <w:t>​</w:t>
            </w:r>
          </w:p>
        </w:tc>
        <w:tc>
          <w:tcPr>
            <w:tcW w:w="886" w:type="dxa"/>
            <w:tcBorders/>
            <w:vAlign w:val="center"/>
          </w:tcPr>
          <w:p>
            <w:pPr>
              <w:pStyle w:val="TableContents"/>
              <w:bidi w:val="0"/>
              <w:spacing w:before="0" w:after="0"/>
              <w:ind w:left="0" w:right="0" w:hanging="0"/>
              <w:jc w:val="right"/>
            </w:pPr>
            <w:r>
              <w:t>​</w:t>
            </w:r>
          </w:p>
        </w:tc>
      </w:tr>
      <w:tr>
        <w:tc>
          <w:tcPr>
            <w:tcW w:w="1396"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left"/>
            </w:pPr>
            <w:r>
              <w:t>​</w:t>
            </w:r>
          </w:p>
        </w:tc>
        <w:tc>
          <w:tcPr>
            <w:tcW w:w="174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26" w:type="dxa"/>
            <w:tcBorders/>
            <w:vAlign w:val="center"/>
          </w:tcPr>
          <w:p>
            <w:pPr>
              <w:pStyle w:val="TableContents"/>
              <w:bidi w:val="0"/>
              <w:spacing w:before="0" w:after="0"/>
              <w:ind w:left="0" w:right="0" w:hanging="0"/>
              <w:jc w:val="center"/>
            </w:pPr>
            <w:r>
              <w:t>​</w:t>
            </w:r>
          </w:p>
        </w:tc>
        <w:tc>
          <w:tcPr>
            <w:tcW w:w="210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226" w:type="dxa"/>
            <w:tcBorders/>
            <w:vAlign w:val="center"/>
          </w:tcPr>
          <w:p>
            <w:pPr>
              <w:pStyle w:val="TableContents"/>
              <w:bidi w:val="0"/>
              <w:spacing w:before="0" w:after="0"/>
              <w:ind w:left="0" w:right="0" w:hanging="0"/>
              <w:jc w:val="center"/>
            </w:pPr>
            <w: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26" w:type="dxa"/>
            <w:tcBorders/>
            <w:vAlign w:val="center"/>
          </w:tcPr>
          <w:p>
            <w:pPr>
              <w:pStyle w:val="TableContents"/>
              <w:bidi w:val="0"/>
              <w:spacing w:before="0" w:after="0"/>
              <w:ind w:left="0" w:right="0" w:hanging="0"/>
              <w:jc w:val="center"/>
            </w:pPr>
            <w: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26" w:type="dxa"/>
            <w:tcBorders/>
            <w:vAlign w:val="center"/>
          </w:tcPr>
          <w:p>
            <w:pPr>
              <w:pStyle w:val="TableContents"/>
              <w:bidi w:val="0"/>
              <w:spacing w:before="0" w:after="0"/>
              <w:ind w:left="0" w:right="0" w:hanging="0"/>
              <w:jc w:val="center"/>
            </w:pPr>
            <w: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26" w:type="dxa"/>
            <w:tcBorders/>
            <w:vAlign w:val="center"/>
          </w:tcPr>
          <w:p>
            <w:pPr>
              <w:pStyle w:val="TableContents"/>
              <w:bidi w:val="0"/>
              <w:spacing w:before="0" w:after="0"/>
              <w:ind w:left="0" w:right="0" w:hanging="0"/>
              <w:jc w:val="center"/>
            </w:pPr>
            <w:r>
              <w:t>​</w:t>
            </w:r>
          </w:p>
        </w:tc>
        <w:tc>
          <w:tcPr>
            <w:tcW w:w="211" w:type="dxa"/>
            <w:tcBorders/>
            <w:vAlign w:val="center"/>
          </w:tcPr>
          <w:p>
            <w:pPr>
              <w:pStyle w:val="TableContents"/>
              <w:bidi w:val="0"/>
              <w:spacing w:before="0" w:after="0"/>
              <w:ind w:left="0" w:right="0" w:hanging="0"/>
              <w:jc w:val="left"/>
            </w:pPr>
            <w:r>
              <w:t>​</w:t>
            </w:r>
          </w:p>
        </w:tc>
        <w:tc>
          <w:tcPr>
            <w:tcW w:w="886" w:type="dxa"/>
            <w:tcBorders/>
            <w:vAlign w:val="center"/>
          </w:tcPr>
          <w:p>
            <w:pPr>
              <w:pStyle w:val="TableContents"/>
              <w:bidi w:val="0"/>
              <w:spacing w:before="0" w:after="0"/>
              <w:ind w:left="0" w:right="0" w:hanging="0"/>
              <w:jc w:val="right"/>
            </w:pPr>
            <w:r>
              <w:t>​</w:t>
            </w:r>
          </w:p>
        </w:tc>
      </w:tr>
      <w:tr>
        <w:tc>
          <w:tcPr>
            <w:tcW w:w="1396"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left"/>
            </w:pPr>
            <w: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0"/>
              <w:ind w:left="0" w:right="0" w:hanging="0"/>
              <w:jc w:val="center"/>
            </w:pPr>
            <w: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226" w:type="dxa"/>
            <w:tcBorders/>
            <w:vAlign w:val="center"/>
          </w:tcPr>
          <w:p>
            <w:pPr>
              <w:pStyle w:val="TableContents"/>
              <w:bidi w:val="0"/>
              <w:spacing w:before="0" w:after="0"/>
              <w:ind w:left="0" w:right="0" w:hanging="0"/>
              <w:jc w:val="center"/>
            </w:pPr>
            <w: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0"/>
              <w:ind w:left="0" w:right="0" w:hanging="0"/>
              <w:jc w:val="center"/>
            </w:pPr>
            <w: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226" w:type="dxa"/>
            <w:tcBorders/>
            <w:vAlign w:val="center"/>
          </w:tcPr>
          <w:p>
            <w:pPr>
              <w:pStyle w:val="TableContents"/>
              <w:bidi w:val="0"/>
              <w:spacing w:before="0" w:after="0"/>
              <w:ind w:left="0" w:right="0" w:hanging="0"/>
              <w:jc w:val="center"/>
            </w:pPr>
            <w: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26" w:type="dxa"/>
            <w:tcBorders/>
            <w:vAlign w:val="center"/>
          </w:tcPr>
          <w:p>
            <w:pPr>
              <w:pStyle w:val="TableContents"/>
              <w:bidi w:val="0"/>
              <w:spacing w:before="0" w:after="0"/>
              <w:ind w:left="0" w:right="0" w:hanging="0"/>
              <w:jc w:val="center"/>
            </w:pPr>
            <w: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26" w:type="dxa"/>
            <w:tcBorders/>
            <w:vAlign w:val="center"/>
          </w:tcPr>
          <w:p>
            <w:pPr>
              <w:pStyle w:val="TableContents"/>
              <w:bidi w:val="0"/>
              <w:spacing w:before="0" w:after="0"/>
              <w:ind w:left="0" w:right="0" w:hanging="0"/>
              <w:jc w:val="center"/>
            </w:pPr>
            <w: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26" w:type="dxa"/>
            <w:tcBorders/>
            <w:vAlign w:val="center"/>
          </w:tcPr>
          <w:p>
            <w:pPr>
              <w:pStyle w:val="TableContents"/>
              <w:bidi w:val="0"/>
              <w:spacing w:before="0" w:after="0"/>
              <w:ind w:left="0" w:right="0" w:hanging="0"/>
              <w:jc w:val="center"/>
            </w:pPr>
            <w: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226" w:type="dxa"/>
            <w:tcBorders/>
            <w:shd w:fill="CCEEFF" w:val="clear"/>
            <w:vAlign w:val="center"/>
          </w:tcPr>
          <w:p>
            <w:pPr>
              <w:pStyle w:val="TableContents"/>
              <w:bidi w:val="0"/>
              <w:spacing w:before="0" w:after="0"/>
              <w:ind w:left="0" w:right="0" w:hanging="0"/>
              <w:jc w:val="left"/>
            </w:pPr>
            <w: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54,178</w:t>
            </w:r>
          </w:p>
        </w:tc>
        <w:tc>
          <w:tcPr>
            <w:tcW w:w="226" w:type="dxa"/>
            <w:tcBorders/>
            <w:shd w:fill="CCEEFF" w:val="clear"/>
            <w:vAlign w:val="center"/>
          </w:tcPr>
          <w:p>
            <w:pPr>
              <w:pStyle w:val="TableContents"/>
              <w:bidi w:val="0"/>
              <w:spacing w:before="0" w:after="0"/>
              <w:ind w:left="0" w:right="0" w:hanging="0"/>
              <w:jc w:val="left"/>
            </w:pPr>
            <w: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542</w:t>
            </w:r>
          </w:p>
        </w:tc>
        <w:tc>
          <w:tcPr>
            <w:tcW w:w="226" w:type="dxa"/>
            <w:tcBorders/>
            <w:shd w:fill="CCEEFF" w:val="clear"/>
            <w:vAlign w:val="center"/>
          </w:tcPr>
          <w:p>
            <w:pPr>
              <w:pStyle w:val="TableContents"/>
              <w:bidi w:val="0"/>
              <w:spacing w:before="0" w:after="0"/>
              <w:ind w:left="0" w:right="0" w:hanging="0"/>
              <w:jc w:val="left"/>
            </w:pPr>
            <w: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26,785</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(2,291,610)</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350,374</w:t>
            </w:r>
          </w:p>
        </w:tc>
        <w:tc>
          <w:tcPr>
            <w:tcW w:w="226" w:type="dxa"/>
            <w:tcBorders/>
            <w:shd w:fill="CCEEFF" w:val="clear"/>
            <w:vAlign w:val="center"/>
          </w:tcPr>
          <w:p>
            <w:pPr>
              <w:pStyle w:val="TableContents"/>
              <w:bidi w:val="0"/>
              <w:spacing w:before="0" w:after="0"/>
              <w:ind w:left="0" w:right="0" w:hanging="0"/>
              <w:jc w:val="left"/>
            </w:pPr>
            <w: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511</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2,687,116</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746,933</w:t>
            </w:r>
          </w:p>
        </w:tc>
      </w:tr>
      <w:t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26"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80" w:type="dxa"/>
            <w:tcBorders/>
            <w:vAlign w:val="center"/>
          </w:tcPr>
          <w:p>
            <w:pPr>
              <w:pStyle w:val="TableContents"/>
              <w:bidi w:val="0"/>
              <w:spacing w:before="0" w:after="0"/>
              <w:ind w:left="0" w:right="0" w:hanging="0"/>
              <w:jc w:val="left"/>
            </w:pPr>
            <w:r>
              <w:t>​</w:t>
            </w:r>
          </w:p>
        </w:tc>
        <w:tc>
          <w:tcPr>
            <w:tcW w:w="56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99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370"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(696)</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75,348</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74,652</w:t>
            </w:r>
          </w:p>
        </w:tc>
      </w:tr>
      <w:t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26" w:type="dxa"/>
            <w:tcBorders/>
            <w:shd w:fill="CCEEFF" w:val="clear"/>
            <w:vAlign w:val="center"/>
          </w:tcPr>
          <w:p>
            <w:pPr>
              <w:pStyle w:val="TableContents"/>
              <w:bidi w:val="0"/>
              <w:spacing w:before="0" w:after="0"/>
              <w:ind w:left="0" w:right="0" w:hanging="0"/>
              <w:jc w:val="left"/>
            </w:pPr>
            <w:r>
              <w:t>​</w:t>
            </w:r>
          </w:p>
        </w:tc>
        <w:tc>
          <w:tcPr>
            <w:tcW w:w="676"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80" w:type="dxa"/>
            <w:tcBorders/>
            <w:shd w:fill="CCEEFF" w:val="clear"/>
            <w:vAlign w:val="center"/>
          </w:tcPr>
          <w:p>
            <w:pPr>
              <w:pStyle w:val="TableContents"/>
              <w:bidi w:val="0"/>
              <w:spacing w:before="0" w:after="0"/>
              <w:ind w:left="0" w:right="0" w:hanging="0"/>
              <w:jc w:val="left"/>
            </w:pPr>
            <w:r>
              <w:t>​</w:t>
            </w:r>
          </w:p>
        </w:tc>
        <w:tc>
          <w:tcPr>
            <w:tcW w:w="561"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725</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(121,472)</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370" w:type="dxa"/>
            <w:tcBorders/>
            <w:shd w:fill="CCEEFF" w:val="clear"/>
            <w:vAlign w:val="center"/>
          </w:tcPr>
          <w:p>
            <w:pPr>
              <w:pStyle w:val="TableContents"/>
              <w:bidi w:val="0"/>
              <w:spacing w:before="0" w:after="0"/>
              <w:ind w:left="0" w:right="0" w:hanging="0"/>
              <w:jc w:val="left"/>
            </w:pPr>
            <w:r>
              <w:t>​</w:t>
            </w:r>
          </w:p>
        </w:tc>
        <w:tc>
          <w:tcPr>
            <w:tcW w:w="846"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931"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(121,472)</w:t>
            </w:r>
          </w:p>
        </w:tc>
      </w:tr>
      <w:t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26"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80" w:type="dxa"/>
            <w:tcBorders/>
            <w:vAlign w:val="center"/>
          </w:tcPr>
          <w:p>
            <w:pPr>
              <w:pStyle w:val="TableContents"/>
              <w:bidi w:val="0"/>
              <w:spacing w:before="0" w:after="0"/>
              <w:ind w:left="0" w:right="0" w:hanging="0"/>
              <w:jc w:val="left"/>
            </w:pPr>
            <w:r>
              <w:t>​</w:t>
            </w:r>
          </w:p>
        </w:tc>
        <w:tc>
          <w:tcPr>
            <w:tcW w:w="56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99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370"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93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86" w:type="dxa"/>
            <w:tcBorders/>
            <w:vAlign w:val="center"/>
          </w:tcPr>
          <w:p>
            <w:pPr>
              <w:pStyle w:val="TableContents"/>
              <w:bidi w:val="0"/>
              <w:spacing w:before="0" w:after="0"/>
              <w:ind w:left="0" w:right="0" w:hanging="0"/>
              <w:jc w:val="right"/>
            </w:pPr>
            <w:r>
              <w:t>—</w:t>
            </w:r>
          </w:p>
        </w:tc>
      </w:tr>
      <w:t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26" w:type="dxa"/>
            <w:tcBorders/>
            <w:shd w:fill="CCEEFF" w:val="clear"/>
            <w:vAlign w:val="center"/>
          </w:tcPr>
          <w:p>
            <w:pPr>
              <w:pStyle w:val="TableContents"/>
              <w:bidi w:val="0"/>
              <w:spacing w:before="0" w:after="0"/>
              <w:ind w:left="0" w:right="0" w:hanging="0"/>
              <w:jc w:val="left"/>
            </w:pPr>
            <w: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85</w:t>
            </w:r>
          </w:p>
        </w:tc>
        <w:tc>
          <w:tcPr>
            <w:tcW w:w="226" w:type="dxa"/>
            <w:tcBorders/>
            <w:shd w:fill="CCEEFF" w:val="clear"/>
            <w:vAlign w:val="center"/>
          </w:tcPr>
          <w:p>
            <w:pPr>
              <w:pStyle w:val="TableContents"/>
              <w:bidi w:val="0"/>
              <w:spacing w:before="0" w:after="0"/>
              <w:ind w:left="0" w:right="0" w:hanging="0"/>
              <w:jc w:val="left"/>
            </w:pPr>
            <w: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226" w:type="dxa"/>
            <w:tcBorders/>
            <w:shd w:fill="CCEEFF" w:val="clear"/>
            <w:vAlign w:val="center"/>
          </w:tcPr>
          <w:p>
            <w:pPr>
              <w:pStyle w:val="TableContents"/>
              <w:bidi w:val="0"/>
              <w:spacing w:before="0" w:after="0"/>
              <w:ind w:left="0" w:right="0" w:hanging="0"/>
              <w:jc w:val="left"/>
            </w:pPr>
            <w: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(7,521)</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3,597</w:t>
            </w:r>
          </w:p>
        </w:tc>
        <w:tc>
          <w:tcPr>
            <w:tcW w:w="226" w:type="dxa"/>
            <w:tcBorders/>
            <w:shd w:fill="CCEEFF" w:val="clear"/>
            <w:vAlign w:val="center"/>
          </w:tcPr>
          <w:p>
            <w:pPr>
              <w:pStyle w:val="TableContents"/>
              <w:bidi w:val="0"/>
              <w:spacing w:before="0" w:after="0"/>
              <w:ind w:left="0" w:right="0" w:hanging="0"/>
              <w:jc w:val="left"/>
            </w:pPr>
            <w: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(3,923)</w:t>
            </w:r>
          </w:p>
        </w:tc>
      </w:tr>
      <w:t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2026</w:t>
            </w:r>
          </w:p>
        </w:tc>
        <w:tc>
          <w:tcPr>
            <w:tcW w:w="226" w:type="dxa"/>
            <w:tcBorders/>
            <w:vAlign w:val="center"/>
          </w:tcPr>
          <w:p>
            <w:pPr>
              <w:pStyle w:val="TableContents"/>
              <w:bidi w:val="0"/>
              <w:spacing w:before="0" w:after="0"/>
              <w:ind w:left="0" w:right="0" w:hanging="0"/>
              <w:jc w:val="left"/>
            </w:pPr>
            <w: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54,263</w:t>
            </w:r>
          </w:p>
        </w:tc>
        <w:tc>
          <w:tcPr>
            <w:tcW w:w="226" w:type="dxa"/>
            <w:tcBorders/>
            <w:vAlign w:val="center"/>
          </w:tcPr>
          <w:p>
            <w:pPr>
              <w:pStyle w:val="TableContents"/>
              <w:bidi w:val="0"/>
              <w:spacing w:before="0" w:after="0"/>
              <w:ind w:left="0" w:right="0" w:hanging="0"/>
              <w:jc w:val="left"/>
            </w:pPr>
            <w: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543</w:t>
            </w:r>
          </w:p>
        </w:tc>
        <w:tc>
          <w:tcPr>
            <w:tcW w:w="226" w:type="dxa"/>
            <w:tcBorders/>
            <w:vAlign w:val="center"/>
          </w:tcPr>
          <w:p>
            <w:pPr>
              <w:pStyle w:val="TableContents"/>
              <w:bidi w:val="0"/>
              <w:spacing w:before="0" w:after="0"/>
              <w:ind w:left="0" w:right="0" w:hanging="0"/>
              <w:jc w:val="left"/>
            </w:pPr>
            <w: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27,558</w:t>
            </w:r>
          </w:p>
        </w:tc>
        <w:tc>
          <w:tcPr>
            <w:tcW w:w="22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(2,420,603)</w:t>
            </w:r>
          </w:p>
        </w:tc>
        <w:tc>
          <w:tcPr>
            <w:tcW w:w="22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353,971</w:t>
            </w:r>
          </w:p>
        </w:tc>
        <w:tc>
          <w:tcPr>
            <w:tcW w:w="226" w:type="dxa"/>
            <w:tcBorders/>
            <w:vAlign w:val="center"/>
          </w:tcPr>
          <w:p>
            <w:pPr>
              <w:pStyle w:val="TableContents"/>
              <w:bidi w:val="0"/>
              <w:spacing w:before="0" w:after="0"/>
              <w:ind w:left="0" w:right="0" w:hanging="0"/>
              <w:jc w:val="left"/>
            </w:pPr>
            <w: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(185)</w:t>
            </w:r>
          </w:p>
        </w:tc>
        <w:tc>
          <w:tcPr>
            <w:tcW w:w="22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2,762,464</w:t>
            </w:r>
          </w:p>
        </w:tc>
        <w:tc>
          <w:tcPr>
            <w:tcW w:w="22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696,190</w:t>
            </w:r>
          </w:p>
        </w:tc>
      </w:tr>
      <w:t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26" w:type="dxa"/>
            <w:tcBorders/>
            <w:shd w:fill="CCEEFF" w:val="clear"/>
            <w:vAlign w:val="center"/>
          </w:tcPr>
          <w:p>
            <w:pPr>
              <w:pStyle w:val="TableContents"/>
              <w:bidi w:val="0"/>
              <w:spacing w:before="0" w:after="0"/>
              <w:ind w:left="0" w:right="0" w:hanging="0"/>
              <w:jc w:val="left"/>
            </w:pPr>
            <w:r>
              <w:t>​</w:t>
            </w:r>
          </w:p>
        </w:tc>
        <w:tc>
          <w:tcPr>
            <w:tcW w:w="676"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80" w:type="dxa"/>
            <w:tcBorders/>
            <w:shd w:fill="CCEEFF" w:val="clear"/>
            <w:vAlign w:val="center"/>
          </w:tcPr>
          <w:p>
            <w:pPr>
              <w:pStyle w:val="TableContents"/>
              <w:bidi w:val="0"/>
              <w:spacing w:before="0" w:after="0"/>
              <w:ind w:left="0" w:right="0" w:hanging="0"/>
              <w:jc w:val="left"/>
            </w:pPr>
            <w:r>
              <w:t>​</w:t>
            </w:r>
          </w:p>
        </w:tc>
        <w:tc>
          <w:tcPr>
            <w:tcW w:w="561"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676"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991"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370" w:type="dxa"/>
            <w:tcBorders/>
            <w:shd w:fill="CCEEFF" w:val="clear"/>
            <w:vAlign w:val="center"/>
          </w:tcPr>
          <w:p>
            <w:pPr>
              <w:pStyle w:val="TableContents"/>
              <w:bidi w:val="0"/>
              <w:spacing w:before="0" w:after="0"/>
              <w:ind w:left="0" w:right="0" w:hanging="0"/>
              <w:jc w:val="left"/>
            </w:pPr>
            <w: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45,852</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45,892</w:t>
            </w:r>
          </w:p>
        </w:tc>
      </w:tr>
      <w:t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26"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80" w:type="dxa"/>
            <w:tcBorders/>
            <w:vAlign w:val="center"/>
          </w:tcPr>
          <w:p>
            <w:pPr>
              <w:pStyle w:val="TableContents"/>
              <w:bidi w:val="0"/>
              <w:spacing w:before="0" w:after="0"/>
              <w:ind w:left="0" w:right="0" w:hanging="0"/>
              <w:jc w:val="left"/>
            </w:pPr>
            <w:r>
              <w:t>​</w:t>
            </w:r>
          </w:p>
        </w:tc>
        <w:tc>
          <w:tcPr>
            <w:tcW w:w="56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472</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(76,029)</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370"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93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(76,029)</w:t>
            </w:r>
          </w:p>
        </w:tc>
      </w:tr>
      <w:t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26" w:type="dxa"/>
            <w:tcBorders/>
            <w:shd w:fill="CCEEFF" w:val="clear"/>
            <w:vAlign w:val="center"/>
          </w:tcPr>
          <w:p>
            <w:pPr>
              <w:pStyle w:val="TableContents"/>
              <w:bidi w:val="0"/>
              <w:spacing w:before="0" w:after="0"/>
              <w:ind w:left="0" w:right="0" w:hanging="0"/>
              <w:jc w:val="left"/>
            </w:pPr>
            <w:r>
              <w:t>​</w:t>
            </w:r>
          </w:p>
        </w:tc>
        <w:tc>
          <w:tcPr>
            <w:tcW w:w="676"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80" w:type="dxa"/>
            <w:tcBorders/>
            <w:shd w:fill="CCEEFF" w:val="clear"/>
            <w:vAlign w:val="center"/>
          </w:tcPr>
          <w:p>
            <w:pPr>
              <w:pStyle w:val="TableContents"/>
              <w:bidi w:val="0"/>
              <w:spacing w:before="0" w:after="0"/>
              <w:ind w:left="0" w:right="0" w:hanging="0"/>
              <w:jc w:val="left"/>
            </w:pPr>
            <w:r>
              <w:t>​</w:t>
            </w:r>
          </w:p>
        </w:tc>
        <w:tc>
          <w:tcPr>
            <w:tcW w:w="561"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991"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370" w:type="dxa"/>
            <w:tcBorders/>
            <w:shd w:fill="CCEEFF" w:val="clear"/>
            <w:vAlign w:val="center"/>
          </w:tcPr>
          <w:p>
            <w:pPr>
              <w:pStyle w:val="TableContents"/>
              <w:bidi w:val="0"/>
              <w:spacing w:before="0" w:after="0"/>
              <w:ind w:left="0" w:right="0" w:hanging="0"/>
              <w:jc w:val="left"/>
            </w:pPr>
            <w:r>
              <w:t>​</w:t>
            </w:r>
          </w:p>
        </w:tc>
        <w:tc>
          <w:tcPr>
            <w:tcW w:w="846"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931"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86" w:type="dxa"/>
            <w:tcBorders/>
            <w:shd w:fill="CCEEFF" w:val="clear"/>
            <w:vAlign w:val="center"/>
          </w:tcPr>
          <w:p>
            <w:pPr>
              <w:pStyle w:val="TableContents"/>
              <w:bidi w:val="0"/>
              <w:spacing w:before="0" w:after="0"/>
              <w:ind w:left="0" w:right="0" w:hanging="0"/>
              <w:jc w:val="right"/>
            </w:pPr>
            <w:r>
              <w:t>—</w:t>
            </w:r>
          </w:p>
        </w:tc>
      </w:tr>
      <w:t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26" w:type="dxa"/>
            <w:tcBorders/>
            <w:vAlign w:val="center"/>
          </w:tcPr>
          <w:p>
            <w:pPr>
              <w:pStyle w:val="TableContents"/>
              <w:bidi w:val="0"/>
              <w:spacing w:before="0" w:after="0"/>
              <w:ind w:left="0" w:right="0" w:hanging="0"/>
              <w:jc w:val="left"/>
            </w:pPr>
            <w: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w:t>
            </w:r>
          </w:p>
        </w:tc>
        <w:tc>
          <w:tcPr>
            <w:tcW w:w="226" w:type="dxa"/>
            <w:tcBorders/>
            <w:vAlign w:val="center"/>
          </w:tcPr>
          <w:p>
            <w:pPr>
              <w:pStyle w:val="TableContents"/>
              <w:bidi w:val="0"/>
              <w:spacing w:before="0" w:after="0"/>
              <w:ind w:left="0" w:right="0" w:hanging="0"/>
              <w:jc w:val="left"/>
            </w:pPr>
            <w: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3,456</w:t>
            </w:r>
          </w:p>
        </w:tc>
        <w:tc>
          <w:tcPr>
            <w:tcW w:w="226" w:type="dxa"/>
            <w:tcBorders/>
            <w:vAlign w:val="center"/>
          </w:tcPr>
          <w:p>
            <w:pPr>
              <w:pStyle w:val="TableContents"/>
              <w:bidi w:val="0"/>
              <w:spacing w:before="0" w:after="0"/>
              <w:ind w:left="0" w:right="0" w:hanging="0"/>
              <w:jc w:val="left"/>
            </w:pPr>
            <w:r>
              <w:t>​</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3,456</w:t>
            </w:r>
          </w:p>
        </w:tc>
      </w:tr>
      <w:t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226" w:type="dxa"/>
            <w:tcBorders/>
            <w:shd w:fill="CCEEFF" w:val="clear"/>
            <w:vAlign w:val="center"/>
          </w:tcPr>
          <w:p>
            <w:pPr>
              <w:pStyle w:val="TableContents"/>
              <w:bidi w:val="0"/>
              <w:spacing w:before="0" w:after="0"/>
              <w:ind w:left="0" w:right="0" w:hanging="0"/>
              <w:jc w:val="left"/>
            </w:pPr>
            <w: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54,265</w:t>
            </w:r>
          </w:p>
        </w:tc>
        <w:tc>
          <w:tcPr>
            <w:tcW w:w="226" w:type="dxa"/>
            <w:tcBorders/>
            <w:shd w:fill="CCEEFF" w:val="clear"/>
            <w:vAlign w:val="center"/>
          </w:tcPr>
          <w:p>
            <w:pPr>
              <w:pStyle w:val="TableContents"/>
              <w:bidi w:val="0"/>
              <w:spacing w:before="0" w:after="0"/>
              <w:ind w:left="0" w:right="0" w:hanging="0"/>
              <w:jc w:val="left"/>
            </w:pPr>
            <w: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543</w:t>
            </w:r>
          </w:p>
        </w:tc>
        <w:tc>
          <w:tcPr>
            <w:tcW w:w="226" w:type="dxa"/>
            <w:tcBorders/>
            <w:shd w:fill="CCEEFF" w:val="clear"/>
            <w:vAlign w:val="center"/>
          </w:tcPr>
          <w:p>
            <w:pPr>
              <w:pStyle w:val="TableContents"/>
              <w:bidi w:val="0"/>
              <w:spacing w:before="0" w:after="0"/>
              <w:ind w:left="0" w:right="0" w:hanging="0"/>
              <w:jc w:val="left"/>
            </w:pPr>
            <w: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28,031</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(2,496,632)</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357,427</w:t>
            </w:r>
          </w:p>
        </w:tc>
        <w:tc>
          <w:tcPr>
            <w:tcW w:w="226" w:type="dxa"/>
            <w:tcBorders/>
            <w:shd w:fill="CCEEFF" w:val="clear"/>
            <w:vAlign w:val="center"/>
          </w:tcPr>
          <w:p>
            <w:pPr>
              <w:pStyle w:val="TableContents"/>
              <w:bidi w:val="0"/>
              <w:spacing w:before="0" w:after="0"/>
              <w:ind w:left="0" w:right="0" w:hanging="0"/>
              <w:jc w:val="left"/>
            </w:pPr>
            <w: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(145)</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2,808,316</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669,509</w:t>
            </w:r>
          </w:p>
        </w:tc>
      </w:tr>
      <w:t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26"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80" w:type="dxa"/>
            <w:tcBorders/>
            <w:vAlign w:val="center"/>
          </w:tcPr>
          <w:p>
            <w:pPr>
              <w:pStyle w:val="TableContents"/>
              <w:bidi w:val="0"/>
              <w:spacing w:before="0" w:after="0"/>
              <w:ind w:left="0" w:right="0" w:hanging="0"/>
              <w:jc w:val="left"/>
            </w:pPr>
            <w:r>
              <w:t>​</w:t>
            </w:r>
          </w:p>
        </w:tc>
        <w:tc>
          <w:tcPr>
            <w:tcW w:w="56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99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370"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(618)</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43,013</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42,395</w:t>
            </w:r>
          </w:p>
        </w:tc>
      </w:tr>
      <w:t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26" w:type="dxa"/>
            <w:tcBorders/>
            <w:shd w:fill="CCEEFF" w:val="clear"/>
            <w:vAlign w:val="center"/>
          </w:tcPr>
          <w:p>
            <w:pPr>
              <w:pStyle w:val="TableContents"/>
              <w:bidi w:val="0"/>
              <w:spacing w:before="0" w:after="0"/>
              <w:ind w:left="0" w:right="0" w:hanging="0"/>
              <w:jc w:val="left"/>
            </w:pPr>
            <w:r>
              <w:t>​</w:t>
            </w:r>
          </w:p>
        </w:tc>
        <w:tc>
          <w:tcPr>
            <w:tcW w:w="676"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80" w:type="dxa"/>
            <w:tcBorders/>
            <w:shd w:fill="CCEEFF" w:val="clear"/>
            <w:vAlign w:val="center"/>
          </w:tcPr>
          <w:p>
            <w:pPr>
              <w:pStyle w:val="TableContents"/>
              <w:bidi w:val="0"/>
              <w:spacing w:before="0" w:after="0"/>
              <w:ind w:left="0" w:right="0" w:hanging="0"/>
              <w:jc w:val="left"/>
            </w:pPr>
            <w:r>
              <w:t>​</w:t>
            </w:r>
          </w:p>
        </w:tc>
        <w:tc>
          <w:tcPr>
            <w:tcW w:w="561"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505</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(75,893)</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370" w:type="dxa"/>
            <w:tcBorders/>
            <w:shd w:fill="CCEEFF" w:val="clear"/>
            <w:vAlign w:val="center"/>
          </w:tcPr>
          <w:p>
            <w:pPr>
              <w:pStyle w:val="TableContents"/>
              <w:bidi w:val="0"/>
              <w:spacing w:before="0" w:after="0"/>
              <w:ind w:left="0" w:right="0" w:hanging="0"/>
              <w:jc w:val="left"/>
            </w:pPr>
            <w:r>
              <w:t>​</w:t>
            </w:r>
          </w:p>
        </w:tc>
        <w:tc>
          <w:tcPr>
            <w:tcW w:w="846"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931"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(75,893)</w:t>
            </w:r>
          </w:p>
        </w:tc>
      </w:tr>
      <w:t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26"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80" w:type="dxa"/>
            <w:tcBorders/>
            <w:vAlign w:val="center"/>
          </w:tcPr>
          <w:p>
            <w:pPr>
              <w:pStyle w:val="TableContents"/>
              <w:bidi w:val="0"/>
              <w:spacing w:before="0" w:after="0"/>
              <w:ind w:left="0" w:right="0" w:hanging="0"/>
              <w:jc w:val="left"/>
            </w:pPr>
            <w:r>
              <w:t>​</w:t>
            </w:r>
          </w:p>
        </w:tc>
        <w:tc>
          <w:tcPr>
            <w:tcW w:w="56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99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370" w:type="dxa"/>
            <w:tcBorders/>
            <w:vAlign w:val="center"/>
          </w:tcPr>
          <w:p>
            <w:pPr>
              <w:pStyle w:val="TableContents"/>
              <w:bidi w:val="0"/>
              <w:spacing w:before="0" w:after="0"/>
              <w:ind w:left="0" w:right="0" w:hanging="0"/>
              <w:jc w:val="left"/>
            </w:pPr>
            <w:r>
              <w:t>​</w:t>
            </w:r>
          </w:p>
        </w:tc>
        <w:tc>
          <w:tcPr>
            <w:tcW w:w="846"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93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86" w:type="dxa"/>
            <w:tcBorders/>
            <w:vAlign w:val="center"/>
          </w:tcPr>
          <w:p>
            <w:pPr>
              <w:pStyle w:val="TableContents"/>
              <w:bidi w:val="0"/>
              <w:spacing w:before="0" w:after="0"/>
              <w:ind w:left="0" w:right="0" w:hanging="0"/>
              <w:jc w:val="right"/>
            </w:pPr>
            <w:r>
              <w:t>—</w:t>
            </w:r>
          </w:p>
        </w:tc>
      </w:tr>
      <w:t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26" w:type="dxa"/>
            <w:tcBorders/>
            <w:shd w:fill="CCEEFF" w:val="clear"/>
            <w:vAlign w:val="center"/>
          </w:tcPr>
          <w:p>
            <w:pPr>
              <w:pStyle w:val="TableContents"/>
              <w:bidi w:val="0"/>
              <w:spacing w:before="0" w:after="0"/>
              <w:ind w:left="0" w:right="0" w:hanging="0"/>
              <w:jc w:val="left"/>
            </w:pPr>
            <w: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80" w:type="dxa"/>
            <w:tcBorders/>
            <w:shd w:fill="CCEEFF" w:val="clear"/>
            <w:vAlign w:val="center"/>
          </w:tcPr>
          <w:p>
            <w:pPr>
              <w:pStyle w:val="TableContents"/>
              <w:bidi w:val="0"/>
              <w:spacing w:before="0" w:after="0"/>
              <w:ind w:left="0" w:right="0" w:hanging="0"/>
              <w:jc w:val="left"/>
            </w:pPr>
            <w:r>
              <w:t>​</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3,391</w:t>
            </w:r>
          </w:p>
        </w:tc>
        <w:tc>
          <w:tcPr>
            <w:tcW w:w="226" w:type="dxa"/>
            <w:tcBorders/>
            <w:shd w:fill="CCEEFF" w:val="clear"/>
            <w:vAlign w:val="center"/>
          </w:tcPr>
          <w:p>
            <w:pPr>
              <w:pStyle w:val="TableContents"/>
              <w:bidi w:val="0"/>
              <w:spacing w:before="0" w:after="0"/>
              <w:ind w:left="0" w:right="0" w:hanging="0"/>
              <w:jc w:val="left"/>
            </w:pPr>
            <w:r>
              <w:t>​</w:t>
            </w:r>
          </w:p>
        </w:tc>
        <w:tc>
          <w:tcPr>
            <w:tcW w:w="370" w:type="dxa"/>
            <w:tcBorders/>
            <w:shd w:fill="CCEEFF" w:val="clear"/>
            <w:vAlign w:val="center"/>
          </w:tcPr>
          <w:p>
            <w:pPr>
              <w:pStyle w:val="TableContents"/>
              <w:bidi w:val="0"/>
              <w:spacing w:before="0" w:after="0"/>
              <w:ind w:left="0" w:right="0" w:hanging="0"/>
              <w:jc w:val="left"/>
            </w:pPr>
            <w: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3,391</w:t>
            </w:r>
          </w:p>
        </w:tc>
      </w:tr>
      <w:t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2026</w:t>
            </w:r>
          </w:p>
        </w:tc>
        <w:tc>
          <w:tcPr>
            <w:tcW w:w="226" w:type="dxa"/>
            <w:tcBorders/>
            <w:vAlign w:val="center"/>
          </w:tcPr>
          <w:p>
            <w:pPr>
              <w:pStyle w:val="TableContents"/>
              <w:bidi w:val="0"/>
              <w:spacing w:before="0" w:after="0"/>
              <w:ind w:left="0" w:right="0" w:hanging="0"/>
              <w:jc w:val="left"/>
            </w:pPr>
            <w: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54,265</w:t>
            </w:r>
          </w:p>
        </w:tc>
        <w:tc>
          <w:tcPr>
            <w:tcW w:w="226" w:type="dxa"/>
            <w:tcBorders/>
            <w:vAlign w:val="center"/>
          </w:tcPr>
          <w:p>
            <w:pPr>
              <w:pStyle w:val="TableContents"/>
              <w:bidi w:val="0"/>
              <w:spacing w:before="0" w:after="0"/>
              <w:ind w:left="0" w:right="0" w:hanging="0"/>
              <w:jc w:val="left"/>
            </w:pPr>
            <w: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543</w:t>
            </w:r>
          </w:p>
        </w:tc>
        <w:tc>
          <w:tcPr>
            <w:tcW w:w="226" w:type="dxa"/>
            <w:tcBorders/>
            <w:vAlign w:val="center"/>
          </w:tcPr>
          <w:p>
            <w:pPr>
              <w:pStyle w:val="TableContents"/>
              <w:bidi w:val="0"/>
              <w:spacing w:before="0" w:after="0"/>
              <w:ind w:left="0" w:right="0" w:hanging="0"/>
              <w:jc w:val="left"/>
            </w:pPr>
            <w: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28,539</w:t>
            </w:r>
          </w:p>
        </w:tc>
        <w:tc>
          <w:tcPr>
            <w:tcW w:w="22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(2,572,525)</w:t>
            </w:r>
          </w:p>
        </w:tc>
        <w:tc>
          <w:tcPr>
            <w:tcW w:w="22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360,818</w:t>
            </w:r>
          </w:p>
        </w:tc>
        <w:tc>
          <w:tcPr>
            <w:tcW w:w="226" w:type="dxa"/>
            <w:tcBorders/>
            <w:vAlign w:val="center"/>
          </w:tcPr>
          <w:p>
            <w:pPr>
              <w:pStyle w:val="TableContents"/>
              <w:bidi w:val="0"/>
              <w:spacing w:before="0" w:after="0"/>
              <w:ind w:left="0" w:right="0" w:hanging="0"/>
              <w:jc w:val="left"/>
            </w:pPr>
            <w: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(763)</w:t>
            </w:r>
          </w:p>
        </w:tc>
        <w:tc>
          <w:tcPr>
            <w:tcW w:w="22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2,851,329</w:t>
            </w:r>
          </w:p>
        </w:tc>
        <w:tc>
          <w:tcPr>
            <w:tcW w:w="22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639,402</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532" w:name="Tc_OU7VfKF9p0S2w4i28Uv8qA_21_21"/>
      <w:bookmarkStart w:id="533" w:name="Tc_GFO4NQFGuECVOCp_tkt8yw_21_18"/>
      <w:bookmarkStart w:id="534" w:name="Tc_1ZDkEgKOL0CRx6Y8ba611w_21_15"/>
      <w:bookmarkStart w:id="535" w:name="Tc_EsErFHUBUEqZVWYRkzDfzg_21_12"/>
      <w:bookmarkStart w:id="536" w:name="Tc_821iQA79WUyTPmJutOaWQA_21_9"/>
      <w:bookmarkStart w:id="537" w:name="Tc_jNYo4AxVVE6hChgRfJiNaw_21_4"/>
      <w:bookmarkStart w:id="538" w:name="Tc_tvHbCfTsGEqcrQd0bbBuzg_21_0"/>
      <w:bookmarkStart w:id="539" w:name="Tc_jEMN9B7jKESqs3wiT5HPSA_20_19"/>
      <w:bookmarkStart w:id="540" w:name="Tc_-Ojxz85G1kCJgjeBCvPIYw_20_16"/>
      <w:bookmarkStart w:id="541" w:name="Tc_Wt0YEIIQL0ezzsp1oTaAsQ_20_10"/>
      <w:bookmarkStart w:id="542" w:name="Tc_ELo-vOtDREGpMaKBl3ZDpw_20_7"/>
      <w:bookmarkStart w:id="543" w:name="Tc_gr6Nd3PNY02GrAqji0QyBg_20_5"/>
      <w:bookmarkStart w:id="544" w:name="Tc_jhe8eZZzE0m5Wvx3ZOli3w_20_2"/>
      <w:bookmarkStart w:id="545" w:name="Tc_JwA61ANNDEOPuf-rFXxxnA_20_0"/>
      <w:bookmarkStart w:id="546" w:name="Tc_pAMpW5jQWEOg2RYP4ncBlg_19_22"/>
      <w:bookmarkStart w:id="547" w:name="Tc_v3fcfpolO0qLPXw2_o6XyQ_19_19"/>
      <w:bookmarkStart w:id="548" w:name="Tc_Qo9I6MMtbEKtyp4wwTBMGQ_19_16"/>
      <w:bookmarkStart w:id="549" w:name="Tc_hxdX0UXC50uWNhJJIT5cjA_19_13"/>
      <w:bookmarkStart w:id="550" w:name="Tc_-251w523b06n8Y5ElxsQWw_19_10"/>
      <w:bookmarkStart w:id="551" w:name="Tc_HAC2X-cFN068pBferB8Lrw_19_5"/>
      <w:bookmarkStart w:id="552" w:name="Tc_8aofJ5IAUUib-auwsnNQGA_19_2"/>
      <w:bookmarkStart w:id="553" w:name="Tc_tHO2G10KG0WNu78DXgMKNw_19_0"/>
      <w:bookmarkStart w:id="554" w:name="Tc_UmPWb45i1EeeU7IaaL6mTA_18_19"/>
      <w:bookmarkStart w:id="555" w:name="Tc_Zie5e_26VE24Dz-wn1f6Lg_18_16"/>
      <w:bookmarkStart w:id="556" w:name="Tc_yeiA2bfTL0CHUdM-AeiQ3w_18_13"/>
      <w:bookmarkStart w:id="557" w:name="Tc_EHCiH5oR0kyYsKtHNvGbZQ_18_5"/>
      <w:bookmarkStart w:id="558" w:name="Tc_viyQDaY_P0qiZVvFwjz99Q_18_2"/>
      <w:bookmarkStart w:id="559" w:name="Tc_VAIfFMbRAkOgPeGiZQe1kw_18_0"/>
      <w:bookmarkStart w:id="560" w:name="Tc_xk1Mo-BxYUqarDNZtOx9hg_17_13"/>
      <w:bookmarkStart w:id="561" w:name="Tc_-o3CkJe7_kWtjX-YuP3t6A_17_10"/>
      <w:bookmarkStart w:id="562" w:name="Tc_x9N42Dd0okG3zt_IHFBJtQ_17_7"/>
      <w:bookmarkStart w:id="563" w:name="Tc_mwGq-UvfAkeG1YEDaFKuMw_17_5"/>
      <w:bookmarkStart w:id="564" w:name="Tc_tEo9oLGToEy122jRXU798Q_17_2"/>
      <w:bookmarkStart w:id="565" w:name="Tc_yDkEGz4ub0GZm7mtBwJLiw_17_0"/>
      <w:bookmarkStart w:id="566" w:name="Tc_wqkOa3kTaU-fYPnKhzJVFw_16_21"/>
      <w:bookmarkStart w:id="567" w:name="Tc_Z_I2UiX4ok-x_JdLdV5sLQ_16_18"/>
      <w:bookmarkStart w:id="568" w:name="Tc_4-uWRQW0zEWbAxoJTqRajA_16_15"/>
      <w:bookmarkStart w:id="569" w:name="Tc_fvHTm3XXZUmvAwk50M28QQ_16_12"/>
      <w:bookmarkStart w:id="570" w:name="Tc_Aypd_DevmkOdFQxF4NZZeg_16_9"/>
      <w:bookmarkStart w:id="571" w:name="Tc_WtEh-7AkBEefBixxqGDs7A_16_4"/>
      <w:bookmarkStart w:id="572" w:name="Tc_GGX1W90D1UutpHYlZXETZA_16_0"/>
      <w:bookmarkStart w:id="573" w:name="Tc_kqgQLKTTYUqzSK5xg1uh0A_15_19"/>
      <w:bookmarkStart w:id="574" w:name="Tc_n-RFoMMgy0GEc9pfLggtYQ_15_16"/>
      <w:bookmarkStart w:id="575" w:name="Tc_JJxwBQDGEk-vnmR8xpiahw_15_10"/>
      <w:bookmarkStart w:id="576" w:name="Tc_Gbxest_TG0eLDHmUXMMEBg_15_7"/>
      <w:bookmarkStart w:id="577" w:name="Tc_fdSHp6-8ykOAmatp2J_b8Q_15_5"/>
      <w:bookmarkStart w:id="578" w:name="Tc_kTVj3rFKXkO9COiaiKcbnw_15_0"/>
      <w:bookmarkStart w:id="579" w:name="Tc_vejOVRSWAECm2NZjvvBw0A_14_22"/>
      <w:bookmarkStart w:id="580" w:name="Tc_54BxgV2cNkWjgVXIH1xXZA_14_19"/>
      <w:bookmarkStart w:id="581" w:name="Tc_YigpsRpkcU-qjoKrQVtk4w_14_16"/>
      <w:bookmarkStart w:id="582" w:name="Tc_BD3sLRZ-K0OzMprOwC0UaA_14_13"/>
      <w:bookmarkStart w:id="583" w:name="Tc_6mhufiYwMUWMHO0Xqv2iwg_14_10"/>
      <w:bookmarkStart w:id="584" w:name="Tc_PETa_sw20UutPsKOtvDqSw_14_5"/>
      <w:bookmarkStart w:id="585" w:name="Tc_xKtzYa7g0Ey0naF9OpkaMA_14_2"/>
      <w:bookmarkStart w:id="586" w:name="Tc_TIsodMbE3EetIvx0AfMRqw_14_0"/>
      <w:bookmarkStart w:id="587" w:name="Tc_zkQZ9Azb3kSb1T2uVrIuEg_13_19"/>
      <w:bookmarkStart w:id="588" w:name="Tc_718gSb8toEaFJrOSJxWAxg_13_16"/>
      <w:bookmarkStart w:id="589" w:name="Tc_6aQ0Xrv5BkGM1XzVC8p1rg_13_13"/>
      <w:bookmarkStart w:id="590" w:name="Tc_8sO_73XBnE-WaiP1yHYjOg_13_5"/>
      <w:bookmarkStart w:id="591" w:name="Tc_Kx4TXGM2vEGWICcrP87zWw_13_2"/>
      <w:bookmarkStart w:id="592" w:name="Tc_hoNzNSzwxU2dOPvIfgqmvg_13_0"/>
      <w:bookmarkStart w:id="593" w:name="Tc_FZxpQEBkGkKmd5P_NhgbTg_12_13"/>
      <w:bookmarkStart w:id="594" w:name="Tc_Y6mCffO_kUiFvMepjIzbdA_12_10"/>
      <w:bookmarkStart w:id="595" w:name="Tc__uzJxsoeGkW0wXJCEBptaw_12_7"/>
      <w:bookmarkStart w:id="596" w:name="Tc_9Umtqx-1RU2RYt2rjuaBBg_12_5"/>
      <w:bookmarkStart w:id="597" w:name="Tc_do8G-FAaZUmY_PHMhWLegQ_12_2"/>
      <w:bookmarkStart w:id="598" w:name="Tc_ZqSaZ0eDr0uK9DqW2B24jg_12_0"/>
      <w:bookmarkStart w:id="599" w:name="Tc_lYWd7nwDfUOlvgeDQD_yHw_11_21"/>
      <w:bookmarkStart w:id="600" w:name="Tc_1mI-Ve48jEuyzOvfEq_Stg_11_18"/>
      <w:bookmarkStart w:id="601" w:name="Tc_YcaybRf2oUKzXQE1AOFeDg_11_15"/>
      <w:bookmarkStart w:id="602" w:name="Tc_0gsM2AqxCUWinnYMu2Q6mQ_11_12"/>
      <w:bookmarkStart w:id="603" w:name="Tc_srBfgm5rG0a1ikSuYQVwFA_11_9"/>
      <w:bookmarkStart w:id="604" w:name="Tc_6SRHdTqslEeYzhFJS6lWAg_11_4"/>
      <w:bookmarkStart w:id="605" w:name="Tc_9_wTLesK3kaR8n1M1mWPnw_11_0"/>
      <w:bookmarkStart w:id="606" w:name="Tc_cgbtI-Vwbkm5jc8xCAaofQ_10_19"/>
      <w:bookmarkStart w:id="607" w:name="Tc_sPYlG_ad9U6w8BKAhwSOQQ_10_16"/>
      <w:bookmarkStart w:id="608" w:name="Tc_3zZcCyNsOEiWDSbzTp6CfA_10_0"/>
      <w:bookmarkStart w:id="609" w:name="Tc_CTGROJkruE6x3z9__tJCDw_9_22"/>
      <w:bookmarkStart w:id="610" w:name="Tc_VzMkNeRonUmkfCS542wufg_9_19"/>
      <w:bookmarkStart w:id="611" w:name="Tc_ZUD8HuKdJUGcpBZ8cXFIbA_9_16"/>
      <w:bookmarkStart w:id="612" w:name="Tc_QD0PY2KELU-YEdIsJIrnYQ_9_13"/>
      <w:bookmarkStart w:id="613" w:name="Tc_iD9oxC5m8USk6qN9f5ciqQ_9_10"/>
      <w:bookmarkStart w:id="614" w:name="Tc_EQ6k8sRS706BKYfCaVjVFg_9_7"/>
      <w:bookmarkStart w:id="615" w:name="Tc_u-xn4_hp6E--KJ_UrKaghw_9_5"/>
      <w:bookmarkStart w:id="616" w:name="Tc_JAeWxo6V7ESe7TwU6hq--A_9_2"/>
      <w:bookmarkStart w:id="617" w:name="Tc_IX_jXaFHuUydHydEfKt0GQ_9_0"/>
      <w:bookmarkStart w:id="618" w:name="Tc_nr3zQggVYkWpCFQCWZRhEQ_8_19"/>
      <w:bookmarkStart w:id="619" w:name="Tc_uvg3o372KEyx8efNVMXihQ_8_16"/>
      <w:bookmarkStart w:id="620" w:name="Tc_CIpwu_sHyUSUtgLeC54mzQ_8_13"/>
      <w:bookmarkStart w:id="621" w:name="Tc_G4plflljMUusopO_dSGaUA_8_5"/>
      <w:bookmarkStart w:id="622" w:name="Tc_IOzG8vMXVEWjIi2-0wsecA_8_2"/>
      <w:bookmarkStart w:id="623" w:name="Tc_Qptp3hOJHUagSwTlmyHSYw_8_0"/>
      <w:bookmarkStart w:id="624" w:name="Tc__bgcKWKH_ECqaIGPv9M8jQ_7_13"/>
      <w:bookmarkStart w:id="625" w:name="Tc_MfgC4o-LzUyZmGdTa1qu4Q_7_10"/>
      <w:bookmarkStart w:id="626" w:name="Tc_iRSd1JYteEGHbra43vIPrQ_7_7"/>
      <w:bookmarkStart w:id="627" w:name="Tc__v8xTwNFBk6vXrVYPAvbfQ_7_5"/>
      <w:bookmarkStart w:id="628" w:name="Tc_odouRd0_k0WCrXfXc25-2A_7_2"/>
      <w:bookmarkStart w:id="629" w:name="Tc_phZhALTcG064q0m7vwmjyg_7_0"/>
      <w:bookmarkStart w:id="630" w:name="Tc_j6dKJKtL70i85TU3OUtXCA_6_21"/>
      <w:bookmarkStart w:id="631" w:name="Tc_9bUnSWkWr0elJXUtg4qTlA_6_18"/>
      <w:bookmarkStart w:id="632" w:name="Tc_kx2yfeWkSkKnPk_N7qiTdw_6_16"/>
      <w:bookmarkStart w:id="633" w:name="Tc_PEVh4srzPUOr-ghWgWRsLw_6_15"/>
      <w:bookmarkStart w:id="634" w:name="Tc_pOLWP_FmcEW31AEc3qVFbQ_6_12"/>
      <w:bookmarkStart w:id="635" w:name="Tc_Kz2KVIURMEey9qdXtesL0w_6_9"/>
      <w:bookmarkStart w:id="636" w:name="Tc_G5LJTYyRjEmbUGKVtS39BA_6_4"/>
      <w:bookmarkStart w:id="637" w:name="Tc_Hc6bQb4V6USoHYPITwZqcw_6_0"/>
      <w:bookmarkStart w:id="638" w:name="Tc_iDXOeEGJr0-MHQXPZrquuw_5_21"/>
      <w:bookmarkStart w:id="639" w:name="Tc_ewyIwMWzskSgBvl7fLuuKw_5_18"/>
      <w:bookmarkStart w:id="640" w:name="Tc_vNGFr2FlEEKfL70hVIJJiw_5_15"/>
      <w:bookmarkStart w:id="641" w:name="Tc_QacmiJygI0amOAVdwYrbVQ_5_12"/>
      <w:bookmarkStart w:id="642" w:name="Tc_Hw_bf96sB0uet83064I2dA_5_9"/>
      <w:bookmarkStart w:id="643" w:name="Tc_EebgG_kWv0qbQ9dBtI7RSQ_5_7"/>
      <w:bookmarkStart w:id="644" w:name="Tc_EXcjSudrZEG2gOiwUMKNEQ_5_4"/>
      <w:bookmarkStart w:id="645" w:name="Tc_1NYfuFucK0Kj8NcMZPFb5g_5_2"/>
      <w:bookmarkStart w:id="646" w:name="Tc_HK8yRmoYqUSxLFfrjyvyNA_4_18"/>
      <w:bookmarkStart w:id="647" w:name="Tc_AH3kb7-Xo0yJyAO_e43CEQ_4_15"/>
      <w:bookmarkStart w:id="648" w:name="Tc_eZKJSOsq80yDaxBNJ_jH8Q_4_12"/>
      <w:bookmarkStart w:id="649" w:name="Tc_HbRLz6JO8kCHVVjgUin19A_4_7"/>
      <w:bookmarkStart w:id="650" w:name="Tc_UQXMuKGjC0-y5AtCHVuomQ_4_2"/>
      <w:bookmarkStart w:id="651" w:name="Tc_IvQGUIXezUqaCF7G34XC_A_3_15"/>
      <w:bookmarkStart w:id="652" w:name="Tc_327_BOHeo06UhA3Ur6aHEA_3_12"/>
      <w:bookmarkStart w:id="653" w:name="Tc_j-x_m6mqP0yXwqhFh4sALQ_2_15"/>
      <w:bookmarkStart w:id="654" w:name="Tc_krJbUn4FoUyFUzoG_F95rQ_1_2"/>
      <w:bookmarkStart w:id="655" w:name="_f99ad569_bc19_45ea_b57e_63964ab0add2"/>
      <w:bookmarkStart w:id="656" w:name="Tc_OU7VfKF9p0S2w4i28Uv8qA_21_21"/>
      <w:bookmarkStart w:id="657" w:name="Tc_GFO4NQFGuECVOCp_tkt8yw_21_18"/>
      <w:bookmarkStart w:id="658" w:name="Tc_1ZDkEgKOL0CRx6Y8ba611w_21_15"/>
      <w:bookmarkStart w:id="659" w:name="Tc_EsErFHUBUEqZVWYRkzDfzg_21_12"/>
      <w:bookmarkStart w:id="660" w:name="Tc_821iQA79WUyTPmJutOaWQA_21_9"/>
      <w:bookmarkStart w:id="661" w:name="Tc_jNYo4AxVVE6hChgRfJiNaw_21_4"/>
      <w:bookmarkStart w:id="662" w:name="Tc_tvHbCfTsGEqcrQd0bbBuzg_21_0"/>
      <w:bookmarkStart w:id="663" w:name="Tc_jEMN9B7jKESqs3wiT5HPSA_20_19"/>
      <w:bookmarkStart w:id="664" w:name="Tc_-Ojxz85G1kCJgjeBCvPIYw_20_16"/>
      <w:bookmarkStart w:id="665" w:name="Tc_Wt0YEIIQL0ezzsp1oTaAsQ_20_10"/>
      <w:bookmarkStart w:id="666" w:name="Tc_ELo-vOtDREGpMaKBl3ZDpw_20_7"/>
      <w:bookmarkStart w:id="667" w:name="Tc_gr6Nd3PNY02GrAqji0QyBg_20_5"/>
      <w:bookmarkStart w:id="668" w:name="Tc_jhe8eZZzE0m5Wvx3ZOli3w_20_2"/>
      <w:bookmarkStart w:id="669" w:name="Tc_JwA61ANNDEOPuf-rFXxxnA_20_0"/>
      <w:bookmarkStart w:id="670" w:name="Tc_pAMpW5jQWEOg2RYP4ncBlg_19_22"/>
      <w:bookmarkStart w:id="671" w:name="Tc_v3fcfpolO0qLPXw2_o6XyQ_19_19"/>
      <w:bookmarkStart w:id="672" w:name="Tc_Qo9I6MMtbEKtyp4wwTBMGQ_19_16"/>
      <w:bookmarkStart w:id="673" w:name="Tc_hxdX0UXC50uWNhJJIT5cjA_19_13"/>
      <w:bookmarkStart w:id="674" w:name="Tc_-251w523b06n8Y5ElxsQWw_19_10"/>
      <w:bookmarkStart w:id="675" w:name="Tc_HAC2X-cFN068pBferB8Lrw_19_5"/>
      <w:bookmarkStart w:id="676" w:name="Tc_8aofJ5IAUUib-auwsnNQGA_19_2"/>
      <w:bookmarkStart w:id="677" w:name="Tc_tHO2G10KG0WNu78DXgMKNw_19_0"/>
      <w:bookmarkStart w:id="678" w:name="Tc_UmPWb45i1EeeU7IaaL6mTA_18_19"/>
      <w:bookmarkStart w:id="679" w:name="Tc_Zie5e_26VE24Dz-wn1f6Lg_18_16"/>
      <w:bookmarkStart w:id="680" w:name="Tc_yeiA2bfTL0CHUdM-AeiQ3w_18_13"/>
      <w:bookmarkStart w:id="681" w:name="Tc_EHCiH5oR0kyYsKtHNvGbZQ_18_5"/>
      <w:bookmarkStart w:id="682" w:name="Tc_viyQDaY_P0qiZVvFwjz99Q_18_2"/>
      <w:bookmarkStart w:id="683" w:name="Tc_VAIfFMbRAkOgPeGiZQe1kw_18_0"/>
      <w:bookmarkStart w:id="684" w:name="Tc_xk1Mo-BxYUqarDNZtOx9hg_17_13"/>
      <w:bookmarkStart w:id="685" w:name="Tc_-o3CkJe7_kWtjX-YuP3t6A_17_10"/>
      <w:bookmarkStart w:id="686" w:name="Tc_x9N42Dd0okG3zt_IHFBJtQ_17_7"/>
      <w:bookmarkStart w:id="687" w:name="Tc_mwGq-UvfAkeG1YEDaFKuMw_17_5"/>
      <w:bookmarkStart w:id="688" w:name="Tc_tEo9oLGToEy122jRXU798Q_17_2"/>
      <w:bookmarkStart w:id="689" w:name="Tc_yDkEGz4ub0GZm7mtBwJLiw_17_0"/>
      <w:bookmarkStart w:id="690" w:name="Tc_wqkOa3kTaU-fYPnKhzJVFw_16_21"/>
      <w:bookmarkStart w:id="691" w:name="Tc_Z_I2UiX4ok-x_JdLdV5sLQ_16_18"/>
      <w:bookmarkStart w:id="692" w:name="Tc_4-uWRQW0zEWbAxoJTqRajA_16_15"/>
      <w:bookmarkStart w:id="693" w:name="Tc_fvHTm3XXZUmvAwk50M28QQ_16_12"/>
      <w:bookmarkStart w:id="694" w:name="Tc_Aypd_DevmkOdFQxF4NZZeg_16_9"/>
      <w:bookmarkStart w:id="695" w:name="Tc_WtEh-7AkBEefBixxqGDs7A_16_4"/>
      <w:bookmarkStart w:id="696" w:name="Tc_GGX1W90D1UutpHYlZXETZA_16_0"/>
      <w:bookmarkStart w:id="697" w:name="Tc_kqgQLKTTYUqzSK5xg1uh0A_15_19"/>
      <w:bookmarkStart w:id="698" w:name="Tc_n-RFoMMgy0GEc9pfLggtYQ_15_16"/>
      <w:bookmarkStart w:id="699" w:name="Tc_JJxwBQDGEk-vnmR8xpiahw_15_10"/>
      <w:bookmarkStart w:id="700" w:name="Tc_Gbxest_TG0eLDHmUXMMEBg_15_7"/>
      <w:bookmarkStart w:id="701" w:name="Tc_fdSHp6-8ykOAmatp2J_b8Q_15_5"/>
      <w:bookmarkStart w:id="702" w:name="Tc_kTVj3rFKXkO9COiaiKcbnw_15_0"/>
      <w:bookmarkStart w:id="703" w:name="Tc_vejOVRSWAECm2NZjvvBw0A_14_22"/>
      <w:bookmarkStart w:id="704" w:name="Tc_54BxgV2cNkWjgVXIH1xXZA_14_19"/>
      <w:bookmarkStart w:id="705" w:name="Tc_YigpsRpkcU-qjoKrQVtk4w_14_16"/>
      <w:bookmarkStart w:id="706" w:name="Tc_BD3sLRZ-K0OzMprOwC0UaA_14_13"/>
      <w:bookmarkStart w:id="707" w:name="Tc_6mhufiYwMUWMHO0Xqv2iwg_14_10"/>
      <w:bookmarkStart w:id="708" w:name="Tc_PETa_sw20UutPsKOtvDqSw_14_5"/>
      <w:bookmarkStart w:id="709" w:name="Tc_xKtzYa7g0Ey0naF9OpkaMA_14_2"/>
      <w:bookmarkStart w:id="710" w:name="Tc_TIsodMbE3EetIvx0AfMRqw_14_0"/>
      <w:bookmarkStart w:id="711" w:name="Tc_zkQZ9Azb3kSb1T2uVrIuEg_13_19"/>
      <w:bookmarkStart w:id="712" w:name="Tc_718gSb8toEaFJrOSJxWAxg_13_16"/>
      <w:bookmarkStart w:id="713" w:name="Tc_6aQ0Xrv5BkGM1XzVC8p1rg_13_13"/>
      <w:bookmarkStart w:id="714" w:name="Tc_8sO_73XBnE-WaiP1yHYjOg_13_5"/>
      <w:bookmarkStart w:id="715" w:name="Tc_Kx4TXGM2vEGWICcrP87zWw_13_2"/>
      <w:bookmarkStart w:id="716" w:name="Tc_hoNzNSzwxU2dOPvIfgqmvg_13_0"/>
      <w:bookmarkStart w:id="717" w:name="Tc_FZxpQEBkGkKmd5P_NhgbTg_12_13"/>
      <w:bookmarkStart w:id="718" w:name="Tc_Y6mCffO_kUiFvMepjIzbdA_12_10"/>
      <w:bookmarkStart w:id="719" w:name="Tc__uzJxsoeGkW0wXJCEBptaw_12_7"/>
      <w:bookmarkStart w:id="720" w:name="Tc_9Umtqx-1RU2RYt2rjuaBBg_12_5"/>
      <w:bookmarkStart w:id="721" w:name="Tc_do8G-FAaZUmY_PHMhWLegQ_12_2"/>
      <w:bookmarkStart w:id="722" w:name="Tc_ZqSaZ0eDr0uK9DqW2B24jg_12_0"/>
      <w:bookmarkStart w:id="723" w:name="Tc_lYWd7nwDfUOlvgeDQD_yHw_11_21"/>
      <w:bookmarkStart w:id="724" w:name="Tc_1mI-Ve48jEuyzOvfEq_Stg_11_18"/>
      <w:bookmarkStart w:id="725" w:name="Tc_YcaybRf2oUKzXQE1AOFeDg_11_15"/>
      <w:bookmarkStart w:id="726" w:name="Tc_0gsM2AqxCUWinnYMu2Q6mQ_11_12"/>
      <w:bookmarkStart w:id="727" w:name="Tc_srBfgm5rG0a1ikSuYQVwFA_11_9"/>
      <w:bookmarkStart w:id="728" w:name="Tc_6SRHdTqslEeYzhFJS6lWAg_11_4"/>
      <w:bookmarkStart w:id="729" w:name="Tc_9_wTLesK3kaR8n1M1mWPnw_11_0"/>
      <w:bookmarkStart w:id="730" w:name="Tc_cgbtI-Vwbkm5jc8xCAaofQ_10_19"/>
      <w:bookmarkStart w:id="731" w:name="Tc_sPYlG_ad9U6w8BKAhwSOQQ_10_16"/>
      <w:bookmarkStart w:id="732" w:name="Tc_3zZcCyNsOEiWDSbzTp6CfA_10_0"/>
      <w:bookmarkStart w:id="733" w:name="Tc_CTGROJkruE6x3z9__tJCDw_9_22"/>
      <w:bookmarkStart w:id="734" w:name="Tc_VzMkNeRonUmkfCS542wufg_9_19"/>
      <w:bookmarkStart w:id="735" w:name="Tc_ZUD8HuKdJUGcpBZ8cXFIbA_9_16"/>
      <w:bookmarkStart w:id="736" w:name="Tc_QD0PY2KELU-YEdIsJIrnYQ_9_13"/>
      <w:bookmarkStart w:id="737" w:name="Tc_iD9oxC5m8USk6qN9f5ciqQ_9_10"/>
      <w:bookmarkStart w:id="738" w:name="Tc_EQ6k8sRS706BKYfCaVjVFg_9_7"/>
      <w:bookmarkStart w:id="739" w:name="Tc_u-xn4_hp6E--KJ_UrKaghw_9_5"/>
      <w:bookmarkStart w:id="740" w:name="Tc_JAeWxo6V7ESe7TwU6hq--A_9_2"/>
      <w:bookmarkStart w:id="741" w:name="Tc_IX_jXaFHuUydHydEfKt0GQ_9_0"/>
      <w:bookmarkStart w:id="742" w:name="Tc_nr3zQggVYkWpCFQCWZRhEQ_8_19"/>
      <w:bookmarkStart w:id="743" w:name="Tc_uvg3o372KEyx8efNVMXihQ_8_16"/>
      <w:bookmarkStart w:id="744" w:name="Tc_CIpwu_sHyUSUtgLeC54mzQ_8_13"/>
      <w:bookmarkStart w:id="745" w:name="Tc_G4plflljMUusopO_dSGaUA_8_5"/>
      <w:bookmarkStart w:id="746" w:name="Tc_IOzG8vMXVEWjIi2-0wsecA_8_2"/>
      <w:bookmarkStart w:id="747" w:name="Tc_Qptp3hOJHUagSwTlmyHSYw_8_0"/>
      <w:bookmarkStart w:id="748" w:name="Tc__bgcKWKH_ECqaIGPv9M8jQ_7_13"/>
      <w:bookmarkStart w:id="749" w:name="Tc_MfgC4o-LzUyZmGdTa1qu4Q_7_10"/>
      <w:bookmarkStart w:id="750" w:name="Tc_iRSd1JYteEGHbra43vIPrQ_7_7"/>
      <w:bookmarkStart w:id="751" w:name="Tc__v8xTwNFBk6vXrVYPAvbfQ_7_5"/>
      <w:bookmarkStart w:id="752" w:name="Tc_odouRd0_k0WCrXfXc25-2A_7_2"/>
      <w:bookmarkStart w:id="753" w:name="Tc_phZhALTcG064q0m7vwmjyg_7_0"/>
      <w:bookmarkStart w:id="754" w:name="Tc_j6dKJKtL70i85TU3OUtXCA_6_21"/>
      <w:bookmarkStart w:id="755" w:name="Tc_9bUnSWkWr0elJXUtg4qTlA_6_18"/>
      <w:bookmarkStart w:id="756" w:name="Tc_kx2yfeWkSkKnPk_N7qiTdw_6_16"/>
      <w:bookmarkStart w:id="757" w:name="Tc_PEVh4srzPUOr-ghWgWRsLw_6_15"/>
      <w:bookmarkStart w:id="758" w:name="Tc_pOLWP_FmcEW31AEc3qVFbQ_6_12"/>
      <w:bookmarkStart w:id="759" w:name="Tc_Kz2KVIURMEey9qdXtesL0w_6_9"/>
      <w:bookmarkStart w:id="760" w:name="Tc_G5LJTYyRjEmbUGKVtS39BA_6_4"/>
      <w:bookmarkStart w:id="761" w:name="Tc_Hc6bQb4V6USoHYPITwZqcw_6_0"/>
      <w:bookmarkStart w:id="762" w:name="Tc_iDXOeEGJr0-MHQXPZrquuw_5_21"/>
      <w:bookmarkStart w:id="763" w:name="Tc_ewyIwMWzskSgBvl7fLuuKw_5_18"/>
      <w:bookmarkStart w:id="764" w:name="Tc_vNGFr2FlEEKfL70hVIJJiw_5_15"/>
      <w:bookmarkStart w:id="765" w:name="Tc_QacmiJygI0amOAVdwYrbVQ_5_12"/>
      <w:bookmarkStart w:id="766" w:name="Tc_Hw_bf96sB0uet83064I2dA_5_9"/>
      <w:bookmarkStart w:id="767" w:name="Tc_EebgG_kWv0qbQ9dBtI7RSQ_5_7"/>
      <w:bookmarkStart w:id="768" w:name="Tc_EXcjSudrZEG2gOiwUMKNEQ_5_4"/>
      <w:bookmarkStart w:id="769" w:name="Tc_1NYfuFucK0Kj8NcMZPFb5g_5_2"/>
      <w:bookmarkStart w:id="770" w:name="Tc_HK8yRmoYqUSxLFfrjyvyNA_4_18"/>
      <w:bookmarkStart w:id="771" w:name="Tc_AH3kb7-Xo0yJyAO_e43CEQ_4_15"/>
      <w:bookmarkStart w:id="772" w:name="Tc_eZKJSOsq80yDaxBNJ_jH8Q_4_12"/>
      <w:bookmarkStart w:id="773" w:name="Tc_HbRLz6JO8kCHVVjgUin19A_4_7"/>
      <w:bookmarkStart w:id="774" w:name="Tc_UQXMuKGjC0-y5AtCHVuomQ_4_2"/>
      <w:bookmarkStart w:id="775" w:name="Tc_IvQGUIXezUqaCF7G34XC_A_3_15"/>
      <w:bookmarkStart w:id="776" w:name="Tc_327_BOHeo06UhA3Ur6aHEA_3_12"/>
      <w:bookmarkStart w:id="777" w:name="Tc_j-x_m6mqP0yXwqhFh4sALQ_2_15"/>
      <w:bookmarkStart w:id="778" w:name="Tc_krJbUn4FoUyFUzoG_F95rQ_1_2"/>
      <w:bookmarkStart w:id="779" w:name="_f99ad569_bc19_45ea_b57e_63964ab0add2"/>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tbl>
      <w:tblPr>
        <w:tblW w:w="11046" w:type="dxa"/>
        <w:jc w:val="left"/>
        <w:tblInd w:w="0" w:type="dxa"/>
        <w:tblLayout w:type="fixed"/>
        <w:tblCellMar>
          <w:top w:w="0" w:type="dxa"/>
          <w:left w:w="0" w:type="dxa"/>
          <w:bottom w:w="0" w:type="dxa"/>
          <w:right w:w="0" w:type="dxa"/>
        </w:tblCellMar>
      </w:tblPr>
      <w:tblGrid>
        <w:gridCol w:w="1396"/>
        <w:gridCol w:w="226"/>
        <w:gridCol w:w="676"/>
        <w:gridCol w:w="226"/>
        <w:gridCol w:w="280"/>
        <w:gridCol w:w="561"/>
        <w:gridCol w:w="226"/>
        <w:gridCol w:w="676"/>
        <w:gridCol w:w="226"/>
        <w:gridCol w:w="211"/>
        <w:gridCol w:w="991"/>
        <w:gridCol w:w="226"/>
        <w:gridCol w:w="211"/>
        <w:gridCol w:w="781"/>
        <w:gridCol w:w="226"/>
        <w:gridCol w:w="404"/>
        <w:gridCol w:w="812"/>
        <w:gridCol w:w="226"/>
        <w:gridCol w:w="211"/>
        <w:gridCol w:w="931"/>
        <w:gridCol w:w="226"/>
        <w:gridCol w:w="211"/>
        <w:gridCol w:w="886"/>
      </w:tblGrid>
      <w:tr>
        <w:tc>
          <w:tcPr>
            <w:tcW w:w="1396"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43510" cy="175260"/>
                      <wp:effectExtent l="0" t="0" r="0" b="0"/>
                      <wp:wrapNone/>
                      <wp:docPr id="55" name="Frame5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29260" cy="175260"/>
                      <wp:effectExtent l="0" t="0" r="0" b="0"/>
                      <wp:wrapNone/>
                      <wp:docPr id="56" name="Frame5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43510" cy="175260"/>
                      <wp:effectExtent l="0" t="0" r="0" b="0"/>
                      <wp:wrapNone/>
                      <wp:docPr id="57" name="Frame5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77800" cy="175260"/>
                      <wp:effectExtent l="0" t="0" r="0" b="0"/>
                      <wp:wrapNone/>
                      <wp:docPr id="58" name="Frame58"/>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56235" cy="175260"/>
                      <wp:effectExtent l="0" t="0" r="0" b="0"/>
                      <wp:wrapNone/>
                      <wp:docPr id="59" name="Frame59"/>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43510" cy="175260"/>
                      <wp:effectExtent l="0" t="0" r="0" b="0"/>
                      <wp:wrapNone/>
                      <wp:docPr id="60" name="Frame6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29260" cy="175260"/>
                      <wp:effectExtent l="0" t="0" r="0" b="0"/>
                      <wp:wrapNone/>
                      <wp:docPr id="61" name="Frame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43510" cy="175260"/>
                      <wp:effectExtent l="0" t="0" r="0" b="0"/>
                      <wp:wrapNone/>
                      <wp:docPr id="62" name="Frame6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29285" cy="175260"/>
                      <wp:effectExtent l="0" t="0" r="0" b="0"/>
                      <wp:wrapNone/>
                      <wp:docPr id="64" name="Frame64"/>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43510" cy="175260"/>
                      <wp:effectExtent l="0" t="0" r="0" b="0"/>
                      <wp:wrapNone/>
                      <wp:docPr id="65" name="Frame6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95935" cy="175260"/>
                      <wp:effectExtent l="0" t="0" r="0" b="0"/>
                      <wp:wrapNone/>
                      <wp:docPr id="67" name="Frame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43510" cy="175260"/>
                      <wp:effectExtent l="0" t="0" r="0" b="0"/>
                      <wp:wrapNone/>
                      <wp:docPr id="68" name="Frame6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56540" cy="175260"/>
                      <wp:effectExtent l="0" t="0" r="0" b="0"/>
                      <wp:wrapNone/>
                      <wp:docPr id="69" name="Frame69"/>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15620" cy="175260"/>
                      <wp:effectExtent l="0" t="0" r="0" b="0"/>
                      <wp:wrapNone/>
                      <wp:docPr id="70" name="Frame70"/>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43510" cy="175260"/>
                      <wp:effectExtent l="0" t="0" r="0" b="0"/>
                      <wp:wrapNone/>
                      <wp:docPr id="71" name="Frame7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91185" cy="175260"/>
                      <wp:effectExtent l="0" t="0" r="0" b="0"/>
                      <wp:wrapNone/>
                      <wp:docPr id="73" name="Frame7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43510" cy="175260"/>
                      <wp:effectExtent l="0" t="0" r="0" b="0"/>
                      <wp:wrapNone/>
                      <wp:docPr id="74" name="Frame7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62610" cy="175260"/>
                      <wp:effectExtent l="0" t="0" r="0" b="0"/>
                      <wp:wrapNone/>
                      <wp:docPr id="76" name="Frame7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396"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left"/>
            </w:pPr>
            <w:r>
              <w:t>​</w:t>
            </w:r>
          </w:p>
        </w:tc>
        <w:tc>
          <w:tcPr>
            <w:tcW w:w="5291"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2025</w:t>
            </w:r>
          </w:p>
        </w:tc>
        <w:tc>
          <w:tcPr>
            <w:tcW w:w="226" w:type="dxa"/>
            <w:tcBorders/>
            <w:vAlign w:val="center"/>
          </w:tcPr>
          <w:p>
            <w:pPr>
              <w:pStyle w:val="TableContents"/>
              <w:bidi w:val="0"/>
              <w:spacing w:before="0" w:after="0"/>
              <w:ind w:left="0" w:right="0" w:hanging="0"/>
              <w:jc w:val="left"/>
            </w:pPr>
            <w:r>
              <w:t>​</w:t>
            </w:r>
          </w:p>
        </w:tc>
        <w:tc>
          <w:tcPr>
            <w:tcW w:w="404" w:type="dxa"/>
            <w:tcBorders/>
            <w:vAlign w:val="center"/>
          </w:tcPr>
          <w:p>
            <w:pPr>
              <w:pStyle w:val="TableContents"/>
              <w:bidi w:val="0"/>
              <w:spacing w:before="0" w:after="0"/>
              <w:ind w:left="0" w:right="0" w:hanging="0"/>
              <w:jc w:val="left"/>
            </w:pPr>
            <w:r>
              <w:t>​</w:t>
            </w:r>
          </w:p>
        </w:tc>
        <w:tc>
          <w:tcPr>
            <w:tcW w:w="812"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93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86" w:type="dxa"/>
            <w:tcBorders/>
            <w:vAlign w:val="center"/>
          </w:tcPr>
          <w:p>
            <w:pPr>
              <w:pStyle w:val="TableContents"/>
              <w:bidi w:val="0"/>
              <w:spacing w:before="0" w:after="0"/>
              <w:ind w:left="0" w:right="0" w:hanging="0"/>
              <w:jc w:val="right"/>
            </w:pPr>
            <w:r>
              <w:t>​</w:t>
            </w:r>
          </w:p>
        </w:tc>
      </w:tr>
      <w:tr>
        <w:tc>
          <w:tcPr>
            <w:tcW w:w="1396"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center"/>
            </w:pPr>
            <w:r>
              <w:t>​</w:t>
            </w:r>
          </w:p>
        </w:tc>
        <w:tc>
          <w:tcPr>
            <w:tcW w:w="280" w:type="dxa"/>
            <w:tcBorders/>
            <w:vAlign w:val="center"/>
          </w:tcPr>
          <w:p>
            <w:pPr>
              <w:pStyle w:val="TableContents"/>
              <w:bidi w:val="0"/>
              <w:spacing w:before="0" w:after="0"/>
              <w:ind w:left="0" w:right="0" w:hanging="0"/>
              <w:jc w:val="left"/>
            </w:pPr>
            <w:r>
              <w:t>​</w:t>
            </w:r>
          </w:p>
        </w:tc>
        <w:tc>
          <w:tcPr>
            <w:tcW w:w="56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center"/>
            </w:pPr>
            <w:r>
              <w:t>​</w:t>
            </w:r>
          </w:p>
        </w:tc>
        <w:tc>
          <w:tcPr>
            <w:tcW w:w="676"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center"/>
            </w:pPr>
            <w:r>
              <w:t>​</w:t>
            </w:r>
          </w:p>
        </w:tc>
        <w:tc>
          <w:tcPr>
            <w:tcW w:w="211" w:type="dxa"/>
            <w:tcBorders/>
            <w:vAlign w:val="center"/>
          </w:tcPr>
          <w:p>
            <w:pPr>
              <w:pStyle w:val="TableContents"/>
              <w:bidi w:val="0"/>
              <w:spacing w:before="0" w:after="0"/>
              <w:ind w:left="0" w:right="0" w:hanging="0"/>
              <w:jc w:val="left"/>
            </w:pPr>
            <w:r>
              <w:t>​</w:t>
            </w:r>
          </w:p>
        </w:tc>
        <w:tc>
          <w:tcPr>
            <w:tcW w:w="99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center"/>
            </w:pPr>
            <w:r>
              <w:t>​</w:t>
            </w:r>
          </w:p>
        </w:tc>
        <w:tc>
          <w:tcPr>
            <w:tcW w:w="992" w:type="dxa"/>
            <w:gridSpan w:val="2"/>
            <w:tcBorders/>
            <w:vAlign w:val="center"/>
          </w:tcPr>
          <w:p>
            <w:pPr>
              <w:pStyle w:val="TableContents"/>
              <w:bidi w:val="0"/>
              <w:spacing w:before="0" w:after="0"/>
              <w:ind w:left="0" w:right="0" w:hanging="0"/>
              <w:jc w:val="center"/>
            </w:pPr>
            <w:r>
              <w:t>​</w:t>
            </w:r>
          </w:p>
        </w:tc>
        <w:tc>
          <w:tcPr>
            <w:tcW w:w="226" w:type="dxa"/>
            <w:tcBorders/>
            <w:vAlign w:val="center"/>
          </w:tcPr>
          <w:p>
            <w:pPr>
              <w:pStyle w:val="TableContents"/>
              <w:bidi w:val="0"/>
              <w:spacing w:before="0" w:after="0"/>
              <w:ind w:left="0" w:right="0" w:hanging="0"/>
              <w:jc w:val="center"/>
            </w:pPr>
            <w: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0"/>
              <w:ind w:left="0" w:right="0" w:hanging="0"/>
              <w:jc w:val="center"/>
            </w:pPr>
            <w:r>
              <w:t>​</w:t>
            </w:r>
          </w:p>
        </w:tc>
        <w:tc>
          <w:tcPr>
            <w:tcW w:w="211" w:type="dxa"/>
            <w:tcBorders/>
            <w:vAlign w:val="center"/>
          </w:tcPr>
          <w:p>
            <w:pPr>
              <w:pStyle w:val="TableContents"/>
              <w:bidi w:val="0"/>
              <w:spacing w:before="0" w:after="0"/>
              <w:ind w:left="0" w:right="0" w:hanging="0"/>
              <w:jc w:val="left"/>
            </w:pPr>
            <w:r>
              <w:t>​</w:t>
            </w:r>
          </w:p>
        </w:tc>
        <w:tc>
          <w:tcPr>
            <w:tcW w:w="93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center"/>
            </w:pPr>
            <w:r>
              <w:t>​</w:t>
            </w:r>
          </w:p>
        </w:tc>
        <w:tc>
          <w:tcPr>
            <w:tcW w:w="211" w:type="dxa"/>
            <w:tcBorders/>
            <w:vAlign w:val="center"/>
          </w:tcPr>
          <w:p>
            <w:pPr>
              <w:pStyle w:val="TableContents"/>
              <w:bidi w:val="0"/>
              <w:spacing w:before="0" w:after="0"/>
              <w:ind w:left="0" w:right="0" w:hanging="0"/>
              <w:jc w:val="left"/>
            </w:pPr>
            <w:r>
              <w:t>​</w:t>
            </w:r>
          </w:p>
        </w:tc>
        <w:tc>
          <w:tcPr>
            <w:tcW w:w="886" w:type="dxa"/>
            <w:tcBorders/>
            <w:vAlign w:val="center"/>
          </w:tcPr>
          <w:p>
            <w:pPr>
              <w:pStyle w:val="TableContents"/>
              <w:bidi w:val="0"/>
              <w:spacing w:before="0" w:after="0"/>
              <w:ind w:left="0" w:right="0" w:hanging="0"/>
              <w:jc w:val="right"/>
            </w:pPr>
            <w:r>
              <w:t>​</w:t>
            </w:r>
          </w:p>
        </w:tc>
      </w:tr>
      <w:tr>
        <w:tc>
          <w:tcPr>
            <w:tcW w:w="1396"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center"/>
            </w:pPr>
            <w:r>
              <w:t>​</w:t>
            </w:r>
          </w:p>
        </w:tc>
        <w:tc>
          <w:tcPr>
            <w:tcW w:w="280" w:type="dxa"/>
            <w:tcBorders/>
            <w:vAlign w:val="center"/>
          </w:tcPr>
          <w:p>
            <w:pPr>
              <w:pStyle w:val="TableContents"/>
              <w:bidi w:val="0"/>
              <w:spacing w:before="0" w:after="0"/>
              <w:ind w:left="0" w:right="0" w:hanging="0"/>
              <w:jc w:val="left"/>
            </w:pPr>
            <w:r>
              <w:t>​</w:t>
            </w:r>
          </w:p>
        </w:tc>
        <w:tc>
          <w:tcPr>
            <w:tcW w:w="56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center"/>
            </w:pPr>
            <w:r>
              <w:t>​</w:t>
            </w:r>
          </w:p>
        </w:tc>
        <w:tc>
          <w:tcPr>
            <w:tcW w:w="676"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center"/>
            </w:pPr>
            <w:r>
              <w:t>​</w:t>
            </w:r>
          </w:p>
        </w:tc>
        <w:tc>
          <w:tcPr>
            <w:tcW w:w="211" w:type="dxa"/>
            <w:tcBorders/>
            <w:vAlign w:val="center"/>
          </w:tcPr>
          <w:p>
            <w:pPr>
              <w:pStyle w:val="TableContents"/>
              <w:bidi w:val="0"/>
              <w:spacing w:before="0" w:after="0"/>
              <w:ind w:left="0" w:right="0" w:hanging="0"/>
              <w:jc w:val="left"/>
            </w:pPr>
            <w:r>
              <w:t>​</w:t>
            </w:r>
          </w:p>
        </w:tc>
        <w:tc>
          <w:tcPr>
            <w:tcW w:w="99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center"/>
            </w:pPr>
            <w: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26" w:type="dxa"/>
            <w:tcBorders/>
            <w:vAlign w:val="center"/>
          </w:tcPr>
          <w:p>
            <w:pPr>
              <w:pStyle w:val="TableContents"/>
              <w:bidi w:val="0"/>
              <w:spacing w:before="0" w:after="0"/>
              <w:ind w:left="0" w:right="0" w:hanging="0"/>
              <w:jc w:val="center"/>
            </w:pPr>
            <w: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26" w:type="dxa"/>
            <w:tcBorders/>
            <w:vAlign w:val="center"/>
          </w:tcPr>
          <w:p>
            <w:pPr>
              <w:pStyle w:val="TableContents"/>
              <w:bidi w:val="0"/>
              <w:spacing w:before="0" w:after="0"/>
              <w:ind w:left="0" w:right="0" w:hanging="0"/>
              <w:jc w:val="center"/>
            </w:pPr>
            <w:r>
              <w:t>​</w:t>
            </w:r>
          </w:p>
        </w:tc>
        <w:tc>
          <w:tcPr>
            <w:tcW w:w="211" w:type="dxa"/>
            <w:tcBorders/>
            <w:vAlign w:val="center"/>
          </w:tcPr>
          <w:p>
            <w:pPr>
              <w:pStyle w:val="TableContents"/>
              <w:bidi w:val="0"/>
              <w:spacing w:before="0" w:after="0"/>
              <w:ind w:left="0" w:right="0" w:hanging="0"/>
              <w:jc w:val="left"/>
            </w:pPr>
            <w:r>
              <w:t>​</w:t>
            </w:r>
          </w:p>
        </w:tc>
        <w:tc>
          <w:tcPr>
            <w:tcW w:w="93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center"/>
            </w:pPr>
            <w:r>
              <w:t>​</w:t>
            </w:r>
          </w:p>
        </w:tc>
        <w:tc>
          <w:tcPr>
            <w:tcW w:w="211" w:type="dxa"/>
            <w:tcBorders/>
            <w:vAlign w:val="center"/>
          </w:tcPr>
          <w:p>
            <w:pPr>
              <w:pStyle w:val="TableContents"/>
              <w:bidi w:val="0"/>
              <w:spacing w:before="0" w:after="0"/>
              <w:ind w:left="0" w:right="0" w:hanging="0"/>
              <w:jc w:val="left"/>
            </w:pPr>
            <w:r>
              <w:t>​</w:t>
            </w:r>
          </w:p>
        </w:tc>
        <w:tc>
          <w:tcPr>
            <w:tcW w:w="886" w:type="dxa"/>
            <w:tcBorders/>
            <w:vAlign w:val="center"/>
          </w:tcPr>
          <w:p>
            <w:pPr>
              <w:pStyle w:val="TableContents"/>
              <w:bidi w:val="0"/>
              <w:spacing w:before="0" w:after="0"/>
              <w:ind w:left="0" w:right="0" w:hanging="0"/>
              <w:jc w:val="right"/>
            </w:pPr>
            <w:r>
              <w:t>​</w:t>
            </w:r>
          </w:p>
        </w:tc>
      </w:tr>
      <w:tr>
        <w:tc>
          <w:tcPr>
            <w:tcW w:w="1396"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left"/>
            </w:pPr>
            <w:r>
              <w:t>​</w:t>
            </w:r>
          </w:p>
        </w:tc>
        <w:tc>
          <w:tcPr>
            <w:tcW w:w="174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26" w:type="dxa"/>
            <w:tcBorders/>
            <w:vAlign w:val="center"/>
          </w:tcPr>
          <w:p>
            <w:pPr>
              <w:pStyle w:val="TableContents"/>
              <w:bidi w:val="0"/>
              <w:spacing w:before="0" w:after="0"/>
              <w:ind w:left="0" w:right="0" w:hanging="0"/>
              <w:jc w:val="center"/>
            </w:pPr>
            <w:r>
              <w:t>​</w:t>
            </w:r>
          </w:p>
        </w:tc>
        <w:tc>
          <w:tcPr>
            <w:tcW w:w="210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226" w:type="dxa"/>
            <w:tcBorders/>
            <w:vAlign w:val="center"/>
          </w:tcPr>
          <w:p>
            <w:pPr>
              <w:pStyle w:val="TableContents"/>
              <w:bidi w:val="0"/>
              <w:spacing w:before="0" w:after="0"/>
              <w:ind w:left="0" w:right="0" w:hanging="0"/>
              <w:jc w:val="center"/>
            </w:pPr>
            <w: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26" w:type="dxa"/>
            <w:tcBorders/>
            <w:vAlign w:val="center"/>
          </w:tcPr>
          <w:p>
            <w:pPr>
              <w:pStyle w:val="TableContents"/>
              <w:bidi w:val="0"/>
              <w:spacing w:before="0" w:after="0"/>
              <w:ind w:left="0" w:right="0" w:hanging="0"/>
              <w:jc w:val="center"/>
            </w:pPr>
            <w: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26" w:type="dxa"/>
            <w:tcBorders/>
            <w:vAlign w:val="center"/>
          </w:tcPr>
          <w:p>
            <w:pPr>
              <w:pStyle w:val="TableContents"/>
              <w:bidi w:val="0"/>
              <w:spacing w:before="0" w:after="0"/>
              <w:ind w:left="0" w:right="0" w:hanging="0"/>
              <w:jc w:val="center"/>
            </w:pPr>
            <w: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26" w:type="dxa"/>
            <w:tcBorders/>
            <w:vAlign w:val="center"/>
          </w:tcPr>
          <w:p>
            <w:pPr>
              <w:pStyle w:val="TableContents"/>
              <w:bidi w:val="0"/>
              <w:spacing w:before="0" w:after="0"/>
              <w:ind w:left="0" w:right="0" w:hanging="0"/>
              <w:jc w:val="center"/>
            </w:pPr>
            <w:r>
              <w:t>​</w:t>
            </w:r>
          </w:p>
        </w:tc>
        <w:tc>
          <w:tcPr>
            <w:tcW w:w="211" w:type="dxa"/>
            <w:tcBorders/>
            <w:vAlign w:val="center"/>
          </w:tcPr>
          <w:p>
            <w:pPr>
              <w:pStyle w:val="TableContents"/>
              <w:bidi w:val="0"/>
              <w:spacing w:before="0" w:after="0"/>
              <w:ind w:left="0" w:right="0" w:hanging="0"/>
              <w:jc w:val="left"/>
            </w:pPr>
            <w:r>
              <w:t>​</w:t>
            </w:r>
          </w:p>
        </w:tc>
        <w:tc>
          <w:tcPr>
            <w:tcW w:w="886" w:type="dxa"/>
            <w:tcBorders/>
            <w:vAlign w:val="center"/>
          </w:tcPr>
          <w:p>
            <w:pPr>
              <w:pStyle w:val="TableContents"/>
              <w:bidi w:val="0"/>
              <w:spacing w:before="0" w:after="0"/>
              <w:ind w:left="0" w:right="0" w:hanging="0"/>
              <w:jc w:val="right"/>
            </w:pPr>
            <w:r>
              <w:t>​</w:t>
            </w:r>
          </w:p>
        </w:tc>
      </w:tr>
      <w:tr>
        <w:tc>
          <w:tcPr>
            <w:tcW w:w="1396"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left"/>
            </w:pPr>
            <w: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0"/>
              <w:ind w:left="0" w:right="0" w:hanging="0"/>
              <w:jc w:val="center"/>
            </w:pPr>
            <w: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226" w:type="dxa"/>
            <w:tcBorders/>
            <w:vAlign w:val="center"/>
          </w:tcPr>
          <w:p>
            <w:pPr>
              <w:pStyle w:val="TableContents"/>
              <w:bidi w:val="0"/>
              <w:spacing w:before="0" w:after="0"/>
              <w:ind w:left="0" w:right="0" w:hanging="0"/>
              <w:jc w:val="center"/>
            </w:pPr>
            <w: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0"/>
              <w:ind w:left="0" w:right="0" w:hanging="0"/>
              <w:jc w:val="center"/>
            </w:pPr>
            <w: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226" w:type="dxa"/>
            <w:tcBorders/>
            <w:vAlign w:val="center"/>
          </w:tcPr>
          <w:p>
            <w:pPr>
              <w:pStyle w:val="TableContents"/>
              <w:bidi w:val="0"/>
              <w:spacing w:before="0" w:after="0"/>
              <w:ind w:left="0" w:right="0" w:hanging="0"/>
              <w:jc w:val="center"/>
            </w:pPr>
            <w: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26" w:type="dxa"/>
            <w:tcBorders/>
            <w:vAlign w:val="center"/>
          </w:tcPr>
          <w:p>
            <w:pPr>
              <w:pStyle w:val="TableContents"/>
              <w:bidi w:val="0"/>
              <w:spacing w:before="0" w:after="0"/>
              <w:ind w:left="0" w:right="0" w:hanging="0"/>
              <w:jc w:val="center"/>
            </w:pPr>
            <w: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26" w:type="dxa"/>
            <w:tcBorders/>
            <w:vAlign w:val="center"/>
          </w:tcPr>
          <w:p>
            <w:pPr>
              <w:pStyle w:val="TableContents"/>
              <w:bidi w:val="0"/>
              <w:spacing w:before="0" w:after="0"/>
              <w:ind w:left="0" w:right="0" w:hanging="0"/>
              <w:jc w:val="center"/>
            </w:pPr>
            <w: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26" w:type="dxa"/>
            <w:tcBorders/>
            <w:vAlign w:val="center"/>
          </w:tcPr>
          <w:p>
            <w:pPr>
              <w:pStyle w:val="TableContents"/>
              <w:bidi w:val="0"/>
              <w:spacing w:before="0" w:after="0"/>
              <w:ind w:left="0" w:right="0" w:hanging="0"/>
              <w:jc w:val="center"/>
            </w:pPr>
            <w: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226" w:type="dxa"/>
            <w:tcBorders/>
            <w:shd w:fill="CCEEFF" w:val="clear"/>
            <w:vAlign w:val="center"/>
          </w:tcPr>
          <w:p>
            <w:pPr>
              <w:pStyle w:val="TableContents"/>
              <w:bidi w:val="0"/>
              <w:spacing w:before="0" w:after="0"/>
              <w:ind w:left="0" w:right="0" w:hanging="0"/>
              <w:jc w:val="left"/>
            </w:pPr>
            <w: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54,090</w:t>
            </w:r>
          </w:p>
        </w:tc>
        <w:tc>
          <w:tcPr>
            <w:tcW w:w="226" w:type="dxa"/>
            <w:tcBorders/>
            <w:shd w:fill="CCEEFF" w:val="clear"/>
            <w:vAlign w:val="center"/>
          </w:tcPr>
          <w:p>
            <w:pPr>
              <w:pStyle w:val="TableContents"/>
              <w:bidi w:val="0"/>
              <w:spacing w:before="0" w:after="0"/>
              <w:ind w:left="0" w:right="0" w:hanging="0"/>
              <w:jc w:val="left"/>
            </w:pPr>
            <w: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w:t>
            </w:r>
          </w:p>
        </w:tc>
        <w:tc>
          <w:tcPr>
            <w:tcW w:w="226" w:type="dxa"/>
            <w:tcBorders/>
            <w:shd w:fill="CCEEFF" w:val="clear"/>
            <w:vAlign w:val="center"/>
          </w:tcPr>
          <w:p>
            <w:pPr>
              <w:pStyle w:val="TableContents"/>
              <w:bidi w:val="0"/>
              <w:spacing w:before="0" w:after="0"/>
              <w:ind w:left="0" w:right="0" w:hanging="0"/>
              <w:jc w:val="left"/>
            </w:pPr>
            <w: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25,232</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(2,024,370)</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336,736</w:t>
            </w:r>
          </w:p>
        </w:tc>
        <w:tc>
          <w:tcPr>
            <w:tcW w:w="226" w:type="dxa"/>
            <w:tcBorders/>
            <w:shd w:fill="CCEEFF" w:val="clear"/>
            <w:vAlign w:val="center"/>
          </w:tcPr>
          <w:p>
            <w:pPr>
              <w:pStyle w:val="TableContents"/>
              <w:bidi w:val="0"/>
              <w:spacing w:before="0" w:after="0"/>
              <w:ind w:left="0" w:right="0" w:hanging="0"/>
              <w:jc w:val="left"/>
            </w:pPr>
            <w:r>
              <w:t>​</w:t>
            </w:r>
          </w:p>
        </w:tc>
        <w:tc>
          <w:tcPr>
            <w:tcW w:w="40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12"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2,470,946</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783,853</w:t>
            </w:r>
          </w:p>
        </w:tc>
      </w:tr>
      <w:t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26"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80" w:type="dxa"/>
            <w:tcBorders/>
            <w:vAlign w:val="center"/>
          </w:tcPr>
          <w:p>
            <w:pPr>
              <w:pStyle w:val="TableContents"/>
              <w:bidi w:val="0"/>
              <w:spacing w:before="0" w:after="0"/>
              <w:ind w:left="0" w:right="0" w:hanging="0"/>
              <w:jc w:val="left"/>
            </w:pPr>
            <w:r>
              <w:t> </w:t>
            </w:r>
          </w:p>
        </w:tc>
        <w:tc>
          <w:tcPr>
            <w:tcW w:w="56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 </w:t>
            </w:r>
          </w:p>
        </w:tc>
        <w:tc>
          <w:tcPr>
            <w:tcW w:w="676"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99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78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404" w:type="dxa"/>
            <w:tcBorders/>
            <w:vAlign w:val="center"/>
          </w:tcPr>
          <w:p>
            <w:pPr>
              <w:pStyle w:val="TableContents"/>
              <w:bidi w:val="0"/>
              <w:spacing w:before="0" w:after="0"/>
              <w:ind w:left="0" w:right="0" w:hanging="0"/>
              <w:jc w:val="left"/>
            </w:pPr>
            <w: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71,618</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71,611</w:t>
            </w:r>
          </w:p>
        </w:tc>
      </w:tr>
      <w:t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26" w:type="dxa"/>
            <w:tcBorders/>
            <w:shd w:fill="CCEEFF" w:val="clear"/>
            <w:vAlign w:val="center"/>
          </w:tcPr>
          <w:p>
            <w:pPr>
              <w:pStyle w:val="TableContents"/>
              <w:bidi w:val="0"/>
              <w:spacing w:before="0" w:after="0"/>
              <w:ind w:left="0" w:right="0" w:hanging="0"/>
              <w:jc w:val="left"/>
            </w:pPr>
            <w:r>
              <w:t>​</w:t>
            </w:r>
          </w:p>
        </w:tc>
        <w:tc>
          <w:tcPr>
            <w:tcW w:w="676"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80" w:type="dxa"/>
            <w:tcBorders/>
            <w:shd w:fill="CCEEFF" w:val="clear"/>
            <w:vAlign w:val="center"/>
          </w:tcPr>
          <w:p>
            <w:pPr>
              <w:pStyle w:val="TableContents"/>
              <w:bidi w:val="0"/>
              <w:spacing w:before="0" w:after="0"/>
              <w:ind w:left="0" w:right="0" w:hanging="0"/>
              <w:jc w:val="left"/>
            </w:pPr>
            <w:r>
              <w:t> </w:t>
            </w:r>
          </w:p>
        </w:tc>
        <w:tc>
          <w:tcPr>
            <w:tcW w:w="561"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395</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(68,927)</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781"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404" w:type="dxa"/>
            <w:tcBorders/>
            <w:shd w:fill="CCEEFF" w:val="clear"/>
            <w:vAlign w:val="center"/>
          </w:tcPr>
          <w:p>
            <w:pPr>
              <w:pStyle w:val="TableContents"/>
              <w:bidi w:val="0"/>
              <w:spacing w:before="0" w:after="0"/>
              <w:ind w:left="0" w:right="0" w:hanging="0"/>
              <w:jc w:val="left"/>
            </w:pPr>
            <w:r>
              <w:t> </w:t>
            </w:r>
          </w:p>
        </w:tc>
        <w:tc>
          <w:tcPr>
            <w:tcW w:w="812"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931"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(68,927)</w:t>
            </w:r>
          </w:p>
        </w:tc>
      </w:tr>
      <w:t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26"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80" w:type="dxa"/>
            <w:tcBorders/>
            <w:vAlign w:val="center"/>
          </w:tcPr>
          <w:p>
            <w:pPr>
              <w:pStyle w:val="TableContents"/>
              <w:bidi w:val="0"/>
              <w:spacing w:before="0" w:after="0"/>
              <w:ind w:left="0" w:right="0" w:hanging="0"/>
              <w:jc w:val="left"/>
            </w:pPr>
            <w:r>
              <w:t> </w:t>
            </w:r>
          </w:p>
        </w:tc>
        <w:tc>
          <w:tcPr>
            <w:tcW w:w="56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 </w:t>
            </w:r>
          </w:p>
        </w:tc>
        <w:tc>
          <w:tcPr>
            <w:tcW w:w="676"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99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78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404" w:type="dxa"/>
            <w:tcBorders/>
            <w:vAlign w:val="center"/>
          </w:tcPr>
          <w:p>
            <w:pPr>
              <w:pStyle w:val="TableContents"/>
              <w:bidi w:val="0"/>
              <w:spacing w:before="0" w:after="0"/>
              <w:ind w:left="0" w:right="0" w:hanging="0"/>
              <w:jc w:val="left"/>
            </w:pPr>
            <w:r>
              <w:t> </w:t>
            </w:r>
          </w:p>
        </w:tc>
        <w:tc>
          <w:tcPr>
            <w:tcW w:w="812"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93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886" w:type="dxa"/>
            <w:tcBorders/>
            <w:vAlign w:val="center"/>
          </w:tcPr>
          <w:p>
            <w:pPr>
              <w:pStyle w:val="TableContents"/>
              <w:bidi w:val="0"/>
              <w:spacing w:before="0" w:after="0"/>
              <w:ind w:left="0" w:right="0" w:hanging="0"/>
              <w:jc w:val="right"/>
            </w:pPr>
            <w:r>
              <w:t>—</w:t>
            </w:r>
          </w:p>
        </w:tc>
      </w:tr>
      <w:t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26" w:type="dxa"/>
            <w:tcBorders/>
            <w:shd w:fill="CCEEFF" w:val="clear"/>
            <w:vAlign w:val="center"/>
          </w:tcPr>
          <w:p>
            <w:pPr>
              <w:pStyle w:val="TableContents"/>
              <w:bidi w:val="0"/>
              <w:spacing w:before="0" w:after="0"/>
              <w:ind w:left="0" w:right="0" w:hanging="0"/>
              <w:jc w:val="left"/>
            </w:pPr>
            <w: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86</w:t>
            </w:r>
          </w:p>
        </w:tc>
        <w:tc>
          <w:tcPr>
            <w:tcW w:w="226" w:type="dxa"/>
            <w:tcBorders/>
            <w:shd w:fill="CCEEFF" w:val="clear"/>
            <w:vAlign w:val="center"/>
          </w:tcPr>
          <w:p>
            <w:pPr>
              <w:pStyle w:val="TableContents"/>
              <w:bidi w:val="0"/>
              <w:spacing w:before="0" w:after="0"/>
              <w:ind w:left="0" w:right="0" w:hanging="0"/>
              <w:jc w:val="left"/>
            </w:pPr>
            <w: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226" w:type="dxa"/>
            <w:tcBorders/>
            <w:shd w:fill="CCEEFF" w:val="clear"/>
            <w:vAlign w:val="center"/>
          </w:tcPr>
          <w:p>
            <w:pPr>
              <w:pStyle w:val="TableContents"/>
              <w:bidi w:val="0"/>
              <w:spacing w:before="0" w:after="0"/>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(9,463)</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3,629</w:t>
            </w:r>
          </w:p>
        </w:tc>
        <w:tc>
          <w:tcPr>
            <w:tcW w:w="226" w:type="dxa"/>
            <w:tcBorders/>
            <w:shd w:fill="CCEEFF" w:val="clear"/>
            <w:vAlign w:val="center"/>
          </w:tcPr>
          <w:p>
            <w:pPr>
              <w:pStyle w:val="TableContents"/>
              <w:bidi w:val="0"/>
              <w:spacing w:before="0" w:after="0"/>
              <w:ind w:left="0" w:right="0" w:hanging="0"/>
              <w:jc w:val="left"/>
            </w:pPr>
            <w:r>
              <w:t>​</w:t>
            </w:r>
          </w:p>
        </w:tc>
        <w:tc>
          <w:tcPr>
            <w:tcW w:w="4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(5,833)</w:t>
            </w:r>
          </w:p>
        </w:tc>
      </w:tr>
      <w:t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226" w:type="dxa"/>
            <w:tcBorders/>
            <w:vAlign w:val="center"/>
          </w:tcPr>
          <w:p>
            <w:pPr>
              <w:pStyle w:val="TableContents"/>
              <w:bidi w:val="0"/>
              <w:spacing w:before="0" w:after="0"/>
              <w:ind w:left="0" w:right="0" w:hanging="0"/>
              <w:jc w:val="left"/>
            </w:pPr>
            <w: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54,176</w:t>
            </w:r>
          </w:p>
        </w:tc>
        <w:tc>
          <w:tcPr>
            <w:tcW w:w="226" w:type="dxa"/>
            <w:tcBorders/>
            <w:vAlign w:val="center"/>
          </w:tcPr>
          <w:p>
            <w:pPr>
              <w:pStyle w:val="TableContents"/>
              <w:bidi w:val="0"/>
              <w:spacing w:before="0" w:after="0"/>
              <w:ind w:left="0" w:right="0" w:hanging="0"/>
              <w:jc w:val="left"/>
            </w:pPr>
            <w: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542</w:t>
            </w:r>
          </w:p>
        </w:tc>
        <w:tc>
          <w:tcPr>
            <w:tcW w:w="226" w:type="dxa"/>
            <w:tcBorders/>
            <w:vAlign w:val="center"/>
          </w:tcPr>
          <w:p>
            <w:pPr>
              <w:pStyle w:val="TableContents"/>
              <w:bidi w:val="0"/>
              <w:spacing w:before="0" w:after="0"/>
              <w:ind w:left="0" w:right="0" w:hanging="0"/>
              <w:jc w:val="left"/>
            </w:pPr>
            <w: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25,680</w:t>
            </w:r>
          </w:p>
        </w:tc>
        <w:tc>
          <w:tcPr>
            <w:tcW w:w="22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(2,102,760)</w:t>
            </w:r>
          </w:p>
        </w:tc>
        <w:tc>
          <w:tcPr>
            <w:tcW w:w="22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340,365</w:t>
            </w:r>
          </w:p>
        </w:tc>
        <w:tc>
          <w:tcPr>
            <w:tcW w:w="226" w:type="dxa"/>
            <w:tcBorders/>
            <w:vAlign w:val="center"/>
          </w:tcPr>
          <w:p>
            <w:pPr>
              <w:pStyle w:val="TableContents"/>
              <w:bidi w:val="0"/>
              <w:spacing w:before="0" w:after="0"/>
              <w:ind w:left="0" w:right="0" w:hanging="0"/>
              <w:jc w:val="left"/>
            </w:pPr>
            <w:r>
              <w:t>​</w:t>
            </w:r>
          </w:p>
        </w:tc>
        <w:tc>
          <w:tcPr>
            <w:tcW w:w="4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w:t>
            </w:r>
          </w:p>
        </w:tc>
        <w:tc>
          <w:tcPr>
            <w:tcW w:w="22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2,542,564</w:t>
            </w:r>
          </w:p>
        </w:tc>
        <w:tc>
          <w:tcPr>
            <w:tcW w:w="22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780,704</w:t>
            </w:r>
          </w:p>
        </w:tc>
      </w:tr>
      <w:t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26" w:type="dxa"/>
            <w:tcBorders/>
            <w:shd w:fill="CCEEFF" w:val="clear"/>
            <w:vAlign w:val="center"/>
          </w:tcPr>
          <w:p>
            <w:pPr>
              <w:pStyle w:val="TableContents"/>
              <w:bidi w:val="0"/>
              <w:spacing w:before="0" w:after="0"/>
              <w:ind w:left="0" w:right="0" w:hanging="0"/>
              <w:jc w:val="left"/>
            </w:pPr>
            <w:r>
              <w:t>​</w:t>
            </w:r>
          </w:p>
        </w:tc>
        <w:tc>
          <w:tcPr>
            <w:tcW w:w="676"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80" w:type="dxa"/>
            <w:tcBorders/>
            <w:shd w:fill="CCEEFF" w:val="clear"/>
            <w:vAlign w:val="center"/>
          </w:tcPr>
          <w:p>
            <w:pPr>
              <w:pStyle w:val="TableContents"/>
              <w:bidi w:val="0"/>
              <w:spacing w:before="0" w:after="0"/>
              <w:ind w:left="0" w:right="0" w:hanging="0"/>
              <w:jc w:val="left"/>
            </w:pPr>
            <w:r>
              <w:t>​</w:t>
            </w:r>
          </w:p>
        </w:tc>
        <w:tc>
          <w:tcPr>
            <w:tcW w:w="561"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676"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991"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404" w:type="dxa"/>
            <w:tcBorders/>
            <w:shd w:fill="CCEEFF" w:val="clear"/>
            <w:vAlign w:val="center"/>
          </w:tcPr>
          <w:p>
            <w:pPr>
              <w:pStyle w:val="TableContents"/>
              <w:bidi w:val="0"/>
              <w:spacing w:before="0" w:after="0"/>
              <w:ind w:left="0" w:right="0" w:hanging="0"/>
              <w:jc w:val="left"/>
            </w:pPr>
            <w: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172</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41,546</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41,718</w:t>
            </w:r>
          </w:p>
        </w:tc>
      </w:tr>
      <w:t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26"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80" w:type="dxa"/>
            <w:tcBorders/>
            <w:vAlign w:val="center"/>
          </w:tcPr>
          <w:p>
            <w:pPr>
              <w:pStyle w:val="TableContents"/>
              <w:bidi w:val="0"/>
              <w:spacing w:before="0" w:after="0"/>
              <w:ind w:left="0" w:right="0" w:hanging="0"/>
              <w:jc w:val="left"/>
            </w:pPr>
            <w:r>
              <w:t>​</w:t>
            </w:r>
          </w:p>
        </w:tc>
        <w:tc>
          <w:tcPr>
            <w:tcW w:w="56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259</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(47,933)</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404" w:type="dxa"/>
            <w:tcBorders/>
            <w:vAlign w:val="center"/>
          </w:tcPr>
          <w:p>
            <w:pPr>
              <w:pStyle w:val="TableContents"/>
              <w:bidi w:val="0"/>
              <w:spacing w:before="0" w:after="0"/>
              <w:ind w:left="0" w:right="0" w:hanging="0"/>
              <w:jc w:val="left"/>
            </w:pPr>
            <w:r>
              <w:t>​</w:t>
            </w:r>
          </w:p>
        </w:tc>
        <w:tc>
          <w:tcPr>
            <w:tcW w:w="812"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93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(47,933)</w:t>
            </w:r>
          </w:p>
        </w:tc>
      </w:tr>
      <w:t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26" w:type="dxa"/>
            <w:tcBorders/>
            <w:shd w:fill="CCEEFF" w:val="clear"/>
            <w:vAlign w:val="center"/>
          </w:tcPr>
          <w:p>
            <w:pPr>
              <w:pStyle w:val="TableContents"/>
              <w:bidi w:val="0"/>
              <w:spacing w:before="0" w:after="0"/>
              <w:ind w:left="0" w:right="0" w:hanging="0"/>
              <w:jc w:val="left"/>
            </w:pPr>
            <w:r>
              <w:t>​</w:t>
            </w:r>
          </w:p>
        </w:tc>
        <w:tc>
          <w:tcPr>
            <w:tcW w:w="676"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80" w:type="dxa"/>
            <w:tcBorders/>
            <w:shd w:fill="CCEEFF" w:val="clear"/>
            <w:vAlign w:val="center"/>
          </w:tcPr>
          <w:p>
            <w:pPr>
              <w:pStyle w:val="TableContents"/>
              <w:bidi w:val="0"/>
              <w:spacing w:before="0" w:after="0"/>
              <w:ind w:left="0" w:right="0" w:hanging="0"/>
              <w:jc w:val="left"/>
            </w:pPr>
            <w:r>
              <w:t>​</w:t>
            </w:r>
          </w:p>
        </w:tc>
        <w:tc>
          <w:tcPr>
            <w:tcW w:w="561"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991"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404" w:type="dxa"/>
            <w:tcBorders/>
            <w:shd w:fill="CCEEFF" w:val="clear"/>
            <w:vAlign w:val="center"/>
          </w:tcPr>
          <w:p>
            <w:pPr>
              <w:pStyle w:val="TableContents"/>
              <w:bidi w:val="0"/>
              <w:spacing w:before="0" w:after="0"/>
              <w:ind w:left="0" w:right="0" w:hanging="0"/>
              <w:jc w:val="left"/>
            </w:pPr>
            <w:r>
              <w:t>​</w:t>
            </w:r>
          </w:p>
        </w:tc>
        <w:tc>
          <w:tcPr>
            <w:tcW w:w="812"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931"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86" w:type="dxa"/>
            <w:tcBorders/>
            <w:shd w:fill="CCEEFF" w:val="clear"/>
            <w:vAlign w:val="center"/>
          </w:tcPr>
          <w:p>
            <w:pPr>
              <w:pStyle w:val="TableContents"/>
              <w:bidi w:val="0"/>
              <w:spacing w:before="0" w:after="0"/>
              <w:ind w:left="0" w:right="0" w:hanging="0"/>
              <w:jc w:val="right"/>
            </w:pPr>
            <w:r>
              <w:t>—</w:t>
            </w:r>
          </w:p>
        </w:tc>
      </w:tr>
      <w:t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26" w:type="dxa"/>
            <w:tcBorders/>
            <w:vAlign w:val="center"/>
          </w:tcPr>
          <w:p>
            <w:pPr>
              <w:pStyle w:val="TableContents"/>
              <w:bidi w:val="0"/>
              <w:spacing w:before="0" w:after="0"/>
              <w:ind w:left="0" w:right="0" w:hanging="0"/>
              <w:jc w:val="left"/>
            </w:pPr>
            <w: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w:t>
            </w:r>
          </w:p>
        </w:tc>
        <w:tc>
          <w:tcPr>
            <w:tcW w:w="226" w:type="dxa"/>
            <w:tcBorders/>
            <w:vAlign w:val="center"/>
          </w:tcPr>
          <w:p>
            <w:pPr>
              <w:pStyle w:val="TableContents"/>
              <w:bidi w:val="0"/>
              <w:spacing w:before="0" w:after="0"/>
              <w:ind w:left="0" w:right="0" w:hanging="0"/>
              <w:jc w:val="left"/>
            </w:pPr>
            <w: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3,487</w:t>
            </w:r>
          </w:p>
        </w:tc>
        <w:tc>
          <w:tcPr>
            <w:tcW w:w="226" w:type="dxa"/>
            <w:tcBorders/>
            <w:vAlign w:val="center"/>
          </w:tcPr>
          <w:p>
            <w:pPr>
              <w:pStyle w:val="TableContents"/>
              <w:bidi w:val="0"/>
              <w:spacing w:before="0" w:after="0"/>
              <w:ind w:left="0" w:right="0" w:hanging="0"/>
              <w:jc w:val="left"/>
            </w:pPr>
            <w:r>
              <w:t>​</w:t>
            </w:r>
          </w:p>
        </w:tc>
        <w:tc>
          <w:tcPr>
            <w:tcW w:w="404"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3,487</w:t>
            </w:r>
          </w:p>
        </w:tc>
      </w:tr>
      <w:t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226" w:type="dxa"/>
            <w:tcBorders/>
            <w:shd w:fill="CCEEFF" w:val="clear"/>
            <w:vAlign w:val="center"/>
          </w:tcPr>
          <w:p>
            <w:pPr>
              <w:pStyle w:val="TableContents"/>
              <w:bidi w:val="0"/>
              <w:spacing w:before="0" w:after="0"/>
              <w:ind w:left="0" w:right="0" w:hanging="0"/>
              <w:jc w:val="left"/>
            </w:pPr>
            <w: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54,178</w:t>
            </w:r>
          </w:p>
        </w:tc>
        <w:tc>
          <w:tcPr>
            <w:tcW w:w="226" w:type="dxa"/>
            <w:tcBorders/>
            <w:shd w:fill="CCEEFF" w:val="clear"/>
            <w:vAlign w:val="center"/>
          </w:tcPr>
          <w:p>
            <w:pPr>
              <w:pStyle w:val="TableContents"/>
              <w:bidi w:val="0"/>
              <w:spacing w:before="0" w:after="0"/>
              <w:ind w:left="0" w:right="0" w:hanging="0"/>
              <w:jc w:val="left"/>
            </w:pPr>
            <w: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542</w:t>
            </w:r>
          </w:p>
        </w:tc>
        <w:tc>
          <w:tcPr>
            <w:tcW w:w="226" w:type="dxa"/>
            <w:tcBorders/>
            <w:shd w:fill="CCEEFF" w:val="clear"/>
            <w:vAlign w:val="center"/>
          </w:tcPr>
          <w:p>
            <w:pPr>
              <w:pStyle w:val="TableContents"/>
              <w:bidi w:val="0"/>
              <w:spacing w:before="0" w:after="0"/>
              <w:ind w:left="0" w:right="0" w:hanging="0"/>
              <w:jc w:val="left"/>
            </w:pPr>
            <w: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25,944</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(2,150,693)</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343,852</w:t>
            </w:r>
          </w:p>
        </w:tc>
        <w:tc>
          <w:tcPr>
            <w:tcW w:w="226" w:type="dxa"/>
            <w:tcBorders/>
            <w:shd w:fill="CCEEFF" w:val="clear"/>
            <w:vAlign w:val="center"/>
          </w:tcPr>
          <w:p>
            <w:pPr>
              <w:pStyle w:val="TableContents"/>
              <w:bidi w:val="0"/>
              <w:spacing w:before="0" w:after="0"/>
              <w:ind w:left="0" w:right="0" w:hanging="0"/>
              <w:jc w:val="left"/>
            </w:pPr>
            <w:r>
              <w:t>​</w:t>
            </w:r>
          </w:p>
        </w:tc>
        <w:tc>
          <w:tcPr>
            <w:tcW w:w="4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165</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2,584,110</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777,976</w:t>
            </w:r>
          </w:p>
        </w:tc>
      </w:tr>
      <w:t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26"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80" w:type="dxa"/>
            <w:tcBorders/>
            <w:vAlign w:val="center"/>
          </w:tcPr>
          <w:p>
            <w:pPr>
              <w:pStyle w:val="TableContents"/>
              <w:bidi w:val="0"/>
              <w:spacing w:before="0" w:after="0"/>
              <w:ind w:left="0" w:right="0" w:hanging="0"/>
              <w:jc w:val="left"/>
            </w:pPr>
            <w:r>
              <w:t>​</w:t>
            </w:r>
          </w:p>
        </w:tc>
        <w:tc>
          <w:tcPr>
            <w:tcW w:w="56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99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404" w:type="dxa"/>
            <w:tcBorders/>
            <w:vAlign w:val="center"/>
          </w:tcPr>
          <w:p>
            <w:pPr>
              <w:pStyle w:val="TableContents"/>
              <w:bidi w:val="0"/>
              <w:spacing w:before="0" w:after="0"/>
              <w:ind w:left="0" w:right="0" w:hanging="0"/>
              <w:jc w:val="left"/>
            </w:pPr>
            <w: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386</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16,274</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16,660</w:t>
            </w:r>
          </w:p>
        </w:tc>
      </w:tr>
      <w:t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26" w:type="dxa"/>
            <w:tcBorders/>
            <w:shd w:fill="CCEEFF" w:val="clear"/>
            <w:vAlign w:val="center"/>
          </w:tcPr>
          <w:p>
            <w:pPr>
              <w:pStyle w:val="TableContents"/>
              <w:bidi w:val="0"/>
              <w:spacing w:before="0" w:after="0"/>
              <w:ind w:left="0" w:right="0" w:hanging="0"/>
              <w:jc w:val="left"/>
            </w:pPr>
            <w:r>
              <w:t>​</w:t>
            </w:r>
          </w:p>
        </w:tc>
        <w:tc>
          <w:tcPr>
            <w:tcW w:w="676"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80" w:type="dxa"/>
            <w:tcBorders/>
            <w:shd w:fill="CCEEFF" w:val="clear"/>
            <w:vAlign w:val="center"/>
          </w:tcPr>
          <w:p>
            <w:pPr>
              <w:pStyle w:val="TableContents"/>
              <w:bidi w:val="0"/>
              <w:spacing w:before="0" w:after="0"/>
              <w:ind w:left="0" w:right="0" w:hanging="0"/>
              <w:jc w:val="left"/>
            </w:pPr>
            <w:r>
              <w:t>​</w:t>
            </w:r>
          </w:p>
        </w:tc>
        <w:tc>
          <w:tcPr>
            <w:tcW w:w="561"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220</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(39,889)</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404" w:type="dxa"/>
            <w:tcBorders/>
            <w:shd w:fill="CCEEFF" w:val="clear"/>
            <w:vAlign w:val="center"/>
          </w:tcPr>
          <w:p>
            <w:pPr>
              <w:pStyle w:val="TableContents"/>
              <w:bidi w:val="0"/>
              <w:spacing w:before="0" w:after="0"/>
              <w:ind w:left="0" w:right="0" w:hanging="0"/>
              <w:jc w:val="left"/>
            </w:pPr>
            <w:r>
              <w:t>​</w:t>
            </w:r>
          </w:p>
        </w:tc>
        <w:tc>
          <w:tcPr>
            <w:tcW w:w="812"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931" w:type="dxa"/>
            <w:tcBorders/>
            <w:shd w:fill="CCEEFF" w:val="cle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(39,889)</w:t>
            </w:r>
          </w:p>
        </w:tc>
      </w:tr>
      <w:t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26"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80" w:type="dxa"/>
            <w:tcBorders/>
            <w:vAlign w:val="center"/>
          </w:tcPr>
          <w:p>
            <w:pPr>
              <w:pStyle w:val="TableContents"/>
              <w:bidi w:val="0"/>
              <w:spacing w:before="0" w:after="0"/>
              <w:ind w:left="0" w:right="0" w:hanging="0"/>
              <w:jc w:val="left"/>
            </w:pPr>
            <w:r>
              <w:t>​</w:t>
            </w:r>
          </w:p>
        </w:tc>
        <w:tc>
          <w:tcPr>
            <w:tcW w:w="56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99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404" w:type="dxa"/>
            <w:tcBorders/>
            <w:vAlign w:val="center"/>
          </w:tcPr>
          <w:p>
            <w:pPr>
              <w:pStyle w:val="TableContents"/>
              <w:bidi w:val="0"/>
              <w:spacing w:before="0" w:after="0"/>
              <w:ind w:left="0" w:right="0" w:hanging="0"/>
              <w:jc w:val="left"/>
            </w:pPr>
            <w:r>
              <w:t>​</w:t>
            </w:r>
          </w:p>
        </w:tc>
        <w:tc>
          <w:tcPr>
            <w:tcW w:w="812"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931" w:type="dxa"/>
            <w:tcBorders/>
            <w:vAlign w:val="center"/>
          </w:tcPr>
          <w:p>
            <w:pPr>
              <w:pStyle w:val="TableContents"/>
              <w:bidi w:val="0"/>
              <w:spacing w:before="0" w:after="0"/>
              <w:ind w:left="0" w:right="0" w:hanging="0"/>
              <w:jc w:val="right"/>
            </w:pPr>
            <w:r>
              <w:t>—</w:t>
            </w:r>
          </w:p>
        </w:tc>
        <w:tc>
          <w:tcPr>
            <w:tcW w:w="22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86" w:type="dxa"/>
            <w:tcBorders/>
            <w:vAlign w:val="center"/>
          </w:tcPr>
          <w:p>
            <w:pPr>
              <w:pStyle w:val="TableContents"/>
              <w:bidi w:val="0"/>
              <w:spacing w:before="0" w:after="0"/>
              <w:ind w:left="0" w:right="0" w:hanging="0"/>
              <w:jc w:val="right"/>
            </w:pPr>
            <w:r>
              <w:t>—</w:t>
            </w:r>
          </w:p>
        </w:tc>
      </w:tr>
      <w:t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26" w:type="dxa"/>
            <w:tcBorders/>
            <w:shd w:fill="CCEEFF" w:val="clear"/>
            <w:vAlign w:val="center"/>
          </w:tcPr>
          <w:p>
            <w:pPr>
              <w:pStyle w:val="TableContents"/>
              <w:bidi w:val="0"/>
              <w:spacing w:before="0" w:after="0"/>
              <w:ind w:left="0" w:right="0" w:hanging="0"/>
              <w:jc w:val="left"/>
            </w:pPr>
            <w: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80" w:type="dxa"/>
            <w:tcBorders/>
            <w:shd w:fill="CCEEFF" w:val="clear"/>
            <w:vAlign w:val="center"/>
          </w:tcPr>
          <w:p>
            <w:pPr>
              <w:pStyle w:val="TableContents"/>
              <w:bidi w:val="0"/>
              <w:spacing w:before="0" w:after="0"/>
              <w:ind w:left="0" w:right="0" w:hanging="0"/>
              <w:jc w:val="left"/>
            </w:pPr>
            <w: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3,294</w:t>
            </w:r>
          </w:p>
        </w:tc>
        <w:tc>
          <w:tcPr>
            <w:tcW w:w="226" w:type="dxa"/>
            <w:tcBorders/>
            <w:shd w:fill="CCEEFF" w:val="clear"/>
            <w:vAlign w:val="center"/>
          </w:tcPr>
          <w:p>
            <w:pPr>
              <w:pStyle w:val="TableContents"/>
              <w:bidi w:val="0"/>
              <w:spacing w:before="0" w:after="0"/>
              <w:ind w:left="0" w:right="0" w:hanging="0"/>
              <w:jc w:val="left"/>
            </w:pPr>
            <w:r>
              <w:t>​</w:t>
            </w:r>
          </w:p>
        </w:tc>
        <w:tc>
          <w:tcPr>
            <w:tcW w:w="404" w:type="dxa"/>
            <w:tcBorders/>
            <w:shd w:fill="CCEEFF" w:val="clear"/>
            <w:vAlign w:val="center"/>
          </w:tcPr>
          <w:p>
            <w:pPr>
              <w:pStyle w:val="TableContents"/>
              <w:bidi w:val="0"/>
              <w:spacing w:before="0" w:after="0"/>
              <w:ind w:left="0" w:right="0" w:hanging="0"/>
              <w:jc w:val="left"/>
            </w:pPr>
            <w:r>
              <w:t> </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22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3,294</w:t>
            </w:r>
          </w:p>
        </w:tc>
      </w:tr>
      <w:t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2025</w:t>
            </w:r>
          </w:p>
        </w:tc>
        <w:tc>
          <w:tcPr>
            <w:tcW w:w="226" w:type="dxa"/>
            <w:tcBorders/>
            <w:vAlign w:val="center"/>
          </w:tcPr>
          <w:p>
            <w:pPr>
              <w:pStyle w:val="TableContents"/>
              <w:bidi w:val="0"/>
              <w:spacing w:before="0" w:after="0"/>
              <w:ind w:left="0" w:right="0" w:hanging="0"/>
              <w:jc w:val="left"/>
            </w:pPr>
            <w: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54,178</w:t>
            </w:r>
          </w:p>
        </w:tc>
        <w:tc>
          <w:tcPr>
            <w:tcW w:w="226" w:type="dxa"/>
            <w:tcBorders/>
            <w:vAlign w:val="center"/>
          </w:tcPr>
          <w:p>
            <w:pPr>
              <w:pStyle w:val="TableContents"/>
              <w:bidi w:val="0"/>
              <w:spacing w:before="0" w:after="0"/>
              <w:ind w:left="0" w:right="0" w:hanging="0"/>
              <w:jc w:val="left"/>
            </w:pPr>
            <w: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542</w:t>
            </w:r>
          </w:p>
        </w:tc>
        <w:tc>
          <w:tcPr>
            <w:tcW w:w="226" w:type="dxa"/>
            <w:tcBorders/>
            <w:vAlign w:val="center"/>
          </w:tcPr>
          <w:p>
            <w:pPr>
              <w:pStyle w:val="TableContents"/>
              <w:bidi w:val="0"/>
              <w:spacing w:before="0" w:after="0"/>
              <w:ind w:left="0" w:right="0" w:hanging="0"/>
              <w:jc w:val="left"/>
            </w:pPr>
            <w: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26,174</w:t>
            </w:r>
          </w:p>
        </w:tc>
        <w:tc>
          <w:tcPr>
            <w:tcW w:w="22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(2,190,582)</w:t>
            </w:r>
          </w:p>
        </w:tc>
        <w:tc>
          <w:tcPr>
            <w:tcW w:w="22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347,146</w:t>
            </w:r>
          </w:p>
        </w:tc>
        <w:tc>
          <w:tcPr>
            <w:tcW w:w="226" w:type="dxa"/>
            <w:tcBorders/>
            <w:vAlign w:val="center"/>
          </w:tcPr>
          <w:p>
            <w:pPr>
              <w:pStyle w:val="TableContents"/>
              <w:bidi w:val="0"/>
              <w:spacing w:before="0" w:after="0"/>
              <w:ind w:left="0" w:right="0" w:hanging="0"/>
              <w:jc w:val="left"/>
            </w:pPr>
            <w:r>
              <w:t>​</w:t>
            </w:r>
          </w:p>
        </w:tc>
        <w:tc>
          <w:tcPr>
            <w:tcW w:w="4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551</w:t>
            </w:r>
          </w:p>
        </w:tc>
        <w:tc>
          <w:tcPr>
            <w:tcW w:w="22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2,600,384</w:t>
            </w:r>
          </w:p>
        </w:tc>
        <w:tc>
          <w:tcPr>
            <w:tcW w:w="22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758,041</w:t>
            </w:r>
          </w:p>
        </w:tc>
      </w:tr>
    </w:tbl>
    <w:p>
      <w:pPr>
        <w:pStyle w:val="TextBody"/>
        <w:bidi w:val="0"/>
        <w:spacing w:before="0" w:after="0"/>
        <w:ind w:left="0" w:right="0" w:hanging="0"/>
        <w:jc w:val="left"/>
      </w:pPr>
      <w: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80" w:name="_bf60c575_232a_4709_ab79_f37a55c1af8f"/>
      <w:bookmarkEnd w:id="780"/>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781" w:name="Tc_ZJav_jDxIUylydq6cWG7PQ_44_5"/>
      <w:bookmarkStart w:id="782" w:name="Tc_vQNQynXWQ0KD2KvtqYA0kA_44_2"/>
      <w:bookmarkStart w:id="783" w:name="Tc_fCpbvG7-SU-cbyCHdmWOJA_44_0"/>
      <w:bookmarkStart w:id="784" w:name="Tc_aEByLaOb5EmH9XRN7XcQCQ_43_5"/>
      <w:bookmarkStart w:id="785" w:name="Tc_jkU4WpHSRke5PTFRMfMemA_43_2"/>
      <w:bookmarkStart w:id="786" w:name="Tc_C0sda9TjQ0ub_DahC6vTCA_43_0"/>
      <w:bookmarkStart w:id="787" w:name="Tc_Swez-O-pgUiBVSkgHwtarA_42_5"/>
      <w:bookmarkStart w:id="788" w:name="Tc_RctPavafKUemngvhBJKr9g_42_2"/>
      <w:bookmarkStart w:id="789" w:name="Tc_EcSAr2Vf6UKCOx9-eC7VNw_42_0"/>
      <w:bookmarkStart w:id="790" w:name="Tc_SSQiJkJP90eCNQZbfM-B6w_41_0"/>
      <w:bookmarkStart w:id="791" w:name="Tc_6i01QeBlOEa_vaxF83Xb3w_40_5"/>
      <w:bookmarkStart w:id="792" w:name="Tc_mxZHIAPYOkGoNmQYRaY1OQ_40_2"/>
      <w:bookmarkStart w:id="793" w:name="Tc_NXLJlBCaK0eEsoGnP_zllA_40_0"/>
      <w:bookmarkStart w:id="794" w:name="Tc_xwtWMP09C0eIyhSY1YQ75Q_39_6"/>
      <w:bookmarkStart w:id="795" w:name="Tc_U7EagM_t3UOkqX8fhGH5SQ_39_5"/>
      <w:bookmarkStart w:id="796" w:name="Tc_i1ixmywVykyWJ-FeiEvBYA_39_3"/>
      <w:bookmarkStart w:id="797" w:name="Tc_S-cShqwhAU6-ob5x_quAWQ_39_2"/>
      <w:bookmarkStart w:id="798" w:name="Tc_FIJw339mcEG_yjdGm5vDdw_39_0"/>
      <w:bookmarkStart w:id="799" w:name="Tc_-qk0q1lp50eCX7mg0lsLAQ_38_0"/>
      <w:bookmarkStart w:id="800" w:name="Tc_cwdawUH9u0idwsfI_YXGWQ_37_5"/>
      <w:bookmarkStart w:id="801" w:name="Tc_TbpTILz09E-Vrc-hP-FOTg_37_2"/>
      <w:bookmarkStart w:id="802" w:name="Tc_yfSFzuAYUEO7NJxlaBX75Q_37_0"/>
      <w:bookmarkStart w:id="803" w:name="Tc_KKaOjzacTEql7_gY3ZhREQ_36_0"/>
      <w:bookmarkStart w:id="804" w:name="Tc_eN6Gi1MnZES-yfTMVCO07w_35_0"/>
      <w:bookmarkStart w:id="805" w:name="Tc_6Y3SwMoMF0O1vQY1lPyNJw_34_0"/>
      <w:bookmarkStart w:id="806" w:name="Tc_mMlftQeGBE6o5_cRShVmEQ_33_6"/>
      <w:bookmarkStart w:id="807" w:name="Tc_0jlehF_ENUCQw8lUUF4Pog_33_0"/>
      <w:bookmarkStart w:id="808" w:name="Tc_vfAF5xR9VkydYifrIhP3eQ_32_0"/>
      <w:bookmarkStart w:id="809" w:name="Tc_ixJfQtJynk-8bLc1NsYojQ_31_0"/>
      <w:bookmarkStart w:id="810" w:name="Tc_T5uNDnjUXEGar9KrE21NSg_30_0"/>
      <w:bookmarkStart w:id="811" w:name="Tc_FsQtHRWyxEepHIWe4T5QoQ_29_0"/>
      <w:bookmarkStart w:id="812" w:name="Tc_2OdRNBEWKEWUtON6ucKXiw_28_0"/>
      <w:bookmarkStart w:id="813" w:name="Tc_wvXDA3ljS0aB7eTOHFOFkg_27_0"/>
      <w:bookmarkStart w:id="814" w:name="Tc_N9jQ53ZzlUWbEK8vYlwrGg_26_3"/>
      <w:bookmarkStart w:id="815" w:name="Tc_oD-FRdQurUCu_6QVKdA4RA_26_0"/>
      <w:bookmarkStart w:id="816" w:name="Tc_ChKt9GcMFUSORa0LcRMO0Q_25_0"/>
      <w:bookmarkStart w:id="817" w:name="Tc_L6ZfyxkrRUW8cKnWjaQshg_24_0"/>
      <w:bookmarkStart w:id="818" w:name="Tc_tLl4xc99tUabt3UZgLmXaA_23_0"/>
      <w:bookmarkStart w:id="819" w:name="Tc_fgz-pe3a0EiJOgvdaH4AXw_22_0"/>
      <w:bookmarkStart w:id="820" w:name="Tc_ElONYcu2_UGukqYKEdgDqw_21_0"/>
      <w:bookmarkStart w:id="821" w:name="Tc_TzIhhFkRwU6KxDfUJzT8lA_20_0"/>
      <w:bookmarkStart w:id="822" w:name="Tc_o7tzp7cO10mrjXfP0_PMDQ_19_0"/>
      <w:bookmarkStart w:id="823" w:name="Tc_K7Uds7anzUCElA1JUPaoWg_18_0"/>
      <w:bookmarkStart w:id="824" w:name="Tc_HP6Z2TzPQUaWslJLtiKe1w_17_0"/>
      <w:bookmarkStart w:id="825" w:name="Tc__3GZPwYOcUqupyUltxky-Q_16_0"/>
      <w:bookmarkStart w:id="826" w:name="Tc_6b1Ely9_qECurn0cypCr1w_15_0"/>
      <w:bookmarkStart w:id="827" w:name="Tc_4NvIgmFnpEyMkBuA_R1JDQ_14_0"/>
      <w:bookmarkStart w:id="828" w:name="Tc_KyxohgTQjEWYV5IOdWjxDg_13_0"/>
      <w:bookmarkStart w:id="829" w:name="Tc_sZ8ViZNPSkaYGkDGmwlKtg_12_3"/>
      <w:bookmarkStart w:id="830" w:name="Tc_FtEJ2_WKiES2J1cDxeUdLQ_12_0"/>
      <w:bookmarkStart w:id="831" w:name="Tc_HrYbcHRnYkK-Fajmg354bA_11_3"/>
      <w:bookmarkStart w:id="832" w:name="Tc_hwLI8qriJkqRamQraXb72g_11_0"/>
      <w:bookmarkStart w:id="833" w:name="Tc_Q2Ngeb6ow0i7DztXADkCWg_10_0"/>
      <w:bookmarkStart w:id="834" w:name="Tc_MftrWNbFI0-IihJxP_HvJQ_9_0"/>
      <w:bookmarkStart w:id="835" w:name="Tc_-HYSHOEwuEacan4Ae-Nf4g_8_0"/>
      <w:bookmarkStart w:id="836" w:name="Tc_dZJWXSJS4UyiUHrpVW_5CQ_7_0"/>
      <w:bookmarkStart w:id="837" w:name="Tc_tlyc4JLx-0ChBAiKN2qMiA_6_0"/>
      <w:bookmarkStart w:id="838" w:name="Tc_6V2iHsPeXU6zJe1Y4MT_zA_5_5"/>
      <w:bookmarkStart w:id="839" w:name="Tc_iIrqKga9rkSq0XyWdKRK4w_5_2"/>
      <w:bookmarkStart w:id="840" w:name="Tc_0hICmwkNOEq3RtGGsaKAeg_5_0"/>
      <w:bookmarkStart w:id="841" w:name="Tc_Jj-l_WXrrEWcjYkJ436TmQ_4_0"/>
      <w:bookmarkStart w:id="842" w:name="Tc_KOUZRAghgEm7rUfV3KK7Jg_3_5"/>
      <w:bookmarkStart w:id="843" w:name="Tc_nPkkgmFPDkW9E4ybkb3Y2g_3_2"/>
      <w:bookmarkStart w:id="844" w:name="Tc_BW0-JymKpkOMDhBX6IACpg_3_0"/>
      <w:bookmarkStart w:id="845" w:name="Tc_do9r6LXbdEe08ml0HDUbzQ_2_2"/>
      <w:bookmarkStart w:id="846" w:name="Tc_zKaxl6p-40mGgOq-us-Ucw_1_2"/>
      <w:bookmarkStart w:id="847" w:name="_3ef04afb_51ad_45aa_87a2_1fc8f1a88ea0"/>
      <w:bookmarkStart w:id="848" w:name="Tc_ZJav_jDxIUylydq6cWG7PQ_44_5"/>
      <w:bookmarkStart w:id="849" w:name="Tc_vQNQynXWQ0KD2KvtqYA0kA_44_2"/>
      <w:bookmarkStart w:id="850" w:name="Tc_fCpbvG7-SU-cbyCHdmWOJA_44_0"/>
      <w:bookmarkStart w:id="851" w:name="Tc_aEByLaOb5EmH9XRN7XcQCQ_43_5"/>
      <w:bookmarkStart w:id="852" w:name="Tc_jkU4WpHSRke5PTFRMfMemA_43_2"/>
      <w:bookmarkStart w:id="853" w:name="Tc_C0sda9TjQ0ub_DahC6vTCA_43_0"/>
      <w:bookmarkStart w:id="854" w:name="Tc_Swez-O-pgUiBVSkgHwtarA_42_5"/>
      <w:bookmarkStart w:id="855" w:name="Tc_RctPavafKUemngvhBJKr9g_42_2"/>
      <w:bookmarkStart w:id="856" w:name="Tc_EcSAr2Vf6UKCOx9-eC7VNw_42_0"/>
      <w:bookmarkStart w:id="857" w:name="Tc_SSQiJkJP90eCNQZbfM-B6w_41_0"/>
      <w:bookmarkStart w:id="858" w:name="Tc_6i01QeBlOEa_vaxF83Xb3w_40_5"/>
      <w:bookmarkStart w:id="859" w:name="Tc_mxZHIAPYOkGoNmQYRaY1OQ_40_2"/>
      <w:bookmarkStart w:id="860" w:name="Tc_NXLJlBCaK0eEsoGnP_zllA_40_0"/>
      <w:bookmarkStart w:id="861" w:name="Tc_xwtWMP09C0eIyhSY1YQ75Q_39_6"/>
      <w:bookmarkStart w:id="862" w:name="Tc_U7EagM_t3UOkqX8fhGH5SQ_39_5"/>
      <w:bookmarkStart w:id="863" w:name="Tc_i1ixmywVykyWJ-FeiEvBYA_39_3"/>
      <w:bookmarkStart w:id="864" w:name="Tc_S-cShqwhAU6-ob5x_quAWQ_39_2"/>
      <w:bookmarkStart w:id="865" w:name="Tc_FIJw339mcEG_yjdGm5vDdw_39_0"/>
      <w:bookmarkStart w:id="866" w:name="Tc_-qk0q1lp50eCX7mg0lsLAQ_38_0"/>
      <w:bookmarkStart w:id="867" w:name="Tc_cwdawUH9u0idwsfI_YXGWQ_37_5"/>
      <w:bookmarkStart w:id="868" w:name="Tc_TbpTILz09E-Vrc-hP-FOTg_37_2"/>
      <w:bookmarkStart w:id="869" w:name="Tc_yfSFzuAYUEO7NJxlaBX75Q_37_0"/>
      <w:bookmarkStart w:id="870" w:name="Tc_KKaOjzacTEql7_gY3ZhREQ_36_0"/>
      <w:bookmarkStart w:id="871" w:name="Tc_eN6Gi1MnZES-yfTMVCO07w_35_0"/>
      <w:bookmarkStart w:id="872" w:name="Tc_6Y3SwMoMF0O1vQY1lPyNJw_34_0"/>
      <w:bookmarkStart w:id="873" w:name="Tc_mMlftQeGBE6o5_cRShVmEQ_33_6"/>
      <w:bookmarkStart w:id="874" w:name="Tc_0jlehF_ENUCQw8lUUF4Pog_33_0"/>
      <w:bookmarkStart w:id="875" w:name="Tc_vfAF5xR9VkydYifrIhP3eQ_32_0"/>
      <w:bookmarkStart w:id="876" w:name="Tc_ixJfQtJynk-8bLc1NsYojQ_31_0"/>
      <w:bookmarkStart w:id="877" w:name="Tc_T5uNDnjUXEGar9KrE21NSg_30_0"/>
      <w:bookmarkStart w:id="878" w:name="Tc_FsQtHRWyxEepHIWe4T5QoQ_29_0"/>
      <w:bookmarkStart w:id="879" w:name="Tc_2OdRNBEWKEWUtON6ucKXiw_28_0"/>
      <w:bookmarkStart w:id="880" w:name="Tc_wvXDA3ljS0aB7eTOHFOFkg_27_0"/>
      <w:bookmarkStart w:id="881" w:name="Tc_N9jQ53ZzlUWbEK8vYlwrGg_26_3"/>
      <w:bookmarkStart w:id="882" w:name="Tc_oD-FRdQurUCu_6QVKdA4RA_26_0"/>
      <w:bookmarkStart w:id="883" w:name="Tc_ChKt9GcMFUSORa0LcRMO0Q_25_0"/>
      <w:bookmarkStart w:id="884" w:name="Tc_L6ZfyxkrRUW8cKnWjaQshg_24_0"/>
      <w:bookmarkStart w:id="885" w:name="Tc_tLl4xc99tUabt3UZgLmXaA_23_0"/>
      <w:bookmarkStart w:id="886" w:name="Tc_fgz-pe3a0EiJOgvdaH4AXw_22_0"/>
      <w:bookmarkStart w:id="887" w:name="Tc_ElONYcu2_UGukqYKEdgDqw_21_0"/>
      <w:bookmarkStart w:id="888" w:name="Tc_TzIhhFkRwU6KxDfUJzT8lA_20_0"/>
      <w:bookmarkStart w:id="889" w:name="Tc_o7tzp7cO10mrjXfP0_PMDQ_19_0"/>
      <w:bookmarkStart w:id="890" w:name="Tc_K7Uds7anzUCElA1JUPaoWg_18_0"/>
      <w:bookmarkStart w:id="891" w:name="Tc_HP6Z2TzPQUaWslJLtiKe1w_17_0"/>
      <w:bookmarkStart w:id="892" w:name="Tc__3GZPwYOcUqupyUltxky-Q_16_0"/>
      <w:bookmarkStart w:id="893" w:name="Tc_6b1Ely9_qECurn0cypCr1w_15_0"/>
      <w:bookmarkStart w:id="894" w:name="Tc_4NvIgmFnpEyMkBuA_R1JDQ_14_0"/>
      <w:bookmarkStart w:id="895" w:name="Tc_KyxohgTQjEWYV5IOdWjxDg_13_0"/>
      <w:bookmarkStart w:id="896" w:name="Tc_sZ8ViZNPSkaYGkDGmwlKtg_12_3"/>
      <w:bookmarkStart w:id="897" w:name="Tc_FtEJ2_WKiES2J1cDxeUdLQ_12_0"/>
      <w:bookmarkStart w:id="898" w:name="Tc_HrYbcHRnYkK-Fajmg354bA_11_3"/>
      <w:bookmarkStart w:id="899" w:name="Tc_hwLI8qriJkqRamQraXb72g_11_0"/>
      <w:bookmarkStart w:id="900" w:name="Tc_Q2Ngeb6ow0i7DztXADkCWg_10_0"/>
      <w:bookmarkStart w:id="901" w:name="Tc_MftrWNbFI0-IihJxP_HvJQ_9_0"/>
      <w:bookmarkStart w:id="902" w:name="Tc_-HYSHOEwuEacan4Ae-Nf4g_8_0"/>
      <w:bookmarkStart w:id="903" w:name="Tc_dZJWXSJS4UyiUHrpVW_5CQ_7_0"/>
      <w:bookmarkStart w:id="904" w:name="Tc_tlyc4JLx-0ChBAiKN2qMiA_6_0"/>
      <w:bookmarkStart w:id="905" w:name="Tc_6V2iHsPeXU6zJe1Y4MT_zA_5_5"/>
      <w:bookmarkStart w:id="906" w:name="Tc_iIrqKga9rkSq0XyWdKRK4w_5_2"/>
      <w:bookmarkStart w:id="907" w:name="Tc_0hICmwkNOEq3RtGGsaKAeg_5_0"/>
      <w:bookmarkStart w:id="908" w:name="Tc_Jj-l_WXrrEWcjYkJ436TmQ_4_0"/>
      <w:bookmarkStart w:id="909" w:name="Tc_KOUZRAghgEm7rUfV3KK7Jg_3_5"/>
      <w:bookmarkStart w:id="910" w:name="Tc_nPkkgmFPDkW9E4ybkb3Y2g_3_2"/>
      <w:bookmarkStart w:id="911" w:name="Tc_BW0-JymKpkOMDhBX6IACpg_3_0"/>
      <w:bookmarkStart w:id="912" w:name="Tc_do9r6LXbdEe08ml0HDUbzQ_2_2"/>
      <w:bookmarkStart w:id="913" w:name="Tc_zKaxl6p-40mGgOq-us-Ucw_1_2"/>
      <w:bookmarkStart w:id="914" w:name="_3ef04afb_51ad_45aa_87a2_1fc8f1a88ea0"/>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p>
    <w:tbl>
      <w:tblPr>
        <w:tblW w:w="8267" w:type="dxa"/>
        <w:jc w:val="left"/>
        <w:tblInd w:w="0" w:type="dxa"/>
        <w:tblLayout w:type="fixed"/>
        <w:tblCellMar>
          <w:top w:w="0" w:type="dxa"/>
          <w:left w:w="0" w:type="dxa"/>
          <w:bottom w:w="0" w:type="dxa"/>
          <w:right w:w="0" w:type="dxa"/>
        </w:tblCellMar>
      </w:tblPr>
      <w:tblGrid>
        <w:gridCol w:w="5716"/>
        <w:gridCol w:w="146"/>
        <w:gridCol w:w="196"/>
        <w:gridCol w:w="811"/>
        <w:gridCol w:w="346"/>
        <w:gridCol w:w="196"/>
        <w:gridCol w:w="856"/>
      </w:tblGrid>
      <w:t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629660" cy="175260"/>
                      <wp:effectExtent l="0" t="0" r="0" b="0"/>
                      <wp:wrapNone/>
                      <wp:docPr id="77" name="Frame77"/>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92710" cy="175260"/>
                      <wp:effectExtent l="0" t="0" r="0" b="0"/>
                      <wp:wrapNone/>
                      <wp:docPr id="78" name="Frame7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24460" cy="175260"/>
                      <wp:effectExtent l="0" t="0" r="0" b="0"/>
                      <wp:wrapNone/>
                      <wp:docPr id="79"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14985" cy="175260"/>
                      <wp:effectExtent l="0" t="0" r="0" b="0"/>
                      <wp:wrapNone/>
                      <wp:docPr id="80" name="Frame8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24460" cy="175260"/>
                      <wp:effectExtent l="0" t="0" r="0" b="0"/>
                      <wp:wrapNone/>
                      <wp:docPr id="82" name="Frame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43560" cy="175260"/>
                      <wp:effectExtent l="0" t="0" r="0" b="0"/>
                      <wp:wrapNone/>
                      <wp:docPr id="83" name="Frame83"/>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5716" w:type="dxa"/>
            <w:tcBorders/>
            <w:vAlign w:val="center"/>
          </w:tcPr>
          <w:p>
            <w:pPr>
              <w:pStyle w:val="TableContents"/>
              <w:bidi w:val="0"/>
              <w:spacing w:before="0" w:after="0"/>
              <w:ind w:left="0" w:right="0" w:hanging="0"/>
              <w:jc w:val="left"/>
            </w:pPr>
            <w:r>
              <w:t>​</w:t>
            </w:r>
          </w:p>
        </w:tc>
        <w:tc>
          <w:tcPr>
            <w:tcW w:w="146" w:type="dxa"/>
            <w:tcBorders/>
            <w:vAlign w:val="center"/>
          </w:tcPr>
          <w:p>
            <w:pPr>
              <w:pStyle w:val="TableContents"/>
              <w:bidi w:val="0"/>
              <w:spacing w:before="0" w:after="0"/>
              <w:ind w:left="0" w:right="0" w:hanging="0"/>
              <w:jc w:val="left"/>
            </w:pPr>
            <w: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c>
          <w:tcPr>
            <w:tcW w:w="5716" w:type="dxa"/>
            <w:tcBorders/>
            <w:vAlign w:val="center"/>
          </w:tcPr>
          <w:p>
            <w:pPr>
              <w:pStyle w:val="TableContents"/>
              <w:bidi w:val="0"/>
              <w:spacing w:before="0" w:after="0"/>
              <w:ind w:left="0" w:right="0" w:hanging="0"/>
              <w:jc w:val="left"/>
            </w:pPr>
            <w:r>
              <w:t>​</w:t>
            </w:r>
          </w:p>
        </w:tc>
        <w:tc>
          <w:tcPr>
            <w:tcW w:w="146" w:type="dxa"/>
            <w:tcBorders/>
            <w:vAlign w:val="center"/>
          </w:tcPr>
          <w:p>
            <w:pPr>
              <w:pStyle w:val="TableContents"/>
              <w:bidi w:val="0"/>
              <w:spacing w:before="0" w:after="0"/>
              <w:ind w:left="0" w:right="0" w:hanging="0"/>
              <w:jc w:val="left"/>
            </w:pPr>
            <w:r>
              <w:t> </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c>
          <w:tcPr>
            <w:tcW w:w="57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46" w:type="dxa"/>
            <w:tcBorders/>
            <w:vAlign w:val="center"/>
          </w:tcPr>
          <w:p>
            <w:pPr>
              <w:pStyle w:val="TableContents"/>
              <w:bidi w:val="0"/>
              <w:spacing w:before="0" w:after="0"/>
              <w:ind w:left="0" w:right="0" w:hanging="0"/>
              <w:jc w:val="left"/>
            </w:pPr>
            <w: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pPr>
            <w: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provided by operating activities:</w:t>
            </w:r>
          </w:p>
        </w:tc>
        <w:tc>
          <w:tcPr>
            <w:tcW w:w="1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811" w:type="dxa"/>
            <w:tcBorders/>
            <w:shd w:fill="CCEEFF" w:val="clear"/>
            <w:vAlign w:val="center"/>
          </w:tcPr>
          <w:p>
            <w:pPr>
              <w:pStyle w:val="TableContents"/>
              <w:bidi w:val="0"/>
              <w:spacing w:before="0" w:after="0"/>
              <w:ind w:left="0" w:right="0" w:hanging="0"/>
              <w:jc w:val="right"/>
            </w:pPr>
            <w:r>
              <w:t>  ​</w:t>
            </w:r>
          </w:p>
        </w:tc>
        <w:tc>
          <w:tcPr>
            <w:tcW w:w="346" w:type="dxa"/>
            <w:tcBorders/>
            <w:shd w:fill="CCEEFF" w:val="clear"/>
            <w:vAlign w:val="center"/>
          </w:tcPr>
          <w:p>
            <w:pPr>
              <w:pStyle w:val="TableContents"/>
              <w:bidi w:val="0"/>
              <w:spacing w:before="0" w:after="0"/>
              <w:ind w:left="0" w:right="0" w:hanging="0"/>
              <w:jc w:val="left"/>
            </w:pPr>
            <w:r>
              <w:t> </w:t>
            </w:r>
          </w:p>
        </w:tc>
        <w:tc>
          <w:tcPr>
            <w:tcW w:w="196" w:type="dxa"/>
            <w:tcBorders/>
            <w:shd w:fill="CCEEFF" w:val="clear"/>
            <w:vAlign w:val="center"/>
          </w:tcPr>
          <w:p>
            <w:pPr>
              <w:pStyle w:val="TableContents"/>
              <w:bidi w:val="0"/>
              <w:spacing w:before="0" w:after="0"/>
              <w:ind w:left="0" w:right="0" w:hanging="0"/>
              <w:jc w:val="left"/>
            </w:pPr>
            <w:r>
              <w:t>​</w:t>
            </w:r>
          </w:p>
        </w:tc>
        <w:tc>
          <w:tcPr>
            <w:tcW w:w="856" w:type="dxa"/>
            <w:tcBorders/>
            <w:shd w:fill="CCEEFF" w:val="clear"/>
            <w:vAlign w:val="center"/>
          </w:tcPr>
          <w:p>
            <w:pPr>
              <w:pStyle w:val="TableContents"/>
              <w:bidi w:val="0"/>
              <w:spacing w:before="0" w:after="0"/>
              <w:ind w:left="0" w:right="0" w:hanging="0"/>
              <w:jc w:val="right"/>
            </w:pPr>
            <w:r>
              <w:t>  ​</w:t>
            </w:r>
          </w:p>
        </w:tc>
      </w:tr>
      <w:t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164,213</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129,438</w:t>
            </w:r>
          </w:p>
        </w:tc>
      </w:tr>
      <w:t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1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 </w:t>
            </w:r>
          </w:p>
        </w:tc>
        <w:tc>
          <w:tcPr>
            <w:tcW w:w="811" w:type="dxa"/>
            <w:tcBorders/>
            <w:shd w:fill="CCEEFF" w:val="clear"/>
            <w:vAlign w:val="center"/>
          </w:tcPr>
          <w:p>
            <w:pPr>
              <w:pStyle w:val="TableContents"/>
              <w:bidi w:val="0"/>
              <w:spacing w:before="0" w:after="0"/>
              <w:ind w:left="0" w:right="0" w:hanging="0"/>
              <w:jc w:val="right"/>
            </w:pPr>
            <w:r>
              <w:t>  ​</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 </w:t>
            </w:r>
          </w:p>
        </w:tc>
        <w:tc>
          <w:tcPr>
            <w:tcW w:w="856" w:type="dxa"/>
            <w:tcBorders/>
            <w:shd w:fill="CCEEFF" w:val="clear"/>
            <w:vAlign w:val="center"/>
          </w:tcPr>
          <w:p>
            <w:pPr>
              <w:pStyle w:val="TableContents"/>
              <w:bidi w:val="0"/>
              <w:spacing w:before="0" w:after="0"/>
              <w:ind w:left="0" w:right="0" w:hanging="0"/>
              <w:jc w:val="right"/>
            </w:pPr>
            <w:r>
              <w:t>  ​</w:t>
            </w:r>
          </w:p>
        </w:tc>
      </w:tr>
      <w:t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1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10,445</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10,411</w:t>
            </w:r>
          </w:p>
        </w:tc>
      </w:tr>
      <w:t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25,804</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23,323</w:t>
            </w:r>
          </w:p>
        </w:tc>
      </w:tr>
      <w:t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 assets</w:t>
            </w:r>
          </w:p>
        </w:tc>
        <w:tc>
          <w:tcPr>
            <w:tcW w:w="1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6,315</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6,315</w:t>
            </w:r>
          </w:p>
        </w:tc>
      </w:tr>
      <w:t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1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1,291</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13,497</w:t>
            </w:r>
          </w:p>
        </w:tc>
      </w:tr>
      <w:t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Litigation settlement</w:t>
            </w:r>
          </w:p>
        </w:tc>
        <w:tc>
          <w:tcPr>
            <w:tcW w:w="1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81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35,000</w:t>
            </w:r>
          </w:p>
        </w:tc>
      </w:tr>
      <w:t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termination, impairment and other</w:t>
            </w:r>
          </w:p>
        </w:tc>
        <w:tc>
          <w:tcPr>
            <w:tcW w:w="1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81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2,411</w:t>
            </w:r>
          </w:p>
        </w:tc>
      </w:tr>
      <w:t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including fixed asset disposals</w:t>
            </w:r>
          </w:p>
        </w:tc>
        <w:tc>
          <w:tcPr>
            <w:tcW w:w="1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w:t>
            </w:r>
          </w:p>
        </w:tc>
      </w:tr>
      <w:t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assets and liabilities:</w:t>
            </w:r>
          </w:p>
        </w:tc>
        <w:tc>
          <w:tcPr>
            <w:tcW w:w="1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 </w:t>
            </w:r>
          </w:p>
        </w:tc>
        <w:tc>
          <w:tcPr>
            <w:tcW w:w="811" w:type="dxa"/>
            <w:tcBorders/>
            <w:shd w:fill="CCEEFF" w:val="clear"/>
            <w:vAlign w:val="center"/>
          </w:tcPr>
          <w:p>
            <w:pPr>
              <w:pStyle w:val="TableContents"/>
              <w:bidi w:val="0"/>
              <w:spacing w:before="0" w:after="0"/>
              <w:ind w:left="0" w:right="0" w:hanging="0"/>
              <w:jc w:val="right"/>
            </w:pPr>
            <w:r>
              <w:t>  ​</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 </w:t>
            </w:r>
          </w:p>
        </w:tc>
        <w:tc>
          <w:tcPr>
            <w:tcW w:w="856" w:type="dxa"/>
            <w:tcBorders/>
            <w:shd w:fill="CCEEFF" w:val="clear"/>
            <w:vAlign w:val="center"/>
          </w:tcPr>
          <w:p>
            <w:pPr>
              <w:pStyle w:val="TableContents"/>
              <w:bidi w:val="0"/>
              <w:spacing w:before="0" w:after="0"/>
              <w:ind w:left="0" w:right="0" w:hanging="0"/>
              <w:jc w:val="right"/>
            </w:pPr>
            <w:r>
              <w:t>  ​</w:t>
            </w:r>
          </w:p>
        </w:tc>
      </w:tr>
      <w:t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1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(30,192)</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(39,093)</w:t>
            </w:r>
          </w:p>
        </w:tc>
      </w:tr>
      <w:t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1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1,682</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(3,218)</w:t>
            </w:r>
          </w:p>
        </w:tc>
      </w:tr>
      <w:t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Right-of-use assets and lease liabilities</w:t>
            </w:r>
          </w:p>
        </w:tc>
        <w:tc>
          <w:tcPr>
            <w:tcW w:w="1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w:t>
            </w:r>
          </w:p>
        </w:tc>
      </w:tr>
      <w:t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1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(6,372)</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(8,477)</w:t>
            </w:r>
          </w:p>
        </w:tc>
      </w:tr>
      <w:t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1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1,420</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w:t>
            </w:r>
          </w:p>
        </w:tc>
      </w:tr>
      <w:t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receivable/payable</w:t>
            </w:r>
          </w:p>
        </w:tc>
        <w:tc>
          <w:tcPr>
            <w:tcW w:w="1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(9,598)</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(30,604)</w:t>
            </w:r>
          </w:p>
        </w:tc>
      </w:tr>
      <w:t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1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6,945</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3,801</w:t>
            </w:r>
          </w:p>
        </w:tc>
      </w:tr>
      <w:t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operating activities</w:t>
            </w:r>
          </w:p>
        </w:tc>
        <w:tc>
          <w:tcPr>
            <w:tcW w:w="1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171,589</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143,006</w:t>
            </w:r>
          </w:p>
        </w:tc>
      </w:tr>
      <w:t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provided by (used in) investing activities:</w:t>
            </w:r>
          </w:p>
        </w:tc>
        <w:tc>
          <w:tcPr>
            <w:tcW w:w="1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 </w:t>
            </w:r>
          </w:p>
        </w:tc>
        <w:tc>
          <w:tcPr>
            <w:tcW w:w="811" w:type="dxa"/>
            <w:tcBorders/>
            <w:vAlign w:val="center"/>
          </w:tcPr>
          <w:p>
            <w:pPr>
              <w:pStyle w:val="TableContents"/>
              <w:bidi w:val="0"/>
              <w:spacing w:before="0" w:after="0"/>
              <w:ind w:left="0" w:right="0" w:hanging="0"/>
              <w:jc w:val="right"/>
            </w:pPr>
            <w:r>
              <w:t>  ​</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 </w:t>
            </w:r>
          </w:p>
        </w:tc>
        <w:tc>
          <w:tcPr>
            <w:tcW w:w="856" w:type="dxa"/>
            <w:tcBorders/>
            <w:vAlign w:val="center"/>
          </w:tcPr>
          <w:p>
            <w:pPr>
              <w:pStyle w:val="TableContents"/>
              <w:bidi w:val="0"/>
              <w:spacing w:before="0" w:after="0"/>
              <w:ind w:left="0" w:right="0" w:hanging="0"/>
              <w:jc w:val="right"/>
            </w:pPr>
            <w:r>
              <w:t>  ​</w:t>
            </w:r>
          </w:p>
        </w:tc>
      </w:tr>
      <w:t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expenditures</w:t>
            </w:r>
          </w:p>
        </w:tc>
        <w:tc>
          <w:tcPr>
            <w:tcW w:w="1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(29,608)</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(27,225)</w:t>
            </w:r>
          </w:p>
        </w:tc>
      </w:tr>
      <w:t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Additions of amortizable content</w:t>
            </w:r>
          </w:p>
        </w:tc>
        <w:tc>
          <w:tcPr>
            <w:tcW w:w="1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r>
      <w:t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equity investment</w:t>
            </w:r>
          </w:p>
        </w:tc>
        <w:tc>
          <w:tcPr>
            <w:tcW w:w="1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81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w:t>
            </w:r>
          </w:p>
        </w:tc>
      </w:tr>
      <w:t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equity investment</w:t>
            </w:r>
          </w:p>
        </w:tc>
        <w:tc>
          <w:tcPr>
            <w:tcW w:w="1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w:t>
            </w:r>
          </w:p>
        </w:tc>
      </w:tr>
      <w:t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investments</w:t>
            </w:r>
          </w:p>
        </w:tc>
        <w:tc>
          <w:tcPr>
            <w:tcW w:w="1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(57,352)</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(224,715)</w:t>
            </w:r>
          </w:p>
        </w:tc>
      </w:tr>
      <w:t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 or maturity of investments</w:t>
            </w:r>
          </w:p>
        </w:tc>
        <w:tc>
          <w:tcPr>
            <w:tcW w:w="1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141,134</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46,872</w:t>
            </w:r>
          </w:p>
        </w:tc>
      </w:tr>
      <w:t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(used in) investing activities</w:t>
            </w:r>
          </w:p>
        </w:tc>
        <w:tc>
          <w:tcPr>
            <w:tcW w:w="1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54,088</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(205,615)</w:t>
            </w:r>
          </w:p>
        </w:tc>
      </w:tr>
      <w:t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used in financing activities:</w:t>
            </w:r>
          </w:p>
        </w:tc>
        <w:tc>
          <w:tcPr>
            <w:tcW w:w="1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 </w:t>
            </w:r>
          </w:p>
        </w:tc>
        <w:tc>
          <w:tcPr>
            <w:tcW w:w="811" w:type="dxa"/>
            <w:tcBorders/>
            <w:vAlign w:val="center"/>
          </w:tcPr>
          <w:p>
            <w:pPr>
              <w:pStyle w:val="TableContents"/>
              <w:bidi w:val="0"/>
              <w:spacing w:before="0" w:after="0"/>
              <w:ind w:left="0" w:right="0" w:hanging="0"/>
              <w:jc w:val="right"/>
            </w:pPr>
            <w:r>
              <w:t>  ​</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 </w:t>
            </w:r>
          </w:p>
        </w:tc>
        <w:tc>
          <w:tcPr>
            <w:tcW w:w="856" w:type="dxa"/>
            <w:tcBorders/>
            <w:vAlign w:val="center"/>
          </w:tcPr>
          <w:p>
            <w:pPr>
              <w:pStyle w:val="TableContents"/>
              <w:bidi w:val="0"/>
              <w:spacing w:before="0" w:after="0"/>
              <w:ind w:left="0" w:right="0" w:hanging="0"/>
              <w:jc w:val="right"/>
            </w:pPr>
            <w:r>
              <w:t>  ​</w:t>
            </w:r>
          </w:p>
        </w:tc>
      </w:tr>
      <w:t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shares and shares withheld in lieu of income taxes</w:t>
            </w:r>
          </w:p>
        </w:tc>
        <w:tc>
          <w:tcPr>
            <w:tcW w:w="1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(278,327)</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(164,730)</w:t>
            </w:r>
          </w:p>
        </w:tc>
      </w:tr>
      <w:t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Revolving Credit Facility issuance costs</w:t>
            </w:r>
          </w:p>
        </w:tc>
        <w:tc>
          <w:tcPr>
            <w:tcW w:w="1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r>
      <w:t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financing activities</w:t>
            </w:r>
          </w:p>
        </w:tc>
        <w:tc>
          <w:tcPr>
            <w:tcW w:w="1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(278,679)</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(164,730)</w:t>
            </w:r>
          </w:p>
        </w:tc>
      </w:tr>
      <w:t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decrease in cash and cash equivalents and restricted cash</w:t>
            </w:r>
          </w:p>
        </w:tc>
        <w:tc>
          <w:tcPr>
            <w:tcW w:w="1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(53,002)</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(227,339)</w:t>
            </w:r>
          </w:p>
        </w:tc>
      </w:tr>
      <w:t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and restricted cash, beginning of period</w:t>
            </w:r>
          </w:p>
        </w:tc>
        <w:tc>
          <w:tcPr>
            <w:tcW w:w="1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111,762</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324,623</w:t>
            </w:r>
          </w:p>
        </w:tc>
      </w:tr>
      <w:t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and restricted cash, end of period</w:t>
            </w:r>
          </w:p>
        </w:tc>
        <w:tc>
          <w:tcPr>
            <w:tcW w:w="1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58,760</w:t>
            </w:r>
          </w:p>
        </w:tc>
        <w:tc>
          <w:tcPr>
            <w:tcW w:w="346"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97,284</w:t>
            </w:r>
          </w:p>
        </w:tc>
      </w:tr>
      <w:t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cash flow information</w:t>
            </w:r>
          </w:p>
        </w:tc>
        <w:tc>
          <w:tcPr>
            <w:tcW w:w="1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 </w:t>
            </w:r>
          </w:p>
        </w:tc>
        <w:tc>
          <w:tcPr>
            <w:tcW w:w="811" w:type="dxa"/>
            <w:tcBorders/>
            <w:shd w:fill="CCEEFF" w:val="clear"/>
            <w:vAlign w:val="center"/>
          </w:tcPr>
          <w:p>
            <w:pPr>
              <w:pStyle w:val="TableContents"/>
              <w:bidi w:val="0"/>
              <w:spacing w:before="0" w:after="0"/>
              <w:ind w:left="0" w:right="0" w:hanging="0"/>
              <w:jc w:val="right"/>
            </w:pPr>
            <w:r>
              <w:t>  ​</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 </w:t>
            </w:r>
          </w:p>
        </w:tc>
        <w:tc>
          <w:tcPr>
            <w:tcW w:w="856" w:type="dxa"/>
            <w:tcBorders/>
            <w:shd w:fill="CCEEFF" w:val="clear"/>
            <w:vAlign w:val="center"/>
          </w:tcPr>
          <w:p>
            <w:pPr>
              <w:pStyle w:val="TableContents"/>
              <w:bidi w:val="0"/>
              <w:spacing w:before="0" w:after="0"/>
              <w:ind w:left="0" w:right="0" w:hanging="0"/>
              <w:jc w:val="right"/>
            </w:pPr>
            <w:r>
              <w:t>  ​</w:t>
            </w:r>
          </w:p>
        </w:tc>
      </w:tr>
      <w:t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1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0" w:hanging="0"/>
              <w:jc w:val="right"/>
            </w:pPr>
            <w:r>
              <w:t>—</w:t>
            </w:r>
          </w:p>
        </w:tc>
      </w:tr>
      <w:t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income taxes</w:t>
            </w:r>
          </w:p>
        </w:tc>
        <w:tc>
          <w:tcPr>
            <w:tcW w:w="1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53,929</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53,748</w:t>
            </w:r>
          </w:p>
        </w:tc>
      </w:tr>
      <w:t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non-cash investing and financing activities</w:t>
            </w:r>
          </w:p>
        </w:tc>
        <w:tc>
          <w:tcPr>
            <w:tcW w:w="1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 </w:t>
            </w:r>
          </w:p>
        </w:tc>
        <w:tc>
          <w:tcPr>
            <w:tcW w:w="811" w:type="dxa"/>
            <w:tcBorders/>
            <w:vAlign w:val="center"/>
          </w:tcPr>
          <w:p>
            <w:pPr>
              <w:pStyle w:val="TableContents"/>
              <w:bidi w:val="0"/>
              <w:spacing w:before="0" w:after="0"/>
              <w:ind w:left="0" w:right="0" w:hanging="0"/>
              <w:jc w:val="right"/>
            </w:pPr>
            <w:r>
              <w:t>  ​</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 </w:t>
            </w:r>
          </w:p>
        </w:tc>
        <w:tc>
          <w:tcPr>
            <w:tcW w:w="856" w:type="dxa"/>
            <w:tcBorders/>
            <w:vAlign w:val="center"/>
          </w:tcPr>
          <w:p>
            <w:pPr>
              <w:pStyle w:val="TableContents"/>
              <w:bidi w:val="0"/>
              <w:spacing w:before="0" w:after="0"/>
              <w:ind w:left="0" w:right="0" w:hanging="0"/>
              <w:jc w:val="right"/>
            </w:pPr>
            <w:r>
              <w:t>  ​</w:t>
            </w:r>
          </w:p>
        </w:tc>
      </w:tr>
      <w:t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 included in accounts payable</w:t>
            </w:r>
          </w:p>
        </w:tc>
        <w:tc>
          <w:tcPr>
            <w:tcW w:w="1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1,676</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798</w:t>
            </w:r>
          </w:p>
        </w:tc>
      </w:tr>
      <w:t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ROU Asset and Liability recognition</w:t>
            </w:r>
          </w:p>
        </w:tc>
        <w:tc>
          <w:tcPr>
            <w:tcW w:w="1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7,100</w:t>
            </w:r>
          </w:p>
        </w:tc>
        <w:tc>
          <w:tcPr>
            <w:tcW w:w="346"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w:t>
            </w:r>
          </w:p>
        </w:tc>
      </w:tr>
      <w:t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Excise tax on treasury stock repurchases </w:t>
            </w:r>
          </w:p>
        </w:tc>
        <w:tc>
          <w:tcPr>
            <w:tcW w:w="1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2,588</w:t>
            </w:r>
          </w:p>
        </w:tc>
        <w:tc>
          <w:tcPr>
            <w:tcW w:w="346"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1,482</w:t>
            </w:r>
          </w:p>
        </w:tc>
      </w:tr>
    </w:tbl>
    <w:p>
      <w:pPr>
        <w:pStyle w:val="TextBody"/>
        <w:bidi w:val="0"/>
        <w:spacing w:before="0" w:after="0"/>
        <w:ind w:left="0" w:right="0" w:hanging="0"/>
        <w:jc w:val="left"/>
      </w:pPr>
      <w:r>
        <w:t>​</w:t>
      </w:r>
    </w:p>
    <w:p>
      <w:pPr>
        <w:pStyle w:val="TextBody"/>
        <w:bidi w:val="0"/>
        <w:spacing w:before="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sz w:val="20"/>
        </w:rPr>
      </w:pPr>
      <w:bookmarkStart w:id="915" w:name="_cp_text_1_117"/>
      <w:bookmarkEnd w:id="915"/>
      <w:r>
        <w:rPr>
          <w:rFonts w:ascii="Times New Roman;Times;serif" w:hAnsi="Times New Roman;Times;serif"/>
          <w:b/>
          <w:sz w:val="20"/>
        </w:rPr>
        <w:t>1. Nature of Business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a comprehensive regionally accredited university that offers graduate and undergraduate degree programs, emphases and certificates across twelve colleges both online, on ground at its campus in Phoenix, Arizona and at 12 off-campus classroom and laboratory sites.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also provide education services to numerous university partners across the United States. In the healthcare field, we work in partnership with a number of top universities and healthcare networks,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September 30, 2026, GCE provides education services to 20 university partners across the United States.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consolidated financial statements include the accounts of the Company and its wholly owned subsidiaries. Intercompany transactions have been eliminated in consolidation.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Unaudited Interim Financial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accompanying unaudited interim consolidated financial statements of the Company have been prepared in accordance with U.S. generally accepted accounting principles (“GAAP”) and pursuant to the rules and regulations of the United States Securities and Exchange Commission (the “SEC”) and the instructions to Form 10-Q and Article 10, consistent in all material respects with those applied in its financial statements included in its Annual Report on Form 10-K for the fiscal year ended December 31, 2025. They do not include all of the information and footnotes required by GAAP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Company’s audited financial statements and footnotes included in its Annual Report on Form 10-K for the fiscal year ended December 31, 2025 from which the December 31, 2025 balance sheet information was derived.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preparation of consolidated financial statements in conformity with GAAP requires management to make estimates and assumptions that affect the reported amounts in the consolidated financial statements and accompanying notes. Actual results could differ from those estimates.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invests a portion of its cash in excess of current operating requirements in short term certificates of deposit and money market instruments. The Company considers all highly liquid investments with maturities of three months or less at the time of purchase to be cash equivalents.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Investments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September 30, 2026 and December 31, 2025, the Company considered its investments in corporate bonds, agency bonds, treasury bills and commercial paper as available-for-sale securities based on the Company’s intent for the respective securities. Available-for-sale securities are carried at fair value, determined using Level 1 of the hierarchy of valuation inputs, with the use of inputs other than quoted prices that are observable for the assets. Unrealized investment gains and losses, net of tax, are reported as a separate component of other comprehensive income. Unrealized losses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considered to be other-than-temporary are recognized currently in earnings. Amortization of premiums, accretion of discounts, interest and dividend income and realized gains and losses are included in investment interest and other.</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Property and Equipment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 depreciated. Depreciation is provided using the straight-line method over the estimated useful lives of the assets. Furniture and fixtures, computer equipment, and vehicles generally have estimated useful lives of </w:t>
      </w:r>
      <w:r>
        <w:rPr>
          <w:rFonts w:ascii="Times New Roman;Times;serif" w:hAnsi="Times New Roman;Times;serif"/>
          <w:b w:val="false"/>
          <w:i w:val="false"/>
          <w:caps w:val="false"/>
          <w:smallCaps w:val="false"/>
          <w:sz w:val="20"/>
        </w:rPr>
        <w:t>ten</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four</w:t>
      </w:r>
      <w:r>
        <w:rPr>
          <w:rFonts w:ascii="Times New Roman;Times;serif" w:hAnsi="Times New Roman;Times;serif"/>
          <w:sz w:val="20"/>
        </w:rPr>
        <w:t>, and five years, respectively. Leasehold improvements are depreciated over the shorter of their lease term or their useful life. Land improvements and buildings are depreciated over lives ranging from 10 to 40 years.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Arrangements with GCU</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On July 29, 2026, we entered into an Amended and Restated Master Services Agreement with GCU (the “Amended MSA”) in which amended and restated the Master Services Agreement with GCU, effective July 1, 2018 (the “Original MSA”).  The Amended MSA is effective as of July 1, 2026, has an initial term of fifteen (</w:t>
      </w:r>
      <w:r>
        <w:rPr>
          <w:rFonts w:ascii="Times New Roman;Times;serif" w:hAnsi="Times New Roman;Times;serif"/>
          <w:b w:val="false"/>
          <w:i w:val="false"/>
          <w:caps w:val="false"/>
          <w:smallCaps w:val="false"/>
          <w:sz w:val="20"/>
        </w:rPr>
        <w:t>15</w:t>
      </w:r>
      <w:r>
        <w:rPr>
          <w:rFonts w:ascii="Times New Roman;Times;serif" w:hAnsi="Times New Roman;Times;serif"/>
          <w:sz w:val="20"/>
        </w:rPr>
        <w:t>) years running through June 30, 2041, and, unless notice of non-renewal is given at least eighteen (</w:t>
      </w:r>
      <w:r>
        <w:rPr>
          <w:rFonts w:ascii="Times New Roman;Times;serif" w:hAnsi="Times New Roman;Times;serif"/>
          <w:b w:val="false"/>
          <w:i w:val="false"/>
          <w:caps w:val="false"/>
          <w:smallCaps w:val="false"/>
          <w:sz w:val="20"/>
        </w:rPr>
        <w:t>18</w:t>
      </w:r>
      <w:r>
        <w:rPr>
          <w:rFonts w:ascii="Times New Roman;Times;serif" w:hAnsi="Times New Roman;Times;serif"/>
          <w:sz w:val="20"/>
        </w:rPr>
        <w:t>) months in advance of the end of the initial term or any renewal term, will automatically renew up to three additional five (</w:t>
      </w:r>
      <w:r>
        <w:rPr>
          <w:rFonts w:ascii="Times New Roman;Times;serif" w:hAnsi="Times New Roman;Times;serif"/>
          <w:b w:val="false"/>
          <w:i w:val="false"/>
          <w:caps w:val="false"/>
          <w:smallCaps w:val="false"/>
          <w:sz w:val="20"/>
        </w:rPr>
        <w:t>5</w:t>
      </w:r>
      <w:r>
        <w:rPr>
          <w:rFonts w:ascii="Times New Roman;Times;serif" w:hAnsi="Times New Roman;Times;serif"/>
          <w:sz w:val="20"/>
        </w:rPr>
        <w:t>) year renewal terms.  The Amended MSA eliminates GCU’s ability to terminate for convenience (while also eliminating any related early termination fees owed by GCU) prior to the end of the term, and restructures the service fees such that going forward (i) service fees are calculated as 60% of tuition and academic-related fees only (as compared to 60% of GCU’s revenue derived from tuition and academic-related fees, ancillary fees related to student housing, food service, athletic ticket sales, and arena, hotel, golf course, and apparel operations under the Original MSA), (ii) ancillary fees and other revenue are for the sole benefit of GCU, and (iii)  a reimbursement payment that the Company had been making to GCU in respect of certain academic related costs is eliminated. In addition, in lieu of the prior non-renewal fee that was due under the Original MSA if GCU did not renew at the end of the term, the Company would continue to provide services to, and receive services fees from, GCU for an eighteen (</w:t>
      </w:r>
      <w:r>
        <w:rPr>
          <w:rFonts w:ascii="Times New Roman;Times;serif" w:hAnsi="Times New Roman;Times;serif"/>
          <w:b w:val="false"/>
          <w:i w:val="false"/>
          <w:caps w:val="false"/>
          <w:smallCaps w:val="false"/>
          <w:sz w:val="20"/>
        </w:rPr>
        <w:t>18</w:t>
      </w:r>
      <w:r>
        <w:rPr>
          <w:rFonts w:ascii="Times New Roman;Times;serif" w:hAnsi="Times New Roman;Times;serif"/>
          <w:sz w:val="20"/>
        </w:rPr>
        <w:t xml:space="preserve">) month period following termination. Under the Original MSA we provided, and under the Amended MSA we continue to provide, identified technological, counseling, marketing, financial aid processing and other support services to GCU and the Amended MSA did not materially change the types and levels of services we provide. </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Internally Developed Technology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straight-line over the estimated useful life of the software, which is generally three years. These assets are a component of our property and equipment, net in our consolidated balance sheets.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Capitalized Content Development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the course’s review and major revision cycle. As of September 30, 2026 and December 31, 2025, $411 and $413, respectively, net of amortization, of deferred content assets are included in other assets, long-term in the Company’s consolidated balance sheets and amortization is included in technology and academic services where the costs originated.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Long-Lived Assets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evaluates the recoverability of its long-lived assets for impairment, other than goodwill,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 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lease expense on a straight-line basis over the lease term. The Company has lease agreements with lease and non-lease components, and the non-lease components are accounted for separately and not included in our ROU assets and lease liabilities. Leases primarily consist of off-campus classroom and laboratory site locations and office space.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Goodwill and Amortizable Intangible Assets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 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has issued guidance that permits an entity to first assess qualitative factors to determine whether it is necessary to perform the quantitative goodwill impairment test. The Company reviews goodwill at least annually or more frequently if an event occurs or circumstances change that would more likely than not reduce the fair value of the reporting unit below its carrying amount.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Finite-lived intangible assets that are acquired in a business combination are recorded at fair value on their acquisition dates and are amortized using a method that reflects the pattern in which the economic benefits of the intangible assets are consumed or on a straight-line basis over the estimated useful life of the intangible asset if the pattern of economic benefit cannot be reliably determined. Finite-lived intangible assets consist of university partner 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as of September 30, 2026. Recoverability of assets to be held and used is measured by a comparison of the carrying amount of an asset to undiscounted future net cash flows expected to be generated by the assets. If such intangible assets are not recoverable,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 potential impairment loss is recognized to the extent the carrying amounts of the assets exceed the fair value of the assets.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Share-Based Compensation</w:t>
      </w:r>
    </w:p>
    <w:p>
      <w:pPr>
        <w:pStyle w:val="TextBody"/>
        <w:bidi w:val="0"/>
        <w:spacing w:before="0" w:after="12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(the “Board of Directors”). The Company recognizes forfeitures as they occur.</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carrying value of cash and cash equivalents, accounts receivable, accounts payable, accrued compensation and benefits and accrued liabilities approximate their fair value based on the liquidity or the short-term maturities of these instruments.</w:t>
      </w:r>
    </w:p>
    <w:p>
      <w:pPr>
        <w:pStyle w:val="TextBody"/>
        <w:shd w:fill="FFFFFF" w:val="clear"/>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fair value of investments was determined using Level 1 of the hierarchy of valuation inputs, with the use of inputs other than quoted prices that are observable for the assets. The unit of account used for valuation is the individual underlying security. The basis for fair value measurements for each level is described below, with Level 1 having the highest priority.</w:t>
      </w:r>
    </w:p>
    <w:p>
      <w:pPr>
        <w:pStyle w:val="TextBody"/>
        <w:bidi w:val="0"/>
        <w:spacing w:before="0" w:after="12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-Level 1 – inputs are quoted prices (unadjusted) in active markets for identical assets or liabilities.</w:t>
      </w:r>
    </w:p>
    <w:p>
      <w:pPr>
        <w:pStyle w:val="TextBody"/>
        <w:bidi w:val="0"/>
        <w:spacing w:before="0" w:after="12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-Level 2 – inputs are quoted prices for similar instruments in active markets; quoted prices for identical or similar instruments in non-active markets; and model-derived valuations whose inputs are observable or whose significant valuation drivers are observable.</w:t>
      </w:r>
    </w:p>
    <w:p>
      <w:pPr>
        <w:pStyle w:val="TextBody"/>
        <w:bidi w:val="0"/>
        <w:spacing w:before="0" w:after="12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-Level 3 – unobservable inputs that are not corroborated by market data.</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Investments are comprised of corporate bonds, agency bonds, treasury bills and commercial paper.</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Commitments and Contingencies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accrues for contingent obligations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generates all of its revenue through services agreements with its university partners (“Services Agreements”), pursuant to which the Company provides integrated technology and academic services, marketing and communication services, and back-office services to its university partners in return for a percentage of tuition and fee revenue. Effective July 1, 2026, as a result of the Amended MSA with GCU, service revenue is now earned on only tuition and academic-related fees.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Services Agreements have initial terms ranging from 7-15 years, subject to renewal options, although certain agreements may give the university partners the right to terminate early if certain conditions are met. The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Company’s receivables represent unconditional rights to consideration from our Services Agreements with our university partners. Accounts receivable, net is stated at net realizable value and contains billed and unbilled revenue. The Company utilizes the allowance method to provide for doubtful accounts based on its evaluation of the expected credit losses. There have been no amounts written off and no reserves established as of September 30, 2026 given historical collection experience and an evaluation of reasonable and supportable forecasts of economic conditions and other pertinent factors affecting the Company’s customers such as known credit risk or industry trends. The Company will continue to review and revise its allowance methodology based on its collection experience with its partners.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For our partners with unbilled revenue, revenue recognition occurs in advance of billings. Billings for some university partners do not occur until after the service period has commenced and final enrollment information is available. Given that the Fall semester ends just prior to December 31 of each year, unbilled revenue is low at year end (whereas a semester is ongoing at the end of each other fiscal quarter, and unbilled revenue is thus higher at the end of our first three quarters). Our unbilled revenue of $8,845 and $53 as of September 30, 2026 and December 31, 2025, respectively, are included in accounts receivable in our consolidated 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Allowance for Credit Losses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records its accounts receivable at the net amount expected to be collected. Our accounts receivable are derived through education services provided to university partners. The Company maintains an allowance for credit losses resulting from our university partners not making payments. The Company determines the adequacy of the allowance by periodically evaluating each university partner’s balance, considering their financial condition and credit history, and considering current and forecasted economic conditions. Bad debt expense is recorded as a technology and academic services expense in the consolidated income statements. The Company monitors the impact of other factors on expected credit losses.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Technology and Academic Services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faculty training, development and other faculty support, technology support, rent and occupancy costs for university partners’ off-campus classroom and laboratory sites, and assistance with state compliance. This expense category includes salaries, benefits and share-based compensation, information technology costs, amortization of content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development costs and other costs associated with these support services. This category also includes an allocation of depreciation, amortization, and occupancy costs attributable to the provision of certain services, primarily at the Company’s Phoenix, Arizona and Indianapolis, Indiana locations.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Counseling Services and Support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lease expense, and occupancy costs attributable to the provision of certain services, primarily at the Company’s Phoenix, Arizona and Indianapolis, Indiana locations.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Marketing and Communication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Marketing and communication include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 occupancy costs attributable to the provision of certain services, primarily at the Company’s Phoenix, Arizona and Indianapolis, Indiana locations. Advertising costs are expensed as incurred.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General and Administrative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Insurance/Self-Insurance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uses a combination of insurance and self-insurance for a number of risks, including claims related to employee healthcare, workers’ compensation, general liability and business interruption. Liabilities associated with these risks are estimated based on, among other things, historical claims experience, severity factors and other actuarial assumptions. The Company’s loss exposure related to self-insurance is limited by stop loss coverage on a per occurrence and aggregate basis. The Company regularly analyzes its reserves for incurred but not reported claims, and for reported but not paid claims related to self-funded insurance programs. While the Company believes reserves are adequate, significant judgment is involved in assessing these reserves such as assessing historical paid claims, average lags between the claims’ incurred date, reported dates and paid dates, and the frequency and severity of claims. There may be differences between actual settlement amounts and recorded reserves and any resulting adjustments are included in expense once a probable amount is known.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 xml:space="preserve">Concentration of Credit Risk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believes the credit risk related to cash equivalents and investments is limited due to its adherence to an investment policy that requires investments to have a minimum BBB rating, depending on the type of security, by at least one major rating agency at the time of purchase. All of the Company’s cash equivalents and investments as of September 30, 2026 and December 31, 2025 consist of investments rated BBB or higher by at least one rating agency. Additionally, the Company utilizes at least one financial institution to conduct initial and ongoing credit analysis on its investment portfolio to monitor and lower the potential impact of market risk associated with its cash equivalents and investment portfolio. Financial instruments that potentially subject the Company to concentration of credit risk consist principally of cash balances, which are primarily invested in money market funds or on deposit at high credit quality financial institutions in the U.S. Accounts at each institution are insured by the Federal Deposit Insurance Corporation (“FDIC”) up to $250,000. At September 30, 2026 and December 31, 2025, the Company had $58,010 and $111,011, respectively, in excess of the FDIC insured limit. The Company is also subject to credit risk for its accounts receivable balance. Our dependence on our most significant university partner, GCU, with 89.1% of total service revenue for both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of the nine-month periods ended September 30, 2026 and 2025, subjects us to the risk that declines in our customer’s operations would result in a sustained reduction in service revenue for the Company.</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Segment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operates as a single education services company using a core infrastructure that serves the curriculum and educational delivery needs of its university partners. The Company’s Chief Executive Officer (the “Chief Operating Decision Maker” or “CODM”) manages the Company’s operations as a whole and no expense or operating income information is generated or evaluated on any component level other than consolidated net income.</w:t>
      </w:r>
    </w:p>
    <w:p>
      <w:pPr>
        <w:pStyle w:val="TextBody"/>
        <w:bidi w:val="0"/>
        <w:spacing w:before="0" w:after="120"/>
        <w:ind w:left="0" w:right="0" w:firstLine="490"/>
        <w:jc w:val="left"/>
        <w:rPr>
          <w:rFonts w:ascii="Times New Roman;Times;serif" w:hAnsi="Times New Roman;Times;serif"/>
          <w:sz w:val="20"/>
        </w:rPr>
      </w:pPr>
      <w:r>
        <w:rPr>
          <w:rFonts w:ascii="Times New Roman;Times;serif" w:hAnsi="Times New Roman;Times;serif"/>
          <w:sz w:val="20"/>
        </w:rPr>
        <w:t>The education services segment generates revenue through Service Agreements with its university partners, pursuant to which the Company provides integrated technology and academic services, marketing and communication services, and back-office services to its university partners in return for a percentage of tuition and fee revenue.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accounting policies of the education services segment are the same as those described in the summary of significant accounting policies. The measure of segment assets is reported on the consolidated balance sheet as total consolidated assets. The CODM uses consolidated net income to monitor budget versus actual results, which is used to evaluate headcount and compensation decisions.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In November 2024, the FASB issued ASU 2024-03, “Income Statement - Reporting Comprehensive Income - Expense Disaggregation Disclosures (Subtopic 220-40): Disaggregation of Income Statement Expenses”. ASU No. 2024-03 does not change or remove existing expense disclosure requirements but requires disaggregated disclosures about certain expense categories and captions, including but not limited to, purchases of inventory, employee compensation, depreciation, amortization and selling expenses. ASU No. 2024-03 will become effective for us in fiscal 2027 and in the first quarter of fiscal 2028 for interim reporting. Retrospective application is permitted. The Company does not expect the adoption of this guidance to have a material impact on the Company’s financial condition, results of operations or statements of cash flows.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In September 2025, the FASB issued ASU 2025-06, “Intangibles – Goodwill and Other – Internal-Use Software (Subtopic 350-40)”.  ASU 2025-06 removes all references to project stages throughout ASC 350-40 and clarifies the applicable threshold to begin capitalizing costs.  ASU 2025-06 is effective for annual reporting periods beginning after December 15, 2027, and interim periods within those annual reporting periods.  Early adoption is permitted as of the beginning of an annual reporting period.  Adoption of this ASU should be applied using a prospective transition approach, a modified transition approach based on project status or a retrospective transition approach.  The Company is currently evaluating the impact of this new standard on our financial statements and disclosures.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has determined that no other recent accounting pronouncements apply to its operations or could otherwise have a material impact on its consolidated financial statements.</w:t>
      </w:r>
    </w:p>
    <w:p>
      <w:pPr>
        <w:pStyle w:val="TextBody"/>
        <w:bidi w:val="0"/>
        <w:spacing w:before="0" w:after="120"/>
        <w:ind w:left="0" w:right="0" w:hanging="0"/>
        <w:jc w:val="left"/>
        <w:rPr>
          <w:rFonts w:ascii="Times New Roman;Times;serif" w:hAnsi="Times New Roman;Times;serif"/>
          <w:b/>
          <w:sz w:val="20"/>
        </w:rPr>
      </w:pPr>
      <w:bookmarkStart w:id="916" w:name="Tc_p3tSEsrh102FutZXQFsxow_9_11"/>
      <w:bookmarkStart w:id="917" w:name="Tc_xyC8x5yuDEe254Ov8_WqrA_9_8"/>
      <w:bookmarkStart w:id="918" w:name="Tc_mjIQYrStq0SbNhl5VIm8sQ_9_5"/>
      <w:bookmarkStart w:id="919" w:name="Tc_81Fw3Yz2REixf0p42D9PcQ_9_2"/>
      <w:bookmarkStart w:id="920" w:name="Tc_phnrdeW1v0S_XE9j1x0Drw_9_0"/>
      <w:bookmarkStart w:id="921" w:name="Tc_pgl0OIHqlEqBQG1s5MUOpw_8_6"/>
      <w:bookmarkStart w:id="922" w:name="Tc_xGduyE6gwkuTdn8Z4vQ1Xw_8_0"/>
      <w:bookmarkStart w:id="923" w:name="Tc_6txUZiOo1kqFDXSN3XBc3Q_7_9"/>
      <w:bookmarkStart w:id="924" w:name="Tc_b0PkAOoWQ0a3XNipxLRouQ_7_6"/>
      <w:bookmarkStart w:id="925" w:name="Tc_GSzBcFr5H0eNjolmzAy44g_7_0"/>
      <w:bookmarkStart w:id="926" w:name="Tc_zKqPIPgxsUOI0Kgt1BKYSw_6_6"/>
      <w:bookmarkStart w:id="927" w:name="Tc_oFrnfBIc-kGnmT_sZlwudA_6_0"/>
      <w:bookmarkStart w:id="928" w:name="Tc_3NHz4jsKEE69DDdJJFj8MA_5_11"/>
      <w:bookmarkStart w:id="929" w:name="Tc_0l9l3NqBXUSrfmxn7fMD6Q_5_8"/>
      <w:bookmarkStart w:id="930" w:name="Tc_TyYubPPspU6hEmsVzek0gQ_5_5"/>
      <w:bookmarkStart w:id="931" w:name="Tc_w5Ah314UW06r94b6dIMbng_5_2"/>
      <w:bookmarkStart w:id="932" w:name="Tc_yY000YbJeEiMuew1iB60Dg_5_0"/>
      <w:bookmarkStart w:id="933" w:name="Tc_Zcx8Lr2_MU6JEdn8Hxt6YA_4_11"/>
      <w:bookmarkStart w:id="934" w:name="Tc_cOZFLoJKi0ao8gjGOIPh9g_4_8"/>
      <w:bookmarkStart w:id="935" w:name="Tc_gjIH_adv9UyCFgjIse3s0w_4_5"/>
      <w:bookmarkStart w:id="936" w:name="Tc_wTNCWrJVcU2xA3OKa5OrAQ_4_2"/>
      <w:bookmarkStart w:id="937" w:name="Tc_SsFDcXgMTk63umKOX2SYQQ_3_11"/>
      <w:bookmarkStart w:id="938" w:name="Tc_h5qoCVKLzEGqHz0E8vthZg_3_8"/>
      <w:bookmarkStart w:id="939" w:name="Tc_pZcLKQOGe0qnta0iFCLmpg_3_5"/>
      <w:bookmarkStart w:id="940" w:name="Tc_ECm_jYmkAEO2R63knKjtJg_3_2"/>
      <w:bookmarkStart w:id="941" w:name="Tc_gX2zU07iyEu1HsMdkUWkKg_2_11"/>
      <w:bookmarkStart w:id="942" w:name="Tc_ZIYnRuK9REOfuq8oVsoF7g_2_8"/>
      <w:bookmarkStart w:id="943" w:name="Tc__o75UMULVkahhinpaiJjFQ_2_5"/>
      <w:bookmarkStart w:id="944" w:name="Tc_JAyQsZKS7UuI9mPmk2mEtA_1_2"/>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r>
        <w:rPr>
          <w:rFonts w:ascii="Times New Roman;Times;serif" w:hAnsi="Times New Roman;Times;serif"/>
          <w:b/>
          <w:sz w:val="20"/>
        </w:rPr>
        <w:t>3. Investments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As of September 30, 2026 the Company had investments of $103,382 classified as available-for-sale securities. </w:t>
      </w:r>
    </w:p>
    <w:p>
      <w:pPr>
        <w:pStyle w:val="TextBody"/>
        <w:bidi w:val="0"/>
        <w:spacing w:before="0" w:after="0"/>
        <w:ind w:left="0" w:right="0" w:hanging="0"/>
        <w:jc w:val="left"/>
      </w:pPr>
      <w:r>
        <w:t>​</w:t>
      </w:r>
    </w:p>
    <w:tbl>
      <w:tblPr>
        <w:tblW w:w="7212" w:type="dxa"/>
        <w:jc w:val="left"/>
        <w:tblInd w:w="0" w:type="dxa"/>
        <w:tblLayout w:type="fixed"/>
        <w:tblCellMar>
          <w:top w:w="0" w:type="dxa"/>
          <w:left w:w="0" w:type="dxa"/>
          <w:bottom w:w="0" w:type="dxa"/>
          <w:right w:w="0" w:type="dxa"/>
        </w:tblCellMar>
      </w:tblPr>
      <w:tblGrid>
        <w:gridCol w:w="1951"/>
        <w:gridCol w:w="346"/>
        <w:gridCol w:w="211"/>
        <w:gridCol w:w="781"/>
        <w:gridCol w:w="346"/>
        <w:gridCol w:w="335"/>
        <w:gridCol w:w="551"/>
        <w:gridCol w:w="346"/>
        <w:gridCol w:w="211"/>
        <w:gridCol w:w="691"/>
        <w:gridCol w:w="346"/>
        <w:gridCol w:w="211"/>
        <w:gridCol w:w="886"/>
      </w:tblGrid>
      <w:t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238885" cy="175260"/>
                      <wp:effectExtent l="0" t="0" r="0" b="0"/>
                      <wp:wrapNone/>
                      <wp:docPr id="84" name="Frame84"/>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95935" cy="175260"/>
                      <wp:effectExtent l="0" t="0" r="0" b="0"/>
                      <wp:wrapNone/>
                      <wp:docPr id="87" name="Frame8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2725" cy="175260"/>
                      <wp:effectExtent l="0" t="0" r="0" b="0"/>
                      <wp:wrapNone/>
                      <wp:docPr id="89" name="Frame89"/>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349885" cy="175260"/>
                      <wp:effectExtent l="0" t="0" r="0" b="0"/>
                      <wp:wrapNone/>
                      <wp:docPr id="90" name="Frame90"/>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38785" cy="175260"/>
                      <wp:effectExtent l="0" t="0" r="0" b="0"/>
                      <wp:wrapNone/>
                      <wp:docPr id="93" name="Frame9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62610" cy="175260"/>
                      <wp:effectExtent l="0" t="0" r="0" b="0"/>
                      <wp:wrapNone/>
                      <wp:docPr id="96" name="Frame9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95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491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2026</w:t>
            </w:r>
          </w:p>
        </w:tc>
      </w:tr>
      <w:tr>
        <w:tc>
          <w:tcPr>
            <w:tcW w:w="195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211" w:type="dxa"/>
            <w:tcBorders/>
            <w:vAlign w:val="center"/>
          </w:tcPr>
          <w:p>
            <w:pPr>
              <w:pStyle w:val="TableContents"/>
              <w:bidi w:val="0"/>
              <w:spacing w:before="0" w:after="0"/>
              <w:ind w:left="0" w:right="0" w:hanging="0"/>
              <w:jc w:val="center"/>
            </w:pPr>
            <w:r>
              <w:t>​</w:t>
            </w:r>
          </w:p>
        </w:tc>
        <w:tc>
          <w:tcPr>
            <w:tcW w:w="7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center"/>
            </w:pPr>
            <w: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pPr>
            <w:r>
              <w:t>  ​ ​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pPr>
            <w:r>
              <w:t>  ​ ​ ​</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c>
          <w:tcPr>
            <w:tcW w:w="195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center"/>
            </w:pPr>
            <w: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center"/>
            </w:pPr>
            <w: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center"/>
            </w:pPr>
            <w: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c>
          <w:tcPr>
            <w:tcW w:w="195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center"/>
            </w:pPr>
            <w: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0"/>
              <w:ind w:left="0" w:right="0" w:hanging="0"/>
              <w:jc w:val="center"/>
            </w:pPr>
            <w: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center"/>
            </w:pPr>
            <w: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100,540</w:t>
            </w:r>
          </w:p>
        </w:tc>
        <w:tc>
          <w:tcPr>
            <w:tcW w:w="346" w:type="dxa"/>
            <w:tcBorders/>
            <w:shd w:fill="CCEEFF" w:val="clear"/>
            <w:vAlign w:val="center"/>
          </w:tcPr>
          <w:p>
            <w:pPr>
              <w:pStyle w:val="TableContents"/>
              <w:bidi w:val="0"/>
              <w:spacing w:before="0" w:after="0"/>
              <w:ind w:left="0" w:right="0" w:hanging="0"/>
              <w:jc w:val="left"/>
            </w:pPr>
            <w: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99,561</w:t>
            </w:r>
          </w:p>
        </w:tc>
      </w:tr>
      <w:t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bonds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2,729</w:t>
            </w:r>
          </w:p>
        </w:tc>
        <w:tc>
          <w:tcPr>
            <w:tcW w:w="346" w:type="dxa"/>
            <w:tcBorders/>
            <w:vAlign w:val="center"/>
          </w:tcPr>
          <w:p>
            <w:pPr>
              <w:pStyle w:val="TableContents"/>
              <w:bidi w:val="0"/>
              <w:spacing w:before="0" w:after="0"/>
              <w:ind w:left="0" w:right="0" w:hanging="0"/>
              <w:jc w:val="left"/>
            </w:pPr>
            <w:r>
              <w:t>​</w:t>
            </w:r>
          </w:p>
        </w:tc>
        <w:tc>
          <w:tcPr>
            <w:tcW w:w="335" w:type="dxa"/>
            <w:tcBorders/>
            <w:vAlign w:val="center"/>
          </w:tcPr>
          <w:p>
            <w:pPr>
              <w:pStyle w:val="TableContents"/>
              <w:bidi w:val="0"/>
              <w:spacing w:before="0" w:after="0"/>
              <w:ind w:left="0" w:right="0" w:hanging="0"/>
              <w:jc w:val="left"/>
            </w:pPr>
            <w:r>
              <w:t>​</w:t>
            </w:r>
          </w:p>
        </w:tc>
        <w:tc>
          <w:tcPr>
            <w:tcW w:w="55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2,709</w:t>
            </w:r>
          </w:p>
        </w:tc>
      </w:tr>
      <w:t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bills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346" w:type="dxa"/>
            <w:tcBorders/>
            <w:shd w:fill="CCEEFF" w:val="clear"/>
            <w:vAlign w:val="center"/>
          </w:tcPr>
          <w:p>
            <w:pPr>
              <w:pStyle w:val="TableContents"/>
              <w:bidi w:val="0"/>
              <w:spacing w:before="0" w:after="0"/>
              <w:ind w:left="0" w:right="0" w:hanging="0"/>
              <w:jc w:val="left"/>
            </w:pPr>
            <w:r>
              <w:t>​</w:t>
            </w:r>
          </w:p>
        </w:tc>
        <w:tc>
          <w:tcPr>
            <w:tcW w:w="335" w:type="dxa"/>
            <w:tcBorders/>
            <w:shd w:fill="CCEEFF" w:val="clear"/>
            <w:vAlign w:val="center"/>
          </w:tcPr>
          <w:p>
            <w:pPr>
              <w:pStyle w:val="TableContents"/>
              <w:bidi w:val="0"/>
              <w:spacing w:before="0" w:after="0"/>
              <w:ind w:left="0" w:right="0" w:hanging="0"/>
              <w:jc w:val="left"/>
            </w:pPr>
            <w:r>
              <w:t>​</w:t>
            </w:r>
          </w:p>
        </w:tc>
        <w:tc>
          <w:tcPr>
            <w:tcW w:w="55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9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r>
      <w:t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Agency bonds</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w:t>
            </w:r>
          </w:p>
        </w:tc>
        <w:tc>
          <w:tcPr>
            <w:tcW w:w="346" w:type="dxa"/>
            <w:tcBorders/>
            <w:vAlign w:val="center"/>
          </w:tcPr>
          <w:p>
            <w:pPr>
              <w:pStyle w:val="TableContents"/>
              <w:bidi w:val="0"/>
              <w:spacing w:before="0" w:after="0"/>
              <w:ind w:left="0" w:right="0" w:hanging="0"/>
              <w:jc w:val="left"/>
            </w:pPr>
            <w: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w:t>
            </w:r>
          </w:p>
        </w:tc>
      </w:tr>
      <w:t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investments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104,384</w:t>
            </w:r>
          </w:p>
        </w:tc>
        <w:tc>
          <w:tcPr>
            <w:tcW w:w="346" w:type="dxa"/>
            <w:tcBorders/>
            <w:shd w:fill="CCEEFF" w:val="clear"/>
            <w:vAlign w:val="center"/>
          </w:tcPr>
          <w:p>
            <w:pPr>
              <w:pStyle w:val="TableContents"/>
              <w:bidi w:val="0"/>
              <w:spacing w:before="0" w:after="0"/>
              <w:ind w:left="0" w:right="0" w:hanging="0"/>
              <w:jc w:val="left"/>
            </w:pPr>
            <w: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103,382</w:t>
            </w:r>
          </w:p>
        </w:tc>
      </w:tr>
    </w:tbl>
    <w:p>
      <w:pPr>
        <w:pStyle w:val="TextBody"/>
        <w:bidi w:val="0"/>
        <w:spacing w:before="0" w:after="0"/>
        <w:ind w:left="0" w:right="0" w:hanging="0"/>
        <w:jc w:val="left"/>
      </w:pPr>
      <w:r>
        <w:t>​</w:t>
      </w:r>
    </w:p>
    <w:p>
      <w:pPr>
        <w:pStyle w:val="TextBody"/>
        <w:bidi w:val="0"/>
        <w:spacing w:before="120" w:after="0"/>
        <w:ind w:left="0" w:right="0" w:firstLine="720"/>
        <w:jc w:val="left"/>
        <w:rPr>
          <w:rFonts w:ascii="Times New Roman;Times;serif" w:hAnsi="Times New Roman;Times;serif"/>
          <w:sz w:val="20"/>
        </w:rPr>
      </w:pPr>
      <w:r>
        <w:rPr>
          <w:rFonts w:ascii="Times New Roman;Times;serif" w:hAnsi="Times New Roman;Times;serif"/>
          <w:sz w:val="20"/>
        </w:rPr>
        <w:t xml:space="preserve">For the nine months ended September 30, 2026 and 2025, the net unrealized gains and (losses) were ($1,274) and $551, respectively, net of taxes. Available-for-sale securities are carried at fair value on the consolidated balance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bookmarkStart w:id="945" w:name="Tc_xZUwaiQ-fEC5k1oxJTuM3w_6_2"/>
      <w:bookmarkStart w:id="946" w:name="Tc_AO9ac9NQf0SFaiXf7KN91w_5_0"/>
      <w:bookmarkStart w:id="947" w:name="Tc_DnADZ5bht0iTWDRBPNc2uQ_4_0"/>
      <w:bookmarkStart w:id="948" w:name="Tc_fWX3eofnH0qpPa2KTjingA_3_0"/>
      <w:bookmarkStart w:id="949" w:name="Tc_LYceYzu4xkS4zIm76nc_9g_2_2"/>
      <w:bookmarkStart w:id="950" w:name="Tc_-ampZgO4yUypI8VA5Simrw_2_0"/>
      <w:bookmarkStart w:id="951" w:name="Tc_s8LNnPSIq0WG49h943YzKw_1_0"/>
      <w:bookmarkEnd w:id="945"/>
      <w:bookmarkEnd w:id="946"/>
      <w:bookmarkEnd w:id="947"/>
      <w:bookmarkEnd w:id="948"/>
      <w:bookmarkEnd w:id="949"/>
      <w:bookmarkEnd w:id="950"/>
      <w:bookmarkEnd w:id="951"/>
      <w:r>
        <w:rPr>
          <w:rFonts w:ascii="Times New Roman;Times;serif" w:hAnsi="Times New Roman;Times;serif"/>
          <w:sz w:val="20"/>
        </w:rPr>
        <w:t>sheets. The Company estimates the lifetime expected credit losses for all available-for-sale debt securities in an unrealized loss position. If our assessment indicates that an expected credit loss exists, we determine the portion of the unrealized loss attributable to credit deterioration and record a reserve for the expected credit loss in the allowance for credit losses in technology and academic services in our consolidated income statements. Based on the nature of securities there is no allowance recorded for available-for-sale debt securities.</w:t>
      </w:r>
    </w:p>
    <w:p>
      <w:pPr>
        <w:pStyle w:val="TextBody"/>
        <w:bidi w:val="0"/>
        <w:spacing w:before="0" w:after="0"/>
        <w:ind w:left="0" w:right="0" w:hanging="0"/>
        <w:jc w:val="left"/>
      </w:pPr>
      <w:r>
        <w:t>​</w:t>
      </w:r>
    </w:p>
    <w:tbl>
      <w:tblPr>
        <w:tblW w:w="5972" w:type="dxa"/>
        <w:jc w:val="left"/>
        <w:tblInd w:w="0" w:type="dxa"/>
        <w:tblLayout w:type="fixed"/>
        <w:tblCellMar>
          <w:top w:w="0" w:type="dxa"/>
          <w:left w:w="0" w:type="dxa"/>
          <w:bottom w:w="0" w:type="dxa"/>
          <w:right w:w="0" w:type="dxa"/>
        </w:tblCellMar>
      </w:tblPr>
      <w:tblGrid>
        <w:gridCol w:w="4756"/>
        <w:gridCol w:w="109"/>
        <w:gridCol w:w="211"/>
        <w:gridCol w:w="896"/>
      </w:tblGrid>
      <w:tr>
        <w:tc>
          <w:tcPr>
            <w:tcW w:w="4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020060" cy="175260"/>
                      <wp:effectExtent l="0" t="0" r="0" b="0"/>
                      <wp:wrapNone/>
                      <wp:docPr id="97" name="Frame97"/>
                      <a:graphic xmlns:a="http://schemas.openxmlformats.org/drawingml/2006/main">
                        <a:graphicData uri="http://schemas.microsoft.com/office/word/2010/wordprocessingShape">
                          <wps:wsp>
                            <wps:cNvSpPr txBox="1"/>
                            <wps:spPr>
                              <a:xfrm>
                                <a:off x="0" y="0"/>
                                <a:ext cx="30200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98"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68960" cy="175260"/>
                      <wp:effectExtent l="0" t="0" r="0" b="0"/>
                      <wp:wrapNone/>
                      <wp:docPr id="100" name="Frame100"/>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securities maturing as of December 31:</w:t>
            </w:r>
          </w:p>
        </w:tc>
        <w:tc>
          <w:tcPr>
            <w:tcW w:w="109"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896" w:type="dxa"/>
            <w:tcBorders/>
            <w:shd w:fill="CCEEFF" w:val="clear"/>
            <w:vAlign w:val="center"/>
          </w:tcPr>
          <w:p>
            <w:pPr>
              <w:pStyle w:val="TableContents"/>
              <w:bidi w:val="0"/>
              <w:spacing w:before="0" w:after="1"/>
              <w:ind w:left="0" w:right="0" w:hanging="0"/>
              <w:jc w:val="right"/>
            </w:pPr>
            <w:r>
              <w:t>​</w:t>
            </w:r>
          </w:p>
        </w:tc>
      </w:tr>
      <w:t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3,843</w:t>
            </w:r>
          </w:p>
        </w:tc>
      </w:tr>
      <w:t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39,999</w:t>
            </w:r>
          </w:p>
        </w:tc>
      </w:tr>
      <w:t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37,926</w:t>
            </w:r>
          </w:p>
        </w:tc>
      </w:tr>
      <w:t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21,614</w:t>
            </w:r>
          </w:p>
        </w:tc>
      </w:tr>
      <w:tr>
        <w:tc>
          <w:tcPr>
            <w:tcW w:w="4756" w:type="dxa"/>
            <w:tcBorders/>
            <w:vAlign w:val="center"/>
          </w:tcPr>
          <w:p>
            <w:pPr>
              <w:pStyle w:val="TableContents"/>
              <w:bidi w:val="0"/>
              <w:spacing w:before="0" w:after="120"/>
              <w:ind w:left="0" w:right="0" w:hanging="0"/>
              <w:jc w:val="left"/>
            </w:pPr>
            <w:r>
              <w:t>​</w:t>
            </w:r>
          </w:p>
        </w:tc>
        <w:tc>
          <w:tcPr>
            <w:tcW w:w="109"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103,382</w:t>
            </w:r>
          </w:p>
        </w:tc>
      </w:tr>
    </w:tbl>
    <w:p>
      <w:pPr>
        <w:pStyle w:val="TextBody"/>
        <w:bidi w:val="0"/>
        <w:spacing w:before="0" w:after="240"/>
        <w:ind w:left="0" w:right="0" w:firstLine="720"/>
        <w:jc w:val="left"/>
      </w:pPr>
      <w:r>
        <w:t>​</w:t>
      </w:r>
    </w:p>
    <w:p>
      <w:pPr>
        <w:pStyle w:val="TextBody"/>
        <w:bidi w:val="0"/>
        <w:spacing w:before="0" w:after="120"/>
        <w:ind w:left="0" w:right="0" w:hanging="0"/>
        <w:jc w:val="left"/>
        <w:rPr>
          <w:rFonts w:ascii="Times New Roman;Times;serif" w:hAnsi="Times New Roman;Times;serif"/>
          <w:b/>
          <w:sz w:val="20"/>
        </w:rPr>
      </w:pPr>
      <w:bookmarkStart w:id="952" w:name="Tc_Ryc1T5fzwECBry0MeZBKog_7_0"/>
      <w:bookmarkStart w:id="953" w:name="Tc_hciZqxEW4U-opq3kcHZV6Q_6_0"/>
      <w:bookmarkStart w:id="954" w:name="Tc_Qo94WiR9IkqZehyTeTOx9A_5_0"/>
      <w:bookmarkStart w:id="955" w:name="Tc_V-yqiLzoT0aXaxzdTzalYg_4_0"/>
      <w:bookmarkStart w:id="956" w:name="Tc_fF8gRbfWoki7yWPexR8JRg_3_8"/>
      <w:bookmarkStart w:id="957" w:name="Tc_6JHKmbheTE2kF9Dvhybk8A_3_6"/>
      <w:bookmarkStart w:id="958" w:name="Tc__VicJOv8R0SWoMj1baCd4Q_3_4"/>
      <w:bookmarkStart w:id="959" w:name="Tc_n_FFwYRL5E-Q6IW7INFJ_w_3_2"/>
      <w:bookmarkStart w:id="960" w:name="Tc_4wJ4n54s206EOZJbJQjATA_2_6"/>
      <w:bookmarkStart w:id="961" w:name="Tc_2H6sJxsvX0W3HTiOW21TXQ_2_2"/>
      <w:bookmarkStart w:id="962" w:name="Tc_ylyc7F4d4U66knfUXBAThQ_1_6"/>
      <w:bookmarkStart w:id="963" w:name="Tc_E3rVDCDH202grWEYa3gecA_1_2"/>
      <w:bookmarkEnd w:id="952"/>
      <w:bookmarkEnd w:id="953"/>
      <w:bookmarkEnd w:id="954"/>
      <w:bookmarkEnd w:id="955"/>
      <w:bookmarkEnd w:id="956"/>
      <w:bookmarkEnd w:id="957"/>
      <w:bookmarkEnd w:id="958"/>
      <w:bookmarkEnd w:id="959"/>
      <w:bookmarkEnd w:id="960"/>
      <w:bookmarkEnd w:id="961"/>
      <w:bookmarkEnd w:id="962"/>
      <w:bookmarkEnd w:id="963"/>
      <w:r>
        <w:rPr>
          <w:rFonts w:ascii="Times New Roman;Times;serif" w:hAnsi="Times New Roman;Times;serif"/>
          <w:b/>
          <w:sz w:val="20"/>
        </w:rPr>
        <w:t xml:space="preserve">4. Net Income Per Common Share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pStyle w:val="TextBody"/>
        <w:bidi w:val="0"/>
        <w:spacing w:before="0" w:after="0"/>
        <w:ind w:left="0" w:right="0" w:hanging="0"/>
        <w:jc w:val="left"/>
      </w:pPr>
      <w:r>
        <w:t>​</w:t>
      </w:r>
    </w:p>
    <w:tbl>
      <w:tblPr>
        <w:tblW w:w="8264" w:type="dxa"/>
        <w:jc w:val="left"/>
        <w:tblInd w:w="0" w:type="dxa"/>
        <w:tblLayout w:type="fixed"/>
        <w:tblCellMar>
          <w:top w:w="0" w:type="dxa"/>
          <w:left w:w="0" w:type="dxa"/>
          <w:bottom w:w="0" w:type="dxa"/>
          <w:right w:w="0" w:type="dxa"/>
        </w:tblCellMar>
      </w:tblPr>
      <w:tblGrid>
        <w:gridCol w:w="4261"/>
        <w:gridCol w:w="146"/>
        <w:gridCol w:w="676"/>
        <w:gridCol w:w="346"/>
        <w:gridCol w:w="676"/>
        <w:gridCol w:w="346"/>
        <w:gridCol w:w="676"/>
        <w:gridCol w:w="346"/>
        <w:gridCol w:w="791"/>
      </w:tblGrid>
      <w:t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705735" cy="175260"/>
                      <wp:effectExtent l="0" t="0" r="0" b="0"/>
                      <wp:wrapNone/>
                      <wp:docPr id="101" name="Frame101"/>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92710" cy="175260"/>
                      <wp:effectExtent l="0" t="0" r="0" b="0"/>
                      <wp:wrapNone/>
                      <wp:docPr id="102" name="Frame10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29260" cy="175260"/>
                      <wp:effectExtent l="0" t="0" r="0" b="0"/>
                      <wp:wrapNone/>
                      <wp:docPr id="103" name="Frame1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29260" cy="175260"/>
                      <wp:effectExtent l="0" t="0" r="0" b="0"/>
                      <wp:wrapNone/>
                      <wp:docPr id="105" name="Frame10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29260" cy="175260"/>
                      <wp:effectExtent l="0" t="0" r="0" b="0"/>
                      <wp:wrapNone/>
                      <wp:docPr id="107" name="Frame10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02285" cy="175260"/>
                      <wp:effectExtent l="0" t="0" r="0" b="0"/>
                      <wp:wrapNone/>
                      <wp:docPr id="109" name="Frame109"/>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4261" w:type="dxa"/>
            <w:tcBorders/>
            <w:vAlign w:val="center"/>
          </w:tcPr>
          <w:p>
            <w:pPr>
              <w:pStyle w:val="TableContents"/>
              <w:bidi w:val="0"/>
              <w:spacing w:before="0" w:after="1"/>
              <w:ind w:left="0" w:right="0" w:hanging="0"/>
              <w:jc w:val="left"/>
            </w:pPr>
            <w:r>
              <w:t>​</w:t>
            </w:r>
          </w:p>
        </w:tc>
        <w:tc>
          <w:tcPr>
            <w:tcW w:w="146" w:type="dxa"/>
            <w:tcBorders/>
            <w:vAlign w:val="center"/>
          </w:tcPr>
          <w:p>
            <w:pPr>
              <w:pStyle w:val="TableContents"/>
              <w:bidi w:val="0"/>
              <w:spacing w:before="0" w:after="1"/>
              <w:ind w:left="0" w:right="0" w:hanging="0"/>
              <w:jc w:val="left"/>
            </w:pPr>
            <w:r>
              <w:t>​</w:t>
            </w:r>
          </w:p>
        </w:tc>
        <w:tc>
          <w:tcPr>
            <w:tcW w:w="169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center"/>
            </w:pPr>
            <w:r>
              <w:t>​</w:t>
            </w:r>
          </w:p>
        </w:tc>
        <w:tc>
          <w:tcPr>
            <w:tcW w:w="181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c>
          <w:tcPr>
            <w:tcW w:w="4261" w:type="dxa"/>
            <w:tcBorders/>
            <w:vAlign w:val="center"/>
          </w:tcPr>
          <w:p>
            <w:pPr>
              <w:pStyle w:val="TableContents"/>
              <w:bidi w:val="0"/>
              <w:spacing w:before="0" w:after="1"/>
              <w:ind w:left="0" w:right="0" w:hanging="0"/>
              <w:jc w:val="left"/>
            </w:pPr>
            <w:r>
              <w:t>​</w:t>
            </w:r>
          </w:p>
        </w:tc>
        <w:tc>
          <w:tcPr>
            <w:tcW w:w="146" w:type="dxa"/>
            <w:tcBorders/>
            <w:vAlign w:val="center"/>
          </w:tcPr>
          <w:p>
            <w:pPr>
              <w:pStyle w:val="TableContents"/>
              <w:bidi w:val="0"/>
              <w:spacing w:before="0" w:after="1"/>
              <w:ind w:left="0" w:right="0" w:hanging="0"/>
              <w:jc w:val="left"/>
            </w:pPr>
            <w:r>
              <w:t>​</w:t>
            </w:r>
          </w:p>
        </w:tc>
        <w:tc>
          <w:tcPr>
            <w:tcW w:w="169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before="0" w:after="1"/>
              <w:ind w:left="0" w:right="0" w:hanging="0"/>
              <w:jc w:val="center"/>
            </w:pPr>
            <w:r>
              <w:t>​</w:t>
            </w:r>
          </w:p>
        </w:tc>
        <w:tc>
          <w:tcPr>
            <w:tcW w:w="181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c>
          <w:tcPr>
            <w:tcW w:w="4261" w:type="dxa"/>
            <w:tcBorders/>
            <w:vAlign w:val="center"/>
          </w:tcPr>
          <w:p>
            <w:pPr>
              <w:pStyle w:val="TableContents"/>
              <w:bidi w:val="0"/>
              <w:spacing w:before="0" w:after="1"/>
              <w:ind w:left="0" w:right="0" w:hanging="0"/>
              <w:jc w:val="left"/>
            </w:pPr>
            <w:r>
              <w:t>​</w:t>
            </w:r>
          </w:p>
        </w:tc>
        <w:tc>
          <w:tcPr>
            <w:tcW w:w="146" w:type="dxa"/>
            <w:tcBorders/>
            <w:vAlign w:val="center"/>
          </w:tcPr>
          <w:p>
            <w:pPr>
              <w:pStyle w:val="TableContents"/>
              <w:bidi w:val="0"/>
              <w:spacing w:before="0" w:after="1"/>
              <w:ind w:left="0" w:right="0" w:hanging="0"/>
              <w:jc w:val="left"/>
            </w:pPr>
            <w: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pPr>
            <w: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pPr>
            <w: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pPr>
            <w:r>
              <w:t>  ​ ​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146" w:type="dxa"/>
            <w:tcBorders/>
            <w:vAlign w:val="center"/>
          </w:tcPr>
          <w:p>
            <w:pPr>
              <w:pStyle w:val="TableContents"/>
              <w:bidi w:val="0"/>
              <w:spacing w:before="0" w:after="1"/>
              <w:ind w:left="0" w:right="0" w:hanging="0"/>
              <w:jc w:val="left"/>
            </w:pPr>
            <w:r>
              <w:t> </w:t>
            </w:r>
          </w:p>
        </w:tc>
        <w:tc>
          <w:tcPr>
            <w:tcW w:w="676" w:type="dxa"/>
            <w:tcBorders/>
            <w:vAlign w:val="center"/>
          </w:tcPr>
          <w:p>
            <w:pPr>
              <w:pStyle w:val="TableContents"/>
              <w:bidi w:val="0"/>
              <w:spacing w:before="0" w:after="1"/>
              <w:ind w:left="0" w:right="0" w:hanging="0"/>
              <w:jc w:val="right"/>
            </w:pPr>
            <w:r>
              <w:t>  ​</w:t>
            </w:r>
          </w:p>
        </w:tc>
        <w:tc>
          <w:tcPr>
            <w:tcW w:w="346" w:type="dxa"/>
            <w:tcBorders/>
            <w:vAlign w:val="center"/>
          </w:tcPr>
          <w:p>
            <w:pPr>
              <w:pStyle w:val="TableContents"/>
              <w:bidi w:val="0"/>
              <w:spacing w:before="0" w:after="1"/>
              <w:ind w:left="0" w:right="0" w:hanging="0"/>
              <w:jc w:val="left"/>
            </w:pPr>
            <w:r>
              <w:t> </w:t>
            </w:r>
          </w:p>
        </w:tc>
        <w:tc>
          <w:tcPr>
            <w:tcW w:w="676" w:type="dxa"/>
            <w:tcBorders/>
            <w:vAlign w:val="center"/>
          </w:tcPr>
          <w:p>
            <w:pPr>
              <w:pStyle w:val="TableContents"/>
              <w:bidi w:val="0"/>
              <w:spacing w:before="0" w:after="1"/>
              <w:ind w:left="0" w:right="0" w:hanging="0"/>
              <w:jc w:val="right"/>
            </w:pPr>
            <w:r>
              <w:t>  ​</w:t>
            </w:r>
          </w:p>
        </w:tc>
        <w:tc>
          <w:tcPr>
            <w:tcW w:w="346" w:type="dxa"/>
            <w:tcBorders/>
            <w:vAlign w:val="center"/>
          </w:tcPr>
          <w:p>
            <w:pPr>
              <w:pStyle w:val="TableContents"/>
              <w:bidi w:val="0"/>
              <w:spacing w:before="0" w:after="1"/>
              <w:ind w:left="0" w:right="0" w:hanging="0"/>
              <w:jc w:val="left"/>
            </w:pPr>
            <w:r>
              <w:t> </w:t>
            </w:r>
          </w:p>
        </w:tc>
        <w:tc>
          <w:tcPr>
            <w:tcW w:w="676" w:type="dxa"/>
            <w:tcBorders/>
            <w:vAlign w:val="center"/>
          </w:tcPr>
          <w:p>
            <w:pPr>
              <w:pStyle w:val="TableContents"/>
              <w:bidi w:val="0"/>
              <w:spacing w:before="0" w:after="1"/>
              <w:ind w:left="0" w:right="0" w:hanging="0"/>
              <w:jc w:val="right"/>
            </w:pPr>
            <w:r>
              <w:t>  ​</w:t>
            </w:r>
          </w:p>
        </w:tc>
        <w:tc>
          <w:tcPr>
            <w:tcW w:w="346" w:type="dxa"/>
            <w:tcBorders/>
            <w:vAlign w:val="center"/>
          </w:tcPr>
          <w:p>
            <w:pPr>
              <w:pStyle w:val="TableContents"/>
              <w:bidi w:val="0"/>
              <w:spacing w:before="0" w:after="1"/>
              <w:ind w:left="0" w:right="0" w:hanging="0"/>
              <w:jc w:val="left"/>
            </w:pPr>
            <w:r>
              <w:t> </w:t>
            </w:r>
          </w:p>
        </w:tc>
        <w:tc>
          <w:tcPr>
            <w:tcW w:w="791" w:type="dxa"/>
            <w:tcBorders/>
            <w:vAlign w:val="center"/>
          </w:tcPr>
          <w:p>
            <w:pPr>
              <w:pStyle w:val="TableContents"/>
              <w:bidi w:val="0"/>
              <w:spacing w:before="0" w:after="1"/>
              <w:ind w:left="0" w:right="0" w:hanging="0"/>
              <w:jc w:val="right"/>
            </w:pPr>
            <w:r>
              <w:t>  ​</w:t>
            </w:r>
          </w:p>
        </w:tc>
      </w:tr>
      <w:t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weighted average shares outstanding</w:t>
            </w:r>
          </w:p>
        </w:tc>
        <w:tc>
          <w:tcPr>
            <w:tcW w:w="146" w:type="dxa"/>
            <w:tcBorders/>
            <w:shd w:fill="CCEEFF" w:val="clear"/>
            <w:vAlign w:val="center"/>
          </w:tcPr>
          <w:p>
            <w:pPr>
              <w:pStyle w:val="TableContents"/>
              <w:bidi w:val="0"/>
              <w:spacing w:before="0" w:after="1"/>
              <w:ind w:left="0" w:right="0" w:hanging="0"/>
              <w:jc w:val="left"/>
            </w:pPr>
            <w: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25,698</w:t>
            </w:r>
          </w:p>
        </w:tc>
        <w:tc>
          <w:tcPr>
            <w:tcW w:w="346" w:type="dxa"/>
            <w:tcBorders/>
            <w:shd w:fill="CCEEFF" w:val="clear"/>
            <w:vAlign w:val="center"/>
          </w:tcPr>
          <w:p>
            <w:pPr>
              <w:pStyle w:val="TableContents"/>
              <w:bidi w:val="0"/>
              <w:spacing w:before="0" w:after="1"/>
              <w:ind w:left="0" w:right="0" w:hanging="0"/>
              <w:jc w:val="left"/>
            </w:pPr>
            <w: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27,740</w:t>
            </w:r>
          </w:p>
        </w:tc>
        <w:tc>
          <w:tcPr>
            <w:tcW w:w="346" w:type="dxa"/>
            <w:tcBorders/>
            <w:shd w:fill="CCEEFF" w:val="clear"/>
            <w:vAlign w:val="center"/>
          </w:tcPr>
          <w:p>
            <w:pPr>
              <w:pStyle w:val="TableContents"/>
              <w:bidi w:val="0"/>
              <w:spacing w:before="0" w:after="1"/>
              <w:ind w:left="0" w:right="0" w:hanging="0"/>
              <w:jc w:val="left"/>
            </w:pPr>
            <w: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26,197</w:t>
            </w:r>
          </w:p>
        </w:tc>
        <w:tc>
          <w:tcPr>
            <w:tcW w:w="346" w:type="dxa"/>
            <w:tcBorders/>
            <w:shd w:fill="CCEEFF" w:val="clear"/>
            <w:vAlign w:val="center"/>
          </w:tcPr>
          <w:p>
            <w:pPr>
              <w:pStyle w:val="TableContents"/>
              <w:bidi w:val="0"/>
              <w:spacing w:before="0" w:after="1"/>
              <w:ind w:left="0" w:right="0" w:hanging="0"/>
              <w:jc w:val="left"/>
            </w:pPr>
            <w: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28,002</w:t>
            </w:r>
          </w:p>
        </w:tc>
      </w:tr>
      <w:t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dilutive stock options and restricted stock</w:t>
            </w:r>
          </w:p>
        </w:tc>
        <w:tc>
          <w:tcPr>
            <w:tcW w:w="146" w:type="dxa"/>
            <w:tcBorders/>
            <w:vAlign w:val="center"/>
          </w:tcPr>
          <w:p>
            <w:pPr>
              <w:pStyle w:val="TableContents"/>
              <w:bidi w:val="0"/>
              <w:spacing w:before="0" w:after="1"/>
              <w:ind w:left="0" w:right="0" w:hanging="0"/>
              <w:jc w:val="left"/>
            </w:pPr>
            <w: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vAlign w:val="center"/>
          </w:tcPr>
          <w:p>
            <w:pPr>
              <w:pStyle w:val="TableContents"/>
              <w:bidi w:val="0"/>
              <w:spacing w:before="0" w:after="1"/>
              <w:ind w:left="0" w:right="0" w:hanging="0"/>
              <w:jc w:val="left"/>
            </w:pPr>
            <w: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346" w:type="dxa"/>
            <w:tcBorders/>
            <w:vAlign w:val="center"/>
          </w:tcPr>
          <w:p>
            <w:pPr>
              <w:pStyle w:val="TableContents"/>
              <w:bidi w:val="0"/>
              <w:spacing w:before="0" w:after="1"/>
              <w:ind w:left="0" w:right="0" w:hanging="0"/>
              <w:jc w:val="left"/>
            </w:pPr>
            <w: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vAlign w:val="center"/>
          </w:tcPr>
          <w:p>
            <w:pPr>
              <w:pStyle w:val="TableContents"/>
              <w:bidi w:val="0"/>
              <w:spacing w:before="0" w:after="1"/>
              <w:ind w:left="0" w:right="0" w:hanging="0"/>
              <w:jc w:val="left"/>
            </w:pPr>
            <w: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r>
      <w:t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weighted average shares outstanding</w:t>
            </w:r>
          </w:p>
        </w:tc>
        <w:tc>
          <w:tcPr>
            <w:tcW w:w="146" w:type="dxa"/>
            <w:tcBorders/>
            <w:shd w:fill="CCEEFF" w:val="clear"/>
            <w:vAlign w:val="center"/>
          </w:tcPr>
          <w:p>
            <w:pPr>
              <w:pStyle w:val="TableContents"/>
              <w:bidi w:val="0"/>
              <w:spacing w:before="0" w:after="1"/>
              <w:ind w:left="0" w:right="0" w:hanging="0"/>
              <w:jc w:val="left"/>
            </w:pPr>
            <w: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25,771</w:t>
            </w:r>
          </w:p>
        </w:tc>
        <w:tc>
          <w:tcPr>
            <w:tcW w:w="346" w:type="dxa"/>
            <w:tcBorders/>
            <w:shd w:fill="CCEEFF" w:val="clear"/>
            <w:vAlign w:val="center"/>
          </w:tcPr>
          <w:p>
            <w:pPr>
              <w:pStyle w:val="TableContents"/>
              <w:bidi w:val="0"/>
              <w:spacing w:before="0" w:after="1"/>
              <w:ind w:left="0" w:right="0" w:hanging="0"/>
              <w:jc w:val="left"/>
            </w:pPr>
            <w: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27,897</w:t>
            </w:r>
          </w:p>
        </w:tc>
        <w:tc>
          <w:tcPr>
            <w:tcW w:w="346" w:type="dxa"/>
            <w:tcBorders/>
            <w:shd w:fill="CCEEFF" w:val="clear"/>
            <w:vAlign w:val="center"/>
          </w:tcPr>
          <w:p>
            <w:pPr>
              <w:pStyle w:val="TableContents"/>
              <w:bidi w:val="0"/>
              <w:spacing w:before="0" w:after="1"/>
              <w:ind w:left="0" w:right="0" w:hanging="0"/>
              <w:jc w:val="left"/>
            </w:pPr>
            <w: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26,283</w:t>
            </w:r>
          </w:p>
        </w:tc>
        <w:tc>
          <w:tcPr>
            <w:tcW w:w="346" w:type="dxa"/>
            <w:tcBorders/>
            <w:shd w:fill="CCEEFF" w:val="clear"/>
            <w:vAlign w:val="center"/>
          </w:tcPr>
          <w:p>
            <w:pPr>
              <w:pStyle w:val="TableContents"/>
              <w:bidi w:val="0"/>
              <w:spacing w:before="0" w:after="1"/>
              <w:ind w:left="0" w:right="0" w:hanging="0"/>
              <w:jc w:val="left"/>
            </w:pPr>
            <w:r>
              <w:t> </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28,165</w:t>
            </w:r>
          </w:p>
        </w:tc>
      </w:tr>
    </w:tbl>
    <w:p>
      <w:pPr>
        <w:pStyle w:val="TextBody"/>
        <w:bidi w:val="0"/>
        <w:spacing w:before="0" w:after="0"/>
        <w:ind w:left="0" w:right="0" w:hanging="0"/>
        <w:jc w:val="left"/>
      </w:pPr>
      <w:r>
        <w:t>​</w:t>
      </w:r>
    </w:p>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Diluted weighted average shares outstanding excludes the incremental effect of unvested restricted stock in accordance with the treasury stock method. For the three-month periods ended September 30, 2026 and 2025, approximately 116 and nil, respectively, and for the nine-month periods ended September 30, 2026 and 2025, approximately 341 and 60, respectively, of the Company’s restricted stock awards outstanding were excluded from the calculation of diluted earnings per share as their inclusion would have been anti-dilutive. These restricted stock awards could be dilutive in the future.</w:t>
      </w:r>
    </w:p>
    <w:p>
      <w:pPr>
        <w:pStyle w:val="TextBody"/>
        <w:bidi w:val="0"/>
        <w:spacing w:before="0" w:after="0"/>
        <w:ind w:left="0" w:right="0" w:hanging="0"/>
        <w:jc w:val="left"/>
      </w:pPr>
      <w:r>
        <w:t>​</w:t>
      </w:r>
    </w:p>
    <w:p>
      <w:pPr>
        <w:pStyle w:val="TextBody"/>
        <w:bidi w:val="0"/>
        <w:spacing w:before="0" w:after="120"/>
        <w:ind w:left="0" w:right="0" w:hanging="0"/>
        <w:jc w:val="left"/>
        <w:rPr>
          <w:rFonts w:ascii="Times New Roman;Times;serif" w:hAnsi="Times New Roman;Times;serif"/>
          <w:b/>
          <w:sz w:val="20"/>
        </w:rPr>
      </w:pPr>
      <w:bookmarkStart w:id="964" w:name="Tc_Tc90Pr_xmEatqzE_LhrXaQ_13_5"/>
      <w:bookmarkStart w:id="965" w:name="Tc_gMxx54EB6UaiY3mPx6H4-A_13_2"/>
      <w:bookmarkStart w:id="966" w:name="Tc_qsyhe1xZQUGbTrbeLxeyAA_13_0"/>
      <w:bookmarkStart w:id="967" w:name="Tc_2ytqapjTfE2FF_ErsnUsPQ_12_0"/>
      <w:bookmarkStart w:id="968" w:name="Tc_eqO4fMsq2Ea7RSKgJLpDyA_10_0"/>
      <w:bookmarkStart w:id="969" w:name="Tc_Ug6l99rf_U25CVYzqoNM-w_9_0"/>
      <w:bookmarkStart w:id="970" w:name="Tc_VdpgDsNU60KWJeR_QRMDYQ_8_0"/>
      <w:bookmarkStart w:id="971" w:name="Tc_Dczbooq2w0yXt9v78XLfeA_7_0"/>
      <w:bookmarkStart w:id="972" w:name="Tc_YZqAyei-7UqA4zXMyMiSSg_6_0"/>
      <w:bookmarkStart w:id="973" w:name="Tc_s_N9ZT-lLU2s70eEalPFBQ_5_0"/>
      <w:bookmarkStart w:id="974" w:name="Tc_UXrGBVxvM06w9gvFiacIlA_4_0"/>
      <w:bookmarkStart w:id="975" w:name="Tc_T7lPd85DDU2TaqJh_8NUlA_3_5"/>
      <w:bookmarkStart w:id="976" w:name="Tc_yY1xEdcv4U2i9-GOvKSYwQ_3_2"/>
      <w:bookmarkStart w:id="977" w:name="Tc_sN2_zxUwsUGasK2o8je75Q_3_0"/>
      <w:bookmarkStart w:id="978" w:name="Tc_LFVqfGzlKUKZ317j7gHM1g_2_5"/>
      <w:bookmarkStart w:id="979" w:name="Tc_ssa7e0dVpEGXCHB17oqSvw_2_2"/>
      <w:bookmarkStart w:id="980" w:name="Tc_HKslosz_vk-U8Os0r7HJ6Q_1_5"/>
      <w:bookmarkStart w:id="981" w:name="Tc_-L4rqkxsEUmCrXN6dmOnog_1_2"/>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r>
        <w:rPr>
          <w:rFonts w:ascii="Times New Roman;Times;serif" w:hAnsi="Times New Roman;Times;serif"/>
          <w:b/>
          <w:sz w:val="20"/>
        </w:rPr>
        <w:t>5. Property and Equipment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Property and equipment consist of the following:</w:t>
      </w:r>
    </w:p>
    <w:p>
      <w:pPr>
        <w:pStyle w:val="TextBody"/>
        <w:bidi w:val="0"/>
        <w:spacing w:before="0" w:after="0"/>
        <w:ind w:left="0" w:right="0" w:hanging="0"/>
        <w:jc w:val="left"/>
      </w:pPr>
      <w:r>
        <w:t>​</w:t>
      </w:r>
    </w:p>
    <w:tbl>
      <w:tblPr>
        <w:tblW w:w="6913" w:type="dxa"/>
        <w:jc w:val="left"/>
        <w:tblInd w:w="0" w:type="dxa"/>
        <w:tblLayout w:type="fixed"/>
        <w:tblCellMar>
          <w:top w:w="0" w:type="dxa"/>
          <w:left w:w="0" w:type="dxa"/>
          <w:bottom w:w="0" w:type="dxa"/>
          <w:right w:w="0" w:type="dxa"/>
        </w:tblCellMar>
      </w:tblPr>
      <w:tblGrid>
        <w:gridCol w:w="4051"/>
        <w:gridCol w:w="146"/>
        <w:gridCol w:w="225"/>
        <w:gridCol w:w="960"/>
        <w:gridCol w:w="346"/>
        <w:gridCol w:w="216"/>
        <w:gridCol w:w="969"/>
      </w:tblGrid>
      <w:t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572385" cy="175260"/>
                      <wp:effectExtent l="0" t="0" r="0" b="0"/>
                      <wp:wrapNone/>
                      <wp:docPr id="110" name="Frame110"/>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92710" cy="175260"/>
                      <wp:effectExtent l="0" t="0" r="0" b="0"/>
                      <wp:wrapNone/>
                      <wp:docPr id="111" name="Frame11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42875" cy="175260"/>
                      <wp:effectExtent l="0" t="0" r="0" b="0"/>
                      <wp:wrapNone/>
                      <wp:docPr id="112" name="Frame112"/>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09600" cy="175260"/>
                      <wp:effectExtent l="0" t="0" r="0" b="0"/>
                      <wp:wrapNone/>
                      <wp:docPr id="113" name="Frame113"/>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7160" cy="175260"/>
                      <wp:effectExtent l="0" t="0" r="0" b="0"/>
                      <wp:wrapNone/>
                      <wp:docPr id="115" name="Frame115"/>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15315" cy="175260"/>
                      <wp:effectExtent l="0" t="0" r="0" b="0"/>
                      <wp:wrapNone/>
                      <wp:docPr id="116" name="Frame116"/>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4051" w:type="dxa"/>
            <w:tcBorders/>
            <w:vAlign w:val="center"/>
          </w:tcPr>
          <w:p>
            <w:pPr>
              <w:pStyle w:val="TableContents"/>
              <w:bidi w:val="0"/>
              <w:spacing w:before="0" w:after="1"/>
              <w:ind w:left="0" w:right="0" w:hanging="0"/>
              <w:jc w:val="left"/>
            </w:pPr>
            <w:r>
              <w:t>​</w:t>
            </w:r>
          </w:p>
        </w:tc>
        <w:tc>
          <w:tcPr>
            <w:tcW w:w="146" w:type="dxa"/>
            <w:tcBorders/>
            <w:vAlign w:val="center"/>
          </w:tcPr>
          <w:p>
            <w:pPr>
              <w:pStyle w:val="TableContents"/>
              <w:bidi w:val="0"/>
              <w:spacing w:before="0" w:after="1"/>
              <w:ind w:left="0" w:right="0" w:hanging="0"/>
              <w:jc w:val="left"/>
            </w:pPr>
            <w: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before="0" w:after="1"/>
              <w:ind w:left="0" w:right="0" w:hanging="0"/>
              <w:jc w:val="center"/>
            </w:pPr>
            <w: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c>
          <w:tcPr>
            <w:tcW w:w="4051" w:type="dxa"/>
            <w:tcBorders/>
            <w:vAlign w:val="center"/>
          </w:tcPr>
          <w:p>
            <w:pPr>
              <w:pStyle w:val="TableContents"/>
              <w:bidi w:val="0"/>
              <w:spacing w:before="0" w:after="1"/>
              <w:ind w:left="0" w:right="0" w:hanging="0"/>
              <w:jc w:val="left"/>
            </w:pPr>
            <w:r>
              <w:t>​</w:t>
            </w:r>
          </w:p>
        </w:tc>
        <w:tc>
          <w:tcPr>
            <w:tcW w:w="146" w:type="dxa"/>
            <w:tcBorders/>
            <w:vAlign w:val="center"/>
          </w:tcPr>
          <w:p>
            <w:pPr>
              <w:pStyle w:val="TableContents"/>
              <w:bidi w:val="0"/>
              <w:spacing w:before="0" w:after="1"/>
              <w:ind w:left="0" w:right="0" w:hanging="0"/>
              <w:jc w:val="left"/>
            </w:pPr>
            <w: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pPr>
            <w: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146" w:type="dxa"/>
            <w:tcBorders/>
            <w:shd w:fill="CCEEFF" w:val="clear"/>
            <w:vAlign w:val="center"/>
          </w:tcPr>
          <w:p>
            <w:pPr>
              <w:pStyle w:val="TableContents"/>
              <w:bidi w:val="0"/>
              <w:spacing w:before="0" w:after="1"/>
              <w:ind w:left="0" w:right="0" w:hanging="0"/>
              <w:jc w:val="left"/>
            </w:pPr>
            <w: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5,098</w:t>
            </w:r>
          </w:p>
        </w:tc>
        <w:tc>
          <w:tcPr>
            <w:tcW w:w="346" w:type="dxa"/>
            <w:tcBorders/>
            <w:shd w:fill="CCEEFF" w:val="clear"/>
            <w:vAlign w:val="center"/>
          </w:tcPr>
          <w:p>
            <w:pPr>
              <w:pStyle w:val="TableContents"/>
              <w:bidi w:val="0"/>
              <w:spacing w:before="0" w:after="1"/>
              <w:ind w:left="0" w:right="0" w:hanging="0"/>
              <w:jc w:val="left"/>
            </w:pPr>
            <w: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5,098</w:t>
            </w:r>
          </w:p>
        </w:tc>
      </w:tr>
      <w:t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improvements</w:t>
            </w:r>
          </w:p>
        </w:tc>
        <w:tc>
          <w:tcPr>
            <w:tcW w:w="146" w:type="dxa"/>
            <w:tcBorders/>
            <w:vAlign w:val="center"/>
          </w:tcPr>
          <w:p>
            <w:pPr>
              <w:pStyle w:val="TableContents"/>
              <w:bidi w:val="0"/>
              <w:spacing w:before="0" w:after="1"/>
              <w:ind w:left="0" w:right="0" w:hanging="0"/>
              <w:jc w:val="left"/>
            </w:pPr>
            <w:r>
              <w:t>​</w:t>
            </w:r>
          </w:p>
        </w:tc>
        <w:tc>
          <w:tcPr>
            <w:tcW w:w="225" w:type="dxa"/>
            <w:tcBorders/>
            <w:vAlign w:val="center"/>
          </w:tcPr>
          <w:p>
            <w:pPr>
              <w:pStyle w:val="TableContents"/>
              <w:bidi w:val="0"/>
              <w:spacing w:before="0" w:after="1"/>
              <w:ind w:left="0" w:right="0" w:hanging="0"/>
              <w:jc w:val="left"/>
            </w:pPr>
            <w: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2,242</w:t>
            </w:r>
          </w:p>
        </w:tc>
        <w:tc>
          <w:tcPr>
            <w:tcW w:w="346" w:type="dxa"/>
            <w:tcBorders/>
            <w:vAlign w:val="center"/>
          </w:tcPr>
          <w:p>
            <w:pPr>
              <w:pStyle w:val="TableContents"/>
              <w:bidi w:val="0"/>
              <w:spacing w:before="0" w:after="1"/>
              <w:ind w:left="0" w:right="0" w:hanging="0"/>
              <w:jc w:val="left"/>
            </w:pPr>
            <w:r>
              <w:t>​</w:t>
            </w:r>
          </w:p>
        </w:tc>
        <w:tc>
          <w:tcPr>
            <w:tcW w:w="216" w:type="dxa"/>
            <w:tcBorders/>
            <w:vAlign w:val="center"/>
          </w:tcPr>
          <w:p>
            <w:pPr>
              <w:pStyle w:val="TableContents"/>
              <w:bidi w:val="0"/>
              <w:spacing w:before="0" w:after="1"/>
              <w:ind w:left="0" w:right="0" w:hanging="0"/>
              <w:jc w:val="left"/>
            </w:pPr>
            <w: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2,242</w:t>
            </w:r>
          </w:p>
        </w:tc>
      </w:tr>
      <w:t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146" w:type="dxa"/>
            <w:tcBorders/>
            <w:shd w:fill="CCEEFF" w:val="clear"/>
            <w:vAlign w:val="center"/>
          </w:tcPr>
          <w:p>
            <w:pPr>
              <w:pStyle w:val="TableContents"/>
              <w:bidi w:val="0"/>
              <w:spacing w:before="0" w:after="1"/>
              <w:ind w:left="0" w:right="0" w:hanging="0"/>
              <w:jc w:val="left"/>
            </w:pPr>
            <w:r>
              <w:t>​</w:t>
            </w:r>
          </w:p>
        </w:tc>
        <w:tc>
          <w:tcPr>
            <w:tcW w:w="225" w:type="dxa"/>
            <w:tcBorders/>
            <w:shd w:fill="CCEEFF" w:val="clear"/>
            <w:vAlign w:val="center"/>
          </w:tcPr>
          <w:p>
            <w:pPr>
              <w:pStyle w:val="TableContents"/>
              <w:bidi w:val="0"/>
              <w:spacing w:before="0" w:after="1"/>
              <w:ind w:left="0" w:right="0" w:hanging="0"/>
              <w:jc w:val="left"/>
            </w:pPr>
            <w: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51,399</w:t>
            </w:r>
          </w:p>
        </w:tc>
        <w:tc>
          <w:tcPr>
            <w:tcW w:w="346" w:type="dxa"/>
            <w:tcBorders/>
            <w:shd w:fill="CCEEFF" w:val="clear"/>
            <w:vAlign w:val="center"/>
          </w:tcPr>
          <w:p>
            <w:pPr>
              <w:pStyle w:val="TableContents"/>
              <w:bidi w:val="0"/>
              <w:spacing w:before="0" w:after="1"/>
              <w:ind w:left="0" w:right="0" w:hanging="0"/>
              <w:jc w:val="left"/>
            </w:pPr>
            <w:r>
              <w:t>​</w:t>
            </w:r>
          </w:p>
        </w:tc>
        <w:tc>
          <w:tcPr>
            <w:tcW w:w="216" w:type="dxa"/>
            <w:tcBorders/>
            <w:shd w:fill="CCEEFF" w:val="clear"/>
            <w:vAlign w:val="center"/>
          </w:tcPr>
          <w:p>
            <w:pPr>
              <w:pStyle w:val="TableContents"/>
              <w:bidi w:val="0"/>
              <w:spacing w:before="0" w:after="1"/>
              <w:ind w:left="0" w:right="0" w:hanging="0"/>
              <w:jc w:val="left"/>
            </w:pPr>
            <w: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51,399</w:t>
            </w:r>
          </w:p>
        </w:tc>
      </w:tr>
      <w:t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 and leasehold improvements</w:t>
            </w:r>
          </w:p>
        </w:tc>
        <w:tc>
          <w:tcPr>
            <w:tcW w:w="146" w:type="dxa"/>
            <w:tcBorders/>
            <w:vAlign w:val="center"/>
          </w:tcPr>
          <w:p>
            <w:pPr>
              <w:pStyle w:val="TableContents"/>
              <w:bidi w:val="0"/>
              <w:spacing w:before="0" w:after="1"/>
              <w:ind w:left="0" w:right="0" w:hanging="0"/>
              <w:jc w:val="left"/>
            </w:pPr>
            <w:r>
              <w:t>​</w:t>
            </w:r>
          </w:p>
        </w:tc>
        <w:tc>
          <w:tcPr>
            <w:tcW w:w="225" w:type="dxa"/>
            <w:tcBorders/>
            <w:vAlign w:val="center"/>
          </w:tcPr>
          <w:p>
            <w:pPr>
              <w:pStyle w:val="TableContents"/>
              <w:bidi w:val="0"/>
              <w:spacing w:before="0" w:after="1"/>
              <w:ind w:left="0" w:right="0" w:hanging="0"/>
              <w:jc w:val="left"/>
            </w:pPr>
            <w: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41,396</w:t>
            </w:r>
          </w:p>
        </w:tc>
        <w:tc>
          <w:tcPr>
            <w:tcW w:w="346" w:type="dxa"/>
            <w:tcBorders/>
            <w:vAlign w:val="center"/>
          </w:tcPr>
          <w:p>
            <w:pPr>
              <w:pStyle w:val="TableContents"/>
              <w:bidi w:val="0"/>
              <w:spacing w:before="0" w:after="1"/>
              <w:ind w:left="0" w:right="0" w:hanging="0"/>
              <w:jc w:val="left"/>
            </w:pPr>
            <w:r>
              <w:t>​</w:t>
            </w:r>
          </w:p>
        </w:tc>
        <w:tc>
          <w:tcPr>
            <w:tcW w:w="216" w:type="dxa"/>
            <w:tcBorders/>
            <w:vAlign w:val="center"/>
          </w:tcPr>
          <w:p>
            <w:pPr>
              <w:pStyle w:val="TableContents"/>
              <w:bidi w:val="0"/>
              <w:spacing w:before="0" w:after="1"/>
              <w:ind w:left="0" w:right="0" w:hanging="0"/>
              <w:jc w:val="left"/>
            </w:pPr>
            <w: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39,159</w:t>
            </w:r>
          </w:p>
        </w:tc>
      </w:tr>
      <w:t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146" w:type="dxa"/>
            <w:tcBorders/>
            <w:shd w:fill="CCEEFF" w:val="clear"/>
            <w:vAlign w:val="center"/>
          </w:tcPr>
          <w:p>
            <w:pPr>
              <w:pStyle w:val="TableContents"/>
              <w:bidi w:val="0"/>
              <w:spacing w:before="0" w:after="1"/>
              <w:ind w:left="0" w:right="0" w:hanging="0"/>
              <w:jc w:val="left"/>
            </w:pPr>
            <w:r>
              <w:t>​</w:t>
            </w:r>
          </w:p>
        </w:tc>
        <w:tc>
          <w:tcPr>
            <w:tcW w:w="225" w:type="dxa"/>
            <w:tcBorders/>
            <w:shd w:fill="CCEEFF" w:val="clear"/>
            <w:vAlign w:val="center"/>
          </w:tcPr>
          <w:p>
            <w:pPr>
              <w:pStyle w:val="TableContents"/>
              <w:bidi w:val="0"/>
              <w:spacing w:before="0" w:after="1"/>
              <w:ind w:left="0" w:right="0" w:hanging="0"/>
              <w:jc w:val="left"/>
            </w:pPr>
            <w: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146,037</w:t>
            </w:r>
          </w:p>
        </w:tc>
        <w:tc>
          <w:tcPr>
            <w:tcW w:w="346" w:type="dxa"/>
            <w:tcBorders/>
            <w:shd w:fill="CCEEFF" w:val="clear"/>
            <w:vAlign w:val="center"/>
          </w:tcPr>
          <w:p>
            <w:pPr>
              <w:pStyle w:val="TableContents"/>
              <w:bidi w:val="0"/>
              <w:spacing w:before="0" w:after="1"/>
              <w:ind w:left="0" w:right="0" w:hanging="0"/>
              <w:jc w:val="left"/>
            </w:pPr>
            <w:r>
              <w:t>​</w:t>
            </w:r>
          </w:p>
        </w:tc>
        <w:tc>
          <w:tcPr>
            <w:tcW w:w="216" w:type="dxa"/>
            <w:tcBorders/>
            <w:shd w:fill="CCEEFF" w:val="clear"/>
            <w:vAlign w:val="center"/>
          </w:tcPr>
          <w:p>
            <w:pPr>
              <w:pStyle w:val="TableContents"/>
              <w:bidi w:val="0"/>
              <w:spacing w:before="0" w:after="1"/>
              <w:ind w:left="0" w:right="0" w:hanging="0"/>
              <w:jc w:val="left"/>
            </w:pPr>
            <w: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142,412</w:t>
            </w:r>
          </w:p>
        </w:tc>
      </w:tr>
      <w:t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fixtures and equipment</w:t>
            </w:r>
          </w:p>
        </w:tc>
        <w:tc>
          <w:tcPr>
            <w:tcW w:w="146" w:type="dxa"/>
            <w:tcBorders/>
            <w:vAlign w:val="center"/>
          </w:tcPr>
          <w:p>
            <w:pPr>
              <w:pStyle w:val="TableContents"/>
              <w:bidi w:val="0"/>
              <w:spacing w:before="0" w:after="1"/>
              <w:ind w:left="0" w:right="0" w:hanging="0"/>
              <w:jc w:val="left"/>
            </w:pPr>
            <w:r>
              <w:t>​</w:t>
            </w:r>
          </w:p>
        </w:tc>
        <w:tc>
          <w:tcPr>
            <w:tcW w:w="225" w:type="dxa"/>
            <w:tcBorders/>
            <w:vAlign w:val="center"/>
          </w:tcPr>
          <w:p>
            <w:pPr>
              <w:pStyle w:val="TableContents"/>
              <w:bidi w:val="0"/>
              <w:spacing w:before="0" w:after="1"/>
              <w:ind w:left="0" w:right="0" w:hanging="0"/>
              <w:jc w:val="left"/>
            </w:pPr>
            <w: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31,718</w:t>
            </w:r>
          </w:p>
        </w:tc>
        <w:tc>
          <w:tcPr>
            <w:tcW w:w="346" w:type="dxa"/>
            <w:tcBorders/>
            <w:vAlign w:val="center"/>
          </w:tcPr>
          <w:p>
            <w:pPr>
              <w:pStyle w:val="TableContents"/>
              <w:bidi w:val="0"/>
              <w:spacing w:before="0" w:after="1"/>
              <w:ind w:left="0" w:right="0" w:hanging="0"/>
              <w:jc w:val="left"/>
            </w:pPr>
            <w:r>
              <w:t>​</w:t>
            </w:r>
          </w:p>
        </w:tc>
        <w:tc>
          <w:tcPr>
            <w:tcW w:w="216" w:type="dxa"/>
            <w:tcBorders/>
            <w:vAlign w:val="center"/>
          </w:tcPr>
          <w:p>
            <w:pPr>
              <w:pStyle w:val="TableContents"/>
              <w:bidi w:val="0"/>
              <w:spacing w:before="0" w:after="1"/>
              <w:ind w:left="0" w:right="0" w:hanging="0"/>
              <w:jc w:val="left"/>
            </w:pPr>
            <w: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30,639</w:t>
            </w:r>
          </w:p>
        </w:tc>
      </w:tr>
      <w:t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Internally developed software</w:t>
            </w:r>
          </w:p>
        </w:tc>
        <w:tc>
          <w:tcPr>
            <w:tcW w:w="146" w:type="dxa"/>
            <w:tcBorders/>
            <w:shd w:fill="CCEEFF" w:val="clear"/>
            <w:vAlign w:val="center"/>
          </w:tcPr>
          <w:p>
            <w:pPr>
              <w:pStyle w:val="TableContents"/>
              <w:bidi w:val="0"/>
              <w:spacing w:before="0" w:after="1"/>
              <w:ind w:left="0" w:right="0" w:hanging="0"/>
              <w:jc w:val="left"/>
            </w:pPr>
            <w:r>
              <w:t>​</w:t>
            </w:r>
          </w:p>
        </w:tc>
        <w:tc>
          <w:tcPr>
            <w:tcW w:w="225" w:type="dxa"/>
            <w:tcBorders/>
            <w:shd w:fill="CCEEFF" w:val="clear"/>
            <w:vAlign w:val="center"/>
          </w:tcPr>
          <w:p>
            <w:pPr>
              <w:pStyle w:val="TableContents"/>
              <w:bidi w:val="0"/>
              <w:spacing w:before="0" w:after="1"/>
              <w:ind w:left="0" w:right="0" w:hanging="0"/>
              <w:jc w:val="left"/>
            </w:pPr>
            <w: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143,997</w:t>
            </w:r>
          </w:p>
        </w:tc>
        <w:tc>
          <w:tcPr>
            <w:tcW w:w="346" w:type="dxa"/>
            <w:tcBorders/>
            <w:shd w:fill="CCEEFF" w:val="clear"/>
            <w:vAlign w:val="center"/>
          </w:tcPr>
          <w:p>
            <w:pPr>
              <w:pStyle w:val="TableContents"/>
              <w:bidi w:val="0"/>
              <w:spacing w:before="0" w:after="1"/>
              <w:ind w:left="0" w:right="0" w:hanging="0"/>
              <w:jc w:val="left"/>
            </w:pPr>
            <w:r>
              <w:t>​</w:t>
            </w:r>
          </w:p>
        </w:tc>
        <w:tc>
          <w:tcPr>
            <w:tcW w:w="216" w:type="dxa"/>
            <w:tcBorders/>
            <w:shd w:fill="CCEEFF" w:val="clear"/>
            <w:vAlign w:val="center"/>
          </w:tcPr>
          <w:p>
            <w:pPr>
              <w:pStyle w:val="TableContents"/>
              <w:bidi w:val="0"/>
              <w:spacing w:before="0" w:after="1"/>
              <w:ind w:left="0" w:right="0" w:hanging="0"/>
              <w:jc w:val="left"/>
            </w:pPr>
            <w: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125,160</w:t>
            </w:r>
          </w:p>
        </w:tc>
      </w:tr>
      <w:t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146" w:type="dxa"/>
            <w:tcBorders/>
            <w:vAlign w:val="center"/>
          </w:tcPr>
          <w:p>
            <w:pPr>
              <w:pStyle w:val="TableContents"/>
              <w:bidi w:val="0"/>
              <w:spacing w:before="0" w:after="1"/>
              <w:ind w:left="0" w:right="0" w:hanging="0"/>
              <w:jc w:val="left"/>
            </w:pPr>
            <w: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9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7,266</w:t>
            </w:r>
          </w:p>
        </w:tc>
        <w:tc>
          <w:tcPr>
            <w:tcW w:w="346" w:type="dxa"/>
            <w:tcBorders/>
            <w:vAlign w:val="center"/>
          </w:tcPr>
          <w:p>
            <w:pPr>
              <w:pStyle w:val="TableContents"/>
              <w:bidi w:val="0"/>
              <w:spacing w:before="0" w:after="1"/>
              <w:ind w:left="0" w:right="0" w:hanging="0"/>
              <w:jc w:val="left"/>
            </w:pPr>
            <w: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9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4,348</w:t>
            </w:r>
          </w:p>
        </w:tc>
      </w:tr>
      <w:tr>
        <w:tc>
          <w:tcPr>
            <w:tcW w:w="4051" w:type="dxa"/>
            <w:tcBorders/>
            <w:shd w:fill="CCEEFF" w:val="clear"/>
            <w:vAlign w:val="center"/>
          </w:tcPr>
          <w:p>
            <w:pPr>
              <w:pStyle w:val="TableContents"/>
              <w:bidi w:val="0"/>
              <w:spacing w:before="0" w:after="1"/>
              <w:ind w:left="0" w:right="0" w:hanging="0"/>
              <w:jc w:val="left"/>
            </w:pPr>
            <w:r>
              <w:t>​</w:t>
            </w:r>
          </w:p>
        </w:tc>
        <w:tc>
          <w:tcPr>
            <w:tcW w:w="146" w:type="dxa"/>
            <w:tcBorders/>
            <w:shd w:fill="CCEEFF" w:val="clear"/>
            <w:vAlign w:val="center"/>
          </w:tcPr>
          <w:p>
            <w:pPr>
              <w:pStyle w:val="TableContents"/>
              <w:bidi w:val="0"/>
              <w:spacing w:before="0" w:after="1"/>
              <w:ind w:left="0" w:right="0" w:hanging="0"/>
              <w:jc w:val="left"/>
            </w:pPr>
            <w:r>
              <w:t>​</w:t>
            </w:r>
          </w:p>
        </w:tc>
        <w:tc>
          <w:tcPr>
            <w:tcW w:w="225" w:type="dxa"/>
            <w:tcBorders/>
            <w:shd w:fill="CCEEFF" w:val="clear"/>
            <w:vAlign w:val="center"/>
          </w:tcPr>
          <w:p>
            <w:pPr>
              <w:pStyle w:val="TableContents"/>
              <w:bidi w:val="0"/>
              <w:spacing w:before="0" w:after="1"/>
              <w:ind w:left="0" w:right="0" w:hanging="0"/>
              <w:jc w:val="left"/>
            </w:pPr>
            <w: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429,153</w:t>
            </w:r>
          </w:p>
        </w:tc>
        <w:tc>
          <w:tcPr>
            <w:tcW w:w="346" w:type="dxa"/>
            <w:tcBorders/>
            <w:shd w:fill="CCEEFF" w:val="clear"/>
            <w:vAlign w:val="center"/>
          </w:tcPr>
          <w:p>
            <w:pPr>
              <w:pStyle w:val="TableContents"/>
              <w:bidi w:val="0"/>
              <w:spacing w:before="0" w:after="1"/>
              <w:ind w:left="0" w:right="0" w:hanging="0"/>
              <w:jc w:val="left"/>
            </w:pPr>
            <w:r>
              <w:t>​</w:t>
            </w:r>
          </w:p>
        </w:tc>
        <w:tc>
          <w:tcPr>
            <w:tcW w:w="216" w:type="dxa"/>
            <w:tcBorders/>
            <w:shd w:fill="CCEEFF" w:val="clear"/>
            <w:vAlign w:val="center"/>
          </w:tcPr>
          <w:p>
            <w:pPr>
              <w:pStyle w:val="TableContents"/>
              <w:bidi w:val="0"/>
              <w:spacing w:before="0" w:after="1"/>
              <w:ind w:left="0" w:right="0" w:hanging="0"/>
              <w:jc w:val="left"/>
            </w:pPr>
            <w: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400,457</w:t>
            </w:r>
          </w:p>
        </w:tc>
      </w:tr>
      <w:t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146" w:type="dxa"/>
            <w:tcBorders/>
            <w:vAlign w:val="center"/>
          </w:tcPr>
          <w:p>
            <w:pPr>
              <w:pStyle w:val="TableContents"/>
              <w:bidi w:val="0"/>
              <w:spacing w:before="0" w:after="1"/>
              <w:ind w:left="0" w:right="0" w:hanging="0"/>
              <w:jc w:val="left"/>
            </w:pPr>
            <w: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9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(245,929)</w:t>
            </w:r>
          </w:p>
        </w:tc>
        <w:tc>
          <w:tcPr>
            <w:tcW w:w="346" w:type="dxa"/>
            <w:tcBorders/>
            <w:vAlign w:val="center"/>
          </w:tcPr>
          <w:p>
            <w:pPr>
              <w:pStyle w:val="TableContents"/>
              <w:bidi w:val="0"/>
              <w:spacing w:before="0" w:after="1"/>
              <w:ind w:left="0" w:right="0" w:hanging="0"/>
              <w:jc w:val="left"/>
            </w:pPr>
            <w: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9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(221,500)</w:t>
            </w:r>
          </w:p>
        </w:tc>
      </w:tr>
      <w:t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46" w:type="dxa"/>
            <w:tcBorders/>
            <w:shd w:fill="CCEEFF" w:val="clear"/>
            <w:vAlign w:val="center"/>
          </w:tcPr>
          <w:p>
            <w:pPr>
              <w:pStyle w:val="TableContents"/>
              <w:bidi w:val="0"/>
              <w:spacing w:before="0" w:after="1"/>
              <w:ind w:left="0" w:right="0" w:hanging="0"/>
              <w:jc w:val="left"/>
            </w:pPr>
            <w: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183,224</w:t>
            </w:r>
          </w:p>
        </w:tc>
        <w:tc>
          <w:tcPr>
            <w:tcW w:w="346" w:type="dxa"/>
            <w:tcBorders/>
            <w:shd w:fill="CCEEFF" w:val="clear"/>
            <w:vAlign w:val="center"/>
          </w:tcPr>
          <w:p>
            <w:pPr>
              <w:pStyle w:val="TableContents"/>
              <w:bidi w:val="0"/>
              <w:spacing w:before="0" w:after="1"/>
              <w:ind w:left="0" w:right="0" w:hanging="0"/>
              <w:jc w:val="left"/>
            </w:pPr>
            <w: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178,957</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240"/>
        <w:ind w:left="0" w:right="0" w:firstLine="720"/>
        <w:jc w:val="left"/>
      </w:pPr>
      <w:r>
        <w:t>​</w:t>
      </w:r>
    </w:p>
    <w:p>
      <w:pPr>
        <w:pStyle w:val="TextBody"/>
        <w:bidi w:val="0"/>
        <w:spacing w:before="0" w:after="120"/>
        <w:ind w:left="0" w:right="0" w:hanging="0"/>
        <w:jc w:val="left"/>
        <w:rPr>
          <w:rFonts w:ascii="Times New Roman;Times;serif" w:hAnsi="Times New Roman;Times;serif"/>
          <w:b/>
          <w:sz w:val="20"/>
        </w:rPr>
      </w:pPr>
      <w:bookmarkStart w:id="982" w:name="Tc_CRuAbBwuZk6vzdEcv6-rVw_7_2"/>
      <w:bookmarkStart w:id="983" w:name="Tc_yW6KKooo0EOAjkglAXBerA_6_0"/>
      <w:bookmarkStart w:id="984" w:name="Tc_bgNmDl4u0E6ew-wceH6UyQ_5_0"/>
      <w:bookmarkStart w:id="985" w:name="Tc_js9AuzoFAUKKIoQlQfNWig_4_0"/>
      <w:bookmarkStart w:id="986" w:name="Tc_kGl1NuQaP0-RLVde9NeOjg_3_0"/>
      <w:bookmarkStart w:id="987" w:name="Tc_ryuEWjXnnUG7b_v3Uldbjg_2_0"/>
      <w:bookmarkStart w:id="988" w:name="Tc_28XfxfIQYEW_zaXanSOoNA_1_2"/>
      <w:bookmarkStart w:id="989" w:name="Tc_nq5xOf03vUaBynkwMOpDYw_1_0"/>
      <w:bookmarkStart w:id="990" w:name="Tc_G0iAEX82yUuUSYrSBBs9EA_7_9"/>
      <w:bookmarkStart w:id="991" w:name="Tc_5Dy0EYYoXUieaecEZcxOig_7_6"/>
      <w:bookmarkStart w:id="992" w:name="Tc_6U3vR9IpkUyd7TDsd3COtw_7_3"/>
      <w:bookmarkStart w:id="993" w:name="Tc_jwluJx6gCkqJAh9fTTtSrw_7_0"/>
      <w:bookmarkStart w:id="994" w:name="Tc_xEpVbJ1suE2QISmeJZ4c8g_6_10"/>
      <w:bookmarkStart w:id="995" w:name="Tc_UdAUQAf1pEGXnJZPW4SGZA_6_0"/>
      <w:bookmarkStart w:id="996" w:name="Tc_lTsvg99ce0yhJNdrwfSSJw_5_9"/>
      <w:bookmarkStart w:id="997" w:name="Tc_ue5ANJb9t0-e2B3b8MIsSw_5_6"/>
      <w:bookmarkStart w:id="998" w:name="Tc_U5tSb-QqEUmImzoFhX5cOQ_5_3"/>
      <w:bookmarkStart w:id="999" w:name="Tc_JgirgO95nUidMzhpmDvFoA_5_0"/>
      <w:bookmarkStart w:id="1000" w:name="Tc_erj7cqpAvE-9-3ImzFGXkA_4_9"/>
      <w:bookmarkStart w:id="1001" w:name="Tc_QBJKaVMmWEGOMV-EH09HyA_4_6"/>
      <w:bookmarkStart w:id="1002" w:name="Tc_2Bs7mZ2FRkOysgjnqBIcfQ_4_3"/>
      <w:bookmarkStart w:id="1003" w:name="Tc_yP1dxPSqv0C2CwIunuH6aA_4_1"/>
      <w:bookmarkStart w:id="1004" w:name="Tc_BxjZ2MElVEy92CcS5jIG1A_3_9"/>
      <w:bookmarkStart w:id="1005" w:name="Tc_adB26pGjpEWyNOYfHwuycw_3_6"/>
      <w:bookmarkStart w:id="1006" w:name="Tc_zsmX_W6K6kaI225xwuH09g_3_3"/>
      <w:bookmarkStart w:id="1007" w:name="Tc_EulSu2m230ePNDXZ8ZaWkQ_3_1"/>
      <w:bookmarkStart w:id="1008" w:name="Tc_MVji8bB73U69GXE4Zdj5tg_2_9"/>
      <w:bookmarkStart w:id="1009" w:name="Tc_nQ4Yh29Wk0GxEMBpas42pA_2_3"/>
      <w:bookmarkStart w:id="1010" w:name="Tc_XaXlGhVvtU6_XiLYraEM7A_2_1"/>
      <w:bookmarkStart w:id="1011" w:name="Tc_9jt9xiD91UKR7vxrGJlD1Q_1_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r>
        <w:rPr>
          <w:rFonts w:ascii="Times New Roman;Times;serif" w:hAnsi="Times New Roman;Times;serif"/>
          <w:b/>
          <w:sz w:val="20"/>
        </w:rPr>
        <w:t xml:space="preserve">6. Amortizable Intangible Assets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Identified intangible assets of $210,280 consisted primarily of university partner relationships that were valued at $210,000, which arose in connection with the acquisition of Orbis Education in January 2019.</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Amortizable intangible assets consist of the following as of:</w:t>
      </w:r>
    </w:p>
    <w:p>
      <w:pPr>
        <w:pStyle w:val="TextBody"/>
        <w:bidi w:val="0"/>
        <w:spacing w:before="0" w:after="0"/>
        <w:ind w:left="0" w:right="0" w:hanging="0"/>
        <w:jc w:val="left"/>
      </w:pPr>
      <w:r>
        <w:t>​</w:t>
      </w:r>
    </w:p>
    <w:tbl>
      <w:tblPr>
        <w:tblW w:w="8375" w:type="dxa"/>
        <w:jc w:val="left"/>
        <w:tblInd w:w="0" w:type="dxa"/>
        <w:tblLayout w:type="fixed"/>
        <w:tblCellMar>
          <w:top w:w="0" w:type="dxa"/>
          <w:left w:w="0" w:type="dxa"/>
          <w:bottom w:w="0" w:type="dxa"/>
          <w:right w:w="0" w:type="dxa"/>
        </w:tblCellMar>
      </w:tblPr>
      <w:tblGrid>
        <w:gridCol w:w="3301"/>
        <w:gridCol w:w="1216"/>
        <w:gridCol w:w="226"/>
        <w:gridCol w:w="211"/>
        <w:gridCol w:w="781"/>
        <w:gridCol w:w="226"/>
        <w:gridCol w:w="240"/>
        <w:gridCol w:w="841"/>
        <w:gridCol w:w="226"/>
        <w:gridCol w:w="211"/>
        <w:gridCol w:w="896"/>
      </w:tblGrid>
      <w:t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96135" cy="175260"/>
                      <wp:effectExtent l="0" t="0" r="0" b="0"/>
                      <wp:wrapNone/>
                      <wp:docPr id="117" name="Frame117"/>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772160" cy="175260"/>
                      <wp:effectExtent l="0" t="0" r="0" b="0"/>
                      <wp:wrapNone/>
                      <wp:docPr id="118" name="Frame118"/>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43510" cy="175260"/>
                      <wp:effectExtent l="0" t="0" r="0" b="0"/>
                      <wp:wrapNone/>
                      <wp:docPr id="119" name="Frame11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95935" cy="175260"/>
                      <wp:effectExtent l="0" t="0" r="0" b="0"/>
                      <wp:wrapNone/>
                      <wp:docPr id="121" name="Frame1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43510" cy="175260"/>
                      <wp:effectExtent l="0" t="0" r="0" b="0"/>
                      <wp:wrapNone/>
                      <wp:docPr id="122" name="Frame12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52400" cy="175260"/>
                      <wp:effectExtent l="0" t="0" r="0" b="0"/>
                      <wp:wrapNone/>
                      <wp:docPr id="123" name="Frame123"/>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34035" cy="175260"/>
                      <wp:effectExtent l="0" t="0" r="0" b="0"/>
                      <wp:wrapNone/>
                      <wp:docPr id="124" name="Frame12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43510" cy="175260"/>
                      <wp:effectExtent l="0" t="0" r="0" b="0"/>
                      <wp:wrapNone/>
                      <wp:docPr id="125" name="Frame12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68960" cy="175260"/>
                      <wp:effectExtent l="0" t="0" r="0" b="0"/>
                      <wp:wrapNone/>
                      <wp:docPr id="127" name="Frame127"/>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3301" w:type="dxa"/>
            <w:tcBorders/>
            <w:vAlign w:val="center"/>
          </w:tcPr>
          <w:p>
            <w:pPr>
              <w:pStyle w:val="TableContents"/>
              <w:bidi w:val="0"/>
              <w:spacing w:before="0" w:after="1"/>
              <w:ind w:left="0" w:right="0" w:hanging="0"/>
              <w:jc w:val="left"/>
            </w:pPr>
            <w:r>
              <w:t>​</w:t>
            </w:r>
          </w:p>
        </w:tc>
        <w:tc>
          <w:tcPr>
            <w:tcW w:w="5074"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2026</w:t>
            </w:r>
          </w:p>
        </w:tc>
      </w:tr>
      <w:tr>
        <w:tc>
          <w:tcPr>
            <w:tcW w:w="3301" w:type="dxa"/>
            <w:tcBorders/>
            <w:vAlign w:val="center"/>
          </w:tcPr>
          <w:p>
            <w:pPr>
              <w:pStyle w:val="TableContents"/>
              <w:bidi w:val="0"/>
              <w:spacing w:before="0" w:after="1"/>
              <w:ind w:left="0" w:right="0" w:hanging="0"/>
              <w:jc w:val="left"/>
            </w:pPr>
            <w: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226" w:type="dxa"/>
            <w:tcBorders/>
            <w:vAlign w:val="center"/>
          </w:tcPr>
          <w:p>
            <w:pPr>
              <w:pStyle w:val="TableContents"/>
              <w:bidi w:val="0"/>
              <w:spacing w:before="0" w:after="1"/>
              <w:ind w:left="0" w:right="0" w:hanging="0"/>
              <w:jc w:val="left"/>
            </w:pPr>
            <w: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226" w:type="dxa"/>
            <w:tcBorders/>
            <w:vAlign w:val="center"/>
          </w:tcPr>
          <w:p>
            <w:pPr>
              <w:pStyle w:val="TableContents"/>
              <w:bidi w:val="0"/>
              <w:spacing w:before="0" w:after="1"/>
              <w:ind w:left="0" w:right="0" w:hanging="0"/>
              <w:jc w:val="left"/>
            </w:pPr>
            <w:r>
              <w:t>​</w:t>
            </w:r>
          </w:p>
        </w:tc>
        <w:tc>
          <w:tcPr>
            <w:tcW w:w="240" w:type="dxa"/>
            <w:tcBorders/>
            <w:vAlign w:val="center"/>
          </w:tcPr>
          <w:p>
            <w:pPr>
              <w:pStyle w:val="TableContents"/>
              <w:bidi w:val="0"/>
              <w:spacing w:before="0" w:after="1"/>
              <w:ind w:left="0" w:right="0" w:hanging="0"/>
              <w:jc w:val="left"/>
            </w:pPr>
            <w:r>
              <w:t>​</w:t>
            </w:r>
          </w:p>
        </w:tc>
        <w:tc>
          <w:tcPr>
            <w:tcW w:w="841" w:type="dxa"/>
            <w:tcBorders/>
            <w:vAlign w:val="center"/>
          </w:tcPr>
          <w:p>
            <w:pPr>
              <w:pStyle w:val="TableContents"/>
              <w:bidi w:val="0"/>
              <w:spacing w:before="0" w:after="1"/>
              <w:ind w:left="0" w:right="0" w:hanging="0"/>
              <w:jc w:val="left"/>
            </w:pPr>
            <w:r>
              <w:t>​</w:t>
            </w:r>
          </w:p>
        </w:tc>
        <w:tc>
          <w:tcPr>
            <w:tcW w:w="226" w:type="dxa"/>
            <w:tcBorders/>
            <w:vAlign w:val="center"/>
          </w:tcPr>
          <w:p>
            <w:pPr>
              <w:pStyle w:val="TableContents"/>
              <w:bidi w:val="0"/>
              <w:spacing w:before="0" w:after="1"/>
              <w:ind w:left="0" w:right="0" w:hanging="0"/>
              <w:jc w:val="left"/>
            </w:pPr>
            <w: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c>
          <w:tcPr>
            <w:tcW w:w="3301" w:type="dxa"/>
            <w:tcBorders/>
            <w:vAlign w:val="center"/>
          </w:tcPr>
          <w:p>
            <w:pPr>
              <w:pStyle w:val="TableContents"/>
              <w:bidi w:val="0"/>
              <w:spacing w:before="0" w:after="1"/>
              <w:ind w:left="0" w:right="0" w:hanging="0"/>
              <w:jc w:val="left"/>
            </w:pPr>
            <w: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Useful</w:t>
            </w:r>
          </w:p>
        </w:tc>
        <w:tc>
          <w:tcPr>
            <w:tcW w:w="226" w:type="dxa"/>
            <w:tcBorders/>
            <w:vAlign w:val="center"/>
          </w:tcPr>
          <w:p>
            <w:pPr>
              <w:pStyle w:val="TableContents"/>
              <w:bidi w:val="0"/>
              <w:spacing w:before="0" w:after="1"/>
              <w:ind w:left="0" w:right="0" w:hanging="0"/>
              <w:jc w:val="left"/>
            </w:pPr>
            <w: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226" w:type="dxa"/>
            <w:tcBorders/>
            <w:vAlign w:val="center"/>
          </w:tcPr>
          <w:p>
            <w:pPr>
              <w:pStyle w:val="TableContents"/>
              <w:bidi w:val="0"/>
              <w:spacing w:before="0" w:after="1"/>
              <w:ind w:left="0" w:right="0" w:hanging="0"/>
              <w:jc w:val="left"/>
            </w:pPr>
            <w: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1"/>
              <w:ind w:left="0" w:right="0" w:hanging="0"/>
              <w:jc w:val="left"/>
            </w:pPr>
            <w: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r>
      <w:tr>
        <w:tc>
          <w:tcPr>
            <w:tcW w:w="3301" w:type="dxa"/>
            <w:tcBorders/>
            <w:vAlign w:val="center"/>
          </w:tcPr>
          <w:p>
            <w:pPr>
              <w:pStyle w:val="TableContents"/>
              <w:bidi w:val="0"/>
              <w:spacing w:before="0" w:after="1"/>
              <w:ind w:left="0" w:right="0" w:hanging="0"/>
              <w:jc w:val="left"/>
            </w:pPr>
            <w:r>
              <w:t>​</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226" w:type="dxa"/>
            <w:tcBorders/>
            <w:vAlign w:val="center"/>
          </w:tcPr>
          <w:p>
            <w:pPr>
              <w:pStyle w:val="TableContents"/>
              <w:bidi w:val="0"/>
              <w:spacing w:before="0" w:after="1"/>
              <w:ind w:left="0" w:right="0" w:hanging="0"/>
              <w:jc w:val="left"/>
            </w:pPr>
            <w: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26" w:type="dxa"/>
            <w:tcBorders/>
            <w:vAlign w:val="center"/>
          </w:tcPr>
          <w:p>
            <w:pPr>
              <w:pStyle w:val="TableContents"/>
              <w:bidi w:val="0"/>
              <w:spacing w:before="0" w:after="1"/>
              <w:ind w:left="0" w:right="0" w:hanging="0"/>
              <w:jc w:val="left"/>
            </w:pPr>
            <w: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226" w:type="dxa"/>
            <w:tcBorders/>
            <w:vAlign w:val="center"/>
          </w:tcPr>
          <w:p>
            <w:pPr>
              <w:pStyle w:val="TableContents"/>
              <w:bidi w:val="0"/>
              <w:spacing w:before="0" w:after="1"/>
              <w:ind w:left="0" w:right="0" w:hanging="0"/>
              <w:jc w:val="left"/>
            </w:pPr>
            <w: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University partner relationships</w:t>
            </w:r>
          </w:p>
        </w:tc>
        <w:tc>
          <w:tcPr>
            <w:tcW w:w="12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25</w:t>
            </w:r>
          </w:p>
        </w:tc>
        <w:tc>
          <w:tcPr>
            <w:tcW w:w="226" w:type="dxa"/>
            <w:tcBorders/>
            <w:shd w:fill="CCEEFF" w:val="clear"/>
            <w:vAlign w:val="center"/>
          </w:tcPr>
          <w:p>
            <w:pPr>
              <w:pStyle w:val="TableContents"/>
              <w:bidi w:val="0"/>
              <w:spacing w:before="0" w:after="1"/>
              <w:ind w:left="0" w:right="0" w:hanging="0"/>
              <w:jc w:val="left"/>
            </w:pPr>
            <w: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210,000</w:t>
            </w:r>
          </w:p>
        </w:tc>
        <w:tc>
          <w:tcPr>
            <w:tcW w:w="226" w:type="dxa"/>
            <w:tcBorders/>
            <w:shd w:fill="CCEEFF" w:val="clear"/>
            <w:vAlign w:val="center"/>
          </w:tcPr>
          <w:p>
            <w:pPr>
              <w:pStyle w:val="TableContents"/>
              <w:bidi w:val="0"/>
              <w:spacing w:before="0" w:after="1"/>
              <w:ind w:left="0" w:right="0" w:hanging="0"/>
              <w:jc w:val="left"/>
            </w:pPr>
            <w:r>
              <w:t>  ​</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(64,772)</w:t>
            </w:r>
          </w:p>
        </w:tc>
        <w:tc>
          <w:tcPr>
            <w:tcW w:w="226" w:type="dxa"/>
            <w:tcBorders/>
            <w:shd w:fill="CCEEFF" w:val="clear"/>
            <w:vAlign w:val="center"/>
          </w:tcPr>
          <w:p>
            <w:pPr>
              <w:pStyle w:val="TableContents"/>
              <w:bidi w:val="0"/>
              <w:spacing w:before="0" w:after="1"/>
              <w:ind w:left="0" w:right="0" w:hanging="0"/>
              <w:jc w:val="left"/>
            </w:pPr>
            <w: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145,228</w:t>
            </w:r>
          </w:p>
        </w:tc>
      </w:tr>
      <w:tr>
        <w:tc>
          <w:tcPr>
            <w:tcW w:w="3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names</w:t>
            </w:r>
          </w:p>
        </w:tc>
        <w:tc>
          <w:tcPr>
            <w:tcW w:w="12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w:t>
            </w:r>
          </w:p>
        </w:tc>
        <w:tc>
          <w:tcPr>
            <w:tcW w:w="22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226" w:type="dxa"/>
            <w:tcBorders/>
            <w:vAlign w:val="center"/>
          </w:tcPr>
          <w:p>
            <w:pPr>
              <w:pStyle w:val="TableContents"/>
              <w:bidi w:val="0"/>
              <w:spacing w:before="0" w:after="1"/>
              <w:ind w:left="0" w:right="0" w:hanging="0"/>
              <w:jc w:val="left"/>
            </w:pPr>
            <w: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22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pPr>
            <w:r>
              <w:t>—</w:t>
            </w:r>
          </w:p>
        </w:tc>
      </w:tr>
      <w:t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amortizable intangible assets, net</w:t>
            </w:r>
          </w:p>
        </w:tc>
        <w:tc>
          <w:tcPr>
            <w:tcW w:w="1216" w:type="dxa"/>
            <w:tcBorders/>
            <w:shd w:fill="CCEEFF" w:val="clear"/>
            <w:vAlign w:val="center"/>
          </w:tcPr>
          <w:p>
            <w:pPr>
              <w:pStyle w:val="TableContents"/>
              <w:bidi w:val="0"/>
              <w:spacing w:before="0" w:after="1"/>
              <w:ind w:left="0" w:right="0" w:hanging="0"/>
              <w:jc w:val="left"/>
            </w:pPr>
            <w:r>
              <w:t>​</w:t>
            </w:r>
          </w:p>
        </w:tc>
        <w:tc>
          <w:tcPr>
            <w:tcW w:w="22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210,280</w:t>
            </w:r>
          </w:p>
        </w:tc>
        <w:tc>
          <w:tcPr>
            <w:tcW w:w="226" w:type="dxa"/>
            <w:tcBorders/>
            <w:shd w:fill="CCEEFF" w:val="clear"/>
            <w:vAlign w:val="center"/>
          </w:tcPr>
          <w:p>
            <w:pPr>
              <w:pStyle w:val="TableContents"/>
              <w:bidi w:val="0"/>
              <w:spacing w:before="0" w:after="1"/>
              <w:ind w:left="0" w:right="0" w:hanging="0"/>
              <w:jc w:val="left"/>
            </w:pPr>
            <w: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(65,052)</w:t>
            </w:r>
          </w:p>
        </w:tc>
        <w:tc>
          <w:tcPr>
            <w:tcW w:w="22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145,228</w:t>
            </w:r>
          </w:p>
        </w:tc>
      </w:tr>
    </w:tbl>
    <w:p>
      <w:pPr>
        <w:pStyle w:val="TextBody"/>
        <w:bidi w:val="0"/>
        <w:spacing w:before="0" w:after="0"/>
        <w:ind w:left="0" w:right="0" w:hanging="0"/>
        <w:jc w:val="left"/>
      </w:pPr>
      <w:r>
        <w:t>​</w:t>
      </w:r>
    </w:p>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Estimated amortization expense for university partner relationships and trade names for the years ending December 31:</w:t>
      </w:r>
    </w:p>
    <w:p>
      <w:pPr>
        <w:pStyle w:val="TextBody"/>
        <w:bidi w:val="0"/>
        <w:spacing w:before="0" w:after="0"/>
        <w:ind w:left="0" w:right="0" w:hanging="0"/>
        <w:jc w:val="left"/>
      </w:pPr>
      <w:r>
        <w:t>​</w:t>
      </w:r>
    </w:p>
    <w:tbl>
      <w:tblPr>
        <w:tblW w:w="2162" w:type="dxa"/>
        <w:jc w:val="left"/>
        <w:tblInd w:w="0" w:type="dxa"/>
        <w:tblLayout w:type="fixed"/>
        <w:tblCellMar>
          <w:top w:w="0" w:type="dxa"/>
          <w:left w:w="0" w:type="dxa"/>
          <w:bottom w:w="0" w:type="dxa"/>
          <w:right w:w="0" w:type="dxa"/>
        </w:tblCellMar>
      </w:tblPr>
      <w:tblGrid>
        <w:gridCol w:w="946"/>
        <w:gridCol w:w="109"/>
        <w:gridCol w:w="211"/>
        <w:gridCol w:w="896"/>
      </w:tblGrid>
      <w:t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00710" cy="175260"/>
                      <wp:effectExtent l="0" t="0" r="0" b="0"/>
                      <wp:wrapNone/>
                      <wp:docPr id="128" name="Frame12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29"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68960" cy="175260"/>
                      <wp:effectExtent l="0" t="0" r="0" b="0"/>
                      <wp:wrapNone/>
                      <wp:docPr id="131" name="Frame131"/>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2,104</w:t>
            </w:r>
          </w:p>
        </w:tc>
      </w:tr>
      <w:t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109,448</w:t>
            </w:r>
          </w:p>
        </w:tc>
      </w:tr>
      <w:tr>
        <w:tc>
          <w:tcPr>
            <w:tcW w:w="946" w:type="dxa"/>
            <w:tcBorders/>
            <w:shd w:fill="CCEEFF" w:val="clear"/>
            <w:vAlign w:val="center"/>
          </w:tcPr>
          <w:p>
            <w:pPr>
              <w:pStyle w:val="TableContents"/>
              <w:bidi w:val="0"/>
              <w:spacing w:before="0" w:after="1"/>
              <w:ind w:left="0" w:right="0" w:hanging="0"/>
              <w:jc w:val="left"/>
            </w:pPr>
            <w:r>
              <w:t>​</w:t>
            </w:r>
          </w:p>
        </w:tc>
        <w:tc>
          <w:tcPr>
            <w:tcW w:w="109"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145,228</w:t>
            </w:r>
          </w:p>
        </w:tc>
      </w:tr>
    </w:tbl>
    <w:p>
      <w:pPr>
        <w:pStyle w:val="TextBody"/>
        <w:bidi w:val="0"/>
        <w:spacing w:before="0" w:after="240"/>
        <w:ind w:left="0" w:right="0" w:firstLine="720"/>
        <w:jc w:val="left"/>
      </w:pPr>
      <w:r>
        <w:t>​</w:t>
      </w:r>
    </w:p>
    <w:p>
      <w:pPr>
        <w:pStyle w:val="TextBody"/>
        <w:bidi w:val="0"/>
        <w:spacing w:before="0" w:after="240"/>
        <w:ind w:left="0" w:right="0" w:firstLine="720"/>
        <w:jc w:val="left"/>
      </w:pPr>
      <w: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7. Revolving Credit Facility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28, 2026, the Company entered into a Revolving Credit Facility Credit Agreement, dated as of September 28, 2026 (the “Credit Agreement”), among the Company, as borrower, Orbis Education Services, LLC, a wholly owned subsidiary of GCE (“Orbis Education”), as guarantor, the lenders party thereto, and Zions Bancorporation, N.A. dba National Bank of Arizona, as administrative agent and lead arranger (the “Administrative Agent”). The Credit Agreement provides for a $100,000 senior secured revolving credit facility (the “Revolving Credit Facility”), including a $10,000 sublimit for the issuance of letters of credit.  The Revolving Credit Facility matures on September 28, 2031.</w:t>
      </w:r>
    </w:p>
    <w:p>
      <w:pPr>
        <w:pStyle w:val="TextBody"/>
        <w:bidi w:val="0"/>
        <w:spacing w:before="0" w:after="240"/>
        <w:ind w:left="0" w:right="0" w:firstLine="720"/>
        <w:jc w:val="both"/>
        <w:rPr>
          <w:rFonts w:ascii="Times New Roman" w:hAnsi="Times New Roman"/>
          <w:sz w:val="20"/>
        </w:rPr>
      </w:pPr>
      <w:r>
        <w:rPr>
          <w:rFonts w:ascii="Times New Roman" w:hAnsi="Times New Roman"/>
          <w:sz w:val="20"/>
        </w:rPr>
        <w:t>The Company intends to use borrowings under the Revolving Credit Facility primarily to fund repurchases of its common stock under its board-approved stock repurchase program, as well as for other general corporate purposes. All borrowings under the Revolving Credit Facility are subject to the satisfaction of customary conditions, including the absence of a default and the accuracy of representations and warranties.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Credit Agreement, the Company may request incremental revolving credit commitments in an aggregate amount of up to $100,000, in minimum increments of $10,000, such that total commitments under the Revolving Credit Facility, after giving effect to any such increase, would not exceed $200,000.  Any such increase is subject to obtaining commitments from existing or new lenders and the satisfaction of certain conditions, including pro forma compliance with the financial covenants.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Loans under the Revolving Credit Facility bear interest at a rate per annum equal to one-month Term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(subject to a 0.00% floor) plus an applicable margin ranging from 1.50% to 2.00% per annum, based on the Company’s consolidated leverage ratio. Interest is payable monthly. Upon the occurrence and during the continuance of an event of default, the interest rate on the loans and letter of credit fees may be increased by 2.00% per annum, and other overdue obligations bear interest at the applicable rate plus 3.00% per annum. The Company paid a commitment fee at closing and is required to pay a quarterly unused fee of 0.0625% on the unused portion of the revolving credit commitments, as well as letter of credit fees of 2.00% and letter of credit fronting fees of 0.125% on the amount available to be drawn under outstanding letters of credit.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obligations under the Credit Agreement are guaranteed by each of the Company’s direct and indirect material subsidiaries (other than excluded subsidiaries), which currently consists solely of Orbis Education, pursuant to a Guaranty Agreement, dated as of September 28, 2026 (the “Guaranty Agreement”). The obligations under the Credit Agreement and the Guaranty Agreement are secured by liens on substantially all of the personal property of the Company and the guarantor pursuant to a Security Agreement, dated as of September 28, 2026 (the “Security Agreement”), a Pledge Agreement, dated as of September 28, 2026 (the “Pledge Agreement”), pursuant to which the Company and the guarantor pledged the equity interests of their subsidiaries as described therein, and an intellectual property security agreement, in each case in favor of the Administrative Agent for the benefit of the secured parties.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Credit Agreement contains customary affirmative and negative covenants that restrict the Company’s ability to incur additional debt, make certain investments or pay dividends and required the Company to maintain specified financial ratios. As of September 30, 2026, the Company is in compliance with all covenants and has no amounts drawn on the Revolving Credit Facility.</w:t>
      </w:r>
    </w:p>
    <w:p>
      <w:pPr>
        <w:pStyle w:val="TextBody"/>
        <w:bidi w:val="0"/>
        <w:spacing w:before="0" w:after="240"/>
        <w:ind w:left="0" w:right="0" w:firstLine="720"/>
        <w:jc w:val="left"/>
      </w:pPr>
      <w:r>
        <w:t>​</w:t>
      </w:r>
    </w:p>
    <w:p>
      <w:pPr>
        <w:pStyle w:val="TextBody"/>
        <w:bidi w:val="0"/>
        <w:spacing w:before="0" w:after="120"/>
        <w:ind w:left="0" w:right="0" w:hanging="0"/>
        <w:jc w:val="left"/>
        <w:rPr>
          <w:rFonts w:ascii="Times New Roman;Times;serif" w:hAnsi="Times New Roman;Times;serif"/>
          <w:b/>
          <w:sz w:val="20"/>
        </w:rPr>
      </w:pPr>
      <w:bookmarkStart w:id="1012" w:name="Tc_z7IPmYv3bkGgVQW9u0O_kw_10_2"/>
      <w:bookmarkStart w:id="1013" w:name="Tc_AW5Q1-5iWkO58s0kT77KLg_10_0"/>
      <w:bookmarkStart w:id="1014" w:name="Tc_SqDzbt7fTE-zwYFSuklJ9g_9_0"/>
      <w:bookmarkStart w:id="1015" w:name="Tc_JPuBlQNqvkCUawxaNmU2SQ_8_2"/>
      <w:bookmarkStart w:id="1016" w:name="Tc_8rp1lgd-cE2fS-OWL400ew_8_0"/>
      <w:bookmarkStart w:id="1017" w:name="Tc_QJdLHo6IwE6hWninHaohIg_7_0"/>
      <w:bookmarkStart w:id="1018" w:name="Tc_sf8EknMXTEydLESXgRDqtw_6_0"/>
      <w:bookmarkStart w:id="1019" w:name="Tc_u90v2bfxYEWW7vrdtg53xw_5_0"/>
      <w:bookmarkStart w:id="1020" w:name="Tc_653wX3Az2Ea2mTZnxxbhqA_4_0"/>
      <w:bookmarkStart w:id="1021" w:name="Tc_Wph76TfMdk2xo_KeS_4apw_3_0"/>
      <w:bookmarkStart w:id="1022" w:name="Tc_mFDX71RTFUGYV1oolBA0bg_2_2"/>
      <w:bookmarkStart w:id="1023" w:name="Tc_D2IJT_em2EWnLqtPHHCvdQ_2_0"/>
      <w:bookmarkStart w:id="1024" w:name="Tc_ziwKwGGa_Uy7Sk8RnEIb5g_1_2"/>
      <w:bookmarkStart w:id="1025" w:name="Tc_LH_X8CDfzUS42p7HverHSw_1_0"/>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r>
        <w:rPr>
          <w:rFonts w:ascii="Times New Roman;Times;serif" w:hAnsi="Times New Roman;Times;serif"/>
          <w:b/>
          <w:sz w:val="20"/>
        </w:rPr>
        <w:t>8. Leases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has operating leases for off-campus classroom and laboratory sites, office space, office equipment, and optical fiber communication lines. These leases have remaining lease terms that range from 10 months to 10 years and 9 months. At lease inception, we determine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 Company had operating lease costs of $13,855 and $13,306 for the nine-month periods ended September 30, 2026 and 2025, respectively.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As of September 30, 2026, the Company had $24,392 of non-cancelable operating lease commitments for four off-campus classroom and laboratory sites that had </w:t>
      </w:r>
      <w:r>
        <w:rPr>
          <w:rFonts w:ascii="Times New Roman;Times;serif" w:hAnsi="Times New Roman;Times;serif"/>
          <w:b w:val="false"/>
          <w:i w:val="false"/>
          <w:caps w:val="false"/>
          <w:smallCaps w:val="false"/>
          <w:sz w:val="20"/>
        </w:rPr>
        <w:t>not yet commenced</w:t>
      </w:r>
      <w:r>
        <w:rPr>
          <w:rFonts w:ascii="Times New Roman;Times;serif" w:hAnsi="Times New Roman;Times;serif"/>
          <w:sz w:val="20"/>
        </w:rPr>
        <w:t>. The Company’s weighted-average remaining lease term relating to its operating leases is 7.25 years, with a weighted-average discount rate of 4.5%. The cash paid for operating lease liabilities was $14,268 and $12,720 for the nine months ended September 30, 2026 and 2025, respectively. As of September 30, 2026, the Company had no financing 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Future payment obligations with respect to the Company’s operating leases, which were existing at September 30, 2026, by year and in the aggregate, are as follows:</w:t>
      </w:r>
    </w:p>
    <w:p>
      <w:pPr>
        <w:pStyle w:val="TextBody"/>
        <w:bidi w:val="0"/>
        <w:spacing w:before="0" w:after="0"/>
        <w:ind w:left="0" w:right="0" w:hanging="0"/>
        <w:jc w:val="left"/>
      </w:pPr>
      <w:r>
        <w:t>​</w:t>
      </w:r>
    </w:p>
    <w:tbl>
      <w:tblPr>
        <w:tblW w:w="4139" w:type="dxa"/>
        <w:jc w:val="left"/>
        <w:tblInd w:w="0" w:type="dxa"/>
        <w:tblLayout w:type="fixed"/>
        <w:tblCellMar>
          <w:top w:w="0" w:type="dxa"/>
          <w:left w:w="0" w:type="dxa"/>
          <w:bottom w:w="0" w:type="dxa"/>
          <w:right w:w="0" w:type="dxa"/>
        </w:tblCellMar>
      </w:tblPr>
      <w:tblGrid>
        <w:gridCol w:w="2686"/>
        <w:gridCol w:w="346"/>
        <w:gridCol w:w="211"/>
        <w:gridCol w:w="896"/>
      </w:tblGrid>
      <w:t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705610" cy="175260"/>
                      <wp:effectExtent l="0" t="0" r="0" b="0"/>
                      <wp:wrapNone/>
                      <wp:docPr id="132" name="Frame132"/>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68960" cy="175260"/>
                      <wp:effectExtent l="0" t="0" r="0" b="0"/>
                      <wp:wrapNone/>
                      <wp:docPr id="135" name="Frame135"/>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26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December 31,</w:t>
            </w:r>
          </w:p>
        </w:tc>
        <w:tc>
          <w:tcPr>
            <w:tcW w:w="346" w:type="dxa"/>
            <w:tcBorders/>
            <w:vAlign w:val="center"/>
          </w:tcPr>
          <w:p>
            <w:pPr>
              <w:pStyle w:val="TableContents"/>
              <w:bidi w:val="0"/>
              <w:spacing w:before="0" w:after="1"/>
              <w:ind w:left="0" w:right="0" w:hanging="0"/>
              <w:jc w:val="left"/>
            </w:pPr>
            <w:r>
              <w:t>  ​ ​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5,012</w:t>
            </w:r>
          </w:p>
        </w:tc>
      </w:tr>
      <w:t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19,663</w:t>
            </w:r>
          </w:p>
        </w:tc>
      </w:tr>
      <w:t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19,305</w:t>
            </w:r>
          </w:p>
        </w:tc>
      </w:tr>
      <w:t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19,241</w:t>
            </w:r>
          </w:p>
        </w:tc>
      </w:tr>
      <w:t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17,562</w:t>
            </w:r>
          </w:p>
        </w:tc>
      </w:tr>
      <w:t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54,263</w:t>
            </w:r>
          </w:p>
        </w:tc>
      </w:tr>
      <w:t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135,046</w:t>
            </w:r>
          </w:p>
        </w:tc>
      </w:tr>
      <w:t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21,035</w:t>
            </w:r>
          </w:p>
        </w:tc>
      </w:tr>
      <w:t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114,011</w:t>
            </w:r>
          </w:p>
        </w:tc>
      </w:tr>
    </w:tbl>
    <w:p>
      <w:pPr>
        <w:pStyle w:val="TextBody"/>
        <w:bidi w:val="0"/>
        <w:spacing w:before="0" w:after="240"/>
        <w:ind w:left="0" w:right="0" w:firstLine="720"/>
        <w:jc w:val="left"/>
      </w:pPr>
      <w:r>
        <w:t>​</w:t>
      </w:r>
    </w:p>
    <w:p>
      <w:pPr>
        <w:pStyle w:val="TextBody"/>
        <w:bidi w:val="0"/>
        <w:spacing w:before="0" w:after="240"/>
        <w:ind w:left="0" w:right="0" w:firstLine="720"/>
        <w:jc w:val="left"/>
      </w:pPr>
      <w: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9. Commitments and Contingencies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Legal Matters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likelihood of a potential loss is reasonably possible, and the amount involved could be material. With respect to the majority of pending litigation matters, the Company’s ultimate legal and financial responsibility, if any, cannot be estimated with certainty and, in most cases, any potential losses related to those matters are not considered probable.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Pending Litigation Matters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Matters Related to GCU Graduate Program Disclosures and Related Matters.</w:t>
      </w:r>
      <w:r>
        <w:rPr>
          <w:rFonts w:ascii="Times New Roman;Times;serif" w:hAnsi="Times New Roman;Times;serif"/>
          <w:sz w:val="20"/>
        </w:rPr>
        <w:t xml:space="preserve"> The Company is a party to several matters alleging that, in the performance of its marketing services provided on behalf of GCU, it made false or misleading representations regarding the time to complete and the costs associated with and/or accreditation issues related to certain GCU graduate programs. These matters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pPr>
            <w:r>
              <w:rPr>
                <w:rFonts w:ascii="Times New Roman;Times;serif" w:hAnsi="Times New Roman;Times;serif"/>
                <w:b w:val="false"/>
                <w:i w:val="false"/>
                <w:caps w:val="false"/>
                <w:smallCaps w:val="false"/>
                <w:sz w:val="20"/>
              </w:rPr>
              <w:t>Smith and Wang v. Grand Canyon Education, Inc.</w:t>
            </w:r>
            <w:r>
              <w:rPr>
                <w:caps w:val="false"/>
                <w:smallCaps w:val="false"/>
              </w:rPr>
              <w:t xml:space="preserve"> </w:t>
            </w:r>
            <w:r>
              <w:rPr>
                <w:rFonts w:ascii="Times New Roman;Times;serif" w:hAnsi="Times New Roman;Times;serif"/>
                <w:b w:val="false"/>
                <w:i w:val="false"/>
                <w:caps w:val="false"/>
                <w:smallCaps w:val="false"/>
                <w:sz w:val="20"/>
              </w:rPr>
              <w:t>This putative class action was filed in June 2024 in the United States District Court for the District of Arizona and asserts claims under the federal RICO statute as well as various claims for violations of state law consumer protection statutes. On September 20, 2024, the plaintiffs amended their complaint, and on November 4, 2024, the Company moved to dismiss the case. The court granted in part and denied in part the motion to dismiss. Specifically, the court dismissed one</w:t>
            </w:r>
            <w:r>
              <w:rPr>
                <w:caps w:val="false"/>
                <w:smallCaps w:val="false"/>
              </w:rPr>
              <w:t xml:space="preserve"> </w:t>
            </w:r>
            <w:r>
              <w:rPr>
                <w:rFonts w:ascii="Times New Roman;Times;serif" w:hAnsi="Times New Roman;Times;serif"/>
                <w:b w:val="false"/>
                <w:i w:val="false"/>
                <w:caps w:val="false"/>
                <w:smallCaps w:val="false"/>
                <w:sz w:val="20"/>
              </w:rPr>
              <w:t>of the plaintiff’s RICO counts but allowed the other RICO count and the consumer protection claims to proceed to discovery. Fact discovery ended on May 12, 2026, but the parties jointly requested that the court permit limited supplemental depositions that were conducted on July 15, 2026. Plaintiffs filed a motion to certify a nationwide class as to their RICO claims and to certify California and Florida subclasses as to their state law consumer protection claims, which the Court denied on September 11, 2026. On October 22, 2026, the Company moved for summary judgment on the individual Plaintiffs’ claims. Plaintiffs are seeking an interlocutory appeal. There is currently no trial date scheduled in this matter.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Ogdon v. Grand Canyon Education, Inc., et al. This putative class action was filed in May 2020 in federal district court in California and later transferred to the United States District Court for the District of Arizona. Plaintiffs assert claims for violations of California’s False Advertising Law, Unfair Competition Law, and Consumer Legal Remedies Act; New York’s Business Law; Unjust Enrichment; and the federal RICO statute. The defendants include the Company along with our chief executive officer, chief operating officer, and chief financial officer. On March 3, 2026, the Court granted in part and denied in part the Company’s motion to dismiss the Second Amended Complaint, dismissing plaintiffs’ claims for injunctive relief and plaintiff Ogdon’s claim for money damages relating to forgiven loans, while allowing plaintiff Singh’s New York-law claims and the RICO claim to proceed. Discovery is ongoing, and Plaintiffs’ motion for class certification was filed on October 30, 2026. There is currently no trial date scheduled in this matter.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pPr>
            <w:r>
              <w:rPr>
                <w:rFonts w:ascii="Times New Roman;Times;serif" w:hAnsi="Times New Roman;Times;serif"/>
                <w:b w:val="false"/>
                <w:i w:val="false"/>
                <w:caps w:val="false"/>
                <w:smallCaps w:val="false"/>
                <w:sz w:val="20"/>
              </w:rPr>
              <w:t>Valerio, et al. v. Grand Canyon Education, Inc., et al. This suit was filed on December 24, 2024, in Maricopa County, Arizona Superior Court on behalf of nearly 300</w:t>
            </w:r>
            <w:r>
              <w:rPr>
                <w:caps w:val="false"/>
                <w:smallCaps w:val="false"/>
              </w:rPr>
              <w:t xml:space="preserve"> </w:t>
            </w:r>
            <w:r>
              <w:rPr>
                <w:rFonts w:ascii="Times New Roman;Times;serif" w:hAnsi="Times New Roman;Times;serif"/>
                <w:b w:val="false"/>
                <w:i w:val="false"/>
                <w:caps w:val="false"/>
                <w:smallCaps w:val="false"/>
                <w:sz w:val="20"/>
              </w:rPr>
              <w:t>plaintiffs. The plaintiffs assert various claims, including claims for violations of state law consumer protection statutes. The Company filed a motion to dismiss the complaint on May 12, 2025.  On September 17, 2025, the court denied the motion to dismiss. The court held a status conference on October 9, 2025, to address issues of case management. The court ordered plaintiffs to file individual complaints for each plaintiff. The plaintiffs filed their individual complaints on December 11, 2025, and Defendants filed answers to each complaint on January 30, 2026. Discovery is ongoing and there is currently no trial date scheduled in this matter.</w:t>
            </w:r>
          </w:p>
        </w:tc>
      </w:tr>
    </w:tbl>
    <w:p>
      <w:pPr>
        <w:pStyle w:val="TextBody"/>
        <w:bidi w:val="0"/>
        <w:spacing w:before="0" w:after="0"/>
        <w:ind w:left="1440" w:right="0" w:hanging="0"/>
        <w:jc w:val="left"/>
      </w:pPr>
      <w:r>
        <w:t>​</w:t>
      </w:r>
    </w:p>
    <w:p>
      <w:pPr>
        <w:pStyle w:val="TextBody"/>
        <w:bidi w:val="0"/>
        <w:spacing w:lineRule="auto" w:line="300"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believe that the Company’s representations made in marketing materials or by our employees regarding GCU’s graduate program requirements were at all times accurate and not false or misleading and thus did not violate applicable law. The Company intends to defend itself vigorously in each of these legal proceedings. The outcome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lineRule="auto" w:line="300" w:before="0" w:after="120"/>
        <w:ind w:left="0" w:right="0" w:hanging="0"/>
        <w:jc w:val="left"/>
        <w:rPr>
          <w:rFonts w:ascii="Times New Roman;Times;serif" w:hAnsi="Times New Roman;Times;serif"/>
          <w:sz w:val="20"/>
        </w:rPr>
      </w:pPr>
      <w:r>
        <w:rPr>
          <w:rFonts w:ascii="Times New Roman;Times;serif" w:hAnsi="Times New Roman;Times;serif"/>
          <w:sz w:val="20"/>
        </w:rPr>
        <w:t>these legal proceedings is uncertain at this point. At present, the Company cannot estimate a range of loss for these actions based on the information available to the Company. Accordingly, the Company has not accrued any liability associated with these actions.</w:t>
      </w:r>
    </w:p>
    <w:p>
      <w:pPr>
        <w:pStyle w:val="TextBody"/>
        <w:bidi w:val="0"/>
        <w:spacing w:lineRule="atLeast" w:line="200" w:before="0" w:after="120"/>
        <w:ind w:left="0" w:right="0" w:hanging="0"/>
        <w:jc w:val="left"/>
        <w:rPr>
          <w:rFonts w:ascii="Times New Roman;Times;serif" w:hAnsi="Times New Roman;Times;serif"/>
          <w:b/>
          <w:sz w:val="20"/>
        </w:rPr>
      </w:pPr>
      <w:bookmarkStart w:id="1026" w:name="Tc_NLXBmcOM60SWZ7w2vrGY2Q_8_5"/>
      <w:bookmarkStart w:id="1027" w:name="Tc_GCdxvQgl30O_dwmRtoE7aw_8_2"/>
      <w:bookmarkStart w:id="1028" w:name="Tc_gzokFySnxEy-JSjihWOy1g_8_0"/>
      <w:bookmarkStart w:id="1029" w:name="Tc_2sSfud064E-MxZnwCzy8wg_7_0"/>
      <w:bookmarkStart w:id="1030" w:name="Tc_-NgVQYP5lk2iNcNhUIc8rQ_6_5"/>
      <w:bookmarkStart w:id="1031" w:name="Tc_h3KEwjsRW0SyBoMpZD9kGg_6_2"/>
      <w:bookmarkStart w:id="1032" w:name="Tc_2kurpR1qGUSn-YET2p7zEg_6_0"/>
      <w:bookmarkStart w:id="1033" w:name="Tc_DqYEj6JpkkudGYhB8PrwOg_5_0"/>
      <w:bookmarkStart w:id="1034" w:name="Tc_xNDrMHraKEyyYh8WuPMdvQ_4_0"/>
      <w:bookmarkStart w:id="1035" w:name="Tc_3kzEO5dy0kqjGrD3ROdvFw_3_0"/>
      <w:bookmarkStart w:id="1036" w:name="Tc_asiE9l_Sk02xs905aj_jYA_2_5"/>
      <w:bookmarkStart w:id="1037" w:name="Tc_MMfZRfBinUmSo6yq0aVVBw_2_2"/>
      <w:bookmarkStart w:id="1038" w:name="Tc_RjkRnm2Kl0WvtoB0WjroiQ_2_0"/>
      <w:bookmarkStart w:id="1039" w:name="Tc_PCl4Bggcn0CQ_XNmGzSV5Q_1_5"/>
      <w:bookmarkStart w:id="1040" w:name="Tc_0cx_v_h6CUuD1QVTu9ydTw_1_2"/>
      <w:bookmarkStart w:id="1041" w:name="Tc_XuRF0R4Oh0-_QUUqo6G1Hw_8_4"/>
      <w:bookmarkStart w:id="1042" w:name="Tc_ZYGkaJzuskSke8OCnKsZMw_8_0"/>
      <w:bookmarkStart w:id="1043" w:name="Tc_bHPGiGEIkUi631-C1fpOog_7_4"/>
      <w:bookmarkStart w:id="1044" w:name="Tc_LiZzMfcaX0--kfjusLc-yA_7_0"/>
      <w:bookmarkStart w:id="1045" w:name="Tc_3ua8bsqAok-v2V-5Zay5NQ_6_4"/>
      <w:bookmarkStart w:id="1046" w:name="Tc_t0kIrQNTZE-y2Da72SEqxQ_6_0"/>
      <w:bookmarkStart w:id="1047" w:name="Tc_8G4yZuR_4Eqs5EIZYivGJQ_5_4"/>
      <w:bookmarkStart w:id="1048" w:name="Tc_YLzoRyDL4UO5W5DFdCVB2w_5_0"/>
      <w:bookmarkStart w:id="1049" w:name="Tc_7qqGYpTN5E2B7gWTOh3EUg_4_4"/>
      <w:bookmarkStart w:id="1050" w:name="Tc_8psSNAaoekexBS-TYYVXHg_4_0"/>
      <w:bookmarkStart w:id="1051" w:name="Tc_4pJCoHGUQUWoLBLxdFY22Q_3_4"/>
      <w:bookmarkStart w:id="1052" w:name="Tc_ZHJuHaUtSkueZahqVyvhHA_3_2"/>
      <w:bookmarkStart w:id="1053" w:name="Tc_-jzSHjElbUmGnvRto1cBSg_2_4"/>
      <w:bookmarkStart w:id="1054" w:name="Tc_b7LIy7yHE0G7oroUMsAdug_2_2"/>
      <w:bookmarkStart w:id="1055" w:name="Tc_zRJoi-oyZUWBhbcV81fGzw_1_4"/>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r>
        <w:rPr>
          <w:rFonts w:ascii="Times New Roman;Times;serif" w:hAnsi="Times New Roman;Times;serif"/>
          <w:b/>
          <w:sz w:val="20"/>
        </w:rPr>
        <w:t>10. Share-Based Compensation</w:t>
      </w:r>
    </w:p>
    <w:p>
      <w:pPr>
        <w:pStyle w:val="TextBody"/>
        <w:bidi w:val="0"/>
        <w:spacing w:lineRule="atLeast" w:line="200" w:before="0" w:after="120"/>
        <w:ind w:left="0" w:right="0" w:firstLine="720"/>
        <w:jc w:val="left"/>
        <w:rPr>
          <w:rFonts w:ascii="Times New Roman;Times;serif" w:hAnsi="Times New Roman;Times;serif"/>
          <w:i/>
          <w:sz w:val="20"/>
        </w:rPr>
      </w:pPr>
      <w:r>
        <w:rPr>
          <w:rFonts w:ascii="Times New Roman;Times;serif" w:hAnsi="Times New Roman;Times;serif"/>
          <w:i/>
          <w:sz w:val="20"/>
        </w:rPr>
        <w:t>Incentive Plan</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Prior to June 2026, the Company made equity incentive grants under its 2017 Equity Incentive Plan (the “2017 Plan”). In April 2026, the Board of Directors of the Company approved, and at the Company’s 2026 annual meeting of stockholders held on June 10, 2026, the Company’s stockholders adopted, a 2026 Equity Incentive Plan (the “2026 Plan”). All future grants of equity incentives will be made from the 2026 Plan. As of September 30, 2026, 1,501 shares were available for grants under the 2026 Plan. </w:t>
      </w:r>
    </w:p>
    <w:p>
      <w:pPr>
        <w:pStyle w:val="TextBody"/>
        <w:bidi w:val="0"/>
        <w:spacing w:lineRule="atLeast" w:line="200" w:before="0" w:after="120"/>
        <w:ind w:left="0" w:right="0" w:firstLine="720"/>
        <w:jc w:val="left"/>
        <w:rPr>
          <w:rFonts w:ascii="Times New Roman;Times;serif" w:hAnsi="Times New Roman;Times;serif"/>
          <w:i/>
          <w:sz w:val="20"/>
        </w:rPr>
      </w:pPr>
      <w:r>
        <w:rPr>
          <w:rFonts w:ascii="Times New Roman;Times;serif" w:hAnsi="Times New Roman;Times;serif"/>
          <w:i/>
          <w:sz w:val="20"/>
        </w:rPr>
        <w:t>Restricted Stock</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During the nine months ended September 30, 2026, the Company granted 85 shares of common stock with a service vesting condition to certain of its executives, officers and employees. The restricted shares have voting rights and vest in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annual installments of 20%, </w:t>
      </w:r>
      <w:r>
        <w:rPr>
          <w:rFonts w:ascii="Times New Roman;Times;serif" w:hAnsi="Times New Roman;Times;serif"/>
          <w:b w:val="false"/>
          <w:i w:val="false"/>
          <w:caps w:val="false"/>
          <w:smallCaps w:val="false"/>
          <w:sz w:val="20"/>
        </w:rPr>
        <w:t>with</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the</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first</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installment</w:t>
      </w:r>
      <w:r>
        <w:rPr>
          <w:rFonts w:ascii="Times New Roman;Times;serif" w:hAnsi="Times New Roman;Times;serif"/>
          <w:sz w:val="20"/>
        </w:rPr>
        <w:t xml:space="preserve"> vesting in March of the calendar year following the date of grant (the “first vesting date”) and subsequent installments vesting on each of the four anniversaries of the first vesting date. Upon vesting, shares will be withheld in lieu of taxes equivalent to the minimum statutory tax withholding required to be paid when the restricted stock vests. During the nine months ended September 30, 2026, the Company withheld 47 shares of common stock in lieu of taxes at a cost of $7,521 on the restricted stock vesting dates. In June 2026, following the annual stockholders meeting, the Company granted 2 shares of common stock to the non-employee members of the Board of Directors. The restricted shares granted to these directors have voting rights and vest on the earlier of (a) the one-year anniversary of the date of grant or (b) immediately prior to the next annual stockholders meeting.</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A summary of the activity related to restricted stock granted under the 2017 Plan and the 2026 Plan since December 31, 2025 is as follows:</w:t>
      </w:r>
    </w:p>
    <w:p>
      <w:pPr>
        <w:pStyle w:val="TextBody"/>
        <w:bidi w:val="0"/>
        <w:spacing w:before="0" w:after="0"/>
        <w:ind w:left="0" w:right="0" w:hanging="0"/>
        <w:jc w:val="left"/>
      </w:pPr>
      <w:r>
        <w:t>​</w:t>
      </w:r>
    </w:p>
    <w:tbl>
      <w:tblPr>
        <w:tblW w:w="6260" w:type="dxa"/>
        <w:jc w:val="left"/>
        <w:tblInd w:w="0" w:type="dxa"/>
        <w:tblLayout w:type="fixed"/>
        <w:tblCellMar>
          <w:top w:w="0" w:type="dxa"/>
          <w:left w:w="0" w:type="dxa"/>
          <w:bottom w:w="0" w:type="dxa"/>
          <w:right w:w="0" w:type="dxa"/>
        </w:tblCellMar>
      </w:tblPr>
      <w:tblGrid>
        <w:gridCol w:w="3301"/>
        <w:gridCol w:w="346"/>
        <w:gridCol w:w="586"/>
        <w:gridCol w:w="346"/>
        <w:gridCol w:w="353"/>
        <w:gridCol w:w="1328"/>
      </w:tblGrid>
      <w:t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96135" cy="175260"/>
                      <wp:effectExtent l="0" t="0" r="0" b="0"/>
                      <wp:wrapNone/>
                      <wp:docPr id="136" name="Frame136"/>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72110" cy="175260"/>
                      <wp:effectExtent l="0" t="0" r="0" b="0"/>
                      <wp:wrapNone/>
                      <wp:docPr id="138" name="Frame13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24155" cy="175260"/>
                      <wp:effectExtent l="0" t="0" r="0" b="0"/>
                      <wp:wrapNone/>
                      <wp:docPr id="140" name="Frame140"/>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843280" cy="175260"/>
                      <wp:effectExtent l="0" t="0" r="0" b="0"/>
                      <wp:wrapNone/>
                      <wp:docPr id="141" name="Frame141"/>
                      <a:graphic xmlns:a="http://schemas.openxmlformats.org/drawingml/2006/main">
                        <a:graphicData uri="http://schemas.microsoft.com/office/word/2010/wordprocessingShape">
                          <wps:wsp>
                            <wps:cNvSpPr txBox="1"/>
                            <wps:spPr>
                              <a:xfrm>
                                <a:off x="0" y="0"/>
                                <a:ext cx="84328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3301"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center"/>
            </w:pPr>
            <w:r>
              <w:t>  ​ ​ ​</w:t>
            </w:r>
          </w:p>
        </w:tc>
        <w:tc>
          <w:tcPr>
            <w:tcW w:w="586"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center"/>
            </w:pPr>
            <w:r>
              <w:t>  ​ ​ ​</w:t>
            </w:r>
          </w:p>
        </w:tc>
        <w:tc>
          <w:tcPr>
            <w:tcW w:w="16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c>
          <w:tcPr>
            <w:tcW w:w="3301"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center"/>
            </w:pPr>
            <w:r>
              <w:t>​</w:t>
            </w:r>
          </w:p>
        </w:tc>
        <w:tc>
          <w:tcPr>
            <w:tcW w:w="5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center"/>
            </w:pPr>
            <w:r>
              <w:t>​</w:t>
            </w:r>
          </w:p>
        </w:tc>
        <w:tc>
          <w:tcPr>
            <w:tcW w:w="16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c>
          <w:tcPr>
            <w:tcW w:w="3301"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center"/>
            </w:pPr>
            <w: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pPr>
            <w:r>
              <w:t>​</w:t>
            </w:r>
          </w:p>
        </w:tc>
        <w:tc>
          <w:tcPr>
            <w:tcW w:w="16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per Share</w:t>
            </w:r>
          </w:p>
        </w:tc>
      </w:tr>
      <w:t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as of December 31, 2025</w:t>
            </w:r>
          </w:p>
        </w:tc>
        <w:tc>
          <w:tcPr>
            <w:tcW w:w="346" w:type="dxa"/>
            <w:tcBorders/>
            <w:shd w:fill="CCEEFF" w:val="clear"/>
            <w:vAlign w:val="center"/>
          </w:tcPr>
          <w:p>
            <w:pPr>
              <w:pStyle w:val="TableContents"/>
              <w:bidi w:val="0"/>
              <w:spacing w:before="0" w:after="1"/>
              <w:ind w:left="0" w:right="0" w:hanging="0"/>
              <w:jc w:val="left"/>
            </w:pPr>
            <w: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w:t>
            </w:r>
          </w:p>
        </w:tc>
        <w:tc>
          <w:tcPr>
            <w:tcW w:w="346" w:type="dxa"/>
            <w:tcBorders/>
            <w:shd w:fill="CCEEFF" w:val="clear"/>
            <w:vAlign w:val="center"/>
          </w:tcPr>
          <w:p>
            <w:pPr>
              <w:pStyle w:val="TableContents"/>
              <w:bidi w:val="0"/>
              <w:spacing w:before="0" w:after="1"/>
              <w:ind w:left="0" w:right="0" w:hanging="0"/>
              <w:jc w:val="left"/>
            </w:pPr>
            <w: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124.22</w:t>
            </w:r>
          </w:p>
        </w:tc>
      </w:tr>
      <w:tr>
        <w:tc>
          <w:tcPr>
            <w:tcW w:w="3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pPr>
            <w: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vAlign w:val="center"/>
          </w:tcPr>
          <w:p>
            <w:pPr>
              <w:pStyle w:val="TableContents"/>
              <w:bidi w:val="0"/>
              <w:spacing w:before="0" w:after="1"/>
              <w:ind w:left="0" w:right="0" w:hanging="0"/>
              <w:jc w:val="left"/>
            </w:pPr>
            <w:r>
              <w:t>​</w:t>
            </w:r>
          </w:p>
        </w:tc>
        <w:tc>
          <w:tcPr>
            <w:tcW w:w="3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174.18</w:t>
            </w:r>
          </w:p>
        </w:tc>
      </w:tr>
      <w:t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1"/>
              <w:ind w:left="0" w:right="0" w:hanging="0"/>
              <w:jc w:val="left"/>
            </w:pPr>
            <w: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shd w:fill="CCEEFF" w:val="clear"/>
            <w:vAlign w:val="center"/>
          </w:tcPr>
          <w:p>
            <w:pPr>
              <w:pStyle w:val="TableContents"/>
              <w:bidi w:val="0"/>
              <w:spacing w:before="0" w:after="1"/>
              <w:ind w:left="0" w:right="0" w:hanging="0"/>
              <w:jc w:val="left"/>
            </w:pPr>
            <w: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111.18</w:t>
            </w:r>
          </w:p>
        </w:tc>
      </w:tr>
      <w:tr>
        <w:tc>
          <w:tcPr>
            <w:tcW w:w="3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canceled or expired</w:t>
            </w:r>
          </w:p>
        </w:tc>
        <w:tc>
          <w:tcPr>
            <w:tcW w:w="346" w:type="dxa"/>
            <w:tcBorders/>
            <w:vAlign w:val="center"/>
          </w:tcPr>
          <w:p>
            <w:pPr>
              <w:pStyle w:val="TableContents"/>
              <w:bidi w:val="0"/>
              <w:spacing w:before="0" w:after="1"/>
              <w:ind w:left="0" w:right="0" w:hanging="0"/>
              <w:jc w:val="left"/>
            </w:pPr>
            <w: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1"/>
              <w:ind w:left="0" w:right="0" w:hanging="0"/>
              <w:jc w:val="left"/>
            </w:pPr>
            <w:r>
              <w:t>​</w:t>
            </w:r>
          </w:p>
        </w:tc>
        <w:tc>
          <w:tcPr>
            <w:tcW w:w="3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144.79</w:t>
            </w:r>
          </w:p>
        </w:tc>
      </w:tr>
      <w:t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as of September 30, 2026</w:t>
            </w:r>
          </w:p>
        </w:tc>
        <w:tc>
          <w:tcPr>
            <w:tcW w:w="346" w:type="dxa"/>
            <w:tcBorders/>
            <w:shd w:fill="CCEEFF" w:val="clear"/>
            <w:vAlign w:val="center"/>
          </w:tcPr>
          <w:p>
            <w:pPr>
              <w:pStyle w:val="TableContents"/>
              <w:bidi w:val="0"/>
              <w:spacing w:before="0" w:after="1"/>
              <w:ind w:left="0" w:right="0" w:hanging="0"/>
              <w:jc w:val="left"/>
            </w:pPr>
            <w:r>
              <w:t> </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w:t>
            </w:r>
          </w:p>
        </w:tc>
        <w:tc>
          <w:tcPr>
            <w:tcW w:w="346" w:type="dxa"/>
            <w:tcBorders/>
            <w:shd w:fill="CCEEFF" w:val="clear"/>
            <w:vAlign w:val="center"/>
          </w:tcPr>
          <w:p>
            <w:pPr>
              <w:pStyle w:val="TableContents"/>
              <w:bidi w:val="0"/>
              <w:spacing w:before="0" w:after="1"/>
              <w:ind w:left="0" w:right="0" w:hanging="0"/>
              <w:jc w:val="left"/>
            </w:pPr>
            <w: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144.38</w:t>
            </w:r>
          </w:p>
        </w:tc>
      </w:tr>
    </w:tbl>
    <w:p>
      <w:pPr>
        <w:pStyle w:val="TextBody"/>
        <w:bidi w:val="0"/>
        <w:spacing w:before="0" w:after="0"/>
        <w:ind w:left="0" w:right="0" w:hanging="0"/>
        <w:jc w:val="left"/>
      </w:pPr>
      <w:r>
        <w:t>​</w:t>
      </w:r>
    </w:p>
    <w:p>
      <w:pPr>
        <w:pStyle w:val="TextBody"/>
        <w:bidi w:val="0"/>
        <w:spacing w:lineRule="atLeast" w:line="200" w:before="120" w:after="120"/>
        <w:ind w:left="0" w:right="0" w:hanging="0"/>
        <w:jc w:val="left"/>
        <w:rPr>
          <w:rFonts w:ascii="Times New Roman;Times;serif" w:hAnsi="Times New Roman;Times;serif"/>
          <w:b/>
          <w:i/>
          <w:sz w:val="20"/>
        </w:rPr>
      </w:pPr>
      <w:r>
        <w:rPr>
          <w:rFonts w:ascii="Times New Roman;Times;serif" w:hAnsi="Times New Roman;Times;serif"/>
          <w:b/>
          <w:i/>
          <w:sz w:val="20"/>
        </w:rPr>
        <w:t>Share-based Compensation Expense</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The table below outlines share-based compensation expense for the nine months ended September 30, 2026 and 2025 related to restricted stock granted:</w:t>
      </w:r>
    </w:p>
    <w:p>
      <w:pPr>
        <w:pStyle w:val="TextBody"/>
        <w:bidi w:val="0"/>
        <w:spacing w:before="0" w:after="0"/>
        <w:ind w:left="0" w:right="0" w:hanging="0"/>
        <w:jc w:val="left"/>
      </w:pPr>
      <w:r>
        <w:t>​</w:t>
      </w:r>
    </w:p>
    <w:tbl>
      <w:tblPr>
        <w:tblW w:w="8042" w:type="dxa"/>
        <w:jc w:val="left"/>
        <w:tblInd w:w="0" w:type="dxa"/>
        <w:tblLayout w:type="fixed"/>
        <w:tblCellMar>
          <w:top w:w="0" w:type="dxa"/>
          <w:left w:w="0" w:type="dxa"/>
          <w:bottom w:w="0" w:type="dxa"/>
          <w:right w:w="0" w:type="dxa"/>
        </w:tblCellMar>
      </w:tblPr>
      <w:tblGrid>
        <w:gridCol w:w="5701"/>
        <w:gridCol w:w="146"/>
        <w:gridCol w:w="211"/>
        <w:gridCol w:w="691"/>
        <w:gridCol w:w="346"/>
        <w:gridCol w:w="211"/>
        <w:gridCol w:w="736"/>
      </w:tblGrid>
      <w:tr>
        <w:tc>
          <w:tcPr>
            <w:tcW w:w="5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3620135" cy="175260"/>
                      <wp:effectExtent l="0" t="0" r="0" b="0"/>
                      <wp:wrapNone/>
                      <wp:docPr id="142" name="Frame142"/>
                      <a:graphic xmlns:a="http://schemas.openxmlformats.org/drawingml/2006/main">
                        <a:graphicData uri="http://schemas.microsoft.com/office/word/2010/wordprocessingShape">
                          <wps:wsp>
                            <wps:cNvSpPr txBox="1"/>
                            <wps:spPr>
                              <a:xfrm>
                                <a:off x="0" y="0"/>
                                <a:ext cx="36201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92710" cy="175260"/>
                      <wp:effectExtent l="0" t="0" r="0" b="0"/>
                      <wp:wrapNone/>
                      <wp:docPr id="143" name="Frame14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4"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38785" cy="175260"/>
                      <wp:effectExtent l="0" t="0" r="0" b="0"/>
                      <wp:wrapNone/>
                      <wp:docPr id="145" name="Frame14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67360" cy="175260"/>
                      <wp:effectExtent l="0" t="0" r="0" b="0"/>
                      <wp:wrapNone/>
                      <wp:docPr id="148" name="Frame14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5701" w:type="dxa"/>
            <w:tcBorders/>
            <w:vAlign w:val="center"/>
          </w:tcPr>
          <w:p>
            <w:pPr>
              <w:pStyle w:val="TableContents"/>
              <w:bidi w:val="0"/>
              <w:spacing w:before="0" w:after="0"/>
              <w:ind w:left="0" w:right="0" w:hanging="0"/>
              <w:jc w:val="left"/>
            </w:pPr>
            <w:r>
              <w:t>​</w:t>
            </w:r>
          </w:p>
        </w:tc>
        <w:tc>
          <w:tcPr>
            <w:tcW w:w="146" w:type="dxa"/>
            <w:tcBorders/>
            <w:vAlign w:val="center"/>
          </w:tcPr>
          <w:p>
            <w:pPr>
              <w:pStyle w:val="TableContents"/>
              <w:bidi w:val="0"/>
              <w:spacing w:before="0" w:after="0"/>
              <w:ind w:left="0" w:right="0" w:hanging="0"/>
              <w:jc w:val="left"/>
            </w:pPr>
            <w: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pPr>
            <w: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1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1,959</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w:t>
            </w:r>
          </w:p>
        </w:tc>
      </w:tr>
      <w:t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1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5,689</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5,652</w:t>
            </w:r>
          </w:p>
        </w:tc>
      </w:tr>
      <w:t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1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2,566</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2,525</w:t>
            </w:r>
          </w:p>
        </w:tc>
      </w:tr>
      <w:t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Share-based compensation expense included in operating expenses</w:t>
            </w:r>
          </w:p>
        </w:tc>
        <w:tc>
          <w:tcPr>
            <w:tcW w:w="1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10,411</w:t>
            </w:r>
          </w:p>
        </w:tc>
      </w:tr>
      <w:t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effect of share-based compensation</w:t>
            </w:r>
          </w:p>
        </w:tc>
        <w:tc>
          <w:tcPr>
            <w:tcW w:w="1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(2,611)</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(2,603)</w:t>
            </w:r>
          </w:p>
        </w:tc>
      </w:tr>
      <w:t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Share-based compensation expense, net of tax</w:t>
            </w:r>
          </w:p>
        </w:tc>
        <w:tc>
          <w:tcPr>
            <w:tcW w:w="1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7,834</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7,808</w:t>
            </w:r>
          </w:p>
        </w:tc>
      </w:tr>
    </w:tbl>
    <w:p>
      <w:pPr>
        <w:pStyle w:val="TextBody"/>
        <w:bidi w:val="0"/>
        <w:spacing w:lineRule="atLeast" w:line="200"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lineRule="atLeast" w:line="200" w:before="0" w:after="240"/>
        <w:ind w:left="0" w:right="0" w:hanging="0"/>
        <w:jc w:val="left"/>
      </w:pPr>
      <w:r>
        <w:t>​</w:t>
      </w:r>
    </w:p>
    <w:p>
      <w:pPr>
        <w:pStyle w:val="TextBody"/>
        <w:bidi w:val="0"/>
        <w:spacing w:lineRule="atLeast" w:line="200" w:before="0" w:after="120"/>
        <w:ind w:left="0" w:right="0" w:hanging="0"/>
        <w:jc w:val="left"/>
        <w:rPr>
          <w:rFonts w:ascii="Times New Roman;Times;serif" w:hAnsi="Times New Roman;Times;serif"/>
          <w:b/>
          <w:sz w:val="20"/>
        </w:rPr>
      </w:pPr>
      <w:r>
        <w:rPr>
          <w:rFonts w:ascii="Times New Roman;Times;serif" w:hAnsi="Times New Roman;Times;serif"/>
          <w:b/>
          <w:sz w:val="20"/>
        </w:rPr>
        <w:t>11. Treasury Stock</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On October 28, 2026 the Board of Directors approved a $355,000 increase under its existing stock repurchase program reflecting an aggregate authorization for share repurchases since the initiation of the program of $2,900,000. The expiration date on the current repurchase authorization is March 1, 2028. Repurchases occur at the Company’s discretion. Repurchases may be made in the open market or in privately negotiated transactions, pursuant to the applicable SEC rules. The amount and timing of future share repurchases, if any, will be made as market and business conditions warrant.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the nine months ended September 30, 2026 the Company repurchased 1,701 shares of common stock, at an aggregate cost of $270,807. As of September 30, 2026, there remained $73,547 available under its current share repurchase authorization (which authorization was increased to $428,547 in October 2026). Shares repurchased in lieu of taxes are not included in the repurchase plan totals as they were approved in conjunction with the restricted share awards. Excise taxes of $2,588 are not included in the repurchase plan totals but are included in the total cost of net share repurchases in the consolidated statement of stockholders’ equity.</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1056" w:name="Item2ManagementsDiscussionandAnalysisofF"/>
      <w:bookmarkStart w:id="1057" w:name="_72b52d6c_564d_47e3_8901_7595c721f75a"/>
      <w:bookmarkEnd w:id="1056"/>
      <w:bookmarkEnd w:id="1057"/>
      <w:r>
        <w:rPr>
          <w:rFonts w:ascii="Times New Roman;Times;serif" w:hAnsi="Times New Roman;Times;serif"/>
          <w:b/>
          <w:sz w:val="20"/>
        </w:rPr>
        <w:t>Item 2.   Management’s Discussion and Analysis of Financial Condition and Results of Operations</w:t>
      </w:r>
    </w:p>
    <w:p>
      <w:pPr>
        <w:pStyle w:val="TextBody"/>
        <w:bidi w:val="0"/>
        <w:spacing w:before="0" w:after="120"/>
        <w:ind w:left="0" w:right="0" w:firstLine="720"/>
        <w:jc w:val="left"/>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the financial statements and related notes that appear elsewhere in this report.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This Quarterly Report on Form 10-Q, including Item 2,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contains certain “forward-looking statements” within the meaning of Section 27A of the Securities Act of 1933, as amended, and Section 21E of the Securities Exchange Act of 1934, as amended (the “Exchange Act”).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 You can also identify forward-looking statements by discussions of strategy, plans or intentions of management.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regulatory actions taken against us related to our services business, or against our university partners that impact their businesses and that directly or indirectly reduce the service revenue we can earn under our master services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event, change or other circumstance that could give rise to the termination of any of the key university partner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 and the results of related legal and regulatory actions that arise from such failures;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harm to our business, results of operations, and financial condition, and harm to our university partners resulting from epidemics, pandemics, or public health crises;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harm to our business and our ability to attract and retain students resulting from capacity constraints, system disruptions, or security breaches in our online computer networks and phone systems;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university partners’ students to obtain federal Title IV funds, state financial aid, and private financing;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damage to our reputation or other adverse effects as a result of negative publicity in the media, in the industry or in connection with governmental reports or investigations or otherwise, affecting us or other companies in the education services sector;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changes in applicable federal and state laws and regulations and accrediting commission standards, including pending rulemaking by the United States Department of Education applicable to us directly or indirectly through our university partners;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other education service companies in our geographic region and market sector, including competition for students, qualified executives and other personnel;</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tax payments and tax rate;</w:t>
            </w:r>
          </w:p>
        </w:tc>
      </w:tr>
    </w:tbl>
    <w:tbl>
      <w:tblPr>
        <w:tblW w:w="7551" w:type="dxa"/>
        <w:jc w:val="left"/>
        <w:tblInd w:w="0" w:type="dxa"/>
        <w:tblLayout w:type="fixed"/>
        <w:tblCellMar>
          <w:top w:w="28" w:type="dxa"/>
          <w:left w:w="28" w:type="dxa"/>
          <w:bottom w:w="28" w:type="dxa"/>
          <w:right w:w="28" w:type="dxa"/>
        </w:tblCellMar>
      </w:tblPr>
      <w:tblGrid>
        <w:gridCol w:w="124"/>
        <w:gridCol w:w="256"/>
        <w:gridCol w:w="717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train new employees, and develop and train existing employees;</w:t>
            </w:r>
          </w:p>
        </w:tc>
      </w:tr>
    </w:tbl>
    <w:tbl>
      <w:tblPr>
        <w:tblW w:w="8751" w:type="dxa"/>
        <w:jc w:val="left"/>
        <w:tblInd w:w="0" w:type="dxa"/>
        <w:tblLayout w:type="fixed"/>
        <w:tblCellMar>
          <w:top w:w="28" w:type="dxa"/>
          <w:left w:w="28" w:type="dxa"/>
          <w:bottom w:w="28" w:type="dxa"/>
          <w:right w:w="28" w:type="dxa"/>
        </w:tblCellMar>
      </w:tblPr>
      <w:tblGrid>
        <w:gridCol w:w="124"/>
        <w:gridCol w:w="256"/>
        <w:gridCol w:w="837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pace of growth of our university partners’ enrollment and its effect on the pace of our own growth;</w:t>
            </w:r>
          </w:p>
        </w:tc>
      </w:tr>
    </w:tbl>
    <w:tbl>
      <w:tblPr>
        <w:tblW w:w="4371" w:type="dxa"/>
        <w:jc w:val="left"/>
        <w:tblInd w:w="0" w:type="dxa"/>
        <w:tblLayout w:type="fixed"/>
        <w:tblCellMar>
          <w:top w:w="28" w:type="dxa"/>
          <w:left w:w="28" w:type="dxa"/>
          <w:bottom w:w="28" w:type="dxa"/>
          <w:right w:w="28" w:type="dxa"/>
        </w:tblCellMar>
      </w:tblPr>
      <w:tblGrid>
        <w:gridCol w:w="124"/>
        <w:gridCol w:w="256"/>
        <w:gridCol w:w="399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our revenues due to seasonality;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on behalf of our university partners, to convert prospective students to enrolled students and to retain active students to graduation;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updating and expanding the content of existing programs and developing new programs in a cost-effective manner or on a timely basis for our university partners;</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the competitive environment for marketing the programs of our university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on our part to keep up with advances in technology that could enhance the experience for our university partners’ students;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future growth effectively;</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natural disasters or public health emergencies;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adverse economic conditions or other developments that affect the job prospects of our university partners’ students.</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(the “2025 Form 10-K”) for the fiscal year ended December 31, 2025, filed with the Securities and Exchange Commission (“SEC”) on February 18, 2026, and as updated in our subsequent reports filed with the SEC, including any updates found in Part II, Item 1A of this Quarterly Report on Form 10-Q or our other reports on Form 10-Q. 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Executive Overview</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 comprehensive regionally accredited university that offers graduate and undergraduate degree programs, emphases and certificates across twelve colleges both online and on ground at its campus in Phoenix, Arizona, and at 12 off-campus classroom and laboratory sites.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We also provide education services to numerous university partners across the United States. In the healthcare field, we work in partnership with a number of top universities and healthcare networks,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September 30, 2026, GCE provides education services to 20 university partners across the United States.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plan to continue to add additional university partners and to introduce additional programs with both our existing partners and with new partners. We may engage with both new and existing university partners to offer healthcare programs, online only or hybrid programs, or, as is the case for our most significant partner, GCU, both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healthcare and other programs. We do disclose significant information for GCU, such as enrollments, due to its size in comparison to our other university partners.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critical accounting policies and estimates are disclosed in the 2025 Form 10-K for the fiscal year ended December 31, 2025. During the nine months ended September 30, 2026, there were no material changes in our critical accounting policies and estimates.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sets forth certain income statement data as a percentage of revenue for each of the periods indicated. Amortization of intangible assets has been excluded from the table below:</w:t>
      </w:r>
    </w:p>
    <w:tbl>
      <w:tblPr>
        <w:tblW w:w="7880" w:type="dxa"/>
        <w:jc w:val="left"/>
        <w:tblInd w:w="0" w:type="dxa"/>
        <w:tblLayout w:type="fixed"/>
        <w:tblCellMar>
          <w:top w:w="0" w:type="dxa"/>
          <w:left w:w="0" w:type="dxa"/>
          <w:bottom w:w="0" w:type="dxa"/>
          <w:right w:w="0" w:type="dxa"/>
        </w:tblCellMar>
      </w:tblPr>
      <w:tblGrid>
        <w:gridCol w:w="2956"/>
        <w:gridCol w:w="346"/>
        <w:gridCol w:w="578"/>
        <w:gridCol w:w="448"/>
        <w:gridCol w:w="578"/>
        <w:gridCol w:w="361"/>
        <w:gridCol w:w="346"/>
        <w:gridCol w:w="546"/>
        <w:gridCol w:w="423"/>
        <w:gridCol w:w="546"/>
        <w:gridCol w:w="361"/>
        <w:gridCol w:w="391"/>
      </w:tblGrid>
      <w:t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877060" cy="175260"/>
                      <wp:effectExtent l="0" t="0" r="0" b="0"/>
                      <wp:wrapNone/>
                      <wp:docPr id="149" name="Frame149"/>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67030" cy="175260"/>
                      <wp:effectExtent l="0" t="0" r="0" b="0"/>
                      <wp:wrapNone/>
                      <wp:docPr id="151" name="Frame151"/>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84480" cy="175260"/>
                      <wp:effectExtent l="0" t="0" r="0" b="0"/>
                      <wp:wrapNone/>
                      <wp:docPr id="152" name="Frame152"/>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67030" cy="175260"/>
                      <wp:effectExtent l="0" t="0" r="0" b="0"/>
                      <wp:wrapNone/>
                      <wp:docPr id="153" name="Frame153"/>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29235" cy="175260"/>
                      <wp:effectExtent l="0" t="0" r="0" b="0"/>
                      <wp:wrapNone/>
                      <wp:docPr id="154" name="Frame15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46710" cy="175260"/>
                      <wp:effectExtent l="0" t="0" r="0" b="0"/>
                      <wp:wrapNone/>
                      <wp:docPr id="156" name="Frame156"/>
                      <a:graphic xmlns:a="http://schemas.openxmlformats.org/drawingml/2006/main">
                        <a:graphicData uri="http://schemas.microsoft.com/office/word/2010/wordprocessingShape">
                          <wps:wsp>
                            <wps:cNvSpPr txBox="1"/>
                            <wps:spPr>
                              <a:xfrm>
                                <a:off x="0" y="0"/>
                                <a:ext cx="346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68605" cy="175260"/>
                      <wp:effectExtent l="0" t="0" r="0" b="0"/>
                      <wp:wrapNone/>
                      <wp:docPr id="157" name="Frame157"/>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46710" cy="175260"/>
                      <wp:effectExtent l="0" t="0" r="0" b="0"/>
                      <wp:wrapNone/>
                      <wp:docPr id="158" name="Frame158"/>
                      <a:graphic xmlns:a="http://schemas.openxmlformats.org/drawingml/2006/main">
                        <a:graphicData uri="http://schemas.microsoft.com/office/word/2010/wordprocessingShape">
                          <wps:wsp>
                            <wps:cNvSpPr txBox="1"/>
                            <wps:spPr>
                              <a:xfrm>
                                <a:off x="0" y="0"/>
                                <a:ext cx="346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29235" cy="175260"/>
                      <wp:effectExtent l="0" t="0" r="0" b="0"/>
                      <wp:wrapNone/>
                      <wp:docPr id="159" name="Frame15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48285" cy="175260"/>
                      <wp:effectExtent l="0" t="0" r="0" b="0"/>
                      <wp:wrapNone/>
                      <wp:docPr id="160" name="Frame16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295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1604"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61"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1515"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c>
          <w:tcPr>
            <w:tcW w:w="361" w:type="dxa"/>
            <w:tcBorders/>
            <w:vAlign w:val="center"/>
          </w:tcPr>
          <w:p>
            <w:pPr>
              <w:pStyle w:val="TableContents"/>
              <w:bidi w:val="0"/>
              <w:spacing w:before="0" w:after="1"/>
              <w:ind w:left="0" w:right="0" w:hanging="0"/>
              <w:jc w:val="left"/>
            </w:pPr>
            <w:r>
              <w:t>​</w:t>
            </w:r>
          </w:p>
        </w:tc>
        <w:tc>
          <w:tcPr>
            <w:tcW w:w="391" w:type="dxa"/>
            <w:tcBorders/>
            <w:vAlign w:val="center"/>
          </w:tcPr>
          <w:p>
            <w:pPr>
              <w:pStyle w:val="TableContents"/>
              <w:bidi w:val="0"/>
              <w:spacing w:before="0" w:after="1"/>
              <w:ind w:left="0" w:right="0" w:hanging="0"/>
              <w:jc w:val="left"/>
            </w:pPr>
            <w:r>
              <w:t>​</w:t>
            </w:r>
          </w:p>
        </w:tc>
      </w:tr>
      <w:tr>
        <w:tc>
          <w:tcPr>
            <w:tcW w:w="295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160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61"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151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61" w:type="dxa"/>
            <w:tcBorders/>
            <w:vAlign w:val="center"/>
          </w:tcPr>
          <w:p>
            <w:pPr>
              <w:pStyle w:val="TableContents"/>
              <w:bidi w:val="0"/>
              <w:spacing w:before="0" w:after="1"/>
              <w:ind w:left="0" w:right="0" w:hanging="0"/>
              <w:jc w:val="left"/>
            </w:pPr>
            <w:r>
              <w:t>​</w:t>
            </w:r>
          </w:p>
        </w:tc>
        <w:tc>
          <w:tcPr>
            <w:tcW w:w="391" w:type="dxa"/>
            <w:tcBorders/>
            <w:vAlign w:val="center"/>
          </w:tcPr>
          <w:p>
            <w:pPr>
              <w:pStyle w:val="TableContents"/>
              <w:bidi w:val="0"/>
              <w:spacing w:before="0" w:after="1"/>
              <w:ind w:left="0" w:right="0" w:hanging="0"/>
              <w:jc w:val="left"/>
            </w:pPr>
            <w:r>
              <w:t>​</w:t>
            </w:r>
          </w:p>
        </w:tc>
      </w:tr>
      <w:tr>
        <w:tc>
          <w:tcPr>
            <w:tcW w:w="295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  ​ ​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48" w:type="dxa"/>
            <w:tcBorders/>
            <w:vAlign w:val="center"/>
          </w:tcPr>
          <w:p>
            <w:pPr>
              <w:pStyle w:val="TableContents"/>
              <w:bidi w:val="0"/>
              <w:spacing w:before="0" w:after="1"/>
              <w:ind w:left="0" w:right="0" w:hanging="0"/>
              <w:jc w:val="left"/>
            </w:pPr>
            <w:r>
              <w:t>  ​ ​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pPr>
            <w:r>
              <w:t>  ​ ​ ​</w:t>
            </w:r>
          </w:p>
        </w:tc>
        <w:tc>
          <w:tcPr>
            <w:tcW w:w="346" w:type="dxa"/>
            <w:tcBorders/>
            <w:vAlign w:val="center"/>
          </w:tcPr>
          <w:p>
            <w:pPr>
              <w:pStyle w:val="TableContents"/>
              <w:bidi w:val="0"/>
              <w:spacing w:before="0" w:after="1"/>
              <w:ind w:left="0" w:right="0" w:hanging="0"/>
              <w:jc w:val="left"/>
            </w:pPr>
            <w:r>
              <w:t>  ​ ​ ​</w:t>
            </w:r>
          </w:p>
        </w:tc>
        <w:tc>
          <w:tcPr>
            <w:tcW w:w="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3" w:type="dxa"/>
            <w:tcBorders/>
            <w:vAlign w:val="center"/>
          </w:tcPr>
          <w:p>
            <w:pPr>
              <w:pStyle w:val="TableContents"/>
              <w:bidi w:val="0"/>
              <w:spacing w:before="0" w:after="1"/>
              <w:ind w:left="0" w:right="0" w:hanging="0"/>
              <w:jc w:val="left"/>
            </w:pPr>
            <w:r>
              <w:t>  ​ ​ ​</w:t>
            </w:r>
          </w:p>
        </w:tc>
        <w:tc>
          <w:tcPr>
            <w:tcW w:w="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pPr>
            <w:r>
              <w:t>  ​ ​ ​</w:t>
            </w:r>
          </w:p>
        </w:tc>
        <w:tc>
          <w:tcPr>
            <w:tcW w:w="391" w:type="dxa"/>
            <w:tcBorders/>
            <w:vAlign w:val="center"/>
          </w:tcPr>
          <w:p>
            <w:pPr>
              <w:pStyle w:val="TableContents"/>
              <w:bidi w:val="0"/>
              <w:spacing w:before="0" w:after="1"/>
              <w:ind w:left="0" w:right="0" w:hanging="0"/>
              <w:jc w:val="left"/>
            </w:pPr>
            <w:r>
              <w:t>  ​ ​ ​</w:t>
            </w:r>
          </w:p>
        </w:tc>
      </w:tr>
      <w:t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46" w:type="dxa"/>
            <w:tcBorders/>
            <w:shd w:fill="CCEEFF" w:val="clear"/>
            <w:vAlign w:val="center"/>
          </w:tcPr>
          <w:p>
            <w:pPr>
              <w:pStyle w:val="TableContents"/>
              <w:bidi w:val="0"/>
              <w:spacing w:before="0" w:after="1"/>
              <w:ind w:left="0" w:right="0" w:hanging="0"/>
              <w:jc w:val="left"/>
            </w:pPr>
            <w:r>
              <w:t> </w:t>
            </w:r>
          </w:p>
        </w:tc>
        <w:tc>
          <w:tcPr>
            <w:tcW w:w="578" w:type="dxa"/>
            <w:tcBorders/>
            <w:shd w:fill="CCEEFF" w:val="clear"/>
            <w:vAlign w:val="center"/>
          </w:tcPr>
          <w:p>
            <w:pPr>
              <w:pStyle w:val="TableContents"/>
              <w:bidi w:val="0"/>
              <w:spacing w:before="0" w:after="1"/>
              <w:ind w:left="0" w:right="0" w:hanging="0"/>
              <w:jc w:val="right"/>
            </w:pPr>
            <w:r>
              <w:t>  ​</w:t>
            </w:r>
          </w:p>
        </w:tc>
        <w:tc>
          <w:tcPr>
            <w:tcW w:w="448" w:type="dxa"/>
            <w:tcBorders/>
            <w:shd w:fill="CCEEFF" w:val="clear"/>
            <w:vAlign w:val="center"/>
          </w:tcPr>
          <w:p>
            <w:pPr>
              <w:pStyle w:val="TableContents"/>
              <w:bidi w:val="0"/>
              <w:spacing w:before="0" w:after="1"/>
              <w:ind w:left="0" w:right="0" w:hanging="0"/>
              <w:jc w:val="left"/>
            </w:pPr>
            <w:r>
              <w:t> </w:t>
            </w:r>
          </w:p>
        </w:tc>
        <w:tc>
          <w:tcPr>
            <w:tcW w:w="578" w:type="dxa"/>
            <w:tcBorders/>
            <w:shd w:fill="CCEEFF" w:val="clear"/>
            <w:vAlign w:val="center"/>
          </w:tcPr>
          <w:p>
            <w:pPr>
              <w:pStyle w:val="TableContents"/>
              <w:bidi w:val="0"/>
              <w:spacing w:before="0" w:after="1"/>
              <w:ind w:left="0" w:right="0" w:hanging="0"/>
              <w:jc w:val="right"/>
            </w:pPr>
            <w:r>
              <w:t>  ​</w:t>
            </w:r>
          </w:p>
        </w:tc>
        <w:tc>
          <w:tcPr>
            <w:tcW w:w="361" w:type="dxa"/>
            <w:tcBorders/>
            <w:shd w:fill="CCEEFF" w:val="clear"/>
            <w:vAlign w:val="center"/>
          </w:tcPr>
          <w:p>
            <w:pPr>
              <w:pStyle w:val="TableContents"/>
              <w:bidi w:val="0"/>
              <w:spacing w:before="0" w:after="1"/>
              <w:ind w:left="0" w:right="0" w:hanging="0"/>
              <w:jc w:val="left"/>
            </w:pPr>
            <w:r>
              <w:t> </w:t>
            </w:r>
          </w:p>
        </w:tc>
        <w:tc>
          <w:tcPr>
            <w:tcW w:w="346" w:type="dxa"/>
            <w:tcBorders/>
            <w:shd w:fill="CCEEFF" w:val="clear"/>
            <w:vAlign w:val="center"/>
          </w:tcPr>
          <w:p>
            <w:pPr>
              <w:pStyle w:val="TableContents"/>
              <w:bidi w:val="0"/>
              <w:spacing w:before="0" w:after="1"/>
              <w:ind w:left="0" w:right="0" w:hanging="0"/>
              <w:jc w:val="left"/>
            </w:pPr>
            <w:r>
              <w:t> </w:t>
            </w:r>
          </w:p>
        </w:tc>
        <w:tc>
          <w:tcPr>
            <w:tcW w:w="546" w:type="dxa"/>
            <w:tcBorders/>
            <w:shd w:fill="CCEEFF" w:val="clear"/>
            <w:vAlign w:val="center"/>
          </w:tcPr>
          <w:p>
            <w:pPr>
              <w:pStyle w:val="TableContents"/>
              <w:bidi w:val="0"/>
              <w:spacing w:before="0" w:after="1"/>
              <w:ind w:left="0" w:right="0" w:hanging="0"/>
              <w:jc w:val="right"/>
            </w:pPr>
            <w:r>
              <w:t>  ​</w:t>
            </w:r>
          </w:p>
        </w:tc>
        <w:tc>
          <w:tcPr>
            <w:tcW w:w="423" w:type="dxa"/>
            <w:tcBorders/>
            <w:shd w:fill="CCEEFF" w:val="clear"/>
            <w:vAlign w:val="center"/>
          </w:tcPr>
          <w:p>
            <w:pPr>
              <w:pStyle w:val="TableContents"/>
              <w:bidi w:val="0"/>
              <w:spacing w:before="0" w:after="1"/>
              <w:ind w:left="0" w:right="0" w:hanging="0"/>
              <w:jc w:val="left"/>
            </w:pPr>
            <w:r>
              <w:t> </w:t>
            </w:r>
          </w:p>
        </w:tc>
        <w:tc>
          <w:tcPr>
            <w:tcW w:w="546" w:type="dxa"/>
            <w:tcBorders/>
            <w:shd w:fill="CCEEFF" w:val="clear"/>
            <w:vAlign w:val="center"/>
          </w:tcPr>
          <w:p>
            <w:pPr>
              <w:pStyle w:val="TableContents"/>
              <w:bidi w:val="0"/>
              <w:spacing w:before="0" w:after="1"/>
              <w:ind w:left="0" w:right="0" w:hanging="0"/>
              <w:jc w:val="right"/>
            </w:pPr>
            <w:r>
              <w:t>  ​</w:t>
            </w:r>
          </w:p>
        </w:tc>
        <w:tc>
          <w:tcPr>
            <w:tcW w:w="361" w:type="dxa"/>
            <w:tcBorders/>
            <w:shd w:fill="CCEEFF" w:val="clear"/>
            <w:vAlign w:val="center"/>
          </w:tcPr>
          <w:p>
            <w:pPr>
              <w:pStyle w:val="TableContents"/>
              <w:bidi w:val="0"/>
              <w:spacing w:before="0" w:after="1"/>
              <w:ind w:left="0" w:right="0" w:hanging="0"/>
              <w:jc w:val="left"/>
            </w:pPr>
            <w:r>
              <w:t> </w:t>
            </w:r>
          </w:p>
        </w:tc>
        <w:tc>
          <w:tcPr>
            <w:tcW w:w="391" w:type="dxa"/>
            <w:tcBorders/>
            <w:shd w:fill="CCEEFF" w:val="clear"/>
            <w:vAlign w:val="center"/>
          </w:tcPr>
          <w:p>
            <w:pPr>
              <w:pStyle w:val="TableContents"/>
              <w:bidi w:val="0"/>
              <w:spacing w:before="0" w:after="1"/>
              <w:ind w:left="0" w:right="0" w:hanging="0"/>
              <w:jc w:val="left"/>
            </w:pPr>
            <w:r>
              <w:t> </w:t>
            </w:r>
          </w:p>
        </w:tc>
      </w:tr>
      <w:t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346" w:type="dxa"/>
            <w:tcBorders/>
            <w:vAlign w:val="center"/>
          </w:tcPr>
          <w:p>
            <w:pPr>
              <w:pStyle w:val="TableContents"/>
              <w:bidi w:val="0"/>
              <w:spacing w:before="0" w:after="1"/>
              <w:ind w:left="0" w:right="0" w:hanging="0"/>
              <w:jc w:val="left"/>
            </w:pPr>
            <w: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4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1"/>
              <w:ind w:left="0" w:right="0" w:hanging="0"/>
              <w:jc w:val="left"/>
            </w:pPr>
            <w:r>
              <w:t> </w:t>
            </w:r>
          </w:p>
        </w:tc>
        <w:tc>
          <w:tcPr>
            <w:tcW w:w="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91" w:type="dxa"/>
            <w:tcBorders/>
            <w:vAlign w:val="center"/>
          </w:tcPr>
          <w:p>
            <w:pPr>
              <w:pStyle w:val="TableContents"/>
              <w:bidi w:val="0"/>
              <w:spacing w:before="0" w:after="1"/>
              <w:ind w:left="0" w:right="0" w:hanging="0"/>
              <w:jc w:val="left"/>
            </w:pPr>
            <w:r>
              <w:t> </w:t>
            </w:r>
          </w:p>
        </w:tc>
      </w:tr>
      <w:t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346" w:type="dxa"/>
            <w:tcBorders/>
            <w:shd w:fill="CCEEFF" w:val="clear"/>
            <w:vAlign w:val="center"/>
          </w:tcPr>
          <w:p>
            <w:pPr>
              <w:pStyle w:val="TableContents"/>
              <w:bidi w:val="0"/>
              <w:spacing w:before="0" w:after="1"/>
              <w:ind w:left="0" w:right="0" w:hanging="0"/>
              <w:jc w:val="left"/>
            </w:pPr>
            <w: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w:t>
            </w:r>
          </w:p>
        </w:tc>
        <w:tc>
          <w:tcPr>
            <w:tcW w:w="448" w:type="dxa"/>
            <w:tcBorders/>
            <w:shd w:fill="CCEEFF" w:val="clear"/>
            <w:vAlign w:val="center"/>
          </w:tcPr>
          <w:p>
            <w:pPr>
              <w:pStyle w:val="TableContents"/>
              <w:bidi w:val="0"/>
              <w:spacing w:before="0" w:after="1"/>
              <w:ind w:left="0" w:right="0" w:hanging="0"/>
              <w:jc w:val="left"/>
            </w:pPr>
            <w: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c>
          <w:tcPr>
            <w:tcW w:w="361" w:type="dxa"/>
            <w:tcBorders/>
            <w:shd w:fill="CCEEFF" w:val="clear"/>
            <w:vAlign w:val="center"/>
          </w:tcPr>
          <w:p>
            <w:pPr>
              <w:pStyle w:val="TableContents"/>
              <w:bidi w:val="0"/>
              <w:spacing w:before="0" w:after="1"/>
              <w:ind w:left="0" w:right="0" w:hanging="0"/>
              <w:jc w:val="left"/>
            </w:pPr>
            <w:r>
              <w:t> </w:t>
            </w:r>
          </w:p>
        </w:tc>
        <w:tc>
          <w:tcPr>
            <w:tcW w:w="346" w:type="dxa"/>
            <w:tcBorders/>
            <w:shd w:fill="CCEEFF" w:val="clear"/>
            <w:vAlign w:val="center"/>
          </w:tcPr>
          <w:p>
            <w:pPr>
              <w:pStyle w:val="TableContents"/>
              <w:bidi w:val="0"/>
              <w:spacing w:before="0" w:after="1"/>
              <w:ind w:left="0" w:right="0" w:hanging="0"/>
              <w:jc w:val="left"/>
            </w:pPr>
            <w:r>
              <w:t> </w:t>
            </w:r>
          </w:p>
        </w:tc>
        <w:tc>
          <w:tcPr>
            <w:tcW w:w="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w:t>
            </w:r>
          </w:p>
        </w:tc>
        <w:tc>
          <w:tcPr>
            <w:tcW w:w="423" w:type="dxa"/>
            <w:tcBorders/>
            <w:shd w:fill="CCEEFF" w:val="clear"/>
            <w:vAlign w:val="center"/>
          </w:tcPr>
          <w:p>
            <w:pPr>
              <w:pStyle w:val="TableContents"/>
              <w:bidi w:val="0"/>
              <w:spacing w:before="0" w:after="1"/>
              <w:ind w:left="0" w:right="0" w:hanging="0"/>
              <w:jc w:val="left"/>
            </w:pPr>
            <w:r>
              <w:t> </w:t>
            </w:r>
          </w:p>
        </w:tc>
        <w:tc>
          <w:tcPr>
            <w:tcW w:w="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w:t>
            </w:r>
          </w:p>
        </w:tc>
        <w:tc>
          <w:tcPr>
            <w:tcW w:w="361" w:type="dxa"/>
            <w:tcBorders/>
            <w:shd w:fill="CCEEFF" w:val="clear"/>
            <w:vAlign w:val="center"/>
          </w:tcPr>
          <w:p>
            <w:pPr>
              <w:pStyle w:val="TableContents"/>
              <w:bidi w:val="0"/>
              <w:spacing w:before="0" w:after="1"/>
              <w:ind w:left="0" w:right="0" w:hanging="0"/>
              <w:jc w:val="left"/>
            </w:pPr>
            <w:r>
              <w:t> </w:t>
            </w:r>
          </w:p>
        </w:tc>
        <w:tc>
          <w:tcPr>
            <w:tcW w:w="391" w:type="dxa"/>
            <w:tcBorders/>
            <w:shd w:fill="CCEEFF" w:val="clear"/>
            <w:vAlign w:val="center"/>
          </w:tcPr>
          <w:p>
            <w:pPr>
              <w:pStyle w:val="TableContents"/>
              <w:bidi w:val="0"/>
              <w:spacing w:before="0" w:after="1"/>
              <w:ind w:left="0" w:right="0" w:hanging="0"/>
              <w:jc w:val="left"/>
            </w:pPr>
            <w:r>
              <w:t> </w:t>
            </w:r>
          </w:p>
        </w:tc>
      </w:tr>
      <w:t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346" w:type="dxa"/>
            <w:tcBorders/>
            <w:vAlign w:val="center"/>
          </w:tcPr>
          <w:p>
            <w:pPr>
              <w:pStyle w:val="TableContents"/>
              <w:bidi w:val="0"/>
              <w:spacing w:before="0" w:after="1"/>
              <w:ind w:left="0" w:right="0" w:hanging="0"/>
              <w:jc w:val="left"/>
            </w:pPr>
            <w: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w:t>
            </w:r>
          </w:p>
        </w:tc>
        <w:tc>
          <w:tcPr>
            <w:tcW w:w="448" w:type="dxa"/>
            <w:tcBorders/>
            <w:vAlign w:val="center"/>
          </w:tcPr>
          <w:p>
            <w:pPr>
              <w:pStyle w:val="TableContents"/>
              <w:bidi w:val="0"/>
              <w:spacing w:before="0" w:after="1"/>
              <w:ind w:left="0" w:right="0" w:hanging="0"/>
              <w:jc w:val="left"/>
            </w:pPr>
            <w: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w:t>
            </w:r>
          </w:p>
        </w:tc>
        <w:tc>
          <w:tcPr>
            <w:tcW w:w="361" w:type="dxa"/>
            <w:tcBorders/>
            <w:vAlign w:val="center"/>
          </w:tcPr>
          <w:p>
            <w:pPr>
              <w:pStyle w:val="TableContents"/>
              <w:bidi w:val="0"/>
              <w:spacing w:before="0" w:after="1"/>
              <w:ind w:left="0" w:right="0" w:hanging="0"/>
              <w:jc w:val="left"/>
            </w:pPr>
            <w:r>
              <w:t> </w:t>
            </w:r>
          </w:p>
        </w:tc>
        <w:tc>
          <w:tcPr>
            <w:tcW w:w="346" w:type="dxa"/>
            <w:tcBorders/>
            <w:vAlign w:val="center"/>
          </w:tcPr>
          <w:p>
            <w:pPr>
              <w:pStyle w:val="TableContents"/>
              <w:bidi w:val="0"/>
              <w:spacing w:before="0" w:after="1"/>
              <w:ind w:left="0" w:right="0" w:hanging="0"/>
              <w:jc w:val="left"/>
            </w:pPr>
            <w:r>
              <w:t> </w:t>
            </w:r>
          </w:p>
        </w:tc>
        <w:tc>
          <w:tcPr>
            <w:tcW w:w="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w:t>
            </w:r>
          </w:p>
        </w:tc>
        <w:tc>
          <w:tcPr>
            <w:tcW w:w="423" w:type="dxa"/>
            <w:tcBorders/>
            <w:vAlign w:val="center"/>
          </w:tcPr>
          <w:p>
            <w:pPr>
              <w:pStyle w:val="TableContents"/>
              <w:bidi w:val="0"/>
              <w:spacing w:before="0" w:after="1"/>
              <w:ind w:left="0" w:right="0" w:hanging="0"/>
              <w:jc w:val="left"/>
            </w:pPr>
            <w:r>
              <w:t> </w:t>
            </w:r>
          </w:p>
        </w:tc>
        <w:tc>
          <w:tcPr>
            <w:tcW w:w="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361" w:type="dxa"/>
            <w:tcBorders/>
            <w:vAlign w:val="center"/>
          </w:tcPr>
          <w:p>
            <w:pPr>
              <w:pStyle w:val="TableContents"/>
              <w:bidi w:val="0"/>
              <w:spacing w:before="0" w:after="1"/>
              <w:ind w:left="0" w:right="0" w:hanging="0"/>
              <w:jc w:val="left"/>
            </w:pPr>
            <w:r>
              <w:t> </w:t>
            </w:r>
          </w:p>
        </w:tc>
        <w:tc>
          <w:tcPr>
            <w:tcW w:w="391" w:type="dxa"/>
            <w:tcBorders/>
            <w:vAlign w:val="center"/>
          </w:tcPr>
          <w:p>
            <w:pPr>
              <w:pStyle w:val="TableContents"/>
              <w:bidi w:val="0"/>
              <w:spacing w:before="0" w:after="1"/>
              <w:ind w:left="0" w:right="0" w:hanging="0"/>
              <w:jc w:val="left"/>
            </w:pPr>
            <w:r>
              <w:t> </w:t>
            </w:r>
          </w:p>
        </w:tc>
      </w:tr>
      <w:t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left"/>
            </w:pPr>
            <w: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448" w:type="dxa"/>
            <w:tcBorders/>
            <w:shd w:fill="CCEEFF" w:val="clear"/>
            <w:vAlign w:val="center"/>
          </w:tcPr>
          <w:p>
            <w:pPr>
              <w:pStyle w:val="TableContents"/>
              <w:bidi w:val="0"/>
              <w:spacing w:before="0" w:after="1"/>
              <w:ind w:left="0" w:right="0" w:hanging="0"/>
              <w:jc w:val="left"/>
            </w:pPr>
            <w: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61" w:type="dxa"/>
            <w:tcBorders/>
            <w:shd w:fill="CCEEFF" w:val="clear"/>
            <w:vAlign w:val="center"/>
          </w:tcPr>
          <w:p>
            <w:pPr>
              <w:pStyle w:val="TableContents"/>
              <w:bidi w:val="0"/>
              <w:spacing w:before="0" w:after="1"/>
              <w:ind w:left="0" w:right="0" w:hanging="0"/>
              <w:jc w:val="left"/>
            </w:pPr>
            <w:r>
              <w:t> </w:t>
            </w:r>
          </w:p>
        </w:tc>
        <w:tc>
          <w:tcPr>
            <w:tcW w:w="346" w:type="dxa"/>
            <w:tcBorders/>
            <w:shd w:fill="CCEEFF" w:val="clear"/>
            <w:vAlign w:val="center"/>
          </w:tcPr>
          <w:p>
            <w:pPr>
              <w:pStyle w:val="TableContents"/>
              <w:bidi w:val="0"/>
              <w:spacing w:before="0" w:after="1"/>
              <w:ind w:left="0" w:right="0" w:hanging="0"/>
              <w:jc w:val="left"/>
            </w:pPr>
            <w:r>
              <w:t> </w:t>
            </w:r>
          </w:p>
        </w:tc>
        <w:tc>
          <w:tcPr>
            <w:tcW w:w="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423" w:type="dxa"/>
            <w:tcBorders/>
            <w:shd w:fill="CCEEFF" w:val="clear"/>
            <w:vAlign w:val="center"/>
          </w:tcPr>
          <w:p>
            <w:pPr>
              <w:pStyle w:val="TableContents"/>
              <w:bidi w:val="0"/>
              <w:spacing w:before="0" w:after="1"/>
              <w:ind w:left="0" w:right="0" w:hanging="0"/>
              <w:jc w:val="left"/>
            </w:pPr>
            <w:r>
              <w:t> </w:t>
            </w:r>
          </w:p>
        </w:tc>
        <w:tc>
          <w:tcPr>
            <w:tcW w:w="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61" w:type="dxa"/>
            <w:tcBorders/>
            <w:shd w:fill="CCEEFF" w:val="clear"/>
            <w:vAlign w:val="center"/>
          </w:tcPr>
          <w:p>
            <w:pPr>
              <w:pStyle w:val="TableContents"/>
              <w:bidi w:val="0"/>
              <w:spacing w:before="0" w:after="1"/>
              <w:ind w:left="0" w:right="0" w:hanging="0"/>
              <w:jc w:val="left"/>
            </w:pPr>
            <w:r>
              <w:t> </w:t>
            </w:r>
          </w:p>
        </w:tc>
        <w:tc>
          <w:tcPr>
            <w:tcW w:w="391" w:type="dxa"/>
            <w:tcBorders/>
            <w:shd w:fill="CCEEFF" w:val="clear"/>
            <w:vAlign w:val="center"/>
          </w:tcPr>
          <w:p>
            <w:pPr>
              <w:pStyle w:val="TableContents"/>
              <w:bidi w:val="0"/>
              <w:spacing w:before="0" w:after="1"/>
              <w:ind w:left="0" w:right="0" w:hanging="0"/>
              <w:jc w:val="left"/>
            </w:pPr>
            <w:r>
              <w:t> </w:t>
            </w:r>
          </w:p>
        </w:tc>
      </w:tr>
    </w:tbl>
    <w:p>
      <w:pPr>
        <w:pStyle w:val="TextBody"/>
        <w:bidi w:val="0"/>
        <w:spacing w:before="0" w:after="240"/>
        <w:ind w:left="0" w:right="0" w:hanging="0"/>
        <w:jc w:val="left"/>
      </w:pPr>
      <w: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Three Months Ended September 30, 2026 Compared to Three Months Ended September 30, 2025</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Service revenue</w:t>
      </w:r>
      <w:r>
        <w:rPr>
          <w:rFonts w:ascii="Times New Roman;Times;serif" w:hAnsi="Times New Roman;Times;serif"/>
          <w:sz w:val="20"/>
        </w:rPr>
        <w:t xml:space="preserve">. Our service revenue for the three months ended September 30, 2026 was $267.3 million, an increase of $6.2 million, or 2.4%, as compared to service revenue of $261.1 million for the three months ended September 30, 2025. The increase year over year in service revenue was primarily due to an increase in university partner enrollments of 5.2% to 145,270 at September 30, 2026 as compared to 138,073 at September 30, 2025. GCU enrollments increased to 139,170 at September 30, 2026, an increase of 5.1% over enrollments at September 30, 2025. University partner enrollments at our off-campus classroom and laboratory sites were 7,780, an increase of 12.6% over enrollments at September 30, 2025, which includes 1,680 and 1,325 GCU students at September 30, 2026, and 2025, respectively. Excluding sites that have been closed or are in teach out, total enrollments at our off-campus classroom and laboratory sites increased 14.1% between years. Revenue from GCU, our largest university partner, for the three months ended September 30, 2026, was earned on tuition and academic-related fees under the Amended MSA, whereas revenue for the three months ended September 30, 2025, was earned under the Original MSA and included, in addition to tuition and academic-related fees, the agreed percentage of ancillary fees related to student housing, food service, athletic ticket sales, arena events, hotel, golf course and apparel operations. Revenue per student slightly decreased between years primarily due to six fewer days of revenue for ground traditional students based on the start date of the Fall semester, resulting in a shift of revenue from the third quarter to the fourth quarter in 2026 which had a $7.5 million impact. Also, we saw a slight decline year over year in revenue per student for online students due to the continued mix shift to students that have a slightly lower net tuition rate. These decreases were offset by service revenue per student for accelerated Bachelor of Science in Nursing (“ABSN”) students at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our partners’ students take more credits on average per semester.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opened two new sites in the nine months ended September 30, 2026 and closed one site in which we stopped recruiting new students in 2025, thus the total number of sites were 48 at September 30, 2026. Enrollments for GCU ground students were 23,650 at September 30, 2026, down 4.1% from 24,671 at September 30, 2025. GCU online enrollments were 115,520 at September 30, 2026, up from 107,815 at September 30, 2025, an increase of 7.1% between years.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Technology and academic services</w:t>
      </w:r>
      <w:r>
        <w:rPr>
          <w:rFonts w:ascii="Times New Roman;Times;serif" w:hAnsi="Times New Roman;Times;serif"/>
          <w:sz w:val="20"/>
        </w:rPr>
        <w:t xml:space="preserve">. Our technology and academic services expenses for the three months ended September 30, 2026 were $43.1 million, a decrease of $1.8 million, or 4.1%, as compared to technology and academic services expenses of $44.9 million for the three months ended September 30, 2025. This decrease was primarily due to decreases in other technology and academic costs of $3.4 million, as a result of the Amended MSA that eliminated academic reimbursement costs. This decrease was partially offset by increases in employee compensation and related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expenses, including share-based compensation and benefit costs and in occupancy and depreciation costs of $0.8 million and $0.8 million, respectively. The increase in employee compensation and related expenses is primarily due to increased headcount to support our 20 university partners and their increased enrollment growth, tenure-based salary adjustments and a significant year-over-year increase in benefit costs. The increases in occupancy and depreciation were primarily due to the costs associated with the increased enrollment growth at our off-campus classroom and laboratory sites to support our 20 university partners. Our technology and academic services expenses as a percentage of revenue decreased by 1.1% to 16.1% for the three months ended September 30, 2026, from 17.2% for the three months ended September 30, 2025. This decrease was primarily due to our ability to leverage our technology and academic service expenses across an increasing revenue base and the elimination of the academic reimbursement costs due to the Amended MSA. We anticipate that technology and academic services expenses will increase in the future as we open more off-site classroom and laboratory sites and technology costs continue to grow, partially offset by a decrease in curriculum cost reimbursements due to the Amended MSA, and these costs as a percentage of revenue could increase in the future.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Counseling services and support</w:t>
      </w:r>
      <w:r>
        <w:rPr>
          <w:rFonts w:ascii="Times New Roman;Times;serif" w:hAnsi="Times New Roman;Times;serif"/>
          <w:sz w:val="20"/>
        </w:rPr>
        <w:t>. Our counseling services and support expenses for the three months ended September 30, 2026 were $88.3 million, an increase of $3.9 million, or 4.7%, as compared to counseling services and support expenses of $84.4 million for the three months ended September 30, 2025. This increase was primarily attributable to increases in employee compensation and related expenses including share-based compensation and benefits and in occupancy and depreciation costs of $3.6 million and $0.4 million, respectively, partially offset by a decrease in other counseling services and support expenses of $0.1 million. The increases in employee compensation including share-based compensation and benefits were primarily due to increased headcount to support our university partners, and their planned increases in enrollment, tenure-based salary adjustments and a significant year over year increase in benefit costs. The increase in occupancy and depreciation is primarily related to the increased headcount and continued enhancements to technology infrastructure and internal-use software development for employees that service students. The decrease in other counseling services and support expenses is primarily the result of lower travel costs to service our 20 university partners. Our counseling services and support expenses as a percentage of revenue increased 0.7% to 33.0% for the three months ended September 30, 2026, from 32.3% for the three months ended September 30, 2025 primarily due to our ability to leverage our counseling services and support expenses across an increasing revenue base offset by the increased costs described above. We anticipate that counseling services and support expense will increase in the future as we continue to invest to meet our partners’ needs and these costs as a percentage of revenue could increase in the future.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Marketing and communication</w:t>
      </w:r>
      <w:r>
        <w:rPr>
          <w:rFonts w:ascii="Times New Roman;Times;serif" w:hAnsi="Times New Roman;Times;serif"/>
          <w:sz w:val="20"/>
        </w:rPr>
        <w:t>. Our marketing and communication expenses for the three months ended September 30, 2026 were $65.5 million, an increase of $6.4 million, or 10.7%, as compared to marketing and communication expenses of $59.1 million for the three months ended September 30, 2025. This increase was primarily attributable to the increased spend to market our university partners’ programs and due to the marketing of new locations which resulted in increased advertising of $6.2 million, increased employee compensation, including share-based compensation and benefits of $0.1 million and increased occupancy and depreciation expense of $0.1 million. Our marketing and communication expenses as a percentage of revenue increased by 1.9% to 24.5% for the three months ended September 30, 2026, from 22.6% for the three months ended September 30, 2025. We anticipate that marketing and communication expenses will increase in the future as we continue to invest to meet our partners’ needs and these costs as a percentage of revenue could increase in the future.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General and administrative</w:t>
      </w:r>
      <w:r>
        <w:rPr>
          <w:rFonts w:ascii="Times New Roman;Times;serif" w:hAnsi="Times New Roman;Times;serif"/>
          <w:sz w:val="20"/>
        </w:rPr>
        <w:t>. Our general and administrative expenses for the three months ended September 30, 2026 were $16.9 million, an increase of $1.8 million, or 11.7%, as compared to general and administrative expenses of $15.1 million for the three months ended September 30, 2025. This increase was primarily attributable to an increase in non-recurring costs, in professional fees and in employee compensation, including share-based compensation and benefits of $1.1 million, $0.5 million and $0.3 million, respectively. These increases were partially offset by decreases in other administrative expenses of $0.1 million. Our general and administrative expenses as a percentage of revenue increased by 0.5% to 6.3% for the three months ended September 30, 2026, from 5.8% for the three months ended September 30, 2025, primarily due to the increases in non-recurring costs and professional fees, partially offset by our ability to leverage our general and administrative expenses across an increasing revenue base. General and administrative expenses could increase in the future and these costs as a percentage of revenue could increase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Litigation settlement</w:t>
      </w:r>
      <w:r>
        <w:rPr>
          <w:rFonts w:ascii="Times New Roman;Times;serif" w:hAnsi="Times New Roman;Times;serif"/>
          <w:sz w:val="20"/>
        </w:rPr>
        <w:t xml:space="preserve">. A litigation settlement of $35.0 million was recorded in the three months ended September 30, 2025 related to the settlement of the qui tam lawsuit.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Lease termination, impairment and other</w:t>
      </w:r>
      <w:r>
        <w:rPr>
          <w:rFonts w:ascii="Times New Roman;Times;serif" w:hAnsi="Times New Roman;Times;serif"/>
          <w:sz w:val="20"/>
        </w:rPr>
        <w:t>. We incurred $2.4 million in lease termination and impairment charges in the third quarter of 2025 related to leases. In the third quarter of 2025, we agreed to pay $1.3 million for our Indiana office space to early terminate our lease effective in June 2027. We also entered into a sublease of that space for the period from January 2026 to June 2027 and entered into a new lease for a much smaller space effective January 2026. Additionally, an impairment was recorded in the amount of $1.1 million in the three months ended September 30, 2025 for the two off-campus classroom and laboratory sites that were closed during the quarter.</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Amortization of intangible assets</w:t>
      </w:r>
      <w:r>
        <w:rPr>
          <w:rFonts w:ascii="Times New Roman;Times;serif" w:hAnsi="Times New Roman;Times;serif"/>
          <w:sz w:val="20"/>
        </w:rPr>
        <w:t>. Amortization of intangible assets for the three months ended September 30, 2026 and 2025 were $2.1 million for both periods. As a result of the Orbis Education acquisition in 2019, certain identifiable intangible assets were created (primarily customer relationships) that will be amortized over their expected lives.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Investment interest and other</w:t>
      </w:r>
      <w:r>
        <w:rPr>
          <w:rFonts w:ascii="Times New Roman;Times;serif" w:hAnsi="Times New Roman;Times;serif"/>
          <w:sz w:val="20"/>
        </w:rPr>
        <w:t>. Investment interest and other for the three months ended September 30, 2026 was $2.3 million, a decrease of $1.3 million, as compared to $3.6 million for the three months ended September 30, 2025 due to lower investment balances attributable to an increase in stock repurchases.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Income tax expense</w:t>
      </w:r>
      <w:r>
        <w:rPr>
          <w:rFonts w:ascii="Times New Roman;Times;serif" w:hAnsi="Times New Roman;Times;serif"/>
          <w:sz w:val="20"/>
        </w:rPr>
        <w:t>. Income tax expense for the three months ended September 30, 2026 was $10.7 million, an increase of $5.3 million, or 99.5%, as compared to income tax expense of $5.4 million for the three months ended September 30, 2025. The increase in income tax expense is due to the increase in income before taxes due to the litigation settlement in the third quarter of 2025, partially offset by a lower effective tax rate. Our effective tax rate was 20.0% during the three months ended September 30, 2026 compared to 24.9% during the three months ended September 30, 2025. The effective tax rate was favorably impacted by contributions in lieu of state income taxes of $5.0 million for both of the third quarters in 2026 and 2025. The higher effective tax rate in the third quarter of 2025 was due to the nondeductibility of the penalties associated with the litigation settlement.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Net income</w:t>
      </w:r>
      <w:r>
        <w:rPr>
          <w:rFonts w:ascii="Times New Roman;Times;serif" w:hAnsi="Times New Roman;Times;serif"/>
          <w:sz w:val="20"/>
        </w:rPr>
        <w:t>. Our net income for the three months ended September 30, 2026 was $43.0 million, an increase of $26.7 million, or 164.3% as compared to $16.3 million for the three months ended September 30, 2025, due to the factors discussed above.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Nine Months Ended September 30, 2026 Compared to Nine Months Ended September 30, 2025</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Service revenue</w:t>
      </w:r>
      <w:r>
        <w:rPr>
          <w:rFonts w:ascii="Times New Roman;Times;serif" w:hAnsi="Times New Roman;Times;serif"/>
          <w:sz w:val="20"/>
        </w:rPr>
        <w:t xml:space="preserve">. Our service revenue for the nine months ended September 30, 2026 was $840.2 million, an increase of $42.2 million, or 5.3%, as compared to service revenue of $798.0 million for the nine months ended September 30, 2025. The increase year over year in service revenue was primarily due to an increase in university partner enrollments of 5.2% to 145,270 at September 30, 2026 as compared to 138,073 at September 30, 2025. GCU enrollments increased to 139,170 at September 30, 2026, an increase of 5.1% over enrollments at September 30, 2025. University partner enrollments at our off-campus classroom and laboratory sites were 7,780, an increase of 12.6% over enrollments at September 30, 2025, which includes 1,680 and 1,325 GCU students at September 30, 2026 and 2025, respectively. Excluding sites that have been closed or are in teach out, total enrollments at our off-campus classroom and laboratory sites increased 14.1% between years. Revenue from GCU, our largest university partner, for the nine months ended September 30, 2026 includes revenue for the 3 months ended September 30, 2026 earned under the Amended MSA including only tuition and academic-related fees plus revenue for the six months ended June 30, 2026 earned under the Original MSA including, in addition to tuition and academic-related fees, the agreed percentage of ancillary fees related to student housing, food service, athletic ticket sales, arena events, hotel, golf course and apparel operations. By contrast, service revenue for the nine months ended September 30, 2025 was entirely earned under the Original MSA. Revenue per student stayed flat between years primarily due to the service revenue per student for ABSN students at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our partners’ students take more credits on average per semester. This increase was offset by six fewer days of revenue for ground traditional students based on the start date of the Fall semester, resulting in a shift of revenue from the third quarter to the fourth quarter in 2026 which had a $7.5 million impact. We also experienced a slight decline year over year in revenue per student for online students due to the continued mix shift to students that have a slightly lower net tuition rate.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opened two new sites in the nine months ended September 30, 2026 and closed one site in which we stopped recruiting new students in 2025, thus the total number of sites were 48 at September 30, 2026. Enrollments for GCU ground students were 23,650 at September 30, 2026, down 4.1% from 24,671 at September 30, 2025. GCU online enrollments were 115,520 at September 30, 2026, up from 107,815 at September 30, 2025, an increase of 7.1% between years.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Technology and academic services</w:t>
      </w:r>
      <w:r>
        <w:rPr>
          <w:rFonts w:ascii="Times New Roman;Times;serif" w:hAnsi="Times New Roman;Times;serif"/>
          <w:sz w:val="20"/>
        </w:rPr>
        <w:t>. Our technology and academic services expenses for the nine months ended September 30, 2026 were $133.7 million, an increase of $4.0 million, or 3.1%, as compared to technology and academic services expenses of $129.7 million for the nine months ended September 30, 2025. This increase was primarily due to increases in employee compensation and related expenses, including share-based compensation and benefit costs, in occupancy and depreciation costs, and in subscription costs of $3.0 million, $2.1 million and $1.6 million, respectively. These increases were partially offset by decreases in other technology and academic expenses of $2.7 million, as a result of the Amended MSA that eliminated academic reimbursement costs. The increase in employee compensation and related expenses is primarily due to increased headcount to support our 20 university partners and their increased enrollment growth, tenure-based salary adjustments and a significant year-over-year increase in benefit costs. The increases in occupancy and depreciation and other technology costs were primarily due to the costs associated with the increased enrollment growth at our off-campus classroom and laboratory sites to support our 20 university partners as well as an increase in technology costs to our university partners. Our technology and academic services expenses as a percentage of revenue decreased by 0.4% to 15.9% for the nine months ended September 30, 2026, from 16.3% for the nine months ended September 30, 2025. The increases in employee compensation, occupancy and depreciation and technology costs were offset by our ability to leverage our technology and academic service expenses across an increasing revenue base and the elimination of academic reimbursement costs. We anticipate that technology and academic services expenses will increase in the future as we open more off-site classroom and laboratory sites and technology costs continue to grow, partially offset by a decrease in academic cost reimbursements due to the Amended MSA, and these costs as a percentage of revenue could increase in the future.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Counseling services and support</w:t>
      </w:r>
      <w:r>
        <w:rPr>
          <w:rFonts w:ascii="Times New Roman;Times;serif" w:hAnsi="Times New Roman;Times;serif"/>
          <w:sz w:val="20"/>
        </w:rPr>
        <w:t>. Our counseling services and support expenses for the nine months ended September 30, 2026 were $268.3 million, an increase of $14.0 million, or 5.5%, as compared to counseling services and support expenses of $254.3 million for the nine months ended September 30, 2025. This increase was primarily attributable to increases in employee compensation and related expenses including share-based compensation and benefits and in occupancy and depreciation costs of $13.0 million and $1.6 million, respectively, partially offset by a decrease in other counseling services and support expenses of $0.6 million. The increases in employee compensation including share-based compensation and benefits were primarily due to increased headcount to support our university partners, and their planned increases in enrollment, tenure-based salary adjustments and a significant year-over-year increase in benefit costs. The increase in occupancy and depreciation is primarily related to the increased headcount and continued enhancements to technology infrastructure and internal-use software development for employees that service students. The decrease in other counseling services and support expenses is primarily the result of lower travel costs to service our 20 university partners. Our counseling services and support expenses as a percentage of revenue stayed flat at 31.9% for both of the nine months ended September 30, 2026 and 2025 primarily due to our ability to leverage our counseling services and support expenses across an increasing revenue base partially offset by the increased costs discussed above. We anticipate that counseling services and support expense will increase in the future as we continue to invest to meet our partners’ needs and these costs as a percentage of revenue could increase in the future.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Marketing and communication</w:t>
      </w:r>
      <w:r>
        <w:rPr>
          <w:rFonts w:ascii="Times New Roman;Times;serif" w:hAnsi="Times New Roman;Times;serif"/>
          <w:sz w:val="20"/>
        </w:rPr>
        <w:t>. Our marketing and communication expenses for the nine months ended September 30, 2026 were $189.4 million, an increase of $13.9 million, or 7.9%, as compared to marketing and communication expenses of $175.5 million for the nine months ended September 30, 2025. This increase was primarily attributable to the increased spend to market our university partners’ programs and the marketing of new locations which resulted in increased advertising of $12.9 million, increased employee compensation, including share-based compensation and benefits of $0.7 million, increased occupancy and depreciation expense of $0.2 million and increased other communication expenses of $0.1 million. Our marketing and communication expenses as a percentage of revenue increased by 0.5% to 22.5% for the nine months ended September 30, 2026, from 22.0% for the nine months ended September 30, 2025. We anticipate that marketing and communication expenses will increase in the future as we continue to invest to meet our partners’ needs and these costs as a percentage of revenue could increase in the future.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General and administrative</w:t>
      </w:r>
      <w:r>
        <w:rPr>
          <w:rFonts w:ascii="Times New Roman;Times;serif" w:hAnsi="Times New Roman;Times;serif"/>
          <w:sz w:val="20"/>
        </w:rPr>
        <w:t xml:space="preserve">. Our general and administrative expenses for the nine months ended September 30, 2026 were $37.3 million, an increase of $0.4 million, or 1.1%, as compared to general and administrative expenses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$36.9 million for the nine months ended September 30, 2025. This increase was primarily attributable to an increase in non-recurring costs and in employee compensation, including share-based compensation and benefit costs of $1.1 million and $0.7 million, respectively. These increases were partially offset by a decrease in professional fees, in occupancy and depreciation expenses and in other administrative expenses of $0.8 million, $0.4 million and $0.2 million, respectively. The decrease in professional fees was primarily due to lower legal costs between years. Our general and administrative expenses as a percentage of revenue decreased by 0.2% to 4.4% for the nine months ended September 30, 2026, from 4.6% for the nine months ended September 30, 2025, primarily due to our ability to leverage our general and administrative expenses across an increasing revenue base and lower professional fees and occupancy costs. General and administrative expenses could increase in the future and these costs as a percentage of revenue could increase in the future.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Litigation settlement</w:t>
      </w:r>
      <w:r>
        <w:rPr>
          <w:rFonts w:ascii="Times New Roman;Times;serif" w:hAnsi="Times New Roman;Times;serif"/>
          <w:sz w:val="20"/>
        </w:rPr>
        <w:t xml:space="preserve">. A litigation settlement of $35.0 million was recorded in the nine months ended September 30, 2025 related to the settlement of the qui tam lawsuit.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Lease termination, impairment and other</w:t>
      </w:r>
      <w:r>
        <w:rPr>
          <w:rFonts w:ascii="Times New Roman;Times;serif" w:hAnsi="Times New Roman;Times;serif"/>
          <w:sz w:val="20"/>
        </w:rPr>
        <w:t>. We incurred $2.4 million in lease termination and impairment charges in the nine months ended September 30, 2025 related to leases. In the third quarter of 2025, we agreed to pay $1.3 million for our Indiana office space to early terminate our lease effective in June 2027. We also entered into a sublease of that space for the period from January 2026 to June 2027 and entered into a new lease for a much smaller space effective January 2026. Additionally, an impairment was recorded in the amount of $1.1 million in the nine months ended September 30, 2025 for the two off-campus classroom and laboratory sites that were closed during the quarter.</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Amortization of intangible assets</w:t>
      </w:r>
      <w:r>
        <w:rPr>
          <w:rFonts w:ascii="Times New Roman;Times;serif" w:hAnsi="Times New Roman;Times;serif"/>
          <w:sz w:val="20"/>
        </w:rPr>
        <w:t>. Amortization of intangible assets for the nine months ended September 30, 2026 and 2025 were $6.3 million for both periods. As a result of the Orbis Education acquisition in 2019, certain identifiable intangible assets were created (primarily customer relationships) that will be amortized over their expected lives.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Investment interest and other</w:t>
      </w:r>
      <w:r>
        <w:rPr>
          <w:rFonts w:ascii="Times New Roman;Times;serif" w:hAnsi="Times New Roman;Times;serif"/>
          <w:sz w:val="20"/>
        </w:rPr>
        <w:t>. Investment interest and other for the nine months ended September 30, 2026 was $8.0 million, a decrease of $2.2 million, as compared to $10.2 million for the nine months ended September 30, 2025 due to lower returns and lower investment balances as a result of increased stock repurchases.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Income tax expense</w:t>
      </w:r>
      <w:r>
        <w:rPr>
          <w:rFonts w:ascii="Times New Roman;Times;serif" w:hAnsi="Times New Roman;Times;serif"/>
          <w:sz w:val="20"/>
        </w:rPr>
        <w:t xml:space="preserve">. Income tax expense for the nine months ended September 30, 2026 was $48.9 million, an increase of $10.3 million, or 26.5%, as compared to income tax expense of $38.6 million for the nine months ended September 30, 2025. The increase in income tax expense is due to the increase in income before taxes. Our effective tax rate was 22.9% during the nine months ended September 30, 2026 compared to 23.0% during the nine months ended September 30, 2025. The effective tax rate for both of the nine months ended September 30, 2026 and 2025 was favorably impacted by the contribution in lieu of state income taxes of $5.0 million. The effective tax rate stayed relatively flat year over year due to changes in state income taxes, an increase in taxable income and a decrease in excess tax benefits to $1.4 million in the nine months ended September 30, 2026 due to the decline in our stock price as compared to $2.7 million in the nine months ended September 30, 2025. The inclusion of excess tax benefits and deficiencies as a component of our income tax expense increases the volatility within our provision for income taxes as the amount of excess tax benefits or deficiencies from share-based compensation awards are dependent on our stock price at the date the restricted stock awards vest. Our restricted stock awards vest in March each year so any benefit or expense will primarily impact the first quarter each year.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Net income</w:t>
      </w:r>
      <w:r>
        <w:rPr>
          <w:rFonts w:ascii="Times New Roman;Times;serif" w:hAnsi="Times New Roman;Times;serif"/>
          <w:sz w:val="20"/>
        </w:rPr>
        <w:t>. Our net income for the nine months ended September 30, 2026 was $164.2 million, an increase of $34.8 million, or 26.9% as compared to $129.4 million for the nine months ended September 30, 2025, due to the factors discussed above.</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net revenue and operating results normally fluctuate as a result of seasonal variations in our business, principally due to changes in our university partners’ enrollment. Our partners’ enrollment varies as a result of new enrollments, graduations, and student attrition. Revenues in the Summer months (May through August) are lower primarily due to the majority of GCU’s traditional ground university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service revenue, resulting in higher operating income in the first and fourth quarters relative to other quarters. We expect quarterly fluctuation in operating results to continue as a result of these seasonal patterns.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 xml:space="preserve">Liquidity and Capital Resources </w:t>
      </w:r>
    </w:p>
    <w:tbl>
      <w:tblPr>
        <w:tblW w:w="6669" w:type="dxa"/>
        <w:jc w:val="left"/>
        <w:tblInd w:w="0" w:type="dxa"/>
        <w:tblLayout w:type="fixed"/>
        <w:tblCellMar>
          <w:top w:w="0" w:type="dxa"/>
          <w:left w:w="0" w:type="dxa"/>
          <w:bottom w:w="0" w:type="dxa"/>
          <w:right w:w="0" w:type="dxa"/>
        </w:tblCellMar>
      </w:tblPr>
      <w:tblGrid>
        <w:gridCol w:w="3331"/>
        <w:gridCol w:w="109"/>
        <w:gridCol w:w="332"/>
        <w:gridCol w:w="1228"/>
        <w:gridCol w:w="109"/>
        <w:gridCol w:w="297"/>
        <w:gridCol w:w="1263"/>
      </w:tblGrid>
      <w:tr>
        <w:tc>
          <w:tcPr>
            <w:tcW w:w="3331" w:type="dxa"/>
            <w:tcBorders/>
            <w:vAlign w:val="center"/>
          </w:tcPr>
          <w:p>
            <w:pPr>
              <w:pStyle w:val="TableContents"/>
              <w:bidi w:val="0"/>
              <w:spacing w:before="0" w:after="1"/>
              <w:ind w:left="0" w:right="0" w:hanging="0"/>
              <w:jc w:val="left"/>
            </w:pPr>
            <w: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1" name="Frame1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0820" cy="175260"/>
                      <wp:effectExtent l="0" t="0" r="0" b="0"/>
                      <wp:wrapNone/>
                      <wp:docPr id="162" name="Frame162"/>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779780" cy="175260"/>
                      <wp:effectExtent l="0" t="0" r="0" b="0"/>
                      <wp:wrapNone/>
                      <wp:docPr id="163" name="Frame163"/>
                      <a:graphic xmlns:a="http://schemas.openxmlformats.org/drawingml/2006/main">
                        <a:graphicData uri="http://schemas.microsoft.com/office/word/2010/wordprocessingShape">
                          <wps:wsp>
                            <wps:cNvSpPr txBox="1"/>
                            <wps:spPr>
                              <a:xfrm>
                                <a:off x="0" y="0"/>
                                <a:ext cx="77978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9215" cy="175260"/>
                      <wp:effectExtent l="0" t="0" r="0" b="0"/>
                      <wp:wrapNone/>
                      <wp:docPr id="164" name="Frame1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88595" cy="175260"/>
                      <wp:effectExtent l="0" t="0" r="0" b="0"/>
                      <wp:wrapNone/>
                      <wp:docPr id="165" name="Frame165"/>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802005" cy="175260"/>
                      <wp:effectExtent l="0" t="0" r="0" b="0"/>
                      <wp:wrapNone/>
                      <wp:docPr id="166" name="Frame166"/>
                      <a:graphic xmlns:a="http://schemas.openxmlformats.org/drawingml/2006/main">
                        <a:graphicData uri="http://schemas.microsoft.com/office/word/2010/wordprocessingShape">
                          <wps:wsp>
                            <wps:cNvSpPr txBox="1"/>
                            <wps:spPr>
                              <a:xfrm>
                                <a:off x="0" y="0"/>
                                <a:ext cx="80200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3331" w:type="dxa"/>
            <w:tcBorders/>
            <w:vAlign w:val="center"/>
          </w:tcPr>
          <w:p>
            <w:pPr>
              <w:pStyle w:val="TableContents"/>
              <w:bidi w:val="0"/>
              <w:spacing w:before="0" w:after="1"/>
              <w:ind w:left="0" w:right="0" w:hanging="0"/>
              <w:jc w:val="left"/>
            </w:pPr>
            <w:r>
              <w:t>​</w:t>
            </w:r>
          </w:p>
        </w:tc>
        <w:tc>
          <w:tcPr>
            <w:tcW w:w="109" w:type="dxa"/>
            <w:tcBorders/>
            <w:vAlign w:val="center"/>
          </w:tcPr>
          <w:p>
            <w:pPr>
              <w:pStyle w:val="TableContents"/>
              <w:bidi w:val="0"/>
              <w:spacing w:before="0" w:after="1"/>
              <w:ind w:left="0" w:right="0" w:hanging="0"/>
              <w:jc w:val="left"/>
            </w:pPr>
            <w: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pPr>
            <w: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c>
          <w:tcPr>
            <w:tcW w:w="33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pPr>
            <w: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pPr>
            <w: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investments</w:t>
            </w:r>
          </w:p>
        </w:tc>
        <w:tc>
          <w:tcPr>
            <w:tcW w:w="109" w:type="dxa"/>
            <w:tcBorders/>
            <w:shd w:fill="CCEEFF" w:val="clear"/>
            <w:vAlign w:val="center"/>
          </w:tcPr>
          <w:p>
            <w:pPr>
              <w:pStyle w:val="TableContents"/>
              <w:bidi w:val="0"/>
              <w:spacing w:before="0" w:after="1"/>
              <w:ind w:left="0" w:right="0" w:hanging="0"/>
              <w:jc w:val="left"/>
            </w:pPr>
            <w:r>
              <w:t>​</w:t>
            </w:r>
          </w:p>
        </w:tc>
        <w:tc>
          <w:tcPr>
            <w:tcW w:w="3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162,142</w:t>
            </w:r>
          </w:p>
        </w:tc>
        <w:tc>
          <w:tcPr>
            <w:tcW w:w="109" w:type="dxa"/>
            <w:tcBorders/>
            <w:shd w:fill="CCEEFF" w:val="clear"/>
            <w:vAlign w:val="center"/>
          </w:tcPr>
          <w:p>
            <w:pPr>
              <w:pStyle w:val="TableContents"/>
              <w:bidi w:val="0"/>
              <w:spacing w:before="0" w:after="1"/>
              <w:ind w:left="0" w:right="0" w:hanging="0"/>
              <w:jc w:val="left"/>
            </w:pPr>
            <w: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300,079</w:t>
            </w:r>
          </w:p>
        </w:tc>
      </w:tr>
    </w:tbl>
    <w:p>
      <w:pPr>
        <w:pStyle w:val="TextBody"/>
        <w:bidi w:val="0"/>
        <w:spacing w:before="120" w:after="12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liquidity position, as measured by cash and cash equivalents and investments decreased by $137.9 million between December 31, 2025 and September 30, 2026, which was largely attributable to cash expended for share repurchases and capital expenditures exceeding our cash provided by operations during the nine months ended September 30, 2026.</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Based on our current level of operations and anticipated growth, we believe that our cash flow from operations and other sources of liquidity, including cash and cash equivalents and investments, will provide adequate funds for ongoing operations, planned capital expenditures, and working capital requirements for at least the next 12 months. In addition, the Credit Agreement entered into on September 28, 2026 will provide additional liquidity to be used primarily for share repurchases and general corporate purposes. See </w:t>
      </w:r>
      <w:r>
        <w:rPr>
          <w:rFonts w:ascii="Times New Roman;Times;serif" w:hAnsi="Times New Roman;Times;serif"/>
          <w:i/>
          <w:sz w:val="20"/>
        </w:rPr>
        <w:t>Note 7 – Revolving Credit Facility</w:t>
      </w:r>
      <w:r>
        <w:rPr>
          <w:rFonts w:ascii="Times New Roman;Times;serif" w:hAnsi="Times New Roman;Times;serif"/>
          <w:sz w:val="20"/>
        </w:rPr>
        <w:t>, in Notes to Consolidated Financial Statements for further discussion.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Flows from Operating Activities</w:t>
      </w:r>
    </w:p>
    <w:tbl>
      <w:tblPr>
        <w:tblW w:w="6214" w:type="dxa"/>
        <w:jc w:val="left"/>
        <w:tblInd w:w="0" w:type="dxa"/>
        <w:tblLayout w:type="fixed"/>
        <w:tblCellMar>
          <w:top w:w="0" w:type="dxa"/>
          <w:left w:w="0" w:type="dxa"/>
          <w:bottom w:w="0" w:type="dxa"/>
          <w:right w:w="0" w:type="dxa"/>
        </w:tblCellMar>
      </w:tblPr>
      <w:tblGrid>
        <w:gridCol w:w="3466"/>
        <w:gridCol w:w="109"/>
        <w:gridCol w:w="252"/>
        <w:gridCol w:w="934"/>
        <w:gridCol w:w="130"/>
        <w:gridCol w:w="252"/>
        <w:gridCol w:w="1071"/>
      </w:tblGrid>
      <w:tr>
        <w:tc>
          <w:tcPr>
            <w:tcW w:w="3466" w:type="dxa"/>
            <w:tcBorders/>
            <w:vAlign w:val="center"/>
          </w:tcPr>
          <w:p>
            <w:pPr>
              <w:pStyle w:val="TableContents"/>
              <w:bidi w:val="0"/>
              <w:spacing w:before="0" w:after="1"/>
              <w:ind w:left="0" w:right="0" w:hanging="0"/>
              <w:jc w:val="left"/>
            </w:pPr>
            <w: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7" name="Frame1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60020" cy="175260"/>
                      <wp:effectExtent l="0" t="0" r="0" b="0"/>
                      <wp:wrapNone/>
                      <wp:docPr id="168" name="Frame168"/>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93090" cy="175260"/>
                      <wp:effectExtent l="0" t="0" r="0" b="0"/>
                      <wp:wrapNone/>
                      <wp:docPr id="169" name="Frame169"/>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82550" cy="175260"/>
                      <wp:effectExtent l="0" t="0" r="0" b="0"/>
                      <wp:wrapNone/>
                      <wp:docPr id="170" name="Frame170"/>
                      <a:graphic xmlns:a="http://schemas.openxmlformats.org/drawingml/2006/main">
                        <a:graphicData uri="http://schemas.microsoft.com/office/word/2010/wordprocessingShape">
                          <wps:wsp>
                            <wps:cNvSpPr txBox="1"/>
                            <wps:spPr>
                              <a:xfrm>
                                <a:off x="0" y="0"/>
                                <a:ext cx="8255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60020" cy="175260"/>
                      <wp:effectExtent l="0" t="0" r="0" b="0"/>
                      <wp:wrapNone/>
                      <wp:docPr id="171" name="Frame17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80085" cy="175260"/>
                      <wp:effectExtent l="0" t="0" r="0" b="0"/>
                      <wp:wrapNone/>
                      <wp:docPr id="172" name="Frame172"/>
                      <a:graphic xmlns:a="http://schemas.openxmlformats.org/drawingml/2006/main">
                        <a:graphicData uri="http://schemas.microsoft.com/office/word/2010/wordprocessingShape">
                          <wps:wsp>
                            <wps:cNvSpPr txBox="1"/>
                            <wps:spPr>
                              <a:xfrm>
                                <a:off x="0" y="0"/>
                                <a:ext cx="6800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3466" w:type="dxa"/>
            <w:tcBorders/>
            <w:vAlign w:val="center"/>
          </w:tcPr>
          <w:p>
            <w:pPr>
              <w:pStyle w:val="TableContents"/>
              <w:bidi w:val="0"/>
              <w:spacing w:before="0" w:after="1"/>
              <w:ind w:left="0" w:right="0" w:hanging="0"/>
              <w:jc w:val="left"/>
            </w:pPr>
            <w:r>
              <w:t>​</w:t>
            </w:r>
          </w:p>
        </w:tc>
        <w:tc>
          <w:tcPr>
            <w:tcW w:w="109" w:type="dxa"/>
            <w:tcBorders/>
            <w:vAlign w:val="center"/>
          </w:tcPr>
          <w:p>
            <w:pPr>
              <w:pStyle w:val="TableContents"/>
              <w:bidi w:val="0"/>
              <w:spacing w:before="0" w:after="1"/>
              <w:ind w:left="0" w:right="0" w:hanging="0"/>
              <w:jc w:val="left"/>
            </w:pPr>
            <w:r>
              <w:t>​</w:t>
            </w:r>
          </w:p>
        </w:tc>
        <w:tc>
          <w:tcPr>
            <w:tcW w:w="26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r>
      <w:tr>
        <w:tc>
          <w:tcPr>
            <w:tcW w:w="34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pPr>
            <w:r>
              <w:t>​</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30" w:type="dxa"/>
            <w:tcBorders/>
            <w:vAlign w:val="center"/>
          </w:tcPr>
          <w:p>
            <w:pPr>
              <w:pStyle w:val="TableContents"/>
              <w:bidi w:val="0"/>
              <w:spacing w:before="0" w:after="1"/>
              <w:ind w:left="0" w:right="0" w:hanging="0"/>
              <w:jc w:val="left"/>
            </w:pPr>
            <w:r>
              <w:t>​</w:t>
            </w:r>
          </w:p>
        </w:tc>
        <w:tc>
          <w:tcPr>
            <w:tcW w:w="13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109" w:type="dxa"/>
            <w:tcBorders/>
            <w:shd w:fill="CCEEFF" w:val="clear"/>
            <w:vAlign w:val="center"/>
          </w:tcPr>
          <w:p>
            <w:pPr>
              <w:pStyle w:val="TableContents"/>
              <w:bidi w:val="0"/>
              <w:spacing w:before="0" w:after="1"/>
              <w:ind w:left="0" w:right="0" w:hanging="0"/>
              <w:jc w:val="left"/>
            </w:pPr>
            <w: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171,589</w:t>
            </w:r>
          </w:p>
        </w:tc>
        <w:tc>
          <w:tcPr>
            <w:tcW w:w="130" w:type="dxa"/>
            <w:tcBorders/>
            <w:shd w:fill="CCEEFF" w:val="clear"/>
            <w:vAlign w:val="center"/>
          </w:tcPr>
          <w:p>
            <w:pPr>
              <w:pStyle w:val="TableContents"/>
              <w:bidi w:val="0"/>
              <w:spacing w:before="0" w:after="1"/>
              <w:ind w:left="0" w:right="0" w:hanging="0"/>
              <w:jc w:val="left"/>
            </w:pPr>
            <w: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143,006</w:t>
            </w:r>
          </w:p>
        </w:tc>
      </w:tr>
    </w:tbl>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The increase in cash generated from operating activities between the nine months ended September 30, 2025 and the nine months ended September 30, 2026 was primarily due to changes in working capital balances when adding back the litigation settlement to net income in 2025. Income tax receivable/payable amounts decreased by $9.6 million between December 31, 2025 and September 30, 2026 compared to the decrease of $30.6 million between December 31, 2024 and September 30, 2025, a $21.0 million increase year over year in cash provided by operating activities due to the increased taxable income. Accounts receivable increased $30.2 million between December 31, 2025 and September 30, 2026 compared to an increase of $39.1 million between December 31, 2024 and September 30, 2025, a $8.9 million increase year over year in cash provided by operating activities due to the timing of collections. Deferred income taxes increased $1.3 million between December 31, 2025 and September 30, 2026 compared to the increase of $13.5 million between December 31, 2024 and September 30, 2025, a $12.2 million decrease year over year in cash provided by operating activities due to the acceleration of certain tax deductions and the passage of the One Big Beautiful Bill Act on July 4, 2025. We define working capital as the assets and liabilities, other than cash, generated through the Company’s primary operating activities. Changes in these balances are included in the changes in assets and liabilities presented in the consolidated statement of cash flows.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Flows from Investing Activities</w:t>
      </w:r>
    </w:p>
    <w:tbl>
      <w:tblPr>
        <w:tblW w:w="6948" w:type="dxa"/>
        <w:jc w:val="left"/>
        <w:tblInd w:w="0" w:type="dxa"/>
        <w:tblLayout w:type="fixed"/>
        <w:tblCellMar>
          <w:top w:w="0" w:type="dxa"/>
          <w:left w:w="0" w:type="dxa"/>
          <w:bottom w:w="0" w:type="dxa"/>
          <w:right w:w="0" w:type="dxa"/>
        </w:tblCellMar>
      </w:tblPr>
      <w:tblGrid>
        <w:gridCol w:w="4201"/>
        <w:gridCol w:w="109"/>
        <w:gridCol w:w="258"/>
        <w:gridCol w:w="829"/>
        <w:gridCol w:w="133"/>
        <w:gridCol w:w="258"/>
        <w:gridCol w:w="1160"/>
      </w:tblGrid>
      <w:tr>
        <w:tc>
          <w:tcPr>
            <w:tcW w:w="4201" w:type="dxa"/>
            <w:tcBorders/>
            <w:vAlign w:val="center"/>
          </w:tcPr>
          <w:p>
            <w:pPr>
              <w:pStyle w:val="TableContents"/>
              <w:bidi w:val="0"/>
              <w:spacing w:before="0" w:after="1"/>
              <w:ind w:left="0" w:right="0" w:hanging="0"/>
              <w:jc w:val="left"/>
            </w:pPr>
            <w: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9215" cy="175260"/>
                      <wp:effectExtent l="0" t="0" r="0" b="0"/>
                      <wp:wrapNone/>
                      <wp:docPr id="173" name="Frame1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63830" cy="175260"/>
                      <wp:effectExtent l="0" t="0" r="0" b="0"/>
                      <wp:wrapNone/>
                      <wp:docPr id="174" name="Frame174"/>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26415" cy="175260"/>
                      <wp:effectExtent l="0" t="0" r="0" b="0"/>
                      <wp:wrapNone/>
                      <wp:docPr id="175" name="Frame175"/>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84455" cy="175260"/>
                      <wp:effectExtent l="0" t="0" r="0" b="0"/>
                      <wp:wrapNone/>
                      <wp:docPr id="176" name="Frame176"/>
                      <a:graphic xmlns:a="http://schemas.openxmlformats.org/drawingml/2006/main">
                        <a:graphicData uri="http://schemas.microsoft.com/office/word/2010/wordprocessingShape">
                          <wps:wsp>
                            <wps:cNvSpPr txBox="1"/>
                            <wps:spPr>
                              <a:xfrm>
                                <a:off x="0" y="0"/>
                                <a:ext cx="8445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63830" cy="175260"/>
                      <wp:effectExtent l="0" t="0" r="0" b="0"/>
                      <wp:wrapNone/>
                      <wp:docPr id="177" name="Frame177"/>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736600" cy="175260"/>
                      <wp:effectExtent l="0" t="0" r="0" b="0"/>
                      <wp:wrapNone/>
                      <wp:docPr id="178" name="Frame178"/>
                      <a:graphic xmlns:a="http://schemas.openxmlformats.org/drawingml/2006/main">
                        <a:graphicData uri="http://schemas.microsoft.com/office/word/2010/wordprocessingShape">
                          <wps:wsp>
                            <wps:cNvSpPr txBox="1"/>
                            <wps:spPr>
                              <a:xfrm>
                                <a:off x="0" y="0"/>
                                <a:ext cx="73660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4201" w:type="dxa"/>
            <w:tcBorders/>
            <w:vAlign w:val="center"/>
          </w:tcPr>
          <w:p>
            <w:pPr>
              <w:pStyle w:val="TableContents"/>
              <w:bidi w:val="0"/>
              <w:spacing w:before="0" w:after="1"/>
              <w:ind w:left="0" w:right="0" w:hanging="0"/>
              <w:jc w:val="left"/>
            </w:pPr>
            <w:r>
              <w:t>​</w:t>
            </w:r>
          </w:p>
        </w:tc>
        <w:tc>
          <w:tcPr>
            <w:tcW w:w="109" w:type="dxa"/>
            <w:tcBorders/>
            <w:vAlign w:val="center"/>
          </w:tcPr>
          <w:p>
            <w:pPr>
              <w:pStyle w:val="TableContents"/>
              <w:bidi w:val="0"/>
              <w:spacing w:before="0" w:after="1"/>
              <w:ind w:left="0" w:right="0" w:hanging="0"/>
              <w:jc w:val="left"/>
            </w:pPr>
            <w:r>
              <w:t>​</w:t>
            </w:r>
          </w:p>
        </w:tc>
        <w:tc>
          <w:tcPr>
            <w:tcW w:w="263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r>
      <w:tr>
        <w:tc>
          <w:tcPr>
            <w:tcW w:w="42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pPr>
            <w:r>
              <w:t>​</w:t>
            </w:r>
          </w:p>
        </w:tc>
        <w:tc>
          <w:tcPr>
            <w:tcW w:w="10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33" w:type="dxa"/>
            <w:tcBorders/>
            <w:vAlign w:val="center"/>
          </w:tcPr>
          <w:p>
            <w:pPr>
              <w:pStyle w:val="TableContents"/>
              <w:bidi w:val="0"/>
              <w:spacing w:before="0" w:after="1"/>
              <w:ind w:left="0" w:right="0" w:hanging="0"/>
              <w:jc w:val="left"/>
            </w:pPr>
            <w:r>
              <w:t>​</w:t>
            </w:r>
          </w:p>
        </w:tc>
        <w:tc>
          <w:tcPr>
            <w:tcW w:w="14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109" w:type="dxa"/>
            <w:tcBorders/>
            <w:shd w:fill="CCEEFF" w:val="clear"/>
            <w:vAlign w:val="center"/>
          </w:tcPr>
          <w:p>
            <w:pPr>
              <w:pStyle w:val="TableContents"/>
              <w:bidi w:val="0"/>
              <w:spacing w:before="0" w:after="1"/>
              <w:ind w:left="0" w:right="0" w:hanging="0"/>
              <w:jc w:val="left"/>
            </w:pPr>
            <w: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54,088</w:t>
            </w:r>
          </w:p>
        </w:tc>
        <w:tc>
          <w:tcPr>
            <w:tcW w:w="133" w:type="dxa"/>
            <w:tcBorders/>
            <w:shd w:fill="CCEEFF" w:val="clear"/>
            <w:vAlign w:val="center"/>
          </w:tcPr>
          <w:p>
            <w:pPr>
              <w:pStyle w:val="TableContents"/>
              <w:bidi w:val="0"/>
              <w:spacing w:before="0" w:after="1"/>
              <w:ind w:left="0" w:right="0" w:hanging="0"/>
              <w:jc w:val="left"/>
            </w:pPr>
            <w: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(205,615)</w:t>
            </w:r>
          </w:p>
        </w:tc>
      </w:tr>
    </w:tbl>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Investing activities provided $54.1 million of cash in the nine months ended September 30, 2026 compared to consuming $205.6 million of cash in the nine months ended September 30, 2025.</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Cash used in investing activities includes investment activity and the change between years in net investing activities is primarily due to investment activity. In the nine months ended September 30, 2026, the proceeds from the sale of investments, net of purchases of available-for-sale securities were $83.8 million. In the nine months ended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September 30, 2025, the purchase of available-for-sale securities, net of proceeds from the sale of investments were $177.8 million.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the first nine months of 2026 and 2025 cash used in investing activities also included capital expenditures totaling $29.6 million and $27.2 million, respectively. Capital expenditures for both periods primarily consisted of leasehold improvements and equipment for new off-campus classroom and laboratory sites, as well as purchases of computer equipment, internal use software projects and furniture and equipment to support our increasing employee headcount. The Company incurs upfront expenses and capital expenditures prior to an off-campus classroom and laboratory site being opened. The Company intends to continue to spend approximately $30.0 million to $35.0 million per year for capital expenditures.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Flows from Financing Activities</w:t>
      </w:r>
    </w:p>
    <w:tbl>
      <w:tblPr>
        <w:tblW w:w="5809" w:type="dxa"/>
        <w:jc w:val="left"/>
        <w:tblInd w:w="0" w:type="dxa"/>
        <w:tblLayout w:type="fixed"/>
        <w:tblCellMar>
          <w:top w:w="0" w:type="dxa"/>
          <w:left w:w="0" w:type="dxa"/>
          <w:bottom w:w="0" w:type="dxa"/>
          <w:right w:w="0" w:type="dxa"/>
        </w:tblCellMar>
      </w:tblPr>
      <w:tblGrid>
        <w:gridCol w:w="3061"/>
        <w:gridCol w:w="109"/>
        <w:gridCol w:w="234"/>
        <w:gridCol w:w="1000"/>
        <w:gridCol w:w="121"/>
        <w:gridCol w:w="234"/>
        <w:gridCol w:w="1050"/>
      </w:tblGrid>
      <w:tr>
        <w:tc>
          <w:tcPr>
            <w:tcW w:w="3061" w:type="dxa"/>
            <w:tcBorders/>
            <w:vAlign w:val="center"/>
          </w:tcPr>
          <w:p>
            <w:pPr>
              <w:pStyle w:val="TableContents"/>
              <w:bidi w:val="0"/>
              <w:spacing w:before="0" w:after="1"/>
              <w:ind w:left="0" w:right="0" w:hanging="0"/>
              <w:jc w:val="left"/>
            </w:pPr>
            <w: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9215" cy="175260"/>
                      <wp:effectExtent l="0" t="0" r="0" b="0"/>
                      <wp:wrapNone/>
                      <wp:docPr id="179" name="Frame1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48590" cy="175260"/>
                      <wp:effectExtent l="0" t="0" r="0" b="0"/>
                      <wp:wrapNone/>
                      <wp:docPr id="180" name="Frame180"/>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35000" cy="175260"/>
                      <wp:effectExtent l="0" t="0" r="0" b="0"/>
                      <wp:wrapNone/>
                      <wp:docPr id="181" name="Frame181"/>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76835" cy="175260"/>
                      <wp:effectExtent l="0" t="0" r="0" b="0"/>
                      <wp:wrapNone/>
                      <wp:docPr id="182" name="Frame182"/>
                      <a:graphic xmlns:a="http://schemas.openxmlformats.org/drawingml/2006/main">
                        <a:graphicData uri="http://schemas.microsoft.com/office/word/2010/wordprocessingShape">
                          <wps:wsp>
                            <wps:cNvSpPr txBox="1"/>
                            <wps:spPr>
                              <a:xfrm>
                                <a:off x="0" y="0"/>
                                <a:ext cx="768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48590" cy="175260"/>
                      <wp:effectExtent l="0" t="0" r="0" b="0"/>
                      <wp:wrapNone/>
                      <wp:docPr id="183" name="Frame183"/>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0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66750" cy="175260"/>
                      <wp:effectExtent l="0" t="0" r="0" b="0"/>
                      <wp:wrapNone/>
                      <wp:docPr id="184" name="Frame184"/>
                      <a:graphic xmlns:a="http://schemas.openxmlformats.org/drawingml/2006/main">
                        <a:graphicData uri="http://schemas.microsoft.com/office/word/2010/wordprocessingShape">
                          <wps:wsp>
                            <wps:cNvSpPr txBox="1"/>
                            <wps:spPr>
                              <a:xfrm>
                                <a:off x="0" y="0"/>
                                <a:ext cx="66675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3061" w:type="dxa"/>
            <w:tcBorders/>
            <w:vAlign w:val="center"/>
          </w:tcPr>
          <w:p>
            <w:pPr>
              <w:pStyle w:val="TableContents"/>
              <w:bidi w:val="0"/>
              <w:spacing w:before="0" w:after="1"/>
              <w:ind w:left="0" w:right="0" w:hanging="0"/>
              <w:jc w:val="left"/>
            </w:pPr>
            <w:r>
              <w:t>​</w:t>
            </w:r>
          </w:p>
        </w:tc>
        <w:tc>
          <w:tcPr>
            <w:tcW w:w="109" w:type="dxa"/>
            <w:tcBorders/>
            <w:vAlign w:val="center"/>
          </w:tcPr>
          <w:p>
            <w:pPr>
              <w:pStyle w:val="TableContents"/>
              <w:bidi w:val="0"/>
              <w:spacing w:before="0" w:after="1"/>
              <w:ind w:left="0" w:right="0" w:hanging="0"/>
              <w:jc w:val="left"/>
            </w:pPr>
            <w:r>
              <w:t>​</w:t>
            </w:r>
          </w:p>
        </w:tc>
        <w:tc>
          <w:tcPr>
            <w:tcW w:w="26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r>
      <w:tr>
        <w:tc>
          <w:tcPr>
            <w:tcW w:w="30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pPr>
            <w:r>
              <w:t>​</w:t>
            </w:r>
          </w:p>
        </w:tc>
        <w:tc>
          <w:tcPr>
            <w:tcW w:w="123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1" w:type="dxa"/>
            <w:tcBorders/>
            <w:vAlign w:val="center"/>
          </w:tcPr>
          <w:p>
            <w:pPr>
              <w:pStyle w:val="TableContents"/>
              <w:bidi w:val="0"/>
              <w:spacing w:before="0" w:after="1"/>
              <w:ind w:left="0" w:right="0" w:hanging="0"/>
              <w:jc w:val="left"/>
            </w:pPr>
            <w:r>
              <w:t>​</w:t>
            </w:r>
          </w:p>
        </w:tc>
        <w:tc>
          <w:tcPr>
            <w:tcW w:w="12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109" w:type="dxa"/>
            <w:tcBorders/>
            <w:shd w:fill="CCEEFF" w:val="clear"/>
            <w:vAlign w:val="center"/>
          </w:tcPr>
          <w:p>
            <w:pPr>
              <w:pStyle w:val="TableContents"/>
              <w:bidi w:val="0"/>
              <w:spacing w:before="0" w:after="1"/>
              <w:ind w:left="0" w:right="0" w:hanging="0"/>
              <w:jc w:val="left"/>
            </w:pPr>
            <w: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(278,679)</w:t>
            </w:r>
          </w:p>
        </w:tc>
        <w:tc>
          <w:tcPr>
            <w:tcW w:w="121" w:type="dxa"/>
            <w:tcBorders/>
            <w:shd w:fill="CCEEFF" w:val="clear"/>
            <w:vAlign w:val="center"/>
          </w:tcPr>
          <w:p>
            <w:pPr>
              <w:pStyle w:val="TableContents"/>
              <w:bidi w:val="0"/>
              <w:spacing w:before="0" w:after="1"/>
              <w:ind w:left="0" w:right="0" w:hanging="0"/>
              <w:jc w:val="left"/>
            </w:pPr>
            <w: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(164,730)</w:t>
            </w:r>
          </w:p>
        </w:tc>
      </w:tr>
    </w:tbl>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Financing activities consumed $278.7 million of cash in the nine months ended September 30, 2026 compared to $164.7 million in the nine months ended September 30, 2025.</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the nine months ended September 30, 2026 and 2025, $270.8 million and $155.2 million, respectively was used to purchase treasury stock in accordance with GCE’s share repurchase program. In 2026 and 2025, $7.5 million and $9.5 million, respectively, of cash was utilized to purchase common shares withheld in lieu of income taxes resulting from the vesting of restricted share awards. The Company intends to continue using a significant portion of its cash flows from operations to repurchase its shares.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Share Repurchase Program</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On October 28, 2026 the Board of Directors approved a $355.0 million increase under its existing stock repurchase program reflecting an aggregate authorization for share repurchases since the initiation of the program of up to $2.9 billion. The expiration date on the current repurchase authorization by our Board of Directors is March 1, 2028. Repurchases occur at the Company’s discretion and the Company may modify, suspend or discontinue the repurchase authorization at any time.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Under our share repurchase authorization, we may purchase shares in the open market or in privately negotiated transactions, pursuant to the applicable SEC rules. The amount and timing of future share repurchases, if any, will be made as market and business conditions warrant.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repurchased 1,700,605 shares of common stock in the nine months ended September 30, 2026. At September 30, 2026, there remains $73.5 million available under our share repurchase authorization (which authorization was increased to $428.5 million in October 2026).</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Off-Balance Sheet Arrangements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pStyle w:val="TextBody"/>
        <w:bidi w:val="0"/>
        <w:spacing w:before="0" w:after="120"/>
        <w:ind w:left="0" w:right="0" w:hanging="0"/>
        <w:jc w:val="left"/>
        <w:rPr>
          <w:rFonts w:ascii="Times New Roman;Times;serif" w:hAnsi="Times New Roman;Times;serif"/>
          <w:b/>
          <w:sz w:val="20"/>
        </w:rPr>
      </w:pPr>
      <w:bookmarkStart w:id="1058" w:name="Item3QuantitativeandQualitativeDisclosur"/>
      <w:bookmarkStart w:id="1059" w:name="_a7df882e_13ac_421c_84e7_075f7b93b6c4"/>
      <w:bookmarkEnd w:id="1058"/>
      <w:bookmarkEnd w:id="1059"/>
      <w:r>
        <w:rPr>
          <w:rFonts w:ascii="Times New Roman;Times;serif" w:hAnsi="Times New Roman;Times;serif"/>
          <w:b/>
          <w:sz w:val="20"/>
        </w:rPr>
        <w:t>Item 3.   Quantitative and Qualitative Disclosures About Market Risk</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Market risk</w:t>
      </w:r>
      <w:r>
        <w:rPr>
          <w:rFonts w:ascii="Times New Roman;Times;serif" w:hAnsi="Times New Roman;Times;serif"/>
          <w:sz w:val="20"/>
        </w:rPr>
        <w:t>. As of September 30, 2026, we have no derivative financial instruments or derivative commodity instruments. We invest cash in excess of current operating requirements in money market instruments, municipal and corporate bond portfolios or commercial paper at multiple financial institutions.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Interest rate risk</w:t>
      </w:r>
      <w:r>
        <w:rPr>
          <w:rFonts w:ascii="Times New Roman;Times;serif" w:hAnsi="Times New Roman;Times;serif"/>
          <w:sz w:val="20"/>
        </w:rPr>
        <w:t>. We manage interest rate risk by investing excess funds in cash equivalents, BBB or higher rated corporate bonds, commercial paper, agency bonds, municipal securities, asset backed securities, municipal bonds, and collateralized mortgage obligations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September 30, 2026, a 10% increase or decrease in interest rates would not have a material impact on our future earnings, fair values, or cash flows.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1060" w:name="Item4ControlsandProcedures_621985"/>
      <w:bookmarkStart w:id="1061" w:name="_821e77de_5bee_4366_a570_2aa9bb7d2a08"/>
      <w:bookmarkEnd w:id="1060"/>
      <w:bookmarkEnd w:id="1061"/>
      <w:r>
        <w:rPr>
          <w:rFonts w:ascii="Times New Roman;Times;serif" w:hAnsi="Times New Roman;Times;serif"/>
          <w:b/>
          <w:sz w:val="20"/>
        </w:rPr>
        <w:t>Item 4.   Controls and Procedures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carried out an evaluation, under the supervision and with the participation of our management, including our Chief Executive Officer and the Interim Chief Financial Officer, of the effectiveness of the design and operation of our disclosure controls and procedures, as defined in Rules 13a-15(e) and 15d-15(e) under the Exchange Act. Based upon that evaluation, our Chief Executive Officer and Interim Chief Financial Officer concluded that our disclosure controls and procedures are effective, as of September 30, 2026,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Based on an evaluation, under the supervision and with the participation of our management, including our Chief Executive Officer (who is our principal executive officer) and our Interim Chief Financial Officer (who is our interim principal financial officer and principal accounting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pStyle w:val="TextBody"/>
        <w:bidi w:val="0"/>
        <w:spacing w:before="0" w:after="100"/>
        <w:ind w:left="0" w:right="0" w:hanging="0"/>
        <w:jc w:val="left"/>
        <w:rPr>
          <w:rFonts w:ascii="Times New Roman;Times;serif" w:hAnsi="Times New Roman;Times;serif"/>
          <w:b/>
          <w:sz w:val="20"/>
        </w:rPr>
      </w:pPr>
      <w:bookmarkStart w:id="1062" w:name="PARTIIOTHERINFORMATION_437433"/>
      <w:bookmarkStart w:id="1063" w:name="_e948bd75_0365_4635_8e61_28cce0bbb13f"/>
      <w:bookmarkEnd w:id="1062"/>
      <w:bookmarkEnd w:id="1063"/>
      <w:r>
        <w:rPr>
          <w:rFonts w:ascii="Times New Roman;Times;serif" w:hAnsi="Times New Roman;Times;serif"/>
          <w:b/>
          <w:sz w:val="20"/>
        </w:rPr>
        <w:t>PART II – OTHER INFORMATION</w:t>
      </w:r>
    </w:p>
    <w:p>
      <w:pPr>
        <w:pStyle w:val="TextBody"/>
        <w:bidi w:val="0"/>
        <w:spacing w:before="0" w:after="100"/>
        <w:ind w:left="0" w:right="0" w:hanging="0"/>
        <w:jc w:val="left"/>
        <w:rPr>
          <w:rFonts w:ascii="Times New Roman;Times;serif" w:hAnsi="Times New Roman;Times;serif"/>
          <w:b/>
          <w:sz w:val="20"/>
        </w:rPr>
      </w:pPr>
      <w:bookmarkStart w:id="1064" w:name="Item1LegalProceedings_770208"/>
      <w:bookmarkEnd w:id="1064"/>
      <w:r>
        <w:rPr>
          <w:rFonts w:ascii="Times New Roman;Times;serif" w:hAnsi="Times New Roman;Times;serif"/>
          <w:b/>
          <w:sz w:val="20"/>
        </w:rPr>
        <w:t>Item 1.   Legal Proceedings</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20"/>
        </w:rPr>
        <w:t>For information regarding our material pending legal proceedings, see the section entitled Pending Litigation Matters within Note 9 – Commitments and Contingencies of our notes to consolidated financial statements included in Part I, Item 1 of this report, which section is incorporated by reference into this Part II, Item 1.</w:t>
      </w:r>
    </w:p>
    <w:p>
      <w:pPr>
        <w:pStyle w:val="TextBody"/>
        <w:bidi w:val="0"/>
        <w:spacing w:before="0" w:after="100"/>
        <w:ind w:left="0" w:right="0" w:hanging="0"/>
        <w:jc w:val="left"/>
        <w:rPr>
          <w:rFonts w:ascii="Times New Roman;Times;serif" w:hAnsi="Times New Roman;Times;serif"/>
          <w:b/>
          <w:sz w:val="20"/>
        </w:rPr>
      </w:pPr>
      <w:bookmarkStart w:id="1065" w:name="Item1ARiskFactors_601971"/>
      <w:bookmarkStart w:id="1066" w:name="_f3b7f67c_206f_45e8_ac6c_24a1263df590"/>
      <w:bookmarkEnd w:id="1065"/>
      <w:bookmarkEnd w:id="1066"/>
      <w:r>
        <w:rPr>
          <w:rFonts w:ascii="Times New Roman;Times;serif" w:hAnsi="Times New Roman;Times;serif"/>
          <w:b/>
          <w:sz w:val="20"/>
        </w:rPr>
        <w:t>Item 1A. Risk Factors</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to the risk factors disclosed in the “Risk Factors” section of the 2025 Form 10-K.</w:t>
      </w:r>
    </w:p>
    <w:p>
      <w:pPr>
        <w:pStyle w:val="TextBody"/>
        <w:bidi w:val="0"/>
        <w:spacing w:before="0" w:after="100"/>
        <w:ind w:left="0" w:right="0" w:hanging="0"/>
        <w:jc w:val="left"/>
        <w:rPr>
          <w:rFonts w:ascii="Times New Roman;Times;serif" w:hAnsi="Times New Roman;Times;serif"/>
          <w:b/>
          <w:sz w:val="20"/>
        </w:rPr>
      </w:pPr>
      <w:bookmarkStart w:id="1067" w:name="Item2UnregisteredSalesofEquitySecurities"/>
      <w:bookmarkStart w:id="1068" w:name="_dcff7278_4903_40b6_91fd_b73ed7fcfe47"/>
      <w:bookmarkEnd w:id="1067"/>
      <w:bookmarkEnd w:id="1068"/>
      <w:r>
        <w:rPr>
          <w:rFonts w:ascii="Times New Roman;Times;serif" w:hAnsi="Times New Roman;Times;serif"/>
          <w:b/>
          <w:sz w:val="20"/>
        </w:rPr>
        <w:t>Item 2.   Unregistered Sales of Equity Securities and Use of Proceeds</w:t>
      </w:r>
    </w:p>
    <w:p>
      <w:pPr>
        <w:pStyle w:val="TextBody"/>
        <w:bidi w:val="0"/>
        <w:spacing w:before="0" w:after="100"/>
        <w:ind w:left="0" w:right="0" w:hanging="0"/>
        <w:jc w:val="left"/>
        <w:rPr>
          <w:rFonts w:ascii="Times New Roman;Times;serif" w:hAnsi="Times New Roman;Times;serif"/>
          <w:b/>
          <w:i/>
          <w:sz w:val="20"/>
        </w:rPr>
      </w:pPr>
      <w:r>
        <w:rPr>
          <w:rFonts w:ascii="Times New Roman;Times;serif" w:hAnsi="Times New Roman;Times;serif"/>
          <w:b/>
          <w:i/>
          <w:sz w:val="20"/>
        </w:rPr>
        <w:t>Recent Sales of Unregistered Securities</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00"/>
        <w:ind w:left="0" w:right="0" w:hanging="0"/>
        <w:jc w:val="left"/>
        <w:rPr>
          <w:rFonts w:ascii="Times New Roman;Times;serif" w:hAnsi="Times New Roman;Times;serif"/>
          <w:b/>
          <w:i/>
          <w:sz w:val="20"/>
        </w:rPr>
      </w:pPr>
      <w:r>
        <w:rPr>
          <w:rFonts w:ascii="Times New Roman;Times;serif" w:hAnsi="Times New Roman;Times;serif"/>
          <w:b/>
          <w:i/>
          <w:sz w:val="20"/>
        </w:rPr>
        <w:t>Purchases of Equity Securities by the Issuer and Affiliated Purchasers</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20"/>
        </w:rPr>
        <w:t>On October 28, 2026 the Board of Directors approved a $355.0 million increase under its existing stock repurchase program reflecting an aggregate authorization for share repurchases since the initiation of the program of up to $2.9 billion. The expiration date on the current repurchase authorization by our Board of Directors is March 1, 2028. Repurchases occur at the Company’s discretion and the Company may modify, suspend or discontinue the repurchase authorization at any time. Repurchases may be made in the open market or in privately negotiated transactions, pursuant to the applicable SEC rules. The amount and timing of future share repurchases, if any, will be made as market and business conditions warrant.</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20"/>
        </w:rPr>
        <w:t>During the nine months ended September 30, 2026, 1,700,605 shares of common stock were repurchased by the Company. At September 30, 2026, there remains $73.5 million available under our share repurchase authorization (which authorization was increased to $428.5 million in October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share repurchases of common stock and our share repurchases in lieu of taxes, which are not included in the repurchase plan totals as they were approved in conjunction with the restricted share awards, during each period in the third quarter of fiscal 2026:</w:t>
      </w:r>
    </w:p>
    <w:tbl>
      <w:tblPr>
        <w:tblW w:w="10016" w:type="dxa"/>
        <w:jc w:val="left"/>
        <w:tblInd w:w="0" w:type="dxa"/>
        <w:tblLayout w:type="fixed"/>
        <w:tblCellMar>
          <w:top w:w="0" w:type="dxa"/>
          <w:left w:w="0" w:type="dxa"/>
          <w:bottom w:w="0" w:type="dxa"/>
          <w:right w:w="0" w:type="dxa"/>
        </w:tblCellMar>
      </w:tblPr>
      <w:tblGrid>
        <w:gridCol w:w="3451"/>
        <w:gridCol w:w="346"/>
        <w:gridCol w:w="1381"/>
        <w:gridCol w:w="346"/>
        <w:gridCol w:w="211"/>
        <w:gridCol w:w="676"/>
        <w:gridCol w:w="346"/>
        <w:gridCol w:w="1576"/>
        <w:gridCol w:w="286"/>
        <w:gridCol w:w="211"/>
        <w:gridCol w:w="1186"/>
      </w:tblGrid>
      <w:tr>
        <w:tc>
          <w:tcPr>
            <w:tcW w:w="345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876935" cy="175260"/>
                      <wp:effectExtent l="0" t="0" r="0" b="0"/>
                      <wp:wrapNone/>
                      <wp:docPr id="186" name="Frame186"/>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29260" cy="175260"/>
                      <wp:effectExtent l="0" t="0" r="0" b="0"/>
                      <wp:wrapNone/>
                      <wp:docPr id="189" name="Frame18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000760" cy="175260"/>
                      <wp:effectExtent l="0" t="0" r="0" b="0"/>
                      <wp:wrapNone/>
                      <wp:docPr id="191" name="Frame191"/>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81610" cy="175260"/>
                      <wp:effectExtent l="0" t="0" r="0" b="0"/>
                      <wp:wrapNone/>
                      <wp:docPr id="192" name="Frame19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753110" cy="175260"/>
                      <wp:effectExtent l="0" t="0" r="0" b="0"/>
                      <wp:wrapNone/>
                      <wp:docPr id="194" name="Frame19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45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1381"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  ​ ​ ​</w:t>
            </w:r>
          </w:p>
        </w:tc>
        <w:tc>
          <w:tcPr>
            <w:tcW w:w="211"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  ​ ​ ​</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286" w:type="dxa"/>
            <w:tcBorders/>
            <w:vAlign w:val="center"/>
          </w:tcPr>
          <w:p>
            <w:pPr>
              <w:pStyle w:val="TableContents"/>
              <w:bidi w:val="0"/>
              <w:spacing w:before="0" w:after="0"/>
              <w:ind w:left="0" w:right="0" w:hanging="0"/>
              <w:jc w:val="center"/>
            </w:pPr>
            <w:r>
              <w:t>  ​ ​</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Dollar</w:t>
            </w:r>
          </w:p>
        </w:tc>
      </w:tr>
      <w:tr>
        <w:tc>
          <w:tcPr>
            <w:tcW w:w="345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1381"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211" w:type="dxa"/>
            <w:tcBorders/>
            <w:vAlign w:val="center"/>
          </w:tcPr>
          <w:p>
            <w:pPr>
              <w:pStyle w:val="TableContents"/>
              <w:bidi w:val="0"/>
              <w:spacing w:before="0" w:after="0"/>
              <w:ind w:left="0" w:right="0" w:hanging="0"/>
              <w:jc w:val="left"/>
            </w:pPr>
            <w:r>
              <w:t>​</w:t>
            </w:r>
          </w:p>
        </w:tc>
        <w:tc>
          <w:tcPr>
            <w:tcW w:w="676"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 as</w:t>
            </w:r>
          </w:p>
        </w:tc>
        <w:tc>
          <w:tcPr>
            <w:tcW w:w="286" w:type="dxa"/>
            <w:tcBorders/>
            <w:vAlign w:val="center"/>
          </w:tcPr>
          <w:p>
            <w:pPr>
              <w:pStyle w:val="TableContents"/>
              <w:bidi w:val="0"/>
              <w:spacing w:before="0" w:after="0"/>
              <w:ind w:left="0" w:right="0" w:hanging="0"/>
              <w:jc w:val="center"/>
            </w:pPr>
            <w: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 Shares</w:t>
            </w:r>
          </w:p>
        </w:tc>
      </w:tr>
      <w:tr>
        <w:tc>
          <w:tcPr>
            <w:tcW w:w="345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1381"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pPr>
            <w: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Part of Publicly</w:t>
            </w:r>
          </w:p>
        </w:tc>
        <w:tc>
          <w:tcPr>
            <w:tcW w:w="286" w:type="dxa"/>
            <w:tcBorders/>
            <w:vAlign w:val="center"/>
          </w:tcPr>
          <w:p>
            <w:pPr>
              <w:pStyle w:val="TableContents"/>
              <w:bidi w:val="0"/>
              <w:spacing w:before="0" w:after="0"/>
              <w:ind w:left="0" w:right="0" w:hanging="0"/>
              <w:jc w:val="center"/>
            </w:pPr>
            <w: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That May Yet Be</w:t>
            </w:r>
          </w:p>
        </w:tc>
      </w:tr>
      <w:tr>
        <w:tc>
          <w:tcPr>
            <w:tcW w:w="345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13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46" w:type="dxa"/>
            <w:tcBorders/>
            <w:vAlign w:val="center"/>
          </w:tcPr>
          <w:p>
            <w:pPr>
              <w:pStyle w:val="TableContents"/>
              <w:bidi w:val="0"/>
              <w:spacing w:before="0" w:after="0"/>
              <w:ind w:left="0" w:right="0" w:hanging="0"/>
              <w:jc w:val="center"/>
            </w:pPr>
            <w: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Paid</w:t>
            </w:r>
          </w:p>
        </w:tc>
        <w:tc>
          <w:tcPr>
            <w:tcW w:w="346" w:type="dxa"/>
            <w:tcBorders/>
            <w:vAlign w:val="center"/>
          </w:tcPr>
          <w:p>
            <w:pPr>
              <w:pStyle w:val="TableContents"/>
              <w:bidi w:val="0"/>
              <w:spacing w:before="0" w:after="0"/>
              <w:ind w:left="0" w:right="0" w:hanging="0"/>
              <w:jc w:val="center"/>
            </w:pPr>
            <w: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w:t>
            </w:r>
          </w:p>
        </w:tc>
        <w:tc>
          <w:tcPr>
            <w:tcW w:w="286" w:type="dxa"/>
            <w:tcBorders/>
            <w:vAlign w:val="center"/>
          </w:tcPr>
          <w:p>
            <w:pPr>
              <w:pStyle w:val="TableContents"/>
              <w:bidi w:val="0"/>
              <w:spacing w:before="0" w:after="0"/>
              <w:ind w:left="0" w:right="0" w:hanging="0"/>
              <w:jc w:val="center"/>
            </w:pPr>
            <w: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Under</w:t>
            </w:r>
          </w:p>
        </w:tc>
      </w:tr>
      <w:t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0"/>
              <w:ind w:left="0" w:right="0" w:hanging="0"/>
              <w:jc w:val="center"/>
            </w:pPr>
            <w: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46" w:type="dxa"/>
            <w:tcBorders/>
            <w:vAlign w:val="center"/>
          </w:tcPr>
          <w:p>
            <w:pPr>
              <w:pStyle w:val="TableContents"/>
              <w:bidi w:val="0"/>
              <w:spacing w:before="0" w:after="0"/>
              <w:ind w:left="0" w:right="0" w:hanging="0"/>
              <w:jc w:val="center"/>
            </w:pPr>
            <w: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46" w:type="dxa"/>
            <w:tcBorders/>
            <w:vAlign w:val="center"/>
          </w:tcPr>
          <w:p>
            <w:pPr>
              <w:pStyle w:val="TableContents"/>
              <w:bidi w:val="0"/>
              <w:spacing w:before="0" w:after="0"/>
              <w:ind w:left="0" w:right="0" w:hanging="0"/>
              <w:jc w:val="center"/>
            </w:pPr>
            <w:r>
              <w:t>​</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w:t>
            </w:r>
          </w:p>
        </w:tc>
        <w:tc>
          <w:tcPr>
            <w:tcW w:w="286" w:type="dxa"/>
            <w:tcBorders/>
            <w:vAlign w:val="center"/>
          </w:tcPr>
          <w:p>
            <w:pPr>
              <w:pStyle w:val="TableContents"/>
              <w:bidi w:val="0"/>
              <w:spacing w:before="0" w:after="0"/>
              <w:ind w:left="0" w:right="0" w:hanging="0"/>
              <w:jc w:val="center"/>
            </w:pPr>
            <w:r>
              <w:t>​</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Program</w:t>
            </w:r>
          </w:p>
        </w:tc>
      </w:tr>
      <w:t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 Repurchases</w:t>
            </w:r>
          </w:p>
        </w:tc>
        <w:tc>
          <w:tcPr>
            <w:tcW w:w="346" w:type="dxa"/>
            <w:tcBorders/>
            <w:shd w:fill="CCEEFF" w:val="clear"/>
            <w:vAlign w:val="center"/>
          </w:tcPr>
          <w:p>
            <w:pPr>
              <w:pStyle w:val="TableContents"/>
              <w:bidi w:val="0"/>
              <w:spacing w:before="0" w:after="0"/>
              <w:ind w:left="0" w:right="0" w:hanging="0"/>
              <w:jc w:val="left"/>
            </w:pPr>
            <w:r>
              <w:t> </w:t>
            </w:r>
          </w:p>
        </w:tc>
        <w:tc>
          <w:tcPr>
            <w:tcW w:w="1381" w:type="dxa"/>
            <w:tcBorders/>
            <w:shd w:fill="CCEEFF" w:val="clear"/>
            <w:vAlign w:val="center"/>
          </w:tcPr>
          <w:p>
            <w:pPr>
              <w:pStyle w:val="TableContents"/>
              <w:bidi w:val="0"/>
              <w:spacing w:before="0" w:after="0"/>
              <w:ind w:left="0" w:right="0" w:hanging="0"/>
              <w:jc w:val="right"/>
            </w:pPr>
            <w:r>
              <w:t>  ​</w:t>
            </w:r>
          </w:p>
        </w:tc>
        <w:tc>
          <w:tcPr>
            <w:tcW w:w="346" w:type="dxa"/>
            <w:tcBorders/>
            <w:shd w:fill="CCEEFF" w:val="clear"/>
            <w:vAlign w:val="center"/>
          </w:tcPr>
          <w:p>
            <w:pPr>
              <w:pStyle w:val="TableContents"/>
              <w:bidi w:val="0"/>
              <w:spacing w:before="0" w:after="0"/>
              <w:ind w:left="0" w:right="0" w:hanging="0"/>
              <w:jc w:val="left"/>
            </w:pPr>
            <w:r>
              <w:t> </w:t>
            </w:r>
          </w:p>
        </w:tc>
        <w:tc>
          <w:tcPr>
            <w:tcW w:w="211" w:type="dxa"/>
            <w:tcBorders/>
            <w:shd w:fill="CCEEFF" w:val="clear"/>
            <w:vAlign w:val="center"/>
          </w:tcPr>
          <w:p>
            <w:pPr>
              <w:pStyle w:val="TableContents"/>
              <w:bidi w:val="0"/>
              <w:spacing w:before="0" w:after="0"/>
              <w:ind w:left="0" w:right="0" w:hanging="0"/>
              <w:jc w:val="left"/>
            </w:pPr>
            <w:r>
              <w:t>​</w:t>
            </w:r>
          </w:p>
        </w:tc>
        <w:tc>
          <w:tcPr>
            <w:tcW w:w="676" w:type="dxa"/>
            <w:tcBorders/>
            <w:shd w:fill="CCEEFF" w:val="clear"/>
            <w:vAlign w:val="center"/>
          </w:tcPr>
          <w:p>
            <w:pPr>
              <w:pStyle w:val="TableContents"/>
              <w:bidi w:val="0"/>
              <w:spacing w:before="0" w:after="0"/>
              <w:ind w:left="0" w:right="0" w:hanging="0"/>
              <w:jc w:val="right"/>
            </w:pPr>
            <w:r>
              <w:t>  ​</w:t>
            </w:r>
          </w:p>
        </w:tc>
        <w:tc>
          <w:tcPr>
            <w:tcW w:w="346" w:type="dxa"/>
            <w:tcBorders/>
            <w:shd w:fill="CCEEFF" w:val="clear"/>
            <w:vAlign w:val="center"/>
          </w:tcPr>
          <w:p>
            <w:pPr>
              <w:pStyle w:val="TableContents"/>
              <w:bidi w:val="0"/>
              <w:spacing w:before="0" w:after="0"/>
              <w:ind w:left="0" w:right="0" w:hanging="0"/>
              <w:jc w:val="left"/>
            </w:pPr>
            <w:r>
              <w:t> </w:t>
            </w:r>
          </w:p>
        </w:tc>
        <w:tc>
          <w:tcPr>
            <w:tcW w:w="1576" w:type="dxa"/>
            <w:tcBorders/>
            <w:shd w:fill="CCEEFF" w:val="clear"/>
            <w:vAlign w:val="center"/>
          </w:tcPr>
          <w:p>
            <w:pPr>
              <w:pStyle w:val="TableContents"/>
              <w:bidi w:val="0"/>
              <w:spacing w:before="0" w:after="0"/>
              <w:ind w:left="0" w:right="0" w:hanging="0"/>
              <w:jc w:val="right"/>
            </w:pPr>
            <w:r>
              <w:t>  ​</w:t>
            </w:r>
          </w:p>
        </w:tc>
        <w:tc>
          <w:tcPr>
            <w:tcW w:w="286" w:type="dxa"/>
            <w:tcBorders/>
            <w:shd w:fill="CCEEFF" w:val="clear"/>
            <w:vAlign w:val="center"/>
          </w:tcPr>
          <w:p>
            <w:pPr>
              <w:pStyle w:val="TableContents"/>
              <w:bidi w:val="0"/>
              <w:spacing w:before="0" w:after="0"/>
              <w:ind w:left="0" w:right="0" w:hanging="0"/>
              <w:jc w:val="left"/>
            </w:pPr>
            <w:r>
              <w:t> </w:t>
            </w:r>
          </w:p>
        </w:tc>
        <w:tc>
          <w:tcPr>
            <w:tcW w:w="211" w:type="dxa"/>
            <w:tcBorders/>
            <w:shd w:fill="CCEEFF" w:val="clear"/>
            <w:vAlign w:val="center"/>
          </w:tcPr>
          <w:p>
            <w:pPr>
              <w:pStyle w:val="TableContents"/>
              <w:bidi w:val="0"/>
              <w:spacing w:before="0" w:after="0"/>
              <w:ind w:left="0" w:right="0" w:hanging="0"/>
              <w:jc w:val="left"/>
            </w:pPr>
            <w:r>
              <w:t>​</w:t>
            </w:r>
          </w:p>
        </w:tc>
        <w:tc>
          <w:tcPr>
            <w:tcW w:w="1186" w:type="dxa"/>
            <w:tcBorders/>
            <w:shd w:fill="CCEEFF" w:val="clear"/>
            <w:vAlign w:val="center"/>
          </w:tcPr>
          <w:p>
            <w:pPr>
              <w:pStyle w:val="TableContents"/>
              <w:bidi w:val="0"/>
              <w:spacing w:before="0" w:after="0"/>
              <w:ind w:left="0" w:right="0" w:hanging="0"/>
              <w:jc w:val="right"/>
            </w:pPr>
            <w:r>
              <w:t>  ​</w:t>
            </w:r>
          </w:p>
        </w:tc>
      </w:tr>
      <w:t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2026 – July 31, 2026</w:t>
            </w:r>
          </w:p>
        </w:tc>
        <w:tc>
          <w:tcPr>
            <w:tcW w:w="346" w:type="dxa"/>
            <w:tcBorders/>
            <w:vAlign w:val="center"/>
          </w:tcPr>
          <w:p>
            <w:pPr>
              <w:pStyle w:val="TableContents"/>
              <w:bidi w:val="0"/>
              <w:spacing w:before="0" w:after="0"/>
              <w:ind w:left="0" w:right="0" w:hanging="0"/>
              <w:jc w:val="left"/>
            </w:pPr>
            <w: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195,690</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145.88</w:t>
            </w:r>
          </w:p>
        </w:tc>
        <w:tc>
          <w:tcPr>
            <w:tcW w:w="346" w:type="dxa"/>
            <w:tcBorders/>
            <w:vAlign w:val="center"/>
          </w:tcPr>
          <w:p>
            <w:pPr>
              <w:pStyle w:val="TableContents"/>
              <w:bidi w:val="0"/>
              <w:spacing w:before="0" w:after="0"/>
              <w:ind w:left="0" w:right="0" w:hanging="0"/>
              <w:jc w:val="left"/>
            </w:pPr>
            <w:r>
              <w:t> </w:t>
            </w:r>
          </w:p>
        </w:tc>
        <w:tc>
          <w:tcPr>
            <w:tcW w:w="1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195,690</w:t>
            </w:r>
          </w:p>
        </w:tc>
        <w:tc>
          <w:tcPr>
            <w:tcW w:w="28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120,100,000</w:t>
            </w:r>
          </w:p>
        </w:tc>
      </w:tr>
      <w:t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 2026 – August 31, 2026</w:t>
            </w:r>
          </w:p>
        </w:tc>
        <w:tc>
          <w:tcPr>
            <w:tcW w:w="346" w:type="dxa"/>
            <w:tcBorders/>
            <w:shd w:fill="CCEEFF" w:val="clear"/>
            <w:vAlign w:val="center"/>
          </w:tcPr>
          <w:p>
            <w:pPr>
              <w:pStyle w:val="TableContents"/>
              <w:bidi w:val="0"/>
              <w:spacing w:before="0" w:after="0"/>
              <w:ind w:left="0" w:right="0" w:hanging="0"/>
              <w:jc w:val="left"/>
            </w:pPr>
            <w: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102,205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150.28</w:t>
            </w:r>
          </w:p>
        </w:tc>
        <w:tc>
          <w:tcPr>
            <w:tcW w:w="346" w:type="dxa"/>
            <w:tcBorders/>
            <w:shd w:fill="CCEEFF" w:val="clear"/>
            <w:vAlign w:val="center"/>
          </w:tcPr>
          <w:p>
            <w:pPr>
              <w:pStyle w:val="TableContents"/>
              <w:bidi w:val="0"/>
              <w:spacing w:before="0" w:after="0"/>
              <w:ind w:left="0" w:right="0" w:hanging="0"/>
              <w:jc w:val="left"/>
            </w:pPr>
            <w:r>
              <w:t> </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102,205</w:t>
            </w:r>
          </w:p>
        </w:tc>
        <w:tc>
          <w:tcPr>
            <w:tcW w:w="28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104,800,000</w:t>
            </w:r>
          </w:p>
        </w:tc>
      </w:tr>
      <w:t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 2026 – September 30, 2026</w:t>
            </w:r>
          </w:p>
        </w:tc>
        <w:tc>
          <w:tcPr>
            <w:tcW w:w="346" w:type="dxa"/>
            <w:tcBorders/>
            <w:vAlign w:val="center"/>
          </w:tcPr>
          <w:p>
            <w:pPr>
              <w:pStyle w:val="TableContents"/>
              <w:bidi w:val="0"/>
              <w:spacing w:before="0" w:after="0"/>
              <w:ind w:left="0" w:right="0" w:hanging="0"/>
              <w:jc w:val="left"/>
            </w:pPr>
            <w:r>
              <w:t> </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206,813</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151.03</w:t>
            </w:r>
          </w:p>
        </w:tc>
        <w:tc>
          <w:tcPr>
            <w:tcW w:w="346" w:type="dxa"/>
            <w:tcBorders/>
            <w:vAlign w:val="center"/>
          </w:tcPr>
          <w:p>
            <w:pPr>
              <w:pStyle w:val="TableContents"/>
              <w:bidi w:val="0"/>
              <w:spacing w:before="0" w:after="0"/>
              <w:ind w:left="0" w:right="0" w:hanging="0"/>
              <w:jc w:val="left"/>
            </w:pPr>
            <w:r>
              <w:t> </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206,813</w:t>
            </w:r>
          </w:p>
        </w:tc>
        <w:tc>
          <w:tcPr>
            <w:tcW w:w="28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73,500,000</w:t>
            </w:r>
          </w:p>
        </w:tc>
      </w:tr>
      <w:t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pPr>
            <w: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504,708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148.88</w:t>
            </w:r>
          </w:p>
        </w:tc>
        <w:tc>
          <w:tcPr>
            <w:tcW w:w="346" w:type="dxa"/>
            <w:tcBorders/>
            <w:shd w:fill="CCEEFF" w:val="clear"/>
            <w:vAlign w:val="center"/>
          </w:tcPr>
          <w:p>
            <w:pPr>
              <w:pStyle w:val="TableContents"/>
              <w:bidi w:val="0"/>
              <w:spacing w:before="0" w:after="0"/>
              <w:ind w:left="0" w:right="0" w:hanging="0"/>
              <w:jc w:val="left"/>
            </w:pPr>
            <w:r>
              <w:t> </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504,708</w:t>
            </w:r>
          </w:p>
        </w:tc>
        <w:tc>
          <w:tcPr>
            <w:tcW w:w="28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73,500,000</w:t>
            </w:r>
          </w:p>
        </w:tc>
      </w:tr>
      <w:tr>
        <w:tc>
          <w:tcPr>
            <w:tcW w:w="34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Tax Withholdings</w:t>
            </w:r>
          </w:p>
        </w:tc>
        <w:tc>
          <w:tcPr>
            <w:tcW w:w="346" w:type="dxa"/>
            <w:tcBorders/>
            <w:vAlign w:val="center"/>
          </w:tcPr>
          <w:p>
            <w:pPr>
              <w:pStyle w:val="TableContents"/>
              <w:bidi w:val="0"/>
              <w:spacing w:before="0" w:after="0"/>
              <w:ind w:left="0" w:right="0" w:hanging="0"/>
              <w:jc w:val="left"/>
            </w:pPr>
            <w:r>
              <w:t> </w:t>
            </w:r>
          </w:p>
        </w:tc>
        <w:tc>
          <w:tcPr>
            <w:tcW w:w="1381" w:type="dxa"/>
            <w:tcBorders/>
            <w:vAlign w:val="center"/>
          </w:tcPr>
          <w:p>
            <w:pPr>
              <w:pStyle w:val="TableContents"/>
              <w:bidi w:val="0"/>
              <w:spacing w:before="0" w:after="0"/>
              <w:ind w:left="0" w:right="0" w:hanging="0"/>
              <w:jc w:val="right"/>
            </w:pPr>
            <w:r>
              <w:t>  ​</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676" w:type="dxa"/>
            <w:tcBorders/>
            <w:vAlign w:val="center"/>
          </w:tcPr>
          <w:p>
            <w:pPr>
              <w:pStyle w:val="TableContents"/>
              <w:bidi w:val="0"/>
              <w:spacing w:before="0" w:after="0"/>
              <w:ind w:left="0" w:right="0" w:hanging="0"/>
              <w:jc w:val="right"/>
            </w:pPr>
            <w:r>
              <w:t>  ​</w:t>
            </w:r>
          </w:p>
        </w:tc>
        <w:tc>
          <w:tcPr>
            <w:tcW w:w="346" w:type="dxa"/>
            <w:tcBorders/>
            <w:vAlign w:val="center"/>
          </w:tcPr>
          <w:p>
            <w:pPr>
              <w:pStyle w:val="TableContents"/>
              <w:bidi w:val="0"/>
              <w:spacing w:before="0" w:after="0"/>
              <w:ind w:left="0" w:right="0" w:hanging="0"/>
              <w:jc w:val="left"/>
            </w:pPr>
            <w:r>
              <w:t> </w:t>
            </w:r>
          </w:p>
        </w:tc>
        <w:tc>
          <w:tcPr>
            <w:tcW w:w="1576" w:type="dxa"/>
            <w:tcBorders/>
            <w:vAlign w:val="center"/>
          </w:tcPr>
          <w:p>
            <w:pPr>
              <w:pStyle w:val="TableContents"/>
              <w:bidi w:val="0"/>
              <w:spacing w:before="0" w:after="0"/>
              <w:ind w:left="0" w:right="0" w:hanging="0"/>
              <w:jc w:val="right"/>
            </w:pPr>
            <w:r>
              <w:t>  ​</w:t>
            </w:r>
          </w:p>
        </w:tc>
        <w:tc>
          <w:tcPr>
            <w:tcW w:w="28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1186" w:type="dxa"/>
            <w:tcBorders/>
            <w:vAlign w:val="center"/>
          </w:tcPr>
          <w:p>
            <w:pPr>
              <w:pStyle w:val="TableContents"/>
              <w:bidi w:val="0"/>
              <w:spacing w:before="0" w:after="0"/>
              <w:ind w:left="0" w:right="0" w:hanging="0"/>
              <w:jc w:val="right"/>
            </w:pPr>
            <w:r>
              <w:t>  ​</w:t>
            </w:r>
          </w:p>
        </w:tc>
      </w:tr>
      <w:t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2026 – July 31, 2026</w:t>
            </w:r>
          </w:p>
        </w:tc>
        <w:tc>
          <w:tcPr>
            <w:tcW w:w="346" w:type="dxa"/>
            <w:tcBorders/>
            <w:shd w:fill="CCEEFF" w:val="clear"/>
            <w:vAlign w:val="center"/>
          </w:tcPr>
          <w:p>
            <w:pPr>
              <w:pStyle w:val="TableContents"/>
              <w:bidi w:val="0"/>
              <w:spacing w:before="0" w:after="0"/>
              <w:ind w:left="0" w:right="0" w:hanging="0"/>
              <w:jc w:val="left"/>
            </w:pPr>
            <w:r>
              <w:t> </w:t>
            </w:r>
          </w:p>
        </w:tc>
        <w:tc>
          <w:tcPr>
            <w:tcW w:w="138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 </w:t>
            </w:r>
          </w:p>
        </w:tc>
        <w:tc>
          <w:tcPr>
            <w:tcW w:w="157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pPr>
            <w:r>
              <w:t>—</w:t>
            </w:r>
          </w:p>
        </w:tc>
      </w:tr>
      <w:t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 2026 – August 31, 2026</w:t>
            </w:r>
          </w:p>
        </w:tc>
        <w:tc>
          <w:tcPr>
            <w:tcW w:w="346" w:type="dxa"/>
            <w:tcBorders/>
            <w:vAlign w:val="center"/>
          </w:tcPr>
          <w:p>
            <w:pPr>
              <w:pStyle w:val="TableContents"/>
              <w:bidi w:val="0"/>
              <w:spacing w:before="0" w:after="0"/>
              <w:ind w:left="0" w:right="0" w:hanging="0"/>
              <w:jc w:val="left"/>
            </w:pPr>
            <w:r>
              <w:t> </w:t>
            </w:r>
          </w:p>
        </w:tc>
        <w:tc>
          <w:tcPr>
            <w:tcW w:w="13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 </w:t>
            </w:r>
          </w:p>
        </w:tc>
        <w:tc>
          <w:tcPr>
            <w:tcW w:w="157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pPr>
            <w:r>
              <w:t>—</w:t>
            </w:r>
          </w:p>
        </w:tc>
      </w:tr>
      <w:t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 2026 – September 30, 2026</w:t>
            </w:r>
          </w:p>
        </w:tc>
        <w:tc>
          <w:tcPr>
            <w:tcW w:w="346" w:type="dxa"/>
            <w:tcBorders/>
            <w:shd w:fill="CCEEFF" w:val="clear"/>
            <w:vAlign w:val="center"/>
          </w:tcPr>
          <w:p>
            <w:pPr>
              <w:pStyle w:val="TableContents"/>
              <w:bidi w:val="0"/>
              <w:spacing w:before="0" w:after="0"/>
              <w:ind w:left="0" w:right="0" w:hanging="0"/>
              <w:jc w:val="left"/>
            </w:pPr>
            <w:r>
              <w:t> </w:t>
            </w:r>
          </w:p>
        </w:tc>
        <w:tc>
          <w:tcPr>
            <w:tcW w:w="138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 </w:t>
            </w:r>
          </w:p>
        </w:tc>
        <w:tc>
          <w:tcPr>
            <w:tcW w:w="1576" w:type="dxa"/>
            <w:tcBorders/>
            <w:shd w:fill="CCEEFF" w:val="clear"/>
            <w:vAlign w:val="center"/>
          </w:tcPr>
          <w:p>
            <w:pPr>
              <w:pStyle w:val="TableContents"/>
              <w:bidi w:val="0"/>
              <w:spacing w:before="0" w:after="0"/>
              <w:ind w:left="0" w:right="0" w:hanging="0"/>
              <w:jc w:val="right"/>
            </w:pPr>
            <w:r>
              <w:t>—</w:t>
            </w:r>
          </w:p>
        </w:tc>
        <w:tc>
          <w:tcPr>
            <w:tcW w:w="28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pPr>
            <w:r>
              <w:t>—</w:t>
            </w:r>
          </w:p>
        </w:tc>
      </w:tr>
      <w:tr>
        <w:tc>
          <w:tcPr>
            <w:tcW w:w="34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pPr>
            <w:r>
              <w:t> </w:t>
            </w:r>
          </w:p>
        </w:tc>
        <w:tc>
          <w:tcPr>
            <w:tcW w:w="138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 </w:t>
            </w:r>
          </w:p>
        </w:tc>
        <w:tc>
          <w:tcPr>
            <w:tcW w:w="1576" w:type="dxa"/>
            <w:tcBorders/>
            <w:vAlign w:val="center"/>
          </w:tcPr>
          <w:p>
            <w:pPr>
              <w:pStyle w:val="TableContents"/>
              <w:bidi w:val="0"/>
              <w:spacing w:before="0" w:after="0"/>
              <w:ind w:left="0" w:right="0" w:hanging="0"/>
              <w:jc w:val="right"/>
            </w:pPr>
            <w:r>
              <w:t>—</w:t>
            </w:r>
          </w:p>
        </w:tc>
        <w:tc>
          <w:tcPr>
            <w:tcW w:w="28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70" w:hanging="0"/>
              <w:jc w:val="right"/>
            </w:pPr>
            <w:r>
              <w:t>—</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120"/>
        <w:ind w:left="0" w:right="0" w:hanging="0"/>
        <w:jc w:val="left"/>
        <w:rPr>
          <w:rFonts w:ascii="Times New Roman;Times;serif" w:hAnsi="Times New Roman;Times;serif"/>
          <w:b/>
          <w:sz w:val="20"/>
        </w:rPr>
      </w:pPr>
      <w:bookmarkStart w:id="1069" w:name="Item3DefaultsUponSeniorSecurities_862648"/>
      <w:bookmarkStart w:id="1070" w:name="_a7038fd6_2a7d_4beb_a8b6_13998427d0a8"/>
      <w:bookmarkEnd w:id="1069"/>
      <w:bookmarkEnd w:id="1070"/>
      <w:r>
        <w:rPr>
          <w:rFonts w:ascii="Times New Roman;Times;serif" w:hAnsi="Times New Roman;Times;serif"/>
          <w:b/>
          <w:sz w:val="20"/>
        </w:rPr>
        <w:t>Item 3.   Defaults Upon Senior Securities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hanging="0"/>
        <w:jc w:val="left"/>
        <w:rPr>
          <w:rFonts w:ascii="Times New Roman;Times;serif" w:hAnsi="Times New Roman;Times;serif"/>
          <w:b/>
          <w:sz w:val="20"/>
        </w:rPr>
      </w:pPr>
      <w:bookmarkStart w:id="1071" w:name="Item4MineSafetyDisclosures_953586"/>
      <w:bookmarkStart w:id="1072" w:name="_eabe76d4_ac80_45ad_ac3d_266002a573e0"/>
      <w:bookmarkEnd w:id="1071"/>
      <w:bookmarkEnd w:id="1072"/>
      <w:r>
        <w:rPr>
          <w:rFonts w:ascii="Times New Roman;Times;serif" w:hAnsi="Times New Roman;Times;serif"/>
          <w:b/>
          <w:sz w:val="20"/>
        </w:rPr>
        <w:t>Item 4.   Mine Safety Disclosures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hanging="0"/>
        <w:jc w:val="left"/>
        <w:rPr>
          <w:rFonts w:ascii="Times New Roman;Times;serif" w:hAnsi="Times New Roman;Times;serif"/>
          <w:b/>
          <w:sz w:val="20"/>
        </w:rPr>
      </w:pPr>
      <w:bookmarkStart w:id="1073" w:name="Item5OtherInformation_422882"/>
      <w:bookmarkStart w:id="1074" w:name="_b93d320d_0078_4a41_b5cd_aab12eb3bf8a"/>
      <w:bookmarkEnd w:id="1073"/>
      <w:bookmarkEnd w:id="1074"/>
      <w:r>
        <w:rPr>
          <w:rFonts w:ascii="Times New Roman;Times;serif" w:hAnsi="Times New Roman;Times;serif"/>
          <w:b/>
          <w:sz w:val="20"/>
        </w:rPr>
        <w:t>Item 5.   Other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the three months ended September 30, 2026, no director or officer of the Company adopted or terminated a “Rule 10b5-1 trading arrangement” or “non-Rule 10b5-1 trading arrangement,” as each term is defined in Item 408(a) of Regulation S-K.</w:t>
      </w:r>
    </w:p>
    <w:p>
      <w:pPr>
        <w:pStyle w:val="TextBody"/>
        <w:bidi w:val="0"/>
        <w:spacing w:before="0" w:after="120"/>
        <w:ind w:left="0" w:right="0" w:hanging="0"/>
        <w:jc w:val="left"/>
        <w:rPr>
          <w:rFonts w:ascii="Times New Roman;Times;serif" w:hAnsi="Times New Roman;Times;serif"/>
          <w:b/>
          <w:sz w:val="20"/>
        </w:rPr>
      </w:pPr>
      <w:bookmarkStart w:id="1075" w:name="Item6Exhibits_355966"/>
      <w:bookmarkStart w:id="1076" w:name="_90e8e639_0155_4d7c_bc8b_f60885d22e82"/>
      <w:bookmarkEnd w:id="1075"/>
      <w:bookmarkEnd w:id="1076"/>
      <w:r>
        <w:rPr>
          <w:rFonts w:ascii="Times New Roman;Times;serif" w:hAnsi="Times New Roman;Times;serif"/>
          <w:b/>
          <w:sz w:val="20"/>
        </w:rPr>
        <w:t>Item 6.   Exhibits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   Exhibits</w:t>
      </w:r>
    </w:p>
    <w:tbl>
      <w:tblPr>
        <w:tblW w:w="10205" w:type="dxa"/>
        <w:jc w:val="left"/>
        <w:tblInd w:w="0" w:type="dxa"/>
        <w:tblLayout w:type="fixed"/>
        <w:tblCellMar>
          <w:top w:w="0" w:type="dxa"/>
          <w:left w:w="0" w:type="dxa"/>
          <w:bottom w:w="28" w:type="dxa"/>
          <w:right w:w="0" w:type="dxa"/>
        </w:tblCellMar>
      </w:tblPr>
      <w:tblGrid>
        <w:gridCol w:w="706"/>
        <w:gridCol w:w="346"/>
        <w:gridCol w:w="5436"/>
        <w:gridCol w:w="346"/>
        <w:gridCol w:w="3371"/>
      </w:tblGrid>
      <w:tr>
        <w:tc>
          <w:tcPr>
            <w:tcW w:w="70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Number</w:t>
            </w:r>
          </w:p>
        </w:tc>
        <w:tc>
          <w:tcPr>
            <w:tcW w:w="346" w:type="dxa"/>
            <w:tcBorders/>
            <w:tcMar>
              <w:bottom w:w="0" w:type="dxa"/>
            </w:tcMar>
            <w:vAlign w:val="center"/>
          </w:tcPr>
          <w:p>
            <w:pPr>
              <w:pStyle w:val="TableContents"/>
              <w:bidi w:val="0"/>
              <w:spacing w:before="0" w:after="0"/>
              <w:ind w:left="0" w:right="0" w:hanging="0"/>
              <w:jc w:val="left"/>
            </w:pPr>
            <w:r>
              <w:t>  ​ ​ ​</w:t>
            </w:r>
          </w:p>
        </w:tc>
        <w:tc>
          <w:tcPr>
            <w:tcW w:w="543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46" w:type="dxa"/>
            <w:tcBorders/>
            <w:tcMar>
              <w:bottom w:w="0" w:type="dxa"/>
            </w:tcMar>
            <w:vAlign w:val="center"/>
          </w:tcPr>
          <w:p>
            <w:pPr>
              <w:pStyle w:val="TableContents"/>
              <w:bidi w:val="0"/>
              <w:spacing w:before="0" w:after="0"/>
              <w:ind w:left="0" w:right="0" w:hanging="0"/>
              <w:jc w:val="left"/>
            </w:pPr>
            <w:r>
              <w:t>  ​ ​ ​</w:t>
            </w:r>
          </w:p>
        </w:tc>
        <w:tc>
          <w:tcPr>
            <w:tcW w:w="337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Method of Filing</w:t>
            </w:r>
          </w:p>
        </w:tc>
      </w:tr>
      <w:t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tcMar>
              <w:bottom w:w="0" w:type="dxa"/>
            </w:tcMar>
            <w:vAlign w:val="center"/>
          </w:tcPr>
          <w:p>
            <w:pPr>
              <w:pStyle w:val="TableContents"/>
              <w:bidi w:val="0"/>
              <w:spacing w:before="0" w:after="0"/>
              <w:ind w:left="0" w:right="0" w:hanging="0"/>
              <w:jc w:val="left"/>
            </w:pPr>
            <w:r>
              <w:t>​</w:t>
            </w:r>
          </w:p>
        </w:tc>
        <w:tc>
          <w:tcPr>
            <w:tcW w:w="5436" w:type="dxa"/>
            <w:tcBorders/>
            <w:tcMar>
              <w:bottom w:w="0" w:type="dxa"/>
            </w:tcMar>
            <w:vAlign w:val="center"/>
          </w:tcPr>
          <w:p>
            <w:pPr>
              <w:pStyle w:val="TableContents"/>
              <w:bidi w:val="0"/>
              <w:spacing w:before="0" w:after="0"/>
              <w:ind w:left="0" w:right="0" w:hanging="0"/>
              <w:jc w:val="left"/>
            </w:pPr>
            <w:hyperlink r:id="rId2">
              <w:r>
                <w:rPr>
                  <w:rStyle w:val="InternetLink"/>
                  <w:rFonts w:ascii="Times New Roman;Times;serif" w:hAnsi="Times New Roman;Times;serif"/>
                  <w:b w:val="false"/>
                  <w:i w:val="false"/>
                  <w:caps w:val="false"/>
                  <w:smallCaps w:val="false"/>
                  <w:sz w:val="20"/>
                </w:rPr>
                <w:t>Amended and Restated Certificate of Incorporation.</w:t>
              </w:r>
            </w:hyperlink>
          </w:p>
        </w:tc>
        <w:tc>
          <w:tcPr>
            <w:tcW w:w="346" w:type="dxa"/>
            <w:tcBorders/>
            <w:tcMar>
              <w:bottom w:w="0" w:type="dxa"/>
            </w:tcMar>
            <w:vAlign w:val="center"/>
          </w:tcPr>
          <w:p>
            <w:pPr>
              <w:pStyle w:val="TableContents"/>
              <w:bidi w:val="0"/>
              <w:spacing w:before="0" w:after="0"/>
              <w:ind w:left="0" w:right="0" w:hanging="0"/>
              <w:jc w:val="left"/>
            </w:pPr>
            <w:r>
              <w:t>​</w:t>
            </w:r>
          </w:p>
        </w:tc>
        <w:tc>
          <w:tcPr>
            <w:tcW w:w="33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3.1 to the Company’s Annual Report on Form 10-K filed with the SEC on February 20, 2019.</w:t>
            </w:r>
          </w:p>
        </w:tc>
      </w:tr>
      <w:tr>
        <w:tc>
          <w:tcPr>
            <w:tcW w:w="706" w:type="dxa"/>
            <w:tcBorders/>
            <w:tcMar>
              <w:bottom w:w="0" w:type="dxa"/>
            </w:tcMar>
            <w:vAlign w:val="center"/>
          </w:tcPr>
          <w:p>
            <w:pPr>
              <w:pStyle w:val="TableContents"/>
              <w:bidi w:val="0"/>
              <w:spacing w:before="0" w:after="0"/>
              <w:ind w:left="0" w:right="0" w:hanging="0"/>
              <w:jc w:val="left"/>
            </w:pPr>
            <w:r>
              <w:t>​</w:t>
            </w:r>
          </w:p>
        </w:tc>
        <w:tc>
          <w:tcPr>
            <w:tcW w:w="346" w:type="dxa"/>
            <w:tcBorders/>
            <w:tcMar>
              <w:bottom w:w="0" w:type="dxa"/>
            </w:tcMar>
            <w:vAlign w:val="center"/>
          </w:tcPr>
          <w:p>
            <w:pPr>
              <w:pStyle w:val="TableContents"/>
              <w:bidi w:val="0"/>
              <w:spacing w:before="0" w:after="0"/>
              <w:ind w:left="0" w:right="0" w:hanging="0"/>
              <w:jc w:val="left"/>
            </w:pPr>
            <w:r>
              <w:t>​</w:t>
            </w:r>
          </w:p>
        </w:tc>
        <w:tc>
          <w:tcPr>
            <w:tcW w:w="5436" w:type="dxa"/>
            <w:tcBorders/>
            <w:tcMar>
              <w:bottom w:w="0" w:type="dxa"/>
            </w:tcMar>
            <w:vAlign w:val="center"/>
          </w:tcPr>
          <w:p>
            <w:pPr>
              <w:pStyle w:val="TableContents"/>
              <w:bidi w:val="0"/>
              <w:spacing w:before="0" w:after="0"/>
              <w:ind w:left="0" w:right="0" w:hanging="0"/>
              <w:jc w:val="left"/>
            </w:pPr>
            <w:r>
              <w:t>​</w:t>
            </w:r>
          </w:p>
        </w:tc>
        <w:tc>
          <w:tcPr>
            <w:tcW w:w="346" w:type="dxa"/>
            <w:tcBorders/>
            <w:tcMar>
              <w:bottom w:w="0" w:type="dxa"/>
            </w:tcMar>
            <w:vAlign w:val="center"/>
          </w:tcPr>
          <w:p>
            <w:pPr>
              <w:pStyle w:val="TableContents"/>
              <w:bidi w:val="0"/>
              <w:spacing w:before="0" w:after="0"/>
              <w:ind w:left="0" w:right="0" w:hanging="0"/>
              <w:jc w:val="left"/>
            </w:pPr>
            <w:r>
              <w:t>​</w:t>
            </w:r>
          </w:p>
        </w:tc>
        <w:tc>
          <w:tcPr>
            <w:tcW w:w="3371" w:type="dxa"/>
            <w:tcBorders/>
            <w:tcMar>
              <w:bottom w:w="0" w:type="dxa"/>
            </w:tcMar>
            <w:vAlign w:val="center"/>
          </w:tcPr>
          <w:p>
            <w:pPr>
              <w:pStyle w:val="TableContents"/>
              <w:bidi w:val="0"/>
              <w:spacing w:before="0" w:after="0"/>
              <w:ind w:left="0" w:right="0" w:hanging="0"/>
              <w:jc w:val="left"/>
            </w:pPr>
            <w:r>
              <w:t>​</w:t>
            </w:r>
          </w:p>
        </w:tc>
      </w:tr>
      <w:t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tcMar>
              <w:bottom w:w="0" w:type="dxa"/>
            </w:tcMar>
            <w:vAlign w:val="center"/>
          </w:tcPr>
          <w:p>
            <w:pPr>
              <w:pStyle w:val="TableContents"/>
              <w:bidi w:val="0"/>
              <w:spacing w:before="0" w:after="0"/>
              <w:ind w:left="0" w:right="0" w:hanging="0"/>
              <w:jc w:val="left"/>
            </w:pPr>
            <w:r>
              <w:t>​</w:t>
            </w:r>
          </w:p>
        </w:tc>
        <w:tc>
          <w:tcPr>
            <w:tcW w:w="5436" w:type="dxa"/>
            <w:tcBorders/>
            <w:tcMar>
              <w:bottom w:w="0" w:type="dxa"/>
            </w:tcMar>
            <w:vAlign w:val="center"/>
          </w:tcPr>
          <w:p>
            <w:pPr>
              <w:pStyle w:val="TableContents"/>
              <w:bidi w:val="0"/>
              <w:spacing w:before="0" w:after="0"/>
              <w:ind w:left="0" w:right="0" w:hanging="0"/>
              <w:jc w:val="left"/>
            </w:pPr>
            <w:hyperlink r:id="rId3">
              <w:r>
                <w:rPr>
                  <w:rStyle w:val="InternetLink"/>
                  <w:rFonts w:ascii="Times New Roman;Times;serif" w:hAnsi="Times New Roman;Times;serif"/>
                  <w:b w:val="false"/>
                  <w:i w:val="false"/>
                  <w:caps w:val="false"/>
                  <w:smallCaps w:val="false"/>
                  <w:sz w:val="20"/>
                </w:rPr>
                <w:t>Third Amended and Restated Bylaws.</w:t>
              </w:r>
            </w:hyperlink>
          </w:p>
        </w:tc>
        <w:tc>
          <w:tcPr>
            <w:tcW w:w="346" w:type="dxa"/>
            <w:tcBorders/>
            <w:tcMar>
              <w:bottom w:w="0" w:type="dxa"/>
            </w:tcMar>
            <w:vAlign w:val="center"/>
          </w:tcPr>
          <w:p>
            <w:pPr>
              <w:pStyle w:val="TableContents"/>
              <w:bidi w:val="0"/>
              <w:spacing w:before="0" w:after="0"/>
              <w:ind w:left="0" w:right="0" w:hanging="0"/>
              <w:jc w:val="left"/>
            </w:pPr>
            <w:r>
              <w:t>​</w:t>
            </w:r>
          </w:p>
        </w:tc>
        <w:tc>
          <w:tcPr>
            <w:tcW w:w="33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3.1 to the Company’s Current Report on Form 8-K filed with the SEC on October 29, 2014.</w:t>
            </w:r>
          </w:p>
        </w:tc>
      </w:tr>
      <w:tr>
        <w:tc>
          <w:tcPr>
            <w:tcW w:w="706" w:type="dxa"/>
            <w:tcBorders/>
            <w:tcMar>
              <w:bottom w:w="0" w:type="dxa"/>
            </w:tcMar>
            <w:vAlign w:val="center"/>
          </w:tcPr>
          <w:p>
            <w:pPr>
              <w:pStyle w:val="TableContents"/>
              <w:bidi w:val="0"/>
              <w:spacing w:before="0" w:after="0"/>
              <w:ind w:left="0" w:right="0" w:hanging="0"/>
              <w:jc w:val="left"/>
            </w:pPr>
            <w:r>
              <w:t>​</w:t>
            </w:r>
          </w:p>
        </w:tc>
        <w:tc>
          <w:tcPr>
            <w:tcW w:w="346" w:type="dxa"/>
            <w:tcBorders/>
            <w:tcMar>
              <w:bottom w:w="0" w:type="dxa"/>
            </w:tcMar>
            <w:vAlign w:val="center"/>
          </w:tcPr>
          <w:p>
            <w:pPr>
              <w:pStyle w:val="TableContents"/>
              <w:bidi w:val="0"/>
              <w:spacing w:before="0" w:after="0"/>
              <w:ind w:left="0" w:right="0" w:hanging="0"/>
              <w:jc w:val="left"/>
            </w:pPr>
            <w:r>
              <w:t>​</w:t>
            </w:r>
          </w:p>
        </w:tc>
        <w:tc>
          <w:tcPr>
            <w:tcW w:w="5436" w:type="dxa"/>
            <w:tcBorders/>
            <w:tcMar>
              <w:bottom w:w="0" w:type="dxa"/>
            </w:tcMar>
            <w:vAlign w:val="center"/>
          </w:tcPr>
          <w:p>
            <w:pPr>
              <w:pStyle w:val="TableContents"/>
              <w:bidi w:val="0"/>
              <w:spacing w:before="0" w:after="0"/>
              <w:ind w:left="0" w:right="0" w:hanging="0"/>
              <w:jc w:val="left"/>
            </w:pPr>
            <w:r>
              <w:t>​</w:t>
            </w:r>
          </w:p>
        </w:tc>
        <w:tc>
          <w:tcPr>
            <w:tcW w:w="346" w:type="dxa"/>
            <w:tcBorders/>
            <w:tcMar>
              <w:bottom w:w="0" w:type="dxa"/>
            </w:tcMar>
            <w:vAlign w:val="center"/>
          </w:tcPr>
          <w:p>
            <w:pPr>
              <w:pStyle w:val="TableContents"/>
              <w:bidi w:val="0"/>
              <w:spacing w:before="0" w:after="0"/>
              <w:ind w:left="0" w:right="0" w:hanging="0"/>
              <w:jc w:val="left"/>
            </w:pPr>
            <w:r>
              <w:t>​</w:t>
            </w:r>
          </w:p>
        </w:tc>
        <w:tc>
          <w:tcPr>
            <w:tcW w:w="3371" w:type="dxa"/>
            <w:tcBorders/>
            <w:tcMar>
              <w:bottom w:w="0" w:type="dxa"/>
            </w:tcMar>
            <w:vAlign w:val="center"/>
          </w:tcPr>
          <w:p>
            <w:pPr>
              <w:pStyle w:val="TableContents"/>
              <w:bidi w:val="0"/>
              <w:spacing w:before="0" w:after="0"/>
              <w:ind w:left="0" w:right="0" w:hanging="0"/>
              <w:jc w:val="left"/>
            </w:pPr>
            <w:r>
              <w:t>​</w:t>
            </w:r>
          </w:p>
        </w:tc>
      </w:tr>
      <w:t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46" w:type="dxa"/>
            <w:tcBorders/>
            <w:tcMar>
              <w:bottom w:w="0" w:type="dxa"/>
            </w:tcMar>
            <w:vAlign w:val="center"/>
          </w:tcPr>
          <w:p>
            <w:pPr>
              <w:pStyle w:val="TableContents"/>
              <w:bidi w:val="0"/>
              <w:spacing w:before="0" w:after="0"/>
              <w:ind w:left="0" w:right="0" w:hanging="0"/>
              <w:jc w:val="left"/>
            </w:pPr>
            <w:r>
              <w:t>​</w:t>
            </w:r>
          </w:p>
        </w:tc>
        <w:tc>
          <w:tcPr>
            <w:tcW w:w="5436" w:type="dxa"/>
            <w:tcBorders/>
            <w:tcMar>
              <w:bottom w:w="0" w:type="dxa"/>
            </w:tcMar>
            <w:vAlign w:val="center"/>
          </w:tcPr>
          <w:p>
            <w:pPr>
              <w:pStyle w:val="TableContents"/>
              <w:bidi w:val="0"/>
              <w:spacing w:before="0" w:after="0"/>
              <w:ind w:left="0" w:right="0" w:hanging="0"/>
              <w:jc w:val="left"/>
            </w:pPr>
            <w:hyperlink r:id="rId4">
              <w:r>
                <w:rPr>
                  <w:rStyle w:val="InternetLink"/>
                  <w:rFonts w:ascii="Times New Roman;Times;serif" w:hAnsi="Times New Roman;Times;serif"/>
                  <w:b w:val="false"/>
                  <w:i w:val="false"/>
                  <w:caps w:val="false"/>
                  <w:smallCaps w:val="false"/>
                  <w:sz w:val="20"/>
                </w:rPr>
                <w:t>Specimen of Stock Certificate.</w:t>
              </w:r>
            </w:hyperlink>
          </w:p>
        </w:tc>
        <w:tc>
          <w:tcPr>
            <w:tcW w:w="346" w:type="dxa"/>
            <w:tcBorders/>
            <w:tcMar>
              <w:bottom w:w="0" w:type="dxa"/>
            </w:tcMar>
            <w:vAlign w:val="center"/>
          </w:tcPr>
          <w:p>
            <w:pPr>
              <w:pStyle w:val="TableContents"/>
              <w:bidi w:val="0"/>
              <w:spacing w:before="0" w:after="0"/>
              <w:ind w:left="0" w:right="0" w:hanging="0"/>
              <w:jc w:val="left"/>
            </w:pPr>
            <w:r>
              <w:t>​</w:t>
            </w:r>
          </w:p>
        </w:tc>
        <w:tc>
          <w:tcPr>
            <w:tcW w:w="33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4.1 to Amendment No. 2 to the Company’s Registration Statement on Form S-1 filed with the SEC on September 29, 2008.</w:t>
            </w:r>
          </w:p>
        </w:tc>
      </w:tr>
      <w:tr>
        <w:tc>
          <w:tcPr>
            <w:tcW w:w="706" w:type="dxa"/>
            <w:tcBorders/>
            <w:tcMar>
              <w:bottom w:w="0" w:type="dxa"/>
            </w:tcMar>
            <w:vAlign w:val="center"/>
          </w:tcPr>
          <w:p>
            <w:pPr>
              <w:pStyle w:val="TableContents"/>
              <w:bidi w:val="0"/>
              <w:spacing w:before="0" w:after="0"/>
              <w:ind w:left="0" w:right="0" w:hanging="0"/>
              <w:jc w:val="left"/>
            </w:pPr>
            <w:r>
              <w:t>​</w:t>
            </w:r>
          </w:p>
        </w:tc>
        <w:tc>
          <w:tcPr>
            <w:tcW w:w="346" w:type="dxa"/>
            <w:tcBorders/>
            <w:tcMar>
              <w:bottom w:w="0" w:type="dxa"/>
            </w:tcMar>
            <w:vAlign w:val="center"/>
          </w:tcPr>
          <w:p>
            <w:pPr>
              <w:pStyle w:val="TableContents"/>
              <w:bidi w:val="0"/>
              <w:spacing w:before="0" w:after="0"/>
              <w:ind w:left="0" w:right="0" w:hanging="0"/>
              <w:jc w:val="left"/>
            </w:pPr>
            <w:r>
              <w:t>​</w:t>
            </w:r>
          </w:p>
        </w:tc>
        <w:tc>
          <w:tcPr>
            <w:tcW w:w="5436" w:type="dxa"/>
            <w:tcBorders/>
            <w:tcMar>
              <w:bottom w:w="0" w:type="dxa"/>
            </w:tcMar>
            <w:vAlign w:val="center"/>
          </w:tcPr>
          <w:p>
            <w:pPr>
              <w:pStyle w:val="TableContents"/>
              <w:bidi w:val="0"/>
              <w:spacing w:before="0" w:after="0"/>
              <w:ind w:left="0" w:right="0" w:hanging="0"/>
              <w:jc w:val="left"/>
            </w:pPr>
            <w:r>
              <w:t>​</w:t>
            </w:r>
          </w:p>
        </w:tc>
        <w:tc>
          <w:tcPr>
            <w:tcW w:w="346" w:type="dxa"/>
            <w:tcBorders/>
            <w:tcMar>
              <w:bottom w:w="0" w:type="dxa"/>
            </w:tcMar>
            <w:vAlign w:val="center"/>
          </w:tcPr>
          <w:p>
            <w:pPr>
              <w:pStyle w:val="TableContents"/>
              <w:bidi w:val="0"/>
              <w:spacing w:before="0" w:after="0"/>
              <w:ind w:left="0" w:right="0" w:hanging="0"/>
              <w:jc w:val="left"/>
            </w:pPr>
            <w:r>
              <w:t>​</w:t>
            </w:r>
          </w:p>
        </w:tc>
        <w:tc>
          <w:tcPr>
            <w:tcW w:w="3371" w:type="dxa"/>
            <w:tcBorders/>
            <w:tcMar>
              <w:bottom w:w="0" w:type="dxa"/>
            </w:tcMar>
            <w:vAlign w:val="center"/>
          </w:tcPr>
          <w:p>
            <w:pPr>
              <w:pStyle w:val="TableContents"/>
              <w:bidi w:val="0"/>
              <w:spacing w:before="0" w:after="0"/>
              <w:ind w:left="0" w:right="0" w:hanging="0"/>
              <w:jc w:val="left"/>
            </w:pPr>
            <w:r>
              <w:t>​</w:t>
            </w:r>
          </w:p>
        </w:tc>
      </w:tr>
      <w:t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tcMar>
              <w:bottom w:w="0" w:type="dxa"/>
            </w:tcMar>
            <w:vAlign w:val="center"/>
          </w:tcPr>
          <w:p>
            <w:pPr>
              <w:pStyle w:val="TableContents"/>
              <w:bidi w:val="0"/>
              <w:spacing w:before="0" w:after="0"/>
              <w:ind w:left="0" w:right="0" w:hanging="0"/>
              <w:jc w:val="left"/>
            </w:pPr>
            <w:r>
              <w:t>​</w:t>
            </w:r>
          </w:p>
        </w:tc>
        <w:tc>
          <w:tcPr>
            <w:tcW w:w="5436" w:type="dxa"/>
            <w:tcBorders/>
            <w:tcMar>
              <w:bottom w:w="0" w:type="dxa"/>
            </w:tcMar>
            <w:vAlign w:val="center"/>
          </w:tcPr>
          <w:p>
            <w:pPr>
              <w:pStyle w:val="TableContents"/>
              <w:bidi w:val="0"/>
              <w:spacing w:before="0" w:after="0"/>
              <w:ind w:left="0" w:right="0" w:hanging="0"/>
              <w:jc w:val="left"/>
            </w:pPr>
            <w:hyperlink r:id="rId5">
              <w:r>
                <w:rPr>
                  <w:rStyle w:val="InternetLink"/>
                  <w:rFonts w:ascii="Times New Roman;Times;serif" w:hAnsi="Times New Roman;Times;serif"/>
                  <w:b w:val="false"/>
                  <w:i w:val="false"/>
                  <w:caps w:val="false"/>
                  <w:smallCaps w:val="false"/>
                  <w:sz w:val="20"/>
                </w:rPr>
                <w:t>Amended and Restated Master Services Agreement, dated as of July 29, 2026, by and between Grand Canyon University and Grand Canyon Education, Inc.##</w:t>
              </w:r>
            </w:hyperlink>
          </w:p>
        </w:tc>
        <w:tc>
          <w:tcPr>
            <w:tcW w:w="346" w:type="dxa"/>
            <w:tcBorders/>
            <w:tcMar>
              <w:bottom w:w="0" w:type="dxa"/>
            </w:tcMar>
            <w:vAlign w:val="center"/>
          </w:tcPr>
          <w:p>
            <w:pPr>
              <w:pStyle w:val="TableContents"/>
              <w:bidi w:val="0"/>
              <w:spacing w:before="0" w:after="0"/>
              <w:ind w:left="0" w:right="0" w:hanging="0"/>
              <w:jc w:val="left"/>
            </w:pPr>
            <w:r>
              <w:t>​</w:t>
            </w:r>
          </w:p>
        </w:tc>
        <w:tc>
          <w:tcPr>
            <w:tcW w:w="33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10.2 to the company’s Quarterly Report on Form 10-Q filed with the SEC on July 30, 2026.</w:t>
            </w:r>
          </w:p>
        </w:tc>
      </w:tr>
      <w:tr>
        <w:tc>
          <w:tcPr>
            <w:tcW w:w="706" w:type="dxa"/>
            <w:tcBorders/>
            <w:tcMar>
              <w:bottom w:w="0" w:type="dxa"/>
            </w:tcMar>
            <w:vAlign w:val="center"/>
          </w:tcPr>
          <w:p>
            <w:pPr>
              <w:pStyle w:val="TableContents"/>
              <w:bidi w:val="0"/>
              <w:spacing w:before="0" w:after="0"/>
              <w:ind w:left="0" w:right="0" w:hanging="0"/>
              <w:jc w:val="left"/>
            </w:pPr>
            <w:r>
              <w:t>​</w:t>
            </w:r>
          </w:p>
        </w:tc>
        <w:tc>
          <w:tcPr>
            <w:tcW w:w="346" w:type="dxa"/>
            <w:tcBorders/>
            <w:tcMar>
              <w:bottom w:w="0" w:type="dxa"/>
            </w:tcMar>
            <w:vAlign w:val="center"/>
          </w:tcPr>
          <w:p>
            <w:pPr>
              <w:pStyle w:val="TableContents"/>
              <w:bidi w:val="0"/>
              <w:spacing w:before="0" w:after="0"/>
              <w:ind w:left="0" w:right="0" w:hanging="0"/>
              <w:jc w:val="left"/>
            </w:pPr>
            <w:r>
              <w:t>​</w:t>
            </w:r>
          </w:p>
        </w:tc>
        <w:tc>
          <w:tcPr>
            <w:tcW w:w="5436" w:type="dxa"/>
            <w:tcBorders/>
            <w:tcMar>
              <w:bottom w:w="0" w:type="dxa"/>
            </w:tcMar>
            <w:vAlign w:val="center"/>
          </w:tcPr>
          <w:p>
            <w:pPr>
              <w:pStyle w:val="TableContents"/>
              <w:bidi w:val="0"/>
              <w:spacing w:before="0" w:after="0"/>
              <w:ind w:left="0" w:right="0" w:hanging="0"/>
              <w:jc w:val="left"/>
            </w:pPr>
            <w:r>
              <w:t>​</w:t>
            </w:r>
          </w:p>
        </w:tc>
        <w:tc>
          <w:tcPr>
            <w:tcW w:w="346" w:type="dxa"/>
            <w:tcBorders/>
            <w:tcMar>
              <w:bottom w:w="0" w:type="dxa"/>
            </w:tcMar>
            <w:vAlign w:val="center"/>
          </w:tcPr>
          <w:p>
            <w:pPr>
              <w:pStyle w:val="TableContents"/>
              <w:bidi w:val="0"/>
              <w:spacing w:before="0" w:after="0"/>
              <w:ind w:left="0" w:right="0" w:hanging="0"/>
              <w:jc w:val="left"/>
            </w:pPr>
            <w:r>
              <w:t>​</w:t>
            </w:r>
          </w:p>
        </w:tc>
        <w:tc>
          <w:tcPr>
            <w:tcW w:w="3371" w:type="dxa"/>
            <w:tcBorders/>
            <w:tcMar>
              <w:bottom w:w="0" w:type="dxa"/>
            </w:tcMar>
            <w:vAlign w:val="center"/>
          </w:tcPr>
          <w:p>
            <w:pPr>
              <w:pStyle w:val="TableContents"/>
              <w:bidi w:val="0"/>
              <w:spacing w:before="0" w:after="0"/>
              <w:ind w:left="0" w:right="0" w:hanging="0"/>
              <w:jc w:val="left"/>
            </w:pPr>
            <w:r>
              <w:t>​</w:t>
            </w:r>
          </w:p>
        </w:tc>
      </w:tr>
      <w:t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46" w:type="dxa"/>
            <w:tcBorders/>
            <w:tcMar>
              <w:bottom w:w="0" w:type="dxa"/>
            </w:tcMar>
            <w:vAlign w:val="center"/>
          </w:tcPr>
          <w:p>
            <w:pPr>
              <w:pStyle w:val="TableContents"/>
              <w:bidi w:val="0"/>
              <w:spacing w:before="0" w:after="0"/>
              <w:ind w:left="0" w:right="0" w:hanging="0"/>
              <w:jc w:val="left"/>
            </w:pPr>
            <w:r>
              <w:t>​</w:t>
            </w:r>
          </w:p>
        </w:tc>
        <w:tc>
          <w:tcPr>
            <w:tcW w:w="5436" w:type="dxa"/>
            <w:tcBorders/>
            <w:tcMar>
              <w:bottom w:w="0" w:type="dxa"/>
            </w:tcMar>
            <w:vAlign w:val="center"/>
          </w:tcPr>
          <w:p>
            <w:pPr>
              <w:pStyle w:val="TableContents"/>
              <w:bidi w:val="0"/>
              <w:spacing w:before="0" w:after="0"/>
              <w:ind w:left="0" w:right="0" w:hanging="0"/>
              <w:jc w:val="left"/>
            </w:pPr>
            <w:hyperlink r:id="rId6">
              <w:r>
                <w:rPr>
                  <w:rStyle w:val="InternetLink"/>
                  <w:rFonts w:ascii="Times New Roman;Times;serif" w:hAnsi="Times New Roman;Times;serif"/>
                  <w:b w:val="false"/>
                  <w:i w:val="false"/>
                  <w:caps w:val="false"/>
                  <w:smallCaps w:val="false"/>
                  <w:sz w:val="20"/>
                </w:rPr>
                <w:t>Revolving Credit Facility Credit Agreement, dated as of September 28, 2026, by and among Grand Canyon Education, Inc., as borrower, the guarantors party thereto, the lenders party thereto, and Zions Bancorporation, N.A. dba National Bank of Arizona, as administrative agent and lead arranger.</w:t>
              </w:r>
            </w:hyperlink>
            <w:hyperlink r:id="rId7">
              <w:r>
                <w:rPr>
                  <w:rStyle w:val="InternetLink"/>
                  <w:rFonts w:ascii="Times New Roman;Times;serif" w:hAnsi="Times New Roman;Times;serif"/>
                  <w:caps w:val="false"/>
                  <w:smallCaps w:val="false"/>
                  <w:sz w:val="20"/>
                </w:rPr>
                <w:t xml:space="preserve"> </w:t>
              </w:r>
            </w:hyperlink>
            <w:hyperlink r:id="rId8">
              <w:r>
                <w:rPr>
                  <w:rStyle w:val="InternetLink"/>
                  <w:rFonts w:ascii="Times New Roman;Times;serif" w:hAnsi="Times New Roman;Times;serif"/>
                  <w:b w:val="false"/>
                  <w:i w:val="false"/>
                  <w:caps w:val="false"/>
                  <w:smallCaps w:val="false"/>
                  <w:sz w:val="20"/>
                </w:rPr>
                <w:t>*</w:t>
              </w:r>
            </w:hyperlink>
          </w:p>
        </w:tc>
        <w:tc>
          <w:tcPr>
            <w:tcW w:w="346" w:type="dxa"/>
            <w:tcBorders/>
            <w:tcMar>
              <w:bottom w:w="0" w:type="dxa"/>
            </w:tcMar>
            <w:vAlign w:val="center"/>
          </w:tcPr>
          <w:p>
            <w:pPr>
              <w:pStyle w:val="TableContents"/>
              <w:bidi w:val="0"/>
              <w:spacing w:before="0" w:after="0"/>
              <w:ind w:left="0" w:right="0" w:hanging="0"/>
              <w:jc w:val="left"/>
            </w:pPr>
            <w:r>
              <w:t>​</w:t>
            </w:r>
          </w:p>
        </w:tc>
        <w:tc>
          <w:tcPr>
            <w:tcW w:w="33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10.1 to the Form 8-K filed with the SEC on October 1, 2026.</w:t>
            </w:r>
          </w:p>
        </w:tc>
      </w:tr>
      <w:tr>
        <w:tc>
          <w:tcPr>
            <w:tcW w:w="706" w:type="dxa"/>
            <w:tcBorders/>
            <w:tcMar>
              <w:bottom w:w="0" w:type="dxa"/>
            </w:tcMar>
            <w:vAlign w:val="center"/>
          </w:tcPr>
          <w:p>
            <w:pPr>
              <w:pStyle w:val="TableContents"/>
              <w:bidi w:val="0"/>
              <w:spacing w:before="0" w:after="0"/>
              <w:ind w:left="0" w:right="0" w:hanging="0"/>
              <w:jc w:val="left"/>
            </w:pPr>
            <w:r>
              <w:t>​</w:t>
            </w:r>
          </w:p>
        </w:tc>
        <w:tc>
          <w:tcPr>
            <w:tcW w:w="346" w:type="dxa"/>
            <w:tcBorders/>
            <w:tcMar>
              <w:bottom w:w="0" w:type="dxa"/>
            </w:tcMar>
            <w:vAlign w:val="center"/>
          </w:tcPr>
          <w:p>
            <w:pPr>
              <w:pStyle w:val="TableContents"/>
              <w:bidi w:val="0"/>
              <w:spacing w:before="0" w:after="0"/>
              <w:ind w:left="0" w:right="0" w:hanging="0"/>
              <w:jc w:val="left"/>
            </w:pPr>
            <w:r>
              <w:t>​</w:t>
            </w:r>
          </w:p>
        </w:tc>
        <w:tc>
          <w:tcPr>
            <w:tcW w:w="5436" w:type="dxa"/>
            <w:tcBorders/>
            <w:tcMar>
              <w:bottom w:w="0" w:type="dxa"/>
            </w:tcMar>
            <w:vAlign w:val="center"/>
          </w:tcPr>
          <w:p>
            <w:pPr>
              <w:pStyle w:val="TableContents"/>
              <w:bidi w:val="0"/>
              <w:spacing w:before="0" w:after="0"/>
              <w:ind w:left="0" w:right="0" w:hanging="0"/>
              <w:jc w:val="left"/>
            </w:pPr>
            <w:r>
              <w:t>​</w:t>
            </w:r>
          </w:p>
        </w:tc>
        <w:tc>
          <w:tcPr>
            <w:tcW w:w="346" w:type="dxa"/>
            <w:tcBorders/>
            <w:tcMar>
              <w:bottom w:w="0" w:type="dxa"/>
            </w:tcMar>
            <w:vAlign w:val="center"/>
          </w:tcPr>
          <w:p>
            <w:pPr>
              <w:pStyle w:val="TableContents"/>
              <w:bidi w:val="0"/>
              <w:spacing w:before="0" w:after="0"/>
              <w:ind w:left="0" w:right="0" w:hanging="0"/>
              <w:jc w:val="left"/>
            </w:pPr>
            <w:r>
              <w:t>​</w:t>
            </w:r>
          </w:p>
        </w:tc>
        <w:tc>
          <w:tcPr>
            <w:tcW w:w="3371" w:type="dxa"/>
            <w:tcBorders/>
            <w:tcMar>
              <w:bottom w:w="0" w:type="dxa"/>
            </w:tcMar>
            <w:vAlign w:val="center"/>
          </w:tcPr>
          <w:p>
            <w:pPr>
              <w:pStyle w:val="TableContents"/>
              <w:bidi w:val="0"/>
              <w:spacing w:before="0" w:after="0"/>
              <w:ind w:left="0" w:right="0" w:hanging="0"/>
              <w:jc w:val="left"/>
            </w:pPr>
            <w: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81"/>
        <w:gridCol w:w="109"/>
        <w:gridCol w:w="7149"/>
        <w:gridCol w:w="109"/>
        <w:gridCol w:w="2357"/>
      </w:tblGrid>
      <w:t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0"/>
              <w:ind w:left="0" w:right="0" w:hanging="0"/>
              <w:jc w:val="left"/>
            </w:pPr>
            <w:r>
              <w:t>​</w:t>
            </w:r>
          </w:p>
        </w:tc>
        <w:tc>
          <w:tcPr>
            <w:tcW w:w="7149" w:type="dxa"/>
            <w:tcBorders/>
            <w:vAlign w:val="center"/>
          </w:tcPr>
          <w:p>
            <w:pPr>
              <w:pStyle w:val="TableContents"/>
              <w:bidi w:val="0"/>
              <w:spacing w:before="0" w:after="0"/>
              <w:ind w:left="0" w:right="0" w:hanging="0"/>
              <w:jc w:val="both"/>
            </w:pPr>
            <w:hyperlink r:id="rId9">
              <w:r>
                <w:rPr>
                  <w:rStyle w:val="InternetLink"/>
                  <w:rFonts w:ascii="Times New Roman;Times;serif" w:hAnsi="Times New Roman;Times;serif"/>
                  <w:b w:val="false"/>
                  <w:i w:val="false"/>
                  <w:caps w:val="false"/>
                  <w:smallCaps w:val="false"/>
                  <w:sz w:val="20"/>
                </w:rPr>
                <w:t>Guaranty Agreement, dated as of September 28, 2026, by Orbis Education Services, LLC in favor of Zions Bancorporation, N.A. dba National Bank of Arizona, as administrative agent.</w:t>
              </w:r>
            </w:hyperlink>
            <w:hyperlink r:id="rId10">
              <w:r>
                <w:rPr>
                  <w:rStyle w:val="InternetLink"/>
                  <w:rFonts w:ascii="Times New Roman;Times;serif" w:hAnsi="Times New Roman;Times;serif"/>
                  <w:caps w:val="false"/>
                  <w:smallCaps w:val="false"/>
                  <w:sz w:val="20"/>
                </w:rPr>
                <w:t xml:space="preserve"> </w:t>
              </w:r>
            </w:hyperlink>
            <w:hyperlink r:id="rId11">
              <w:r>
                <w:rPr>
                  <w:rStyle w:val="InternetLink"/>
                  <w:rFonts w:ascii="Times New Roman;Times;serif" w:hAnsi="Times New Roman;Times;serif"/>
                  <w:b w:val="false"/>
                  <w:i w:val="false"/>
                  <w:caps w:val="false"/>
                  <w:smallCaps w:val="false"/>
                  <w:sz w:val="20"/>
                </w:rPr>
                <w:t>*</w:t>
              </w:r>
            </w:hyperlink>
          </w:p>
        </w:tc>
        <w:tc>
          <w:tcPr>
            <w:tcW w:w="109" w:type="dxa"/>
            <w:tcBorders/>
            <w:vAlign w:val="center"/>
          </w:tcPr>
          <w:p>
            <w:pPr>
              <w:pStyle w:val="TableContents"/>
              <w:bidi w:val="0"/>
              <w:spacing w:before="0" w:after="0"/>
              <w:ind w:left="0" w:right="0" w:hanging="0"/>
              <w:jc w:val="left"/>
            </w:pPr>
            <w:r>
              <w:t>​</w:t>
            </w:r>
          </w:p>
        </w:tc>
        <w:tc>
          <w:tcPr>
            <w:tcW w:w="23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10.2 to the Form 8-K filed with the SEC on October 1, 2026.</w:t>
            </w:r>
          </w:p>
        </w:tc>
      </w:tr>
      <w:tr>
        <w:tc>
          <w:tcPr>
            <w:tcW w:w="48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7149"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2357" w:type="dxa"/>
            <w:tcBorders/>
            <w:vAlign w:val="center"/>
          </w:tcPr>
          <w:p>
            <w:pPr>
              <w:pStyle w:val="TableContents"/>
              <w:bidi w:val="0"/>
              <w:spacing w:before="0" w:after="0"/>
              <w:ind w:left="0" w:right="0" w:hanging="0"/>
              <w:jc w:val="left"/>
            </w:pPr>
            <w:r>
              <w:t>​</w:t>
            </w:r>
          </w:p>
        </w:tc>
      </w:tr>
      <w:t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pPr>
            <w:r>
              <w:t>​</w:t>
            </w:r>
          </w:p>
        </w:tc>
        <w:tc>
          <w:tcPr>
            <w:tcW w:w="7149" w:type="dxa"/>
            <w:tcBorders/>
            <w:vAlign w:val="center"/>
          </w:tcPr>
          <w:p>
            <w:pPr>
              <w:pStyle w:val="TableContents"/>
              <w:bidi w:val="0"/>
              <w:spacing w:before="0" w:after="0"/>
              <w:ind w:left="0" w:right="0" w:hanging="0"/>
              <w:jc w:val="both"/>
            </w:pPr>
            <w:hyperlink r:id="rId12">
              <w:r>
                <w:rPr>
                  <w:rStyle w:val="InternetLink"/>
                  <w:rFonts w:ascii="Times New Roman;Times;serif" w:hAnsi="Times New Roman;Times;serif"/>
                  <w:b w:val="false"/>
                  <w:i w:val="false"/>
                  <w:caps w:val="false"/>
                  <w:smallCaps w:val="false"/>
                  <w:sz w:val="20"/>
                </w:rPr>
                <w:t>Security Agreement, dated as of September 28, 2026, by and among Grand Canyon Education, Inc., Orbis Education Services, LLC and Zions Bancorporation, N.A. dba National Bank of Arizona, as administrative agent. *</w:t>
              </w:r>
            </w:hyperlink>
          </w:p>
        </w:tc>
        <w:tc>
          <w:tcPr>
            <w:tcW w:w="109" w:type="dxa"/>
            <w:tcBorders/>
            <w:vAlign w:val="center"/>
          </w:tcPr>
          <w:p>
            <w:pPr>
              <w:pStyle w:val="TableContents"/>
              <w:bidi w:val="0"/>
              <w:spacing w:before="0" w:after="0"/>
              <w:ind w:left="0" w:right="0" w:hanging="0"/>
              <w:jc w:val="left"/>
            </w:pPr>
            <w:r>
              <w:t>​</w:t>
            </w:r>
          </w:p>
        </w:tc>
        <w:tc>
          <w:tcPr>
            <w:tcW w:w="23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10.3 to the Form 8-K filed with the SEC on October 1, 2026.</w:t>
            </w:r>
          </w:p>
        </w:tc>
      </w:tr>
      <w:tr>
        <w:tc>
          <w:tcPr>
            <w:tcW w:w="48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7149"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2357" w:type="dxa"/>
            <w:tcBorders/>
            <w:vAlign w:val="center"/>
          </w:tcPr>
          <w:p>
            <w:pPr>
              <w:pStyle w:val="TableContents"/>
              <w:bidi w:val="0"/>
              <w:spacing w:before="0" w:after="0"/>
              <w:ind w:left="0" w:right="0" w:hanging="0"/>
              <w:jc w:val="left"/>
            </w:pPr>
            <w:r>
              <w:t>​</w:t>
            </w:r>
          </w:p>
        </w:tc>
      </w:tr>
      <w:t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before="0" w:after="0"/>
              <w:ind w:left="0" w:right="0" w:hanging="0"/>
              <w:jc w:val="left"/>
            </w:pPr>
            <w:r>
              <w:t>​</w:t>
            </w:r>
          </w:p>
        </w:tc>
        <w:tc>
          <w:tcPr>
            <w:tcW w:w="7149" w:type="dxa"/>
            <w:tcBorders/>
            <w:vAlign w:val="center"/>
          </w:tcPr>
          <w:p>
            <w:pPr>
              <w:pStyle w:val="TableContents"/>
              <w:bidi w:val="0"/>
              <w:spacing w:before="0" w:after="0"/>
              <w:ind w:left="0" w:right="0" w:hanging="0"/>
              <w:jc w:val="both"/>
            </w:pPr>
            <w:hyperlink r:id="rId13">
              <w:r>
                <w:rPr>
                  <w:rStyle w:val="InternetLink"/>
                  <w:rFonts w:ascii="Times New Roman;Times;serif" w:hAnsi="Times New Roman;Times;serif"/>
                  <w:b w:val="false"/>
                  <w:i w:val="false"/>
                  <w:caps w:val="false"/>
                  <w:smallCaps w:val="false"/>
                  <w:sz w:val="20"/>
                </w:rPr>
                <w:t>Pledge Agreement, dated as of September 28, 2026, by and among Grand Canyon Education, Inc., Orbis Education Services, LLC and Zions Bancorporation, N.A. dba National Bank of Arizona, as administrative agent. *</w:t>
              </w:r>
            </w:hyperlink>
          </w:p>
        </w:tc>
        <w:tc>
          <w:tcPr>
            <w:tcW w:w="109" w:type="dxa"/>
            <w:tcBorders/>
            <w:vAlign w:val="center"/>
          </w:tcPr>
          <w:p>
            <w:pPr>
              <w:pStyle w:val="TableContents"/>
              <w:bidi w:val="0"/>
              <w:spacing w:before="0" w:after="0"/>
              <w:ind w:left="0" w:right="0" w:hanging="0"/>
              <w:jc w:val="left"/>
            </w:pPr>
            <w:r>
              <w:t>​</w:t>
            </w:r>
          </w:p>
        </w:tc>
        <w:tc>
          <w:tcPr>
            <w:tcW w:w="23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10.4 to the Form 8-K filed with the SEC on October 1, 2026.</w:t>
            </w:r>
          </w:p>
        </w:tc>
      </w:tr>
      <w:tr>
        <w:tc>
          <w:tcPr>
            <w:tcW w:w="48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7149"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2357" w:type="dxa"/>
            <w:tcBorders/>
            <w:vAlign w:val="center"/>
          </w:tcPr>
          <w:p>
            <w:pPr>
              <w:pStyle w:val="TableContents"/>
              <w:bidi w:val="0"/>
              <w:spacing w:before="0" w:after="0"/>
              <w:ind w:left="0" w:right="0" w:hanging="0"/>
              <w:jc w:val="left"/>
            </w:pPr>
            <w:r>
              <w:t>​</w:t>
            </w:r>
          </w:p>
        </w:tc>
      </w:tr>
      <w:t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109" w:type="dxa"/>
            <w:tcBorders/>
            <w:vAlign w:val="center"/>
          </w:tcPr>
          <w:p>
            <w:pPr>
              <w:pStyle w:val="TableContents"/>
              <w:bidi w:val="0"/>
              <w:spacing w:before="0" w:after="0"/>
              <w:ind w:left="0" w:right="0" w:hanging="0"/>
              <w:jc w:val="left"/>
            </w:pPr>
            <w:r>
              <w:t>​</w:t>
            </w:r>
          </w:p>
        </w:tc>
        <w:tc>
          <w:tcPr>
            <w:tcW w:w="7149" w:type="dxa"/>
            <w:tcBorders/>
            <w:vAlign w:val="center"/>
          </w:tcPr>
          <w:p>
            <w:pPr>
              <w:pStyle w:val="TableContents"/>
              <w:bidi w:val="0"/>
              <w:spacing w:before="0" w:after="0"/>
              <w:ind w:left="0" w:right="0" w:hanging="0"/>
              <w:jc w:val="both"/>
            </w:pPr>
            <w:hyperlink w:anchor="lope-ex10d6.htm">
              <w:r>
                <w:rPr>
                  <w:rStyle w:val="InternetLink"/>
                  <w:rFonts w:ascii="Times New Roman;Times;serif" w:hAnsi="Times New Roman;Times;serif"/>
                  <w:b w:val="false"/>
                  <w:i w:val="false"/>
                  <w:caps w:val="false"/>
                  <w:smallCaps w:val="false"/>
                  <w:sz w:val="20"/>
                </w:rPr>
                <w:t>Second Amended and Restated Executive Employment Agreement, dated September 8, 2023, by and between Grand Canyon Education, Inc. and Lori Browning. †</w:t>
              </w:r>
            </w:hyperlink>
          </w:p>
        </w:tc>
        <w:tc>
          <w:tcPr>
            <w:tcW w:w="109" w:type="dxa"/>
            <w:tcBorders/>
            <w:vAlign w:val="center"/>
          </w:tcPr>
          <w:p>
            <w:pPr>
              <w:pStyle w:val="TableContents"/>
              <w:bidi w:val="0"/>
              <w:spacing w:before="0" w:after="0"/>
              <w:ind w:left="0" w:right="0" w:hanging="0"/>
              <w:jc w:val="left"/>
            </w:pPr>
            <w:r>
              <w:t>​</w:t>
            </w:r>
          </w:p>
        </w:tc>
        <w:tc>
          <w:tcPr>
            <w:tcW w:w="23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c>
          <w:tcPr>
            <w:tcW w:w="48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7149"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2357" w:type="dxa"/>
            <w:tcBorders/>
            <w:vAlign w:val="center"/>
          </w:tcPr>
          <w:p>
            <w:pPr>
              <w:pStyle w:val="TableContents"/>
              <w:bidi w:val="0"/>
              <w:spacing w:before="0" w:after="0"/>
              <w:ind w:left="0" w:right="0" w:hanging="0"/>
              <w:jc w:val="left"/>
            </w:pPr>
            <w:r>
              <w:t>​</w:t>
            </w:r>
          </w:p>
        </w:tc>
      </w:tr>
      <w:t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pPr>
            <w:r>
              <w:t>​</w:t>
            </w:r>
          </w:p>
        </w:tc>
        <w:tc>
          <w:tcPr>
            <w:tcW w:w="7149" w:type="dxa"/>
            <w:tcBorders/>
            <w:vAlign w:val="center"/>
          </w:tcPr>
          <w:p>
            <w:pPr>
              <w:pStyle w:val="TableContents"/>
              <w:bidi w:val="0"/>
              <w:spacing w:before="0" w:after="0"/>
              <w:ind w:left="0" w:right="0" w:hanging="0"/>
              <w:jc w:val="left"/>
            </w:pPr>
            <w:hyperlink w:anchor="lope-ex31d1.htm">
              <w:r>
                <w:rPr>
                  <w:rStyle w:val="InternetLink"/>
                  <w:rFonts w:ascii="Times New Roman;Times;serif" w:hAnsi="Times New Roman;Times;serif"/>
                  <w:b w:val="false"/>
                  <w:i w:val="false"/>
                  <w:caps w:val="false"/>
                  <w:smallCaps w:val="false"/>
                  <w:sz w:val="20"/>
                </w:rPr>
                <w:t>Certification of Principal Executive Officer pursuant to Rules 13a-14(a) and 15d-14(a), as adopted pursuant to Section 302 of the Sarbanes-Oxley Act of 2002.</w:t>
              </w:r>
            </w:hyperlink>
          </w:p>
        </w:tc>
        <w:tc>
          <w:tcPr>
            <w:tcW w:w="109" w:type="dxa"/>
            <w:tcBorders/>
            <w:vAlign w:val="center"/>
          </w:tcPr>
          <w:p>
            <w:pPr>
              <w:pStyle w:val="TableContents"/>
              <w:bidi w:val="0"/>
              <w:spacing w:before="0" w:after="0"/>
              <w:ind w:left="0" w:right="0" w:hanging="0"/>
              <w:jc w:val="left"/>
            </w:pPr>
            <w:r>
              <w:t>​</w:t>
            </w:r>
          </w:p>
        </w:tc>
        <w:tc>
          <w:tcPr>
            <w:tcW w:w="23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c>
          <w:tcPr>
            <w:tcW w:w="48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7149"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2357" w:type="dxa"/>
            <w:tcBorders/>
            <w:vAlign w:val="center"/>
          </w:tcPr>
          <w:p>
            <w:pPr>
              <w:pStyle w:val="TableContents"/>
              <w:bidi w:val="0"/>
              <w:spacing w:before="0" w:after="0"/>
              <w:ind w:left="0" w:right="0" w:hanging="0"/>
              <w:jc w:val="left"/>
            </w:pPr>
            <w:r>
              <w:t>​</w:t>
            </w:r>
          </w:p>
        </w:tc>
      </w:tr>
      <w:t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pPr>
            <w:r>
              <w:t>​</w:t>
            </w:r>
          </w:p>
        </w:tc>
        <w:tc>
          <w:tcPr>
            <w:tcW w:w="7149" w:type="dxa"/>
            <w:tcBorders/>
            <w:vAlign w:val="center"/>
          </w:tcPr>
          <w:p>
            <w:pPr>
              <w:pStyle w:val="TableContents"/>
              <w:bidi w:val="0"/>
              <w:spacing w:before="0" w:after="0"/>
              <w:ind w:left="0" w:right="0" w:hanging="0"/>
              <w:jc w:val="left"/>
            </w:pPr>
            <w:hyperlink w:anchor="lope-ex31d2.htm">
              <w:r>
                <w:rPr>
                  <w:rStyle w:val="InternetLink"/>
                  <w:rFonts w:ascii="Times New Roman;Times;serif" w:hAnsi="Times New Roman;Times;serif"/>
                  <w:b w:val="false"/>
                  <w:i w:val="false"/>
                  <w:caps w:val="false"/>
                  <w:smallCaps w:val="false"/>
                  <w:sz w:val="20"/>
                </w:rPr>
                <w:t>Certification of Interim Principal Financial Officer and Principal Accounting Officer pursuant to Rules 13a-14(a) and 15d-14(a), as adopted pursuant to Section 302 of the Sarbanes-Oxley Act of 2002.</w:t>
              </w:r>
            </w:hyperlink>
          </w:p>
        </w:tc>
        <w:tc>
          <w:tcPr>
            <w:tcW w:w="109" w:type="dxa"/>
            <w:tcBorders/>
            <w:vAlign w:val="center"/>
          </w:tcPr>
          <w:p>
            <w:pPr>
              <w:pStyle w:val="TableContents"/>
              <w:bidi w:val="0"/>
              <w:spacing w:before="0" w:after="0"/>
              <w:ind w:left="0" w:right="0" w:hanging="0"/>
              <w:jc w:val="left"/>
            </w:pPr>
            <w:r>
              <w:t>​</w:t>
            </w:r>
          </w:p>
        </w:tc>
        <w:tc>
          <w:tcPr>
            <w:tcW w:w="23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c>
          <w:tcPr>
            <w:tcW w:w="48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7149"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2357" w:type="dxa"/>
            <w:tcBorders/>
            <w:vAlign w:val="center"/>
          </w:tcPr>
          <w:p>
            <w:pPr>
              <w:pStyle w:val="TableContents"/>
              <w:bidi w:val="0"/>
              <w:spacing w:before="0" w:after="0"/>
              <w:ind w:left="0" w:right="0" w:hanging="0"/>
              <w:jc w:val="left"/>
            </w:pPr>
            <w:r>
              <w:t>​</w:t>
            </w:r>
          </w:p>
        </w:tc>
      </w:tr>
      <w:t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pPr>
            <w:r>
              <w:t>​</w:t>
            </w:r>
          </w:p>
        </w:tc>
        <w:tc>
          <w:tcPr>
            <w:tcW w:w="7149" w:type="dxa"/>
            <w:tcBorders/>
            <w:vAlign w:val="center"/>
          </w:tcPr>
          <w:p>
            <w:pPr>
              <w:pStyle w:val="TableContents"/>
              <w:bidi w:val="0"/>
              <w:spacing w:before="0" w:after="0"/>
              <w:ind w:left="0" w:right="0" w:hanging="0"/>
              <w:jc w:val="left"/>
            </w:pPr>
            <w:hyperlink w:anchor="lope-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 ††</w:t>
              </w:r>
            </w:hyperlink>
          </w:p>
        </w:tc>
        <w:tc>
          <w:tcPr>
            <w:tcW w:w="109" w:type="dxa"/>
            <w:tcBorders/>
            <w:vAlign w:val="center"/>
          </w:tcPr>
          <w:p>
            <w:pPr>
              <w:pStyle w:val="TableContents"/>
              <w:bidi w:val="0"/>
              <w:spacing w:before="0" w:after="0"/>
              <w:ind w:left="0" w:right="0" w:hanging="0"/>
              <w:jc w:val="left"/>
            </w:pPr>
            <w:r>
              <w:t>​</w:t>
            </w:r>
          </w:p>
        </w:tc>
        <w:tc>
          <w:tcPr>
            <w:tcW w:w="23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c>
          <w:tcPr>
            <w:tcW w:w="48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7149"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2357" w:type="dxa"/>
            <w:tcBorders/>
            <w:vAlign w:val="center"/>
          </w:tcPr>
          <w:p>
            <w:pPr>
              <w:pStyle w:val="TableContents"/>
              <w:bidi w:val="0"/>
              <w:spacing w:before="0" w:after="0"/>
              <w:ind w:left="0" w:right="0" w:hanging="0"/>
              <w:jc w:val="left"/>
            </w:pPr>
            <w:r>
              <w:t>​</w:t>
            </w:r>
          </w:p>
        </w:tc>
      </w:tr>
      <w:t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left"/>
            </w:pPr>
            <w:r>
              <w:t>​</w:t>
            </w:r>
          </w:p>
        </w:tc>
        <w:tc>
          <w:tcPr>
            <w:tcW w:w="7149" w:type="dxa"/>
            <w:tcBorders/>
            <w:vAlign w:val="center"/>
          </w:tcPr>
          <w:p>
            <w:pPr>
              <w:pStyle w:val="TableContents"/>
              <w:bidi w:val="0"/>
              <w:spacing w:before="0" w:after="0"/>
              <w:ind w:left="0" w:right="0" w:hanging="0"/>
              <w:jc w:val="left"/>
            </w:pPr>
            <w:hyperlink w:anchor="lope-ex32d2.htm">
              <w:r>
                <w:rPr>
                  <w:rStyle w:val="InternetLink"/>
                  <w:rFonts w:ascii="Times New Roman;Times;serif" w:hAnsi="Times New Roman;Times;serif"/>
                  <w:b w:val="false"/>
                  <w:i w:val="false"/>
                  <w:caps w:val="false"/>
                  <w:smallCaps w:val="false"/>
                  <w:sz w:val="20"/>
                </w:rPr>
                <w:t>Certification of Interim Principal Financial Officer and Principal Accounting Officer pursuant to 18 U.S.C. Section 1350, as adopted pursuant to Section 906 of the Sarbanes-Oxley Act of 2002. ††</w:t>
              </w:r>
            </w:hyperlink>
          </w:p>
        </w:tc>
        <w:tc>
          <w:tcPr>
            <w:tcW w:w="109" w:type="dxa"/>
            <w:tcBorders/>
            <w:vAlign w:val="center"/>
          </w:tcPr>
          <w:p>
            <w:pPr>
              <w:pStyle w:val="TableContents"/>
              <w:bidi w:val="0"/>
              <w:spacing w:before="0" w:after="0"/>
              <w:ind w:left="0" w:right="0" w:hanging="0"/>
              <w:jc w:val="left"/>
            </w:pPr>
            <w:r>
              <w:t>​</w:t>
            </w:r>
          </w:p>
        </w:tc>
        <w:tc>
          <w:tcPr>
            <w:tcW w:w="23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c>
          <w:tcPr>
            <w:tcW w:w="48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7149"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2357" w:type="dxa"/>
            <w:tcBorders/>
            <w:vAlign w:val="center"/>
          </w:tcPr>
          <w:p>
            <w:pPr>
              <w:pStyle w:val="TableContents"/>
              <w:bidi w:val="0"/>
              <w:spacing w:before="0" w:after="0"/>
              <w:ind w:left="0" w:right="0" w:hanging="0"/>
              <w:jc w:val="left"/>
            </w:pPr>
            <w:r>
              <w:t>​</w:t>
            </w:r>
          </w:p>
        </w:tc>
      </w:tr>
      <w:t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left"/>
            </w:pPr>
            <w:r>
              <w:t>​</w:t>
            </w:r>
          </w:p>
        </w:tc>
        <w:tc>
          <w:tcPr>
            <w:tcW w:w="71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financial statements from the Company’s Quarterly Report on Form 10-Q for the quarter ended September 30, 2026, formatted in Inline XBRL: (i) Consolidated Income Statements, (ii) Consolidated Statements of Comprehensive Income, (iii) Consolidated Balance Sheets, (iv) Consolidated Statements of Stockholders’ Equity, (v) Consolidated Statements of Cash Flows, and (vi) Notes to Consolidated Financial Statements tagged as blocks of text and including detailed tags.</w:t>
            </w:r>
          </w:p>
        </w:tc>
        <w:tc>
          <w:tcPr>
            <w:tcW w:w="109" w:type="dxa"/>
            <w:tcBorders/>
            <w:vAlign w:val="center"/>
          </w:tcPr>
          <w:p>
            <w:pPr>
              <w:pStyle w:val="TableContents"/>
              <w:bidi w:val="0"/>
              <w:spacing w:before="0" w:after="0"/>
              <w:ind w:left="0" w:right="0" w:hanging="0"/>
              <w:jc w:val="left"/>
            </w:pPr>
            <w:r>
              <w:t>​</w:t>
            </w:r>
          </w:p>
        </w:tc>
        <w:tc>
          <w:tcPr>
            <w:tcW w:w="23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c>
          <w:tcPr>
            <w:tcW w:w="48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7149"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2357" w:type="dxa"/>
            <w:tcBorders/>
            <w:vAlign w:val="center"/>
          </w:tcPr>
          <w:p>
            <w:pPr>
              <w:pStyle w:val="TableContents"/>
              <w:bidi w:val="0"/>
              <w:spacing w:before="0" w:after="0"/>
              <w:ind w:left="0" w:right="0" w:hanging="0"/>
              <w:jc w:val="left"/>
            </w:pPr>
            <w:r>
              <w:t>​</w:t>
            </w:r>
          </w:p>
        </w:tc>
      </w:tr>
      <w:t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pPr>
            <w:r>
              <w:t>​</w:t>
            </w:r>
          </w:p>
        </w:tc>
        <w:tc>
          <w:tcPr>
            <w:tcW w:w="71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cover page from the Company’s Quarterly Report on Form 10-Q for the quarter ended September 30, 2026, formatted in Inline XBRL (included as Exhibit 101).</w:t>
            </w:r>
          </w:p>
        </w:tc>
        <w:tc>
          <w:tcPr>
            <w:tcW w:w="109" w:type="dxa"/>
            <w:tcBorders/>
            <w:vAlign w:val="center"/>
          </w:tcPr>
          <w:p>
            <w:pPr>
              <w:pStyle w:val="TableContents"/>
              <w:bidi w:val="0"/>
              <w:spacing w:before="0" w:after="0"/>
              <w:ind w:left="0" w:right="0" w:hanging="0"/>
              <w:jc w:val="left"/>
            </w:pPr>
            <w:r>
              <w:t>​</w:t>
            </w:r>
          </w:p>
        </w:tc>
        <w:tc>
          <w:tcPr>
            <w:tcW w:w="23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bl>
    <w:p>
      <w:pPr>
        <w:pStyle w:val="TextBody"/>
        <w:pBdr/>
        <w:bidi w:val="0"/>
        <w:spacing w:before="0" w:after="40"/>
        <w:ind w:left="0" w:right="0" w:hanging="360"/>
        <w:jc w:val="left"/>
        <w:rPr>
          <w:rFonts w:ascii="Times New Roman;Times;serif" w:hAnsi="Times New Roman;Times;serif"/>
          <w:sz w:val="20"/>
        </w:rPr>
      </w:pPr>
      <w:r>
        <w:rPr>
          <w:rFonts w:ascii="Times New Roman;Times;serif" w:hAnsi="Times New Roman;Times;serif"/>
          <w:sz w:val="20"/>
        </w:rPr>
        <w:t>*     Certain schedules and exhibits have been omitted pursuant to Item 601(a)(5) of Regulation S-K. The Company agrees to furnish supplementally a copy of any omitted schedule or exhibit to the Securities and Exchange Commission upon request.</w:t>
      </w:r>
    </w:p>
    <w:p>
      <w:pPr>
        <w:pStyle w:val="TextBody"/>
        <w:pBdr/>
        <w:bidi w:val="0"/>
        <w:spacing w:before="0" w:after="40"/>
        <w:ind w:left="0" w:right="0" w:hanging="360"/>
        <w:jc w:val="left"/>
        <w:rPr>
          <w:rFonts w:ascii="Times New Roman;Times;serif" w:hAnsi="Times New Roman;Times;serif"/>
          <w:sz w:val="20"/>
        </w:rPr>
      </w:pPr>
      <w:r>
        <w:rPr>
          <w:rFonts w:ascii="Times New Roman;Times;serif" w:hAnsi="Times New Roman;Times;serif"/>
          <w:sz w:val="20"/>
        </w:rPr>
        <w:t>## Certain portions of this document have been redacted pursuant to Regulation S-K, Item 601(b)(10)(iv).</w:t>
      </w:r>
    </w:p>
    <w:p>
      <w:pPr>
        <w:pStyle w:val="TextBody"/>
        <w:pBdr/>
        <w:bidi w:val="0"/>
        <w:spacing w:before="0" w:after="40"/>
        <w:ind w:left="0" w:right="0" w:hanging="360"/>
        <w:jc w:val="left"/>
      </w:pPr>
      <w:r>
        <w:t>†     </w:t>
      </w:r>
      <w:r>
        <w:rPr>
          <w:rFonts w:ascii="Times New Roman;Times;serif" w:hAnsi="Times New Roman;Times;serif"/>
          <w:sz w:val="20"/>
        </w:rPr>
        <w:t>Indicates a management contract or any compensatory plan, contract or arrangement.</w:t>
      </w:r>
    </w:p>
    <w:p>
      <w:pPr>
        <w:pStyle w:val="TextBody"/>
        <w:pBdr/>
        <w:bidi w:val="0"/>
        <w:spacing w:before="0" w:after="0"/>
        <w:ind w:left="0" w:right="0" w:hanging="360"/>
        <w:jc w:val="left"/>
      </w:pPr>
      <w:r>
        <w:t>††   </w:t>
      </w:r>
      <w:r>
        <w:rPr>
          <w:rFonts w:ascii="Times New Roman;Times;serif" w:hAnsi="Times New Roman;Times;serif"/>
          <w:sz w:val="20"/>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77" w:name="SIGNATURES_551969"/>
      <w:bookmarkStart w:id="1078" w:name="_34ca20c3_8187_41a8_bd1b_53be26665bcb"/>
      <w:bookmarkEnd w:id="1077"/>
      <w:bookmarkEnd w:id="1078"/>
      <w:r>
        <w:rPr>
          <w:rFonts w:ascii="Times New Roman;Times;serif" w:hAnsi="Times New Roman;Times;serif"/>
          <w:b/>
          <w:sz w:val="20"/>
        </w:rPr>
        <w:t>SIGNATURES</w:t>
      </w:r>
    </w:p>
    <w:p>
      <w:pPr>
        <w:pStyle w:val="TextBody"/>
        <w:bidi w:val="0"/>
        <w:spacing w:before="0" w:after="0"/>
        <w:ind w:left="0" w:right="0" w:hanging="0"/>
        <w:jc w:val="center"/>
      </w:pPr>
      <w: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0" w:type="dxa"/>
          <w:left w:w="0" w:type="dxa"/>
          <w:bottom w:w="0" w:type="dxa"/>
          <w:right w:w="0" w:type="dxa"/>
        </w:tblCellMar>
      </w:tblPr>
      <w:tblGrid>
        <w:gridCol w:w="2033"/>
        <w:gridCol w:w="346"/>
        <w:gridCol w:w="1591"/>
        <w:gridCol w:w="6235"/>
      </w:tblGrid>
      <w:tr>
        <w:tc>
          <w:tcPr>
            <w:tcW w:w="2033"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591" w:type="dxa"/>
            <w:tcBorders/>
            <w:vAlign w:val="center"/>
          </w:tcPr>
          <w:p>
            <w:pPr>
              <w:pStyle w:val="TableContents"/>
              <w:bidi w:val="0"/>
              <w:spacing w:before="0" w:after="0"/>
              <w:ind w:left="0" w:right="0" w:hanging="0"/>
              <w:jc w:val="left"/>
            </w:pPr>
            <w:r>
              <w:t>​</w:t>
            </w:r>
          </w:p>
        </w:tc>
        <w:tc>
          <w:tcPr>
            <w:tcW w:w="6235" w:type="dxa"/>
            <w:tcBorders/>
            <w:vAlign w:val="center"/>
          </w:tcPr>
          <w:p>
            <w:pPr>
              <w:pStyle w:val="TableContents"/>
              <w:bidi w:val="0"/>
              <w:spacing w:before="0" w:after="0"/>
              <w:ind w:left="0" w:right="0" w:hanging="0"/>
              <w:jc w:val="left"/>
            </w:pPr>
            <w:r>
              <w:t>​</w:t>
            </w:r>
          </w:p>
        </w:tc>
      </w:tr>
      <w:tr>
        <w:tc>
          <w:tcPr>
            <w:tcW w:w="2033"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7826"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GRAND CANYON EDUCATION, INC.</w:t>
            </w:r>
          </w:p>
        </w:tc>
      </w:tr>
      <w:tr>
        <w:tc>
          <w:tcPr>
            <w:tcW w:w="2033"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7826" w:type="dxa"/>
            <w:gridSpan w:val="2"/>
            <w:tcBorders/>
            <w:vAlign w:val="center"/>
          </w:tcPr>
          <w:p>
            <w:pPr>
              <w:pStyle w:val="TableContents"/>
              <w:bidi w:val="0"/>
              <w:spacing w:before="0" w:after="0"/>
              <w:ind w:left="0" w:right="0" w:hanging="0"/>
              <w:jc w:val="left"/>
            </w:pPr>
            <w:r>
              <w:t>​</w:t>
            </w:r>
          </w:p>
        </w:tc>
      </w:tr>
      <w:tr>
        <w:tc>
          <w:tcPr>
            <w:tcW w:w="20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4, 2026</w:t>
            </w:r>
          </w:p>
        </w:tc>
        <w:tc>
          <w:tcPr>
            <w:tcW w:w="346" w:type="dxa"/>
            <w:tcBorders/>
            <w:vAlign w:val="center"/>
          </w:tcPr>
          <w:p>
            <w:pPr>
              <w:pStyle w:val="TableContents"/>
              <w:bidi w:val="0"/>
              <w:spacing w:before="0" w:after="0"/>
              <w:ind w:left="0" w:right="0" w:hanging="0"/>
              <w:jc w:val="left"/>
            </w:pPr>
            <w: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2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Lori Browning</w:t>
            </w:r>
          </w:p>
        </w:tc>
      </w:tr>
      <w:tr>
        <w:tc>
          <w:tcPr>
            <w:tcW w:w="2033"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782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Lori Browning</w:t>
            </w:r>
          </w:p>
        </w:tc>
      </w:tr>
      <w:tr>
        <w:tc>
          <w:tcPr>
            <w:tcW w:w="2033"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782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Financial Officer and Senior Vice President &amp; Controller – Chief Accounting Officer</w:t>
            </w:r>
          </w:p>
        </w:tc>
      </w:tr>
      <w:tr>
        <w:tc>
          <w:tcPr>
            <w:tcW w:w="2033"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782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Principal Financial Officer and Principal Accounting Officer)</w:t>
            </w:r>
          </w:p>
        </w:tc>
      </w:tr>
      <w:tr>
        <w:tc>
          <w:tcPr>
            <w:tcW w:w="2033"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7826" w:type="dxa"/>
            <w:gridSpan w:val="2"/>
            <w:tcBorders/>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0"/>
        <w:ind w:left="0" w:right="0" w:hanging="0"/>
        <w:jc w:val="right"/>
        <w:rPr>
          <w:rFonts w:ascii="Arial;Helvetica;sans-serif" w:hAnsi="Arial;Helvetica;sans-serif"/>
          <w:b/>
          <w:sz w:val="22"/>
        </w:rPr>
      </w:pPr>
      <w:bookmarkStart w:id="1079" w:name="lope-ex10d6.htm"/>
      <w:bookmarkStart w:id="1080" w:name="kslopeex10d6"/>
      <w:bookmarkEnd w:id="1079"/>
      <w:bookmarkEnd w:id="1080"/>
      <w:r>
        <w:rPr>
          <w:rFonts w:ascii="Arial;Helvetica;sans-serif" w:hAnsi="Arial;Helvetica;sans-serif"/>
          <w:b/>
          <w:sz w:val="22"/>
        </w:rPr>
        <w:t>Exhibit 10.6</w:t>
      </w:r>
      <w:r>
        <w:br w:type="page"/>
      </w:r>
    </w:p>
    <w:p>
      <w:pPr>
        <w:pStyle w:val="TextBody"/>
        <w:bidi w:val="0"/>
        <w:spacing w:before="0" w:after="0"/>
        <w:ind w:left="0" w:right="0" w:hanging="0"/>
        <w:jc w:val="left"/>
      </w:pPr>
      <w:r>
        <w:t>​</w:t>
      </w:r>
    </w:p>
    <w:p>
      <w:pPr>
        <w:pStyle w:val="TextBody"/>
        <w:bidi w:val="0"/>
        <w:spacing w:before="0" w:after="0"/>
        <w:ind w:left="0" w:right="0" w:hanging="0"/>
        <w:jc w:val="center"/>
        <w:rPr>
          <w:rFonts w:ascii="Arial;Helvetica;sans-serif" w:hAnsi="Arial;Helvetica;sans-serif"/>
          <w:b/>
          <w:color w:val="1F1F1F"/>
          <w:sz w:val="22"/>
        </w:rPr>
      </w:pPr>
      <w:r>
        <w:rPr>
          <w:rFonts w:ascii="Arial;Helvetica;sans-serif" w:hAnsi="Arial;Helvetica;sans-serif"/>
          <w:b/>
          <w:color w:val="1F1F1F"/>
          <w:sz w:val="22"/>
        </w:rPr>
        <w:t>SECOND AMENDED AND RESTATED</w:t>
      </w:r>
    </w:p>
    <w:p>
      <w:pPr>
        <w:pStyle w:val="TextBody"/>
        <w:bidi w:val="0"/>
        <w:spacing w:before="0" w:after="0"/>
        <w:ind w:left="0" w:right="0" w:hanging="0"/>
        <w:jc w:val="center"/>
        <w:rPr>
          <w:rFonts w:ascii="Arial;Helvetica;sans-serif" w:hAnsi="Arial;Helvetica;sans-serif"/>
          <w:b/>
          <w:color w:val="1F1F1F"/>
          <w:sz w:val="22"/>
        </w:rPr>
      </w:pPr>
      <w:r>
        <w:rPr>
          <w:rFonts w:ascii="Arial;Helvetica;sans-serif" w:hAnsi="Arial;Helvetica;sans-serif"/>
          <w:b/>
          <w:color w:val="1F1F1F"/>
          <w:sz w:val="22"/>
        </w:rPr>
        <w:t>EXECUTIVE EMPLOYMENT AGREEMENT</w:t>
      </w:r>
    </w:p>
    <w:p>
      <w:pPr>
        <w:pStyle w:val="TextBody"/>
        <w:bidi w:val="0"/>
        <w:spacing w:before="0" w:after="0"/>
        <w:ind w:left="0" w:right="0" w:hanging="0"/>
        <w:jc w:val="center"/>
        <w:rPr>
          <w:rFonts w:ascii="Arial;Helvetica;sans-serif" w:hAnsi="Arial;Helvetica;sans-serif"/>
          <w:b/>
          <w:color w:val="1F1F1F"/>
          <w:sz w:val="22"/>
        </w:rPr>
      </w:pPr>
      <w:r>
        <w:rPr>
          <w:rFonts w:ascii="Arial;Helvetica;sans-serif" w:hAnsi="Arial;Helvetica;sans-serif"/>
          <w:b/>
          <w:color w:val="1F1F1F"/>
          <w:sz w:val="22"/>
        </w:rPr>
        <w:t>(Lori Browning)</w:t>
      </w:r>
    </w:p>
    <w:p>
      <w:pPr>
        <w:pStyle w:val="TextBody"/>
        <w:bidi w:val="0"/>
        <w:spacing w:before="0" w:after="0"/>
        <w:ind w:left="0" w:right="0" w:hanging="0"/>
        <w:jc w:val="left"/>
      </w:pPr>
      <w:r>
        <w:t>​</w:t>
      </w:r>
    </w:p>
    <w:p>
      <w:pPr>
        <w:pStyle w:val="TextBody"/>
        <w:bidi w:val="0"/>
        <w:spacing w:before="0" w:after="0"/>
        <w:ind w:left="0" w:right="0" w:firstLine="720"/>
        <w:jc w:val="both"/>
        <w:rPr>
          <w:rFonts w:ascii="Arial;Helvetica;sans-serif" w:hAnsi="Arial;Helvetica;sans-serif"/>
          <w:sz w:val="22"/>
        </w:rPr>
      </w:pPr>
      <w:r>
        <w:rPr>
          <w:rFonts w:ascii="Arial;Helvetica;sans-serif" w:hAnsi="Arial;Helvetica;sans-serif"/>
          <w:color w:val="1F1F1F"/>
          <w:sz w:val="22"/>
        </w:rPr>
        <w:t>This Second Amended and Restated Executive Employment Agreement (the “</w:t>
      </w:r>
      <w:r>
        <w:rPr>
          <w:rFonts w:ascii="Arial;Helvetica;sans-serif" w:hAnsi="Arial;Helvetica;sans-serif"/>
          <w:color w:val="1F1F1F"/>
          <w:sz w:val="22"/>
          <w:u w:val="single"/>
        </w:rPr>
        <w:t>Agreement"</w:t>
      </w:r>
      <w:r>
        <w:rPr>
          <w:rFonts w:ascii="Arial;Helvetica;sans-serif" w:hAnsi="Arial;Helvetica;sans-serif"/>
          <w:color w:val="1F1F1F"/>
          <w:sz w:val="22"/>
        </w:rPr>
        <w:t>) is entered into on August 31, 2023, and is effective as of July 1, 2023 (the “</w:t>
      </w:r>
      <w:r>
        <w:rPr>
          <w:rFonts w:ascii="Arial;Helvetica;sans-serif" w:hAnsi="Arial;Helvetica;sans-serif"/>
          <w:color w:val="1F1F1F"/>
          <w:sz w:val="22"/>
          <w:u w:val="single"/>
        </w:rPr>
        <w:t>Effective Date</w:t>
      </w:r>
      <w:r>
        <w:rPr>
          <w:rFonts w:ascii="Arial;Helvetica;sans-serif" w:hAnsi="Arial;Helvetica;sans-serif"/>
          <w:color w:val="1F1F1F"/>
          <w:sz w:val="22"/>
        </w:rPr>
        <w:t>”), by and between Grand Canyon Education, Inc., a Delaware corporation (“Company”) and Lori Browning (“</w:t>
      </w:r>
      <w:r>
        <w:rPr>
          <w:rFonts w:ascii="Arial;Helvetica;sans-serif" w:hAnsi="Arial;Helvetica;sans-serif"/>
          <w:color w:val="1F1F1F"/>
          <w:sz w:val="22"/>
          <w:u w:val="single"/>
        </w:rPr>
        <w:t>Executive</w:t>
      </w:r>
      <w:r>
        <w:rPr>
          <w:rFonts w:ascii="Arial;Helvetica;sans-serif" w:hAnsi="Arial;Helvetica;sans-serif"/>
          <w:color w:val="1F1F1F"/>
          <w:sz w:val="22"/>
        </w:rPr>
        <w:t>”).</w:t>
      </w:r>
    </w:p>
    <w:p>
      <w:pPr>
        <w:pStyle w:val="TextBody"/>
        <w:bidi w:val="0"/>
        <w:spacing w:before="0" w:after="0"/>
        <w:ind w:left="0" w:right="0" w:hanging="0"/>
        <w:jc w:val="both"/>
      </w:pPr>
      <w:r>
        <w:t>​</w:t>
      </w:r>
    </w:p>
    <w:p>
      <w:pPr>
        <w:pStyle w:val="TextBody"/>
        <w:bidi w:val="0"/>
        <w:spacing w:before="0" w:after="0"/>
        <w:ind w:left="0" w:right="0" w:firstLine="720"/>
        <w:jc w:val="both"/>
        <w:rPr>
          <w:rFonts w:ascii="Arial;Helvetica;sans-serif" w:hAnsi="Arial;Helvetica;sans-serif"/>
          <w:sz w:val="22"/>
        </w:rPr>
      </w:pPr>
      <w:r>
        <w:rPr>
          <w:rFonts w:ascii="Arial;Helvetica;sans-serif" w:hAnsi="Arial;Helvetica;sans-serif"/>
          <w:color w:val="1F1F1F"/>
          <w:sz w:val="22"/>
        </w:rPr>
        <w:t>WHEREAS, Company and Executive are parties to an amended and restated executive employment agreement effective as of July 30, 2012, and effective July 1, 2020, (as amended, the “</w:t>
      </w:r>
      <w:r>
        <w:rPr>
          <w:rFonts w:ascii="Arial;Helvetica;sans-serif" w:hAnsi="Arial;Helvetica;sans-serif"/>
          <w:color w:val="1F1F1F"/>
          <w:sz w:val="22"/>
          <w:u w:val="single"/>
        </w:rPr>
        <w:t>Original Agreement”</w:t>
      </w:r>
      <w:r>
        <w:rPr>
          <w:rFonts w:ascii="Arial;Helvetica;sans-serif" w:hAnsi="Arial;Helvetica;sans-serif"/>
          <w:color w:val="1F1F1F"/>
          <w:sz w:val="22"/>
        </w:rPr>
        <w:t>), and Executive has been employed with Company since that time;</w:t>
      </w:r>
    </w:p>
    <w:p>
      <w:pPr>
        <w:pStyle w:val="TextBody"/>
        <w:bidi w:val="0"/>
        <w:spacing w:before="0" w:after="0"/>
        <w:ind w:left="0" w:right="0" w:hanging="0"/>
        <w:jc w:val="both"/>
      </w:pPr>
      <w:r>
        <w:t>​</w:t>
      </w:r>
    </w:p>
    <w:p>
      <w:pPr>
        <w:pStyle w:val="TextBody"/>
        <w:bidi w:val="0"/>
        <w:spacing w:before="0" w:after="0"/>
        <w:ind w:left="0" w:right="0" w:firstLine="720"/>
        <w:jc w:val="both"/>
        <w:rPr>
          <w:rFonts w:ascii="Arial;Helvetica;sans-serif" w:hAnsi="Arial;Helvetica;sans-serif"/>
          <w:color w:val="1F1F1F"/>
          <w:sz w:val="22"/>
        </w:rPr>
      </w:pPr>
      <w:r>
        <w:rPr>
          <w:rFonts w:ascii="Arial;Helvetica;sans-serif" w:hAnsi="Arial;Helvetica;sans-serif"/>
          <w:color w:val="1F1F1F"/>
          <w:sz w:val="22"/>
        </w:rPr>
        <w:t>WHEREAS, Company and Executive desire to amend and restate the Original Agreement through the execution and delivery of this Agreement.</w:t>
      </w:r>
    </w:p>
    <w:p>
      <w:pPr>
        <w:pStyle w:val="TextBody"/>
        <w:bidi w:val="0"/>
        <w:spacing w:before="0" w:after="0"/>
        <w:ind w:left="0" w:right="0" w:hanging="0"/>
        <w:jc w:val="both"/>
      </w:pPr>
      <w:r>
        <w:t>​</w:t>
      </w:r>
    </w:p>
    <w:p>
      <w:pPr>
        <w:pStyle w:val="TextBody"/>
        <w:bidi w:val="0"/>
        <w:spacing w:before="0" w:after="0"/>
        <w:ind w:left="0" w:right="0" w:firstLine="720"/>
        <w:jc w:val="both"/>
        <w:rPr>
          <w:rFonts w:ascii="Arial;Helvetica;sans-serif" w:hAnsi="Arial;Helvetica;sans-serif"/>
          <w:color w:val="1F1F1F"/>
          <w:sz w:val="22"/>
        </w:rPr>
      </w:pPr>
      <w:r>
        <w:rPr>
          <w:rFonts w:ascii="Arial;Helvetica;sans-serif" w:hAnsi="Arial;Helvetica;sans-serif"/>
          <w:color w:val="1F1F1F"/>
          <w:sz w:val="22"/>
        </w:rPr>
        <w:t>NOW, THEREFORE, for good and valuable consideration, the receipt and sufficiency of which are hereby acknowledged, the parties agree as follows:</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w:t>
      </w:r>
      <w:r>
        <w:rPr>
          <w:rFonts w:ascii="Arial;Helvetica;sans-serif" w:hAnsi="Arial;Helvetica;sans-serif"/>
          <w:color w:val="1F1F1F"/>
          <w:sz w:val="22"/>
          <w:u w:val="single"/>
        </w:rPr>
        <w:t>Employment.</w:t>
      </w:r>
      <w:r>
        <w:rPr>
          <w:rFonts w:ascii="Arial;Helvetica;sans-serif" w:hAnsi="Arial;Helvetica;sans-serif"/>
          <w:color w:val="1F1F1F"/>
          <w:sz w:val="22"/>
        </w:rPr>
        <w:t xml:space="preserve"> Company desires to continue to employ Executive, and Executive desires to continue such employment, upon the terms and conditions set forth herein.</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2.</w:t>
      </w:r>
      <w:r>
        <w:rPr>
          <w:rFonts w:ascii="Arial;Helvetica;sans-serif" w:hAnsi="Arial;Helvetica;sans-serif"/>
          <w:color w:val="1F1F1F"/>
          <w:sz w:val="22"/>
          <w:u w:val="single"/>
        </w:rPr>
        <w:t>Duties</w:t>
      </w:r>
      <w:r>
        <w:rPr>
          <w:rFonts w:ascii="Arial;Helvetica;sans-serif" w:hAnsi="Arial;Helvetica;sans-serif"/>
          <w:color w:val="1F1F1F"/>
          <w:sz w:val="22"/>
        </w:rPr>
        <w:t>.</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2.1</w:t>
      </w:r>
      <w:r>
        <w:rPr>
          <w:rFonts w:ascii="Arial;Helvetica;sans-serif" w:hAnsi="Arial;Helvetica;sans-serif"/>
          <w:color w:val="1F1F1F"/>
          <w:sz w:val="22"/>
          <w:u w:val="single"/>
        </w:rPr>
        <w:t>Position</w:t>
      </w:r>
      <w:r>
        <w:rPr>
          <w:rFonts w:ascii="Arial;Helvetica;sans-serif" w:hAnsi="Arial;Helvetica;sans-serif"/>
          <w:color w:val="1F1F1F"/>
          <w:sz w:val="22"/>
        </w:rPr>
        <w:t>. Executive is employed by Company and shall have the duties and responsibilities reasonably assigned to Executive from time to time by Company’s Chief Executive Officer, (“</w:t>
      </w:r>
      <w:r>
        <w:rPr>
          <w:rFonts w:ascii="Arial;Helvetica;sans-serif" w:hAnsi="Arial;Helvetica;sans-serif"/>
          <w:color w:val="1F1F1F"/>
          <w:sz w:val="22"/>
          <w:u w:val="single"/>
        </w:rPr>
        <w:t>CEO</w:t>
      </w:r>
      <w:r>
        <w:rPr>
          <w:rFonts w:ascii="Arial;Helvetica;sans-serif" w:hAnsi="Arial;Helvetica;sans-serif"/>
          <w:color w:val="1F1F1F"/>
          <w:sz w:val="22"/>
        </w:rPr>
        <w:t>”), or Board of Directors (the “</w:t>
      </w:r>
      <w:r>
        <w:rPr>
          <w:rFonts w:ascii="Arial;Helvetica;sans-serif" w:hAnsi="Arial;Helvetica;sans-serif"/>
          <w:color w:val="1F1F1F"/>
          <w:sz w:val="22"/>
          <w:u w:val="single"/>
        </w:rPr>
        <w:t>Board</w:t>
      </w:r>
      <w:r>
        <w:rPr>
          <w:rFonts w:ascii="Arial;Helvetica;sans-serif" w:hAnsi="Arial;Helvetica;sans-serif"/>
          <w:color w:val="1F1F1F"/>
          <w:sz w:val="22"/>
        </w:rPr>
        <w:t>”). Executive shall perform faithfully and diligently all duties assigned to Executive. Company reserves the right to modify Executive’s position and duties at any time in its sole and absolute discretion, except that any material diminution in Executive’s duties shall be subject to Section 7.3(ii).</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2.2</w:t>
      </w:r>
      <w:r>
        <w:rPr>
          <w:rFonts w:ascii="Arial;Helvetica;sans-serif" w:hAnsi="Arial;Helvetica;sans-serif"/>
          <w:color w:val="1F1F1F"/>
          <w:sz w:val="22"/>
          <w:u w:val="single"/>
        </w:rPr>
        <w:t>Best Efforts/Full-time</w:t>
      </w:r>
      <w:r>
        <w:rPr>
          <w:rFonts w:ascii="Arial;Helvetica;sans-serif" w:hAnsi="Arial;Helvetica;sans-serif"/>
          <w:color w:val="1F1F1F"/>
          <w:sz w:val="22"/>
        </w:rPr>
        <w:t>. Executive will expend Executive’s best efforts on behalf of Company in the performance of duties assigned to Executive under this Agreement, and will abide by all policies and decisions made by Company, as well as all applicable federal, state and local laws, regulations or ordinances. Executive will act in the best interest of Company at all times in the performance of duties assigned to Executive under this Agreement. Executive shall devote Executive's full business time and efforts to the performance of Executive’s assigned duties for Company, unless Executive notifies Company in advance of Executive's intent to engage in other paid work and receives Company’s express written consent to do so. Notwithstanding the foregoing, Executive will be permitted to serve as an outside director on the board of directors for corporate, civic, nonprofit or charitable entities, so long as Executive obtains the consent of Company and provided such entities are not competitive with Company and subject to the provisions of Section 9.</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2.3</w:t>
      </w:r>
      <w:r>
        <w:rPr>
          <w:rFonts w:ascii="Arial;Helvetica;sans-serif" w:hAnsi="Arial;Helvetica;sans-serif"/>
          <w:color w:val="1F1F1F"/>
          <w:sz w:val="22"/>
          <w:u w:val="single"/>
        </w:rPr>
        <w:t>Work Location</w:t>
      </w:r>
      <w:r>
        <w:rPr>
          <w:rFonts w:ascii="Arial;Helvetica;sans-serif" w:hAnsi="Arial;Helvetica;sans-serif"/>
          <w:color w:val="1F1F1F"/>
          <w:sz w:val="22"/>
        </w:rPr>
        <w:t>. Executive's principal place of work shall be located in Phoenix, Arizona, or such other location as Company may direct from time to time.</w:t>
      </w:r>
    </w:p>
    <w:p>
      <w:pPr>
        <w:pStyle w:val="TextBody"/>
        <w:bidi w:val="0"/>
        <w:spacing w:before="0" w:after="0"/>
        <w:ind w:left="0" w:right="0" w:hanging="0"/>
        <w:jc w:val="both"/>
      </w:pPr>
      <w:r>
        <w:t>​</w:t>
      </w:r>
    </w:p>
    <w:p>
      <w:pPr>
        <w:pStyle w:val="TextBody"/>
        <w:bidi w:val="0"/>
        <w:spacing w:before="14" w:after="0"/>
        <w:ind w:left="20" w:right="0" w:hanging="0"/>
        <w:jc w:val="left"/>
        <w:rPr>
          <w:rFonts w:ascii="Arial;Helvetica;sans-serif" w:hAnsi="Arial;Helvetica;sans-serif"/>
          <w:color w:val="1F1F1F"/>
          <w:sz w:val="22"/>
        </w:rPr>
      </w:pPr>
      <w:r>
        <w:rPr>
          <w:rFonts w:ascii="Arial;Helvetica;sans-serif" w:hAnsi="Arial;Helvetica;sans-serif"/>
          <w:color w:val="1F1F1F"/>
          <w:sz w:val="22"/>
        </w:rPr>
        <w:t>1</w:t>
      </w:r>
    </w:p>
    <w:p>
      <w:pPr>
        <w:pStyle w:val="HorizontalLine"/>
        <w:pBdr>
          <w:bottom w:val="double" w:sz="2" w:space="0" w:color="808080"/>
        </w:pBdr>
        <w:bidi w:val="0"/>
        <w:spacing w:before="0" w:after="283"/>
        <w:jc w:val="left"/>
      </w:pPr>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3.</w:t>
      </w:r>
      <w:r>
        <w:rPr>
          <w:rFonts w:ascii="Arial;Helvetica;sans-serif" w:hAnsi="Arial;Helvetica;sans-serif"/>
          <w:color w:val="1F1F1F"/>
          <w:sz w:val="22"/>
          <w:u w:val="single"/>
        </w:rPr>
        <w:t>Term</w:t>
      </w:r>
      <w:r>
        <w:rPr>
          <w:rFonts w:ascii="Arial;Helvetica;sans-serif" w:hAnsi="Arial;Helvetica;sans-serif"/>
          <w:color w:val="1F1F1F"/>
          <w:sz w:val="22"/>
        </w:rPr>
        <w:t>.</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3.1</w:t>
      </w:r>
      <w:r>
        <w:rPr>
          <w:rFonts w:ascii="Arial;Helvetica;sans-serif" w:hAnsi="Arial;Helvetica;sans-serif"/>
          <w:color w:val="1F1F1F"/>
          <w:sz w:val="22"/>
          <w:u w:val="single"/>
        </w:rPr>
        <w:t>Initial Term</w:t>
      </w:r>
      <w:r>
        <w:rPr>
          <w:rFonts w:ascii="Arial;Helvetica;sans-serif" w:hAnsi="Arial;Helvetica;sans-serif"/>
          <w:color w:val="1F1F1F"/>
          <w:sz w:val="22"/>
        </w:rPr>
        <w:t>. The employment relationship pursuant to this Agreement shall be for an initial term commencing on the Effective Date and shall continue in effect for a period through June 30, 2028 (the “</w:t>
      </w:r>
      <w:r>
        <w:rPr>
          <w:rFonts w:ascii="Arial;Helvetica;sans-serif" w:hAnsi="Arial;Helvetica;sans-serif"/>
          <w:color w:val="1F1F1F"/>
          <w:sz w:val="22"/>
          <w:u w:val="single"/>
        </w:rPr>
        <w:t>Initial Term</w:t>
      </w:r>
      <w:r>
        <w:rPr>
          <w:rFonts w:ascii="Arial;Helvetica;sans-serif" w:hAnsi="Arial;Helvetica;sans-serif"/>
          <w:color w:val="1F1F1F"/>
          <w:sz w:val="22"/>
        </w:rPr>
        <w:t>"), unless sooner terminated in accordance with Section 7.</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3.2</w:t>
      </w:r>
      <w:r>
        <w:rPr>
          <w:rFonts w:ascii="Arial;Helvetica;sans-serif" w:hAnsi="Arial;Helvetica;sans-serif"/>
          <w:color w:val="1F1F1F"/>
          <w:sz w:val="22"/>
          <w:u w:val="single"/>
        </w:rPr>
        <w:t>Renewal</w:t>
      </w:r>
      <w:r>
        <w:rPr>
          <w:rFonts w:ascii="Arial;Helvetica;sans-serif" w:hAnsi="Arial;Helvetica;sans-serif"/>
          <w:color w:val="1F1F1F"/>
          <w:sz w:val="22"/>
        </w:rPr>
        <w:t>. Upon expiration of the Initial Term and each Renewal Term, this Agreement will automatically renew for subsequent one (1) year terms (each a “</w:t>
      </w:r>
      <w:r>
        <w:rPr>
          <w:rFonts w:ascii="Arial;Helvetica;sans-serif" w:hAnsi="Arial;Helvetica;sans-serif"/>
          <w:color w:val="1F1F1F"/>
          <w:sz w:val="22"/>
          <w:u w:val="single"/>
        </w:rPr>
        <w:t>Renewal Term</w:t>
      </w:r>
      <w:r>
        <w:rPr>
          <w:rFonts w:ascii="Arial;Helvetica;sans-serif" w:hAnsi="Arial;Helvetica;sans-serif"/>
          <w:color w:val="1F1F1F"/>
          <w:sz w:val="22"/>
        </w:rPr>
        <w:t>”) unless either party provides ninety (90) days' advance written notice to the other that Company or Executive does not wish to renew the Agreement for a subsequent Renewal Term. In the event either party gives notice of nonrenewal pursuant to this Section 3.2, this Agreement will expire at the end of the then current term. The Initial Term and each subsequent Renewal Term are referred to collectively as the “</w:t>
      </w:r>
      <w:r>
        <w:rPr>
          <w:rFonts w:ascii="Arial;Helvetica;sans-serif" w:hAnsi="Arial;Helvetica;sans-serif"/>
          <w:color w:val="1F1F1F"/>
          <w:sz w:val="22"/>
          <w:u w:val="single"/>
        </w:rPr>
        <w:t>Term</w:t>
      </w:r>
      <w:r>
        <w:rPr>
          <w:rFonts w:ascii="Arial;Helvetica;sans-serif" w:hAnsi="Arial;Helvetica;sans-serif"/>
          <w:color w:val="1F1F1F"/>
          <w:sz w:val="22"/>
        </w:rPr>
        <w:t>”.</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4.</w:t>
      </w:r>
      <w:r>
        <w:rPr>
          <w:rFonts w:ascii="Arial;Helvetica;sans-serif" w:hAnsi="Arial;Helvetica;sans-serif"/>
          <w:color w:val="1F1F1F"/>
          <w:sz w:val="22"/>
          <w:u w:val="single"/>
        </w:rPr>
        <w:t>Compensation.</w:t>
      </w:r>
    </w:p>
    <w:p>
      <w:pPr>
        <w:pStyle w:val="TextBody"/>
        <w:bidi w:val="0"/>
        <w:spacing w:before="0" w:after="0"/>
        <w:ind w:left="0" w:right="0" w:hanging="0"/>
        <w:jc w:val="both"/>
        <w:rPr>
          <w:color w:val="1F1F1F"/>
        </w:rPr>
      </w:pPr>
      <w:r>
        <w:rPr>
          <w:color w:val="1F1F1F"/>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4.1</w:t>
      </w:r>
      <w:r>
        <w:rPr>
          <w:rFonts w:ascii="Arial;Helvetica;sans-serif" w:hAnsi="Arial;Helvetica;sans-serif"/>
          <w:color w:val="1F1F1F"/>
          <w:sz w:val="22"/>
          <w:u w:val="single"/>
        </w:rPr>
        <w:t>Base-Salary</w:t>
      </w:r>
      <w:r>
        <w:rPr>
          <w:rFonts w:ascii="Arial;Helvetica;sans-serif" w:hAnsi="Arial;Helvetica;sans-serif"/>
          <w:color w:val="1F1F1F"/>
          <w:sz w:val="22"/>
        </w:rPr>
        <w:t>. As compensation for Executive’s performance of Executive’s duties hereunder, effective beginning on the Effective Date Company shall pay to Executive an initial Base Salary at the rate of Two Hundred Sixty-Four Thousand Four Hundred Ninety-Four and 58/100 Dollars ($264,494.58) per year, payable in accordance with the normal payroll practices of Company, less required deductions for state and federal withholding tax, social security and all other employment taxes and payroll deductions. Executives Base Salary shall be reviewed annually by the Compensation Committee of Company (the “</w:t>
      </w:r>
      <w:r>
        <w:rPr>
          <w:rFonts w:ascii="Arial;Helvetica;sans-serif" w:hAnsi="Arial;Helvetica;sans-serif"/>
          <w:color w:val="1F1F1F"/>
          <w:sz w:val="22"/>
          <w:u w:val="single"/>
        </w:rPr>
        <w:t>Compensation Committee</w:t>
      </w:r>
      <w:r>
        <w:rPr>
          <w:rFonts w:ascii="Arial;Helvetica;sans-serif" w:hAnsi="Arial;Helvetica;sans-serif"/>
          <w:color w:val="1F1F1F"/>
          <w:sz w:val="22"/>
        </w:rPr>
        <w:t>”) and adjustments, if any, will be made at that time. In the event Executive’s employment under this Agreement is terminated by either party, for any reason, Executive will earn the Base Salary prorated to the date of termination, except as otherwise set forth herein.</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3"/>
        </w:rPr>
        <w:t>4.2</w:t>
      </w:r>
      <w:r>
        <w:rPr>
          <w:rFonts w:ascii="Arial;Helvetica;sans-serif" w:hAnsi="Arial;Helvetica;sans-serif"/>
          <w:color w:val="1F1F1F"/>
          <w:sz w:val="22"/>
          <w:u w:val="single"/>
        </w:rPr>
        <w:t>Incentive Compensation.</w:t>
      </w:r>
      <w:r>
        <w:rPr>
          <w:rFonts w:ascii="Arial;Helvetica;sans-serif" w:hAnsi="Arial;Helvetica;sans-serif"/>
          <w:color w:val="1F1F1F"/>
          <w:sz w:val="22"/>
        </w:rPr>
        <w:t xml:space="preserve"> Executive will be eligible to earn incentive compensation in the form of a semi-annual bonus for each fiscal year of Company, to be awarded under Company’s annual cash incentive plan as then in effect, with a target amount equal to Thirty Thousand Dollars ($30,000) per semi-annual period (the “</w:t>
      </w:r>
      <w:r>
        <w:rPr>
          <w:rFonts w:ascii="Arial;Helvetica;sans-serif" w:hAnsi="Arial;Helvetica;sans-serif"/>
          <w:color w:val="1F1F1F"/>
          <w:sz w:val="22"/>
          <w:u w:val="single"/>
        </w:rPr>
        <w:t>Target Bonus</w:t>
      </w:r>
      <w:r>
        <w:rPr>
          <w:rFonts w:ascii="Arial;Helvetica;sans-serif" w:hAnsi="Arial;Helvetica;sans-serif"/>
          <w:color w:val="1F1F1F"/>
          <w:sz w:val="22"/>
        </w:rPr>
        <w:t>"). Executive's Target Bonus shall be reviewed annually by the Compensation Committee, and adjustments, if any, will be made at that time. The Compensation Committee will determine the actual amount of the bonus earned by Executive for any year, which may be more or less than the Target Bonus, and will base such determination upon both Company's achievement of overall performance metrics for the year and Executive's achievement of individual performance metrics as agreed upon by the Compensation Committee and Executive. Earned bonus amounts, if any, shall be paid within two and one-half months following the end of each semi-annual period.</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3"/>
        </w:rPr>
        <w:t>4.3</w:t>
      </w:r>
      <w:r>
        <w:rPr>
          <w:rFonts w:ascii="Arial;Helvetica;sans-serif" w:hAnsi="Arial;Helvetica;sans-serif"/>
          <w:color w:val="1F1F1F"/>
          <w:sz w:val="22"/>
          <w:u w:val="single"/>
        </w:rPr>
        <w:t>Equity Awards</w:t>
      </w:r>
      <w:r>
        <w:rPr>
          <w:rFonts w:ascii="Arial;Helvetica;sans-serif" w:hAnsi="Arial;Helvetica;sans-serif"/>
          <w:color w:val="1F1F1F"/>
          <w:sz w:val="22"/>
        </w:rPr>
        <w:t>. Executive will be eligible to receive stock, option or other equity awards (each, an “</w:t>
      </w:r>
      <w:r>
        <w:rPr>
          <w:rFonts w:ascii="Arial;Helvetica;sans-serif" w:hAnsi="Arial;Helvetica;sans-serif"/>
          <w:color w:val="1F1F1F"/>
          <w:sz w:val="22"/>
          <w:u w:val="single"/>
        </w:rPr>
        <w:t>Equity Award</w:t>
      </w:r>
      <w:r>
        <w:rPr>
          <w:rFonts w:ascii="Arial;Helvetica;sans-serif" w:hAnsi="Arial;Helvetica;sans-serif"/>
          <w:color w:val="1F1F1F"/>
          <w:sz w:val="22"/>
        </w:rPr>
        <w:t>”) under Company’s equity incentive plan as then in effect (the “</w:t>
      </w:r>
      <w:r>
        <w:rPr>
          <w:rFonts w:ascii="Arial;Helvetica;sans-serif" w:hAnsi="Arial;Helvetica;sans-serif"/>
          <w:color w:val="1F1F1F"/>
          <w:sz w:val="22"/>
          <w:u w:val="single"/>
        </w:rPr>
        <w:t>Plan</w:t>
      </w:r>
      <w:r>
        <w:rPr>
          <w:rFonts w:ascii="Arial;Helvetica;sans-serif" w:hAnsi="Arial;Helvetica;sans-serif"/>
          <w:color w:val="1F1F1F"/>
          <w:sz w:val="22"/>
        </w:rPr>
        <w:t>”), as determined by the Compensation Committee. Any such Equity Award will be subject to the terms and conditions of the Plan and an applicable form of agreement for such Equity Award specified by the Compensation Committee, which Executive will be required to sign as a condition of retaining the Equity Award.</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5.</w:t>
      </w:r>
      <w:r>
        <w:rPr>
          <w:rFonts w:ascii="Arial;Helvetica;sans-serif" w:hAnsi="Arial;Helvetica;sans-serif"/>
          <w:color w:val="1F1F1F"/>
          <w:sz w:val="22"/>
          <w:u w:val="single"/>
        </w:rPr>
        <w:t>Customary Fringe Benefits</w:t>
      </w:r>
      <w:r>
        <w:rPr>
          <w:rFonts w:ascii="Arial;Helvetica;sans-serif" w:hAnsi="Arial;Helvetica;sans-serif"/>
          <w:color w:val="1F1F1F"/>
          <w:sz w:val="22"/>
        </w:rPr>
        <w:t>. Executive will be eligible for all customary and usual fringe benefits generally available to senior management of Company, subject to the terms and conditions of Company's benefit plan documents. Company reserves the right to change or eliminate fringe benefits on a prospective basis, at any time, effective upon notice to Executive.</w:t>
      </w:r>
    </w:p>
    <w:p>
      <w:pPr>
        <w:pStyle w:val="TextBody"/>
        <w:bidi w:val="0"/>
        <w:spacing w:before="14" w:after="0"/>
        <w:ind w:left="20" w:right="0" w:hanging="0"/>
        <w:jc w:val="left"/>
        <w:rPr>
          <w:rFonts w:ascii="Arial;Helvetica;sans-serif" w:hAnsi="Arial;Helvetica;sans-serif"/>
          <w:color w:val="1F1F1F"/>
          <w:sz w:val="22"/>
        </w:rPr>
      </w:pPr>
      <w:r>
        <w:rPr>
          <w:rFonts w:ascii="Arial;Helvetica;sans-serif" w:hAnsi="Arial;Helvetica;sans-serif"/>
          <w:color w:val="1F1F1F"/>
          <w:sz w:val="22"/>
        </w:rPr>
        <w:t>2</w:t>
      </w:r>
    </w:p>
    <w:p>
      <w:pPr>
        <w:pStyle w:val="HorizontalLine"/>
        <w:pBdr>
          <w:bottom w:val="double" w:sz="2" w:space="0" w:color="808080"/>
        </w:pBdr>
        <w:bidi w:val="0"/>
        <w:spacing w:before="0" w:after="283"/>
        <w:jc w:val="left"/>
      </w:pPr>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6.</w:t>
      </w:r>
      <w:r>
        <w:rPr>
          <w:rFonts w:ascii="Arial;Helvetica;sans-serif" w:hAnsi="Arial;Helvetica;sans-serif"/>
          <w:color w:val="1F1F1F"/>
          <w:sz w:val="22"/>
          <w:u w:val="single"/>
        </w:rPr>
        <w:t>Business Expenses</w:t>
      </w:r>
      <w:r>
        <w:rPr>
          <w:rFonts w:ascii="Arial;Helvetica;sans-serif" w:hAnsi="Arial;Helvetica;sans-serif"/>
          <w:color w:val="1F1F1F"/>
          <w:sz w:val="22"/>
        </w:rPr>
        <w:t>. Executive will be reimbursed for all reasonable, out-of- pocket business expenses incurred in the performance of Executive's duties on behalf of Company. To obtain reimbursement, expenses must be submitted promptly with appropriate supporting documentation and will be reimbursed in accordance with Company's policies. Any reimbursement Executive is entitled to receive shall (a) be paid no later than the last day of Executive's tax year following the tax year in which the expense was incurred, (b) not affect or be affected by any other expenses that are eligible for reimbursement in any other tax year of Executive, and (c) not be subject to liquidation or exchange for another benefit.</w:t>
      </w:r>
    </w:p>
    <w:p>
      <w:pPr>
        <w:pStyle w:val="TextBody"/>
        <w:bidi w:val="0"/>
        <w:spacing w:before="0" w:after="0"/>
        <w:ind w:left="0" w:right="0" w:hanging="0"/>
        <w:jc w:val="both"/>
        <w:rPr>
          <w:color w:val="1F1F1F"/>
        </w:rPr>
      </w:pPr>
      <w:r>
        <w:rPr>
          <w:color w:val="1F1F1F"/>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7.</w:t>
      </w:r>
      <w:r>
        <w:rPr>
          <w:rFonts w:ascii="Arial;Helvetica;sans-serif" w:hAnsi="Arial;Helvetica;sans-serif"/>
          <w:color w:val="1F1F1F"/>
          <w:sz w:val="22"/>
          <w:u w:val="single"/>
        </w:rPr>
        <w:t>Termination of Executive's Employment</w:t>
      </w:r>
      <w:r>
        <w:rPr>
          <w:rFonts w:ascii="Arial;Helvetica;sans-serif" w:hAnsi="Arial;Helvetica;sans-serif"/>
          <w:color w:val="1F1F1F"/>
          <w:sz w:val="22"/>
        </w:rPr>
        <w:t>.</w:t>
      </w:r>
    </w:p>
    <w:p>
      <w:pPr>
        <w:pStyle w:val="TextBody"/>
        <w:bidi w:val="0"/>
        <w:spacing w:before="0" w:after="0"/>
        <w:ind w:left="0" w:right="0" w:hanging="0"/>
        <w:jc w:val="both"/>
        <w:rPr>
          <w:color w:val="1F1F1F"/>
        </w:rPr>
      </w:pPr>
      <w:r>
        <w:rPr>
          <w:color w:val="1F1F1F"/>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7.1</w:t>
      </w:r>
      <w:r>
        <w:rPr>
          <w:rFonts w:ascii="Arial;Helvetica;sans-serif" w:hAnsi="Arial;Helvetica;sans-serif"/>
          <w:color w:val="1F1F1F"/>
          <w:sz w:val="22"/>
          <w:u w:val="single"/>
        </w:rPr>
        <w:t>Termination for Cause by Company</w:t>
      </w:r>
      <w:r>
        <w:rPr>
          <w:rFonts w:ascii="Arial;Helvetica;sans-serif" w:hAnsi="Arial;Helvetica;sans-serif"/>
          <w:color w:val="1F1F1F"/>
          <w:sz w:val="22"/>
        </w:rPr>
        <w:t>. Although Company anticipates the continuation of a mutually rewarding employment relationship with Executive, Company may terminate Executive’s employment immediately at any time for Cause. For purposes of this Agreement, "</w:t>
      </w:r>
      <w:r>
        <w:rPr>
          <w:rFonts w:ascii="Arial;Helvetica;sans-serif" w:hAnsi="Arial;Helvetica;sans-serif"/>
          <w:color w:val="1F1F1F"/>
          <w:sz w:val="22"/>
          <w:u w:val="single"/>
        </w:rPr>
        <w:t>Cause</w:t>
      </w:r>
      <w:r>
        <w:rPr>
          <w:rFonts w:ascii="Arial;Helvetica;sans-serif" w:hAnsi="Arial;Helvetica;sans-serif"/>
          <w:color w:val="1F1F1F"/>
          <w:sz w:val="22"/>
        </w:rPr>
        <w:t xml:space="preserve"> is defined as: (a) acts or omissions constituting gross negligence, recklessness or willful misconduct on the part of Executive with respect to Executive’s ' obligations or otherwise relating to the business of Company; (b) Executive’s material breach of this Agreement including, without limitation, any breach of Section 8, Section 9 or Section 11; (c) Executive’s breach of Company's Employee Nondisclosure and Assignment Agreement (a copy of which has been executed and delivered to Company with this Agreement) (the “</w:t>
      </w:r>
      <w:r>
        <w:rPr>
          <w:rFonts w:ascii="Arial;Helvetica;sans-serif" w:hAnsi="Arial;Helvetica;sans-serif"/>
          <w:color w:val="1F1F1F"/>
          <w:sz w:val="22"/>
          <w:u w:val="single"/>
        </w:rPr>
        <w:t>Nondisclosure Agreement”</w:t>
      </w:r>
      <w:r>
        <w:rPr>
          <w:rFonts w:ascii="Arial;Helvetica;sans-serif" w:hAnsi="Arial;Helvetica;sans-serif"/>
          <w:color w:val="1F1F1F"/>
          <w:sz w:val="22"/>
        </w:rPr>
        <w:t xml:space="preserve">); (d) Executive's conviction or entry of a plea of </w:t>
      </w:r>
      <w:r>
        <w:rPr>
          <w:rFonts w:ascii="Arial;Helvetica;sans-serif" w:hAnsi="Arial;Helvetica;sans-serif"/>
          <w:i/>
          <w:color w:val="1F1F1F"/>
          <w:sz w:val="22"/>
        </w:rPr>
        <w:t xml:space="preserve">nolo contendere </w:t>
      </w:r>
      <w:r>
        <w:rPr>
          <w:rFonts w:ascii="Arial;Helvetica;sans-serif" w:hAnsi="Arial;Helvetica;sans-serif"/>
          <w:color w:val="1F1F1F"/>
          <w:sz w:val="22"/>
        </w:rPr>
        <w:t>for fraud misappropriation or embezzlement or any felony or crime of moral turpitude; (e) Executive's inability to perform the essential functions of Executive’s position with or without reasonable accommodation due to a mental or physical disability; (f) Executive’s willful neglect of duties as determined in the sole and exclusive discretion of Company, provided that Executive has received written notice of the action or omission giving rise to such determination and has failed to remedy such situation to the satisfaction of Company within thirty (30) days following receipt of such written notice, unless Executive’s action or omission is not subject to cure, in which case no such notice shall be required; or (g) Executive's death. In the event Executive's employment is terminated in accordance with this Section 7 1, Executive shall be entitled to receive only Executive's Base Salary then in effect, prorated to the date of Executive’s termination of employment with Company (the “</w:t>
      </w:r>
      <w:r>
        <w:rPr>
          <w:rFonts w:ascii="Arial;Helvetica;sans-serif" w:hAnsi="Arial;Helvetica;sans-serif"/>
          <w:color w:val="1F1F1F"/>
          <w:sz w:val="22"/>
          <w:u w:val="single"/>
        </w:rPr>
        <w:t>Termination Date</w:t>
      </w:r>
      <w:r>
        <w:rPr>
          <w:rFonts w:ascii="Arial;Helvetica;sans-serif" w:hAnsi="Arial;Helvetica;sans-serif"/>
          <w:color w:val="1F1F1F"/>
          <w:sz w:val="22"/>
        </w:rPr>
        <w:t>”), and all amounts and benefits earned or incurred pursuant to Sections 5 and 6 through the Termination Date. All other Company obligations to Executive pursuant to this Agreement will be automatically terminated and completely extinguished as of the Termination Date, but will be subject to the surviving provisions of this Agreement set forth in Section 13.8. Executive will not be entitled to receive the Severance Package described in Section 7.2.</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7.2</w:t>
      </w:r>
      <w:r>
        <w:rPr>
          <w:rFonts w:ascii="Arial;Helvetica;sans-serif" w:hAnsi="Arial;Helvetica;sans-serif"/>
          <w:color w:val="1F1F1F"/>
          <w:sz w:val="22"/>
          <w:u w:val="single"/>
        </w:rPr>
        <w:t>Termination Without Cause by Company.</w:t>
      </w:r>
      <w:r>
        <w:rPr>
          <w:rFonts w:ascii="Arial;Helvetica;sans-serif" w:hAnsi="Arial;Helvetica;sans-serif"/>
          <w:color w:val="1F1F1F"/>
          <w:sz w:val="22"/>
        </w:rPr>
        <w:t xml:space="preserve"> Company may terminate Executive’s employment under this Agreement without Cause at any time upon written notice to Executive. In the event of such termination, Executive will receive Executive’s Base Salary then in effect, prorated to the Termination Date, and all amounts and benefits earned or incurred pursuant to Sections 5 and 6 through the Termination Date. In addition, subject to Sections 7.7 and 7.9, Executive will be entitled to receive a “</w:t>
      </w:r>
      <w:r>
        <w:rPr>
          <w:rFonts w:ascii="Arial;Helvetica;sans-serif" w:hAnsi="Arial;Helvetica;sans-serif"/>
          <w:color w:val="1F1F1F"/>
          <w:sz w:val="22"/>
          <w:u w:val="single"/>
        </w:rPr>
        <w:t>Severance Package”</w:t>
      </w:r>
      <w:r>
        <w:rPr>
          <w:rFonts w:ascii="Arial;Helvetica;sans-serif" w:hAnsi="Arial;Helvetica;sans-serif"/>
          <w:color w:val="1F1F1F"/>
          <w:sz w:val="22"/>
        </w:rPr>
        <w:t xml:space="preserve"> that shall consist of:</w:t>
      </w:r>
    </w:p>
    <w:p>
      <w:pPr>
        <w:pStyle w:val="TextBody"/>
        <w:bidi w:val="0"/>
        <w:spacing w:before="0" w:after="0"/>
        <w:ind w:left="0" w:right="0" w:hanging="0"/>
        <w:jc w:val="both"/>
      </w:pPr>
      <w:r>
        <w:t>​</w:t>
      </w:r>
    </w:p>
    <w:p>
      <w:pPr>
        <w:pStyle w:val="TextBody"/>
        <w:bidi w:val="0"/>
        <w:spacing w:before="0" w:after="240"/>
        <w:ind w:left="0" w:right="0" w:hanging="0"/>
        <w:jc w:val="both"/>
        <w:rPr>
          <w:rFonts w:ascii="Arial;Helvetica;sans-serif" w:hAnsi="Arial;Helvetica;sans-serif"/>
          <w:sz w:val="22"/>
        </w:rPr>
      </w:pPr>
      <w:r>
        <w:rPr>
          <w:rFonts w:ascii="Arial;Helvetica;sans-serif" w:hAnsi="Arial;Helvetica;sans-serif"/>
          <w:sz w:val="22"/>
        </w:rPr>
        <w:t xml:space="preserve">(a)severance in an amount equal to the sum of (i) twelve (12) months of Executive’s Base Salary then in effect on the Termination Date, and (ii) 100% of Executive’s Target Bonus for the fiscal year in which the Termination Date occurs, with the total of such amounts to be payable over twelve (12) months in equal installments in accordance with </w:t>
      </w:r>
    </w:p>
    <w:p>
      <w:pPr>
        <w:pStyle w:val="TextBody"/>
        <w:bidi w:val="0"/>
        <w:spacing w:before="14" w:after="0"/>
        <w:ind w:left="20" w:right="0" w:hanging="0"/>
        <w:jc w:val="left"/>
        <w:rPr>
          <w:rFonts w:ascii="Arial;Helvetica;sans-serif" w:hAnsi="Arial;Helvetica;sans-serif"/>
          <w:color w:val="1F1F1F"/>
          <w:sz w:val="22"/>
        </w:rPr>
      </w:pPr>
      <w:r>
        <w:rPr>
          <w:rFonts w:ascii="Arial;Helvetica;sans-serif" w:hAnsi="Arial;Helvetica;sans-serif"/>
          <w:color w:val="1F1F1F"/>
          <w:sz w:val="22"/>
        </w:rPr>
        <w:t>3</w:t>
      </w:r>
    </w:p>
    <w:p>
      <w:pPr>
        <w:pStyle w:val="HorizontalLine"/>
        <w:pBdr>
          <w:bottom w:val="double" w:sz="2" w:space="0" w:color="808080"/>
        </w:pBdr>
        <w:bidi w:val="0"/>
        <w:spacing w:before="0" w:after="283"/>
        <w:jc w:val="left"/>
      </w:pPr>
      <w:r/>
    </w:p>
    <w:p>
      <w:pPr>
        <w:pStyle w:val="TextBody"/>
        <w:bidi w:val="0"/>
        <w:spacing w:before="0" w:after="240"/>
        <w:ind w:left="0" w:right="0" w:hanging="0"/>
        <w:jc w:val="both"/>
        <w:rPr>
          <w:rFonts w:ascii="Arial;Helvetica;sans-serif" w:hAnsi="Arial;Helvetica;sans-serif"/>
          <w:sz w:val="22"/>
        </w:rPr>
      </w:pPr>
      <w:r>
        <w:rPr>
          <w:rFonts w:ascii="Arial;Helvetica;sans-serif" w:hAnsi="Arial;Helvetica;sans-serif"/>
          <w:sz w:val="22"/>
        </w:rPr>
        <w:t>Company’s regular payroll cycle, commencing with the first payroll date occurring on or after the 60th day following the Termination Date;</w:t>
      </w:r>
    </w:p>
    <w:p>
      <w:pPr>
        <w:pStyle w:val="TextBody"/>
        <w:bidi w:val="0"/>
        <w:spacing w:before="0" w:after="240"/>
        <w:ind w:left="0" w:right="0" w:hanging="0"/>
        <w:jc w:val="both"/>
        <w:rPr>
          <w:rFonts w:ascii="Arial;Helvetica;sans-serif" w:hAnsi="Arial;Helvetica;sans-serif"/>
          <w:sz w:val="22"/>
        </w:rPr>
      </w:pPr>
      <w:r>
        <w:rPr>
          <w:rFonts w:ascii="Arial;Helvetica;sans-serif" w:hAnsi="Arial;Helvetica;sans-serif"/>
          <w:sz w:val="22"/>
        </w:rPr>
        <w:t>(b)payment by Company of the premiums required to continue Executive’s group health care coverage under the applicable provisions of the Consolidated Omnibus Budget Reconciliation Act of 1985 (“</w:t>
      </w:r>
      <w:r>
        <w:rPr>
          <w:rFonts w:ascii="Arial;Helvetica;sans-serif" w:hAnsi="Arial;Helvetica;sans-serif"/>
          <w:sz w:val="22"/>
          <w:u w:val="single"/>
        </w:rPr>
        <w:t>COBRA</w:t>
      </w:r>
      <w:r>
        <w:rPr>
          <w:rFonts w:ascii="Arial;Helvetica;sans-serif" w:hAnsi="Arial;Helvetica;sans-serif"/>
          <w:sz w:val="22"/>
        </w:rPr>
        <w:t>”) for a period (the “</w:t>
      </w:r>
      <w:r>
        <w:rPr>
          <w:rFonts w:ascii="Arial;Helvetica;sans-serif" w:hAnsi="Arial;Helvetica;sans-serif"/>
          <w:sz w:val="22"/>
          <w:u w:val="single"/>
        </w:rPr>
        <w:t>COBRA Payment Period</w:t>
      </w:r>
      <w:r>
        <w:rPr>
          <w:rFonts w:ascii="Arial;Helvetica;sans-serif" w:hAnsi="Arial;Helvetica;sans-serif"/>
          <w:sz w:val="22"/>
        </w:rPr>
        <w:t>”) ending on the earlier of (i) twelve (12) months following the Termination Date or (ii) the date on which Executive becomes eligible for health coverage through another employer, provided in any event that Executive timely elects to continue and remains eligible for these benefits under COBRA; and</w:t>
      </w:r>
    </w:p>
    <w:p>
      <w:pPr>
        <w:pStyle w:val="TextBody"/>
        <w:bidi w:val="0"/>
        <w:spacing w:before="0" w:after="240"/>
        <w:ind w:left="0" w:right="0" w:hanging="0"/>
        <w:jc w:val="both"/>
        <w:rPr>
          <w:rFonts w:ascii="Arial;Helvetica;sans-serif" w:hAnsi="Arial;Helvetica;sans-serif"/>
          <w:sz w:val="22"/>
        </w:rPr>
      </w:pPr>
      <w:r>
        <w:rPr>
          <w:rFonts w:ascii="Arial;Helvetica;sans-serif" w:hAnsi="Arial;Helvetica;sans-serif"/>
          <w:sz w:val="22"/>
        </w:rPr>
        <w:t>(c)acceleration of the vesting of any outstanding time-based Equity Awards to the extent that such Equity Awards would have vested in accordance with their terms had Executive’s employment with Company continued uninterrupted until the first anniversary of the Termination Date.</w:t>
      </w:r>
    </w:p>
    <w:p>
      <w:pPr>
        <w:pStyle w:val="TextBody"/>
        <w:bidi w:val="0"/>
        <w:spacing w:before="0" w:after="0"/>
        <w:ind w:left="0" w:right="0" w:hanging="0"/>
        <w:jc w:val="both"/>
        <w:rPr>
          <w:rFonts w:ascii="Arial;Helvetica;sans-serif" w:hAnsi="Arial;Helvetica;sans-serif"/>
          <w:sz w:val="22"/>
        </w:rPr>
      </w:pPr>
      <w:r>
        <w:rPr>
          <w:rFonts w:ascii="Arial;Helvetica;sans-serif" w:hAnsi="Arial;Helvetica;sans-serif"/>
          <w:sz w:val="22"/>
        </w:rPr>
        <w:t>Notwithstanding Section 7.2(b), if Company determines, in its sole discretion, that the payment of the COBRA premiums would result in a violation of the nondiscrimination rules of Section 105(h)(2) of the Internal Revenue Code of 1986, as amended (the “</w:t>
      </w:r>
      <w:r>
        <w:rPr>
          <w:rFonts w:ascii="Arial;Helvetica;sans-serif" w:hAnsi="Arial;Helvetica;sans-serif"/>
          <w:sz w:val="22"/>
          <w:u w:val="single"/>
        </w:rPr>
        <w:t>Code</w:t>
      </w:r>
      <w:r>
        <w:rPr>
          <w:rFonts w:ascii="Arial;Helvetica;sans-serif" w:hAnsi="Arial;Helvetica;sans-serif"/>
          <w:sz w:val="22"/>
        </w:rPr>
        <w:t>”), or any statute or regulation of similar effect (including but not limited to the 2010 Patient Protection and Affordable Care Act, as amended by the 2010 Health Care and Education Reconciliation Act), then in lieu of providing the COBRA premiums, Company, in its sole discretion, may elect to instead pay Executive on the first day of each month of the COBRA Payment Period, a fully taxable cash payment equal to the COBRA premiums for that month, subject to applicable tax withholdings (such amount, the “</w:t>
      </w:r>
      <w:r>
        <w:rPr>
          <w:rFonts w:ascii="Arial;Helvetica;sans-serif" w:hAnsi="Arial;Helvetica;sans-serif"/>
          <w:sz w:val="22"/>
          <w:u w:val="single"/>
        </w:rPr>
        <w:t>Special Severance Payment</w:t>
      </w:r>
      <w:r>
        <w:rPr>
          <w:rFonts w:ascii="Arial;Helvetica;sans-serif" w:hAnsi="Arial;Helvetica;sans-serif"/>
          <w:sz w:val="22"/>
        </w:rPr>
        <w:t>,” which shall be treated as part of the Severance Package), for the remainder of the COBRA Payment Period. Executive may, but is not obligated to, use such Special Severance Payment toward the cost of COBRA premiums. All other Company obligations to Executive will be automatically terminated and completely extinguished, but will be subject to the surviving provisions of this Agreement set forth in Section 14.8.</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7.3</w:t>
      </w:r>
      <w:r>
        <w:rPr>
          <w:rFonts w:ascii="Arial;Helvetica;sans-serif" w:hAnsi="Arial;Helvetica;sans-serif"/>
          <w:color w:val="1F1F1F"/>
          <w:sz w:val="22"/>
          <w:u w:val="single"/>
        </w:rPr>
        <w:t>Voluntary Resignation by Executive for Good Reason</w:t>
      </w:r>
      <w:r>
        <w:rPr>
          <w:rFonts w:ascii="Arial;Helvetica;sans-serif" w:hAnsi="Arial;Helvetica;sans-serif"/>
          <w:color w:val="1F1F1F"/>
          <w:sz w:val="22"/>
        </w:rPr>
        <w:t>. Executive may voluntarily resign Executive's position with Company for Good Reason at any time on thirty (30) days' advance written notice to Company. In the event of Executive's resignation for Good Reason, Executive will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the Severance Package described in Section 7.2. All other Company obligations to Executive pursuant to this Agreement will be automatically terminated and completely extinguished, but will be subject to the surviving provisions of this Agreement set forth in Section 13.8. Executive will be deemed to have resigned for Good Reason if Executive voluntarily terminates Executive's employment with Company within ninety (90) days following the first occurrence of a condition constituting Good Reason. “</w:t>
      </w:r>
      <w:r>
        <w:rPr>
          <w:rFonts w:ascii="Arial;Helvetica;sans-serif" w:hAnsi="Arial;Helvetica;sans-serif"/>
          <w:color w:val="1F1F1F"/>
          <w:sz w:val="22"/>
          <w:u w:val="single"/>
        </w:rPr>
        <w:t>Good Reason</w:t>
      </w:r>
      <w:r>
        <w:rPr>
          <w:rFonts w:ascii="Arial;Helvetica;sans-serif" w:hAnsi="Arial;Helvetica;sans-serif"/>
          <w:color w:val="1F1F1F"/>
          <w:sz w:val="22"/>
        </w:rPr>
        <w:t xml:space="preserve">” means the occurrence of any of the following conditions without Executive's written consent, which condition(s) remain(s) in effect thirty (30) days after Executive provides written notice to Company of such condition(s): (i) a material reduction in Executive’s Base Salary as then in effect prior to such reduction, other than as part of a salary reduction program among similar management employees, (ii) a material diminution in Executive's authority, duties or responsibilities as an employee of Company as they existed prior to such change, or (iii) a relocation of Executive's principal place of work which increases Executive's one-way commute distance by more than fifty (50) miles. Executive will be deemed to have given consent to any condition(s) described in this Section 7.3 if Executive does not provide written notice to Company of Executive's intent to </w:t>
      </w:r>
    </w:p>
    <w:p>
      <w:pPr>
        <w:pStyle w:val="TextBody"/>
        <w:bidi w:val="0"/>
        <w:spacing w:before="14" w:after="0"/>
        <w:ind w:left="20" w:right="0" w:hanging="0"/>
        <w:jc w:val="left"/>
        <w:rPr>
          <w:rFonts w:ascii="Arial;Helvetica;sans-serif" w:hAnsi="Arial;Helvetica;sans-serif"/>
          <w:color w:val="1F1F1F"/>
          <w:sz w:val="22"/>
        </w:rPr>
      </w:pPr>
      <w:r>
        <w:rPr>
          <w:rFonts w:ascii="Arial;Helvetica;sans-serif" w:hAnsi="Arial;Helvetica;sans-serif"/>
          <w:color w:val="1F1F1F"/>
          <w:sz w:val="22"/>
        </w:rPr>
        <w:t>4</w:t>
      </w:r>
    </w:p>
    <w:p>
      <w:pPr>
        <w:pStyle w:val="HorizontalLine"/>
        <w:pBdr>
          <w:bottom w:val="double" w:sz="2" w:space="0" w:color="808080"/>
        </w:pBdr>
        <w:bidi w:val="0"/>
        <w:spacing w:before="0" w:after="283"/>
        <w:jc w:val="left"/>
      </w:pPr>
      <w:r/>
    </w:p>
    <w:p>
      <w:pPr>
        <w:pStyle w:val="TextBody"/>
        <w:bidi w:val="0"/>
        <w:ind w:left="0" w:right="0" w:hanging="0"/>
        <w:jc w:val="both"/>
        <w:rPr>
          <w:rFonts w:ascii="Arial;Helvetica;sans-serif" w:hAnsi="Arial;Helvetica;sans-serif"/>
          <w:color w:val="1F1F1F"/>
          <w:sz w:val="22"/>
        </w:rPr>
      </w:pPr>
      <w:r>
        <w:rPr>
          <w:rFonts w:ascii="Arial;Helvetica;sans-serif" w:hAnsi="Arial;Helvetica;sans-serif"/>
          <w:color w:val="1F1F1F"/>
          <w:sz w:val="22"/>
        </w:rPr>
        <w:t>exercise Executive's rights pursuant to this Section within thirty (30) days following the first occurrence of such condition(s).</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7.4</w:t>
      </w:r>
      <w:r>
        <w:rPr>
          <w:rFonts w:ascii="Arial;Helvetica;sans-serif" w:hAnsi="Arial;Helvetica;sans-serif"/>
          <w:color w:val="1F1F1F"/>
          <w:sz w:val="22"/>
          <w:u w:val="single"/>
        </w:rPr>
        <w:t>Voluntary Resignation by Executive Without Good Reason</w:t>
      </w:r>
      <w:r>
        <w:rPr>
          <w:rFonts w:ascii="Arial;Helvetica;sans-serif" w:hAnsi="Arial;Helvetica;sans-serif"/>
          <w:color w:val="1F1F1F"/>
          <w:sz w:val="22"/>
        </w:rPr>
        <w:t>. Executive may voluntarily resign Executive's position with Company without Good Reason at any time on thirty (30) days' advance written notice to Company. In the event of Executive’s resignation without Good Reason,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set forth in Section 13.8.</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7.5</w:t>
      </w:r>
      <w:r>
        <w:rPr>
          <w:rFonts w:ascii="Arial;Helvetica;sans-serif" w:hAnsi="Arial;Helvetica;sans-serif"/>
          <w:color w:val="1F1F1F"/>
          <w:sz w:val="22"/>
          <w:u w:val="single"/>
        </w:rPr>
        <w:t>Termination After a Change in Control</w:t>
      </w:r>
      <w:r>
        <w:rPr>
          <w:rFonts w:ascii="Arial;Helvetica;sans-serif" w:hAnsi="Arial;Helvetica;sans-serif"/>
          <w:color w:val="1F1F1F"/>
          <w:sz w:val="22"/>
        </w:rPr>
        <w:t>.</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(a)</w:t>
      </w:r>
      <w:r>
        <w:rPr>
          <w:rFonts w:ascii="Arial;Helvetica;sans-serif" w:hAnsi="Arial;Helvetica;sans-serif"/>
          <w:color w:val="1F1F1F"/>
          <w:sz w:val="22"/>
          <w:u w:val="single"/>
        </w:rPr>
        <w:t>Severance Payment; Equity Award Acceleration.</w:t>
      </w:r>
      <w:r>
        <w:rPr>
          <w:rFonts w:ascii="Arial;Helvetica;sans-serif" w:hAnsi="Arial;Helvetica;sans-serif"/>
          <w:color w:val="1F1F1F"/>
          <w:sz w:val="22"/>
        </w:rPr>
        <w:t xml:space="preserve"> If, upon or within twelve (12) months after a Change in Control (as that term is defined below), Executive’s employment is terminated by Company other than for Cause (as defined in Section 7.1) or Executive resigns for Good Reason (as defined in Section 7.3), then Executive shall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(i) the Severance Package described in Section 7.2 and (ii) to the extent not yet vested, but subject to the terms of any agreement governing any such Equity Award, any outstanding Equity Awards granted to Executive by Company shall vest in full as of the Termination Date. All other Company obligations to Executive pursuant to this Agreement will be automatically terminated and completely extinguished as of the Termination Date, but will be subject to the surviving provisions of this Agreement set forth in Section 13.8.</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(b)</w:t>
      </w:r>
      <w:r>
        <w:rPr>
          <w:rFonts w:ascii="Arial;Helvetica;sans-serif" w:hAnsi="Arial;Helvetica;sans-serif"/>
          <w:color w:val="1F1F1F"/>
          <w:sz w:val="22"/>
          <w:u w:val="single"/>
        </w:rPr>
        <w:t>Parachute Payments</w:t>
      </w:r>
      <w:r>
        <w:rPr>
          <w:rFonts w:ascii="Arial;Helvetica;sans-serif" w:hAnsi="Arial;Helvetica;sans-serif"/>
          <w:color w:val="1F1F1F"/>
          <w:sz w:val="22"/>
        </w:rPr>
        <w:t>.</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3"/>
        </w:rPr>
        <w:t>(i)</w:t>
      </w:r>
      <w:r>
        <w:rPr>
          <w:rFonts w:ascii="Arial;Helvetica;sans-serif" w:hAnsi="Arial;Helvetica;sans-serif"/>
          <w:color w:val="1F1F1F"/>
          <w:sz w:val="22"/>
        </w:rPr>
        <w:t>Notwithstanding any provision of this Agreement to the contrary, if any payment or benefit Executive would receive pursuant to this Agreement or otherwise (collectively, the “</w:t>
      </w:r>
      <w:r>
        <w:rPr>
          <w:rFonts w:ascii="Arial;Helvetica;sans-serif" w:hAnsi="Arial;Helvetica;sans-serif"/>
          <w:color w:val="1F1F1F"/>
          <w:sz w:val="22"/>
          <w:u w:val="single"/>
        </w:rPr>
        <w:t>Payments”</w:t>
      </w:r>
      <w:r>
        <w:rPr>
          <w:rFonts w:ascii="Arial;Helvetica;sans-serif" w:hAnsi="Arial;Helvetica;sans-serif"/>
          <w:color w:val="1F1F1F"/>
          <w:sz w:val="22"/>
        </w:rPr>
        <w:t>) would constitute a “parachute payment” within the meaning of Section 280G of the Code, and, but for this sentence, would be subject to the excise tax imposed by Section 4999 of the Code or any similar or successor provision (the “</w:t>
      </w:r>
      <w:r>
        <w:rPr>
          <w:rFonts w:ascii="Arial;Helvetica;sans-serif" w:hAnsi="Arial;Helvetica;sans-serif"/>
          <w:color w:val="1F1F1F"/>
          <w:sz w:val="22"/>
          <w:u w:val="single"/>
        </w:rPr>
        <w:t>Excise Tax</w:t>
      </w:r>
      <w:r>
        <w:rPr>
          <w:rFonts w:ascii="Arial;Helvetica;sans-serif" w:hAnsi="Arial;Helvetica;sans-serif"/>
          <w:color w:val="1F1F1F"/>
          <w:sz w:val="22"/>
        </w:rPr>
        <w:t>”), then the aggregate amount of the Payments will be either (i) the largest portion of the Payments that would result in no portion of the Payments (after reduction) being subject to the Excise Tax or (ii) the entire Payments,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Executive's receipt, on an after-tax basis, of the greatest amount of the Payments. Any reduction in the Payments required by this Section will be made in the following order: (A) reduction of cash payments; (B) reduction of accelerated vesting of Equity Awards other than stock options; (C) reduction of accelerated vesting of stock options; and (D) reduction of other benefits paid or provided to Executive. In the event that acceleration of vesting of Equity Awards is to be reduced, such acceleration of vesting will be cancelled in the reverse order of the date of grant of such Equity Awards. If two or more Equity Awards are granted on the same date, the accelerated vesting of each award will be reduced on a pro-rata basis.</w:t>
      </w:r>
    </w:p>
    <w:p>
      <w:pPr>
        <w:pStyle w:val="TextBody"/>
        <w:bidi w:val="0"/>
        <w:spacing w:before="0" w:after="0"/>
        <w:ind w:left="0" w:right="0" w:hanging="0"/>
        <w:jc w:val="both"/>
      </w:pPr>
      <w:r>
        <w:t>​</w:t>
      </w:r>
    </w:p>
    <w:p>
      <w:pPr>
        <w:pStyle w:val="TextBody"/>
        <w:bidi w:val="0"/>
        <w:spacing w:before="14" w:after="0"/>
        <w:ind w:left="20" w:right="0" w:hanging="0"/>
        <w:jc w:val="left"/>
        <w:rPr>
          <w:rFonts w:ascii="Arial;Helvetica;sans-serif" w:hAnsi="Arial;Helvetica;sans-serif"/>
          <w:color w:val="1F1F1F"/>
          <w:sz w:val="22"/>
        </w:rPr>
      </w:pPr>
      <w:r>
        <w:rPr>
          <w:rFonts w:ascii="Arial;Helvetica;sans-serif" w:hAnsi="Arial;Helvetica;sans-serif"/>
          <w:color w:val="1F1F1F"/>
          <w:sz w:val="22"/>
        </w:rPr>
        <w:t>5</w:t>
      </w:r>
    </w:p>
    <w:p>
      <w:pPr>
        <w:pStyle w:val="HorizontalLine"/>
        <w:pBdr>
          <w:bottom w:val="double" w:sz="2" w:space="0" w:color="808080"/>
        </w:pBdr>
        <w:bidi w:val="0"/>
        <w:spacing w:before="0" w:after="283"/>
        <w:jc w:val="left"/>
      </w:pPr>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3"/>
        </w:rPr>
        <w:t>(ii)</w:t>
      </w:r>
      <w:r>
        <w:rPr>
          <w:rFonts w:ascii="Arial;Helvetica;sans-serif" w:hAnsi="Arial;Helvetica;sans-serif"/>
          <w:color w:val="1F1F1F"/>
          <w:sz w:val="22"/>
        </w:rPr>
        <w:t>The professional firm engaged by Company for general tax purposes as of the day prior to the date of the event that might reasonably be anticipated to result in Payments that would otherwise be subject to the Excise Tax will perform the foregoing calculations. If the tax firm so engaged by Company is serving as accountant or auditor for the acquiring company, Company will appoint a nationally recognized tax firm to make the determinations required by this Section. Company will bear all expenses with respect to the determinations by the tax firm required to be made by this Section. Company and Executive shall furnish the tax firm such information and documents as the tax firm may reasonably request in order to make its required determination. The tax firm will provide its calculations, together with detailed supporting documentation, to Company and Executive as soon as practicable following its engagement. Any good faith determinations of the tax firm made hereunder will be final, binding and conclusive upon Company and Executive.</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(c)</w:t>
      </w:r>
      <w:r>
        <w:rPr>
          <w:rFonts w:ascii="Arial;Helvetica;sans-serif" w:hAnsi="Arial;Helvetica;sans-serif"/>
          <w:color w:val="1F1F1F"/>
          <w:sz w:val="22"/>
          <w:u w:val="single"/>
        </w:rPr>
        <w:t>Change in Control</w:t>
      </w:r>
      <w:r>
        <w:rPr>
          <w:rFonts w:ascii="Arial;Helvetica;sans-serif" w:hAnsi="Arial;Helvetica;sans-serif"/>
          <w:color w:val="1F1F1F"/>
          <w:sz w:val="22"/>
        </w:rPr>
        <w:t>. A Change in Control is defined as any one of the following occurrences:</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3"/>
        </w:rPr>
        <w:t>(i)</w:t>
      </w:r>
      <w:r>
        <w:rPr>
          <w:rFonts w:ascii="Arial;Helvetica;sans-serif" w:hAnsi="Arial;Helvetica;sans-serif"/>
          <w:color w:val="1F1F1F"/>
          <w:sz w:val="22"/>
        </w:rPr>
        <w:t>Any “person” (as such term is used in Sections 13(d) and 14(d) of the Securities Exchange Act of 1934 (the “</w:t>
      </w:r>
      <w:r>
        <w:rPr>
          <w:rFonts w:ascii="Arial;Helvetica;sans-serif" w:hAnsi="Arial;Helvetica;sans-serif"/>
          <w:color w:val="1F1F1F"/>
          <w:sz w:val="22"/>
          <w:u w:val="single"/>
        </w:rPr>
        <w:t>Exchange Act</w:t>
      </w:r>
      <w:r>
        <w:rPr>
          <w:rFonts w:ascii="Arial;Helvetica;sans-serif" w:hAnsi="Arial;Helvetica;sans-serif"/>
          <w:color w:val="1F1F1F"/>
          <w:sz w:val="22"/>
        </w:rPr>
        <w:t>”)), becomes the “beneficial owner” (as such term is defined in Rule 13d-3 promulgated under the Exchange Act), directly or indirectly, of securities of Company representing more than fifty percent (50%) of the total fair market value or total combined voting power of Company’s then outstanding securities entitled to vote generally in the election of directors; provided, however, that a Change in Control shall not be deemed to have occurred if such degree of beneficial ownership results from any of the following: (A) an acquisition of securities by any person who on the Effective Date is the beneficial owner of more than fifty percent (50%) of such voting power, (B) any acquisition of securities directly from Company, including, without limitation, pursuant to or in connection with a public offering of securities, (C) any acquisition of securities by Company, (D) any acquisition of securities by a trustee or other fiduciary under an employee benefit plan of Company, or (E) any acquisition of securities by an entity owned directly or indirectly by the stockholders of Company in substantially the same proportions as their ownership of the voting securities of Company; or</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3"/>
        </w:rPr>
        <w:t>(ii)</w:t>
      </w:r>
      <w:r>
        <w:rPr>
          <w:rFonts w:ascii="Arial;Helvetica;sans-serif" w:hAnsi="Arial;Helvetica;sans-serif"/>
          <w:color w:val="1F1F1F"/>
          <w:sz w:val="22"/>
        </w:rPr>
        <w:t>the sale or disposition of all or substantially all of Company's assets (other than a sale or disposition to one or more subsidiaries of Company), or any transaction having similar effect is consummated; or</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3"/>
        </w:rPr>
        <w:t>(iii)</w:t>
      </w:r>
      <w:r>
        <w:rPr>
          <w:rFonts w:ascii="Arial;Helvetica;sans-serif" w:hAnsi="Arial;Helvetica;sans-serif"/>
          <w:color w:val="1F1F1F"/>
          <w:sz w:val="22"/>
        </w:rPr>
        <w:t>Company is party to a merger or consolidation that results in the holders of voting securities of Company outstanding immediately prior thereto failing to continue to represent (either by remaining outstanding or by being converted into voting securities of the surviving entity) more than 50% of the combined voting power of the voting securities of Company or such surviving entity outstanding immediately after such merger or consolidation; or</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3"/>
        </w:rPr>
        <w:t>(iv)</w:t>
      </w:r>
      <w:r>
        <w:rPr>
          <w:rFonts w:ascii="Arial;Helvetica;sans-serif" w:hAnsi="Arial;Helvetica;sans-serif"/>
          <w:color w:val="1F1F1F"/>
          <w:sz w:val="22"/>
        </w:rPr>
        <w:t>the dissolution or liquidation of Company.</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7.6</w:t>
      </w:r>
      <w:r>
        <w:rPr>
          <w:rFonts w:ascii="Arial;Helvetica;sans-serif" w:hAnsi="Arial;Helvetica;sans-serif"/>
          <w:color w:val="1F1F1F"/>
          <w:sz w:val="22"/>
          <w:u w:val="single"/>
        </w:rPr>
        <w:t>Termination of Employment Upon Nonrenewal.</w:t>
      </w:r>
      <w:r>
        <w:rPr>
          <w:rFonts w:ascii="Arial;Helvetica;sans-serif" w:hAnsi="Arial;Helvetica;sans-serif"/>
          <w:color w:val="1F1F1F"/>
          <w:sz w:val="22"/>
        </w:rPr>
        <w:t xml:space="preserve"> In the event either party decides not to renew this Agreement for a subsequent term in accordance with Section 3.2, this Agreement will expire automatically upon completion of the then effective Term, and Executive’s employment with Company will thereupon terminate.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w:t>
      </w:r>
    </w:p>
    <w:p>
      <w:pPr>
        <w:pStyle w:val="TextBody"/>
        <w:bidi w:val="0"/>
        <w:spacing w:before="14" w:after="0"/>
        <w:ind w:left="20" w:right="0" w:hanging="0"/>
        <w:jc w:val="left"/>
        <w:rPr>
          <w:rFonts w:ascii="Arial;Helvetica;sans-serif" w:hAnsi="Arial;Helvetica;sans-serif"/>
          <w:color w:val="1F1F1F"/>
          <w:sz w:val="22"/>
        </w:rPr>
      </w:pPr>
      <w:r>
        <w:rPr>
          <w:rFonts w:ascii="Arial;Helvetica;sans-serif" w:hAnsi="Arial;Helvetica;sans-serif"/>
          <w:color w:val="1F1F1F"/>
          <w:sz w:val="22"/>
        </w:rPr>
        <w:t>6</w:t>
      </w:r>
    </w:p>
    <w:p>
      <w:pPr>
        <w:pStyle w:val="HorizontalLine"/>
        <w:pBdr>
          <w:bottom w:val="double" w:sz="2" w:space="0" w:color="808080"/>
        </w:pBdr>
        <w:bidi w:val="0"/>
        <w:spacing w:before="0" w:after="283"/>
        <w:jc w:val="left"/>
      </w:pPr>
      <w:r/>
    </w:p>
    <w:p>
      <w:pPr>
        <w:pStyle w:val="TextBody"/>
        <w:bidi w:val="0"/>
        <w:ind w:left="0" w:right="0" w:hanging="0"/>
        <w:jc w:val="both"/>
        <w:rPr>
          <w:rFonts w:ascii="Arial;Helvetica;sans-serif" w:hAnsi="Arial;Helvetica;sans-serif"/>
          <w:color w:val="1F1F1F"/>
          <w:sz w:val="22"/>
        </w:rPr>
      </w:pPr>
      <w:r>
        <w:rPr>
          <w:rFonts w:ascii="Arial;Helvetica;sans-serif" w:hAnsi="Arial;Helvetica;sans-serif"/>
          <w:color w:val="1F1F1F"/>
          <w:sz w:val="22"/>
        </w:rPr>
        <w:t>described in Section 7.2, but will be subject to the surviving provisions of this Agreement as set forth in Section 13.8.</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7.7</w:t>
      </w:r>
      <w:r>
        <w:rPr>
          <w:rFonts w:ascii="Arial;Helvetica;sans-serif" w:hAnsi="Arial;Helvetica;sans-serif"/>
          <w:color w:val="1F1F1F"/>
          <w:sz w:val="22"/>
          <w:u w:val="single"/>
        </w:rPr>
        <w:t>Conditions to Severance Package</w:t>
      </w:r>
      <w:r>
        <w:rPr>
          <w:rFonts w:ascii="Arial;Helvetica;sans-serif" w:hAnsi="Arial;Helvetica;sans-serif"/>
          <w:color w:val="1F1F1F"/>
          <w:sz w:val="22"/>
        </w:rPr>
        <w:t>. Executive will only be entitled to receive the Severance Package if, on or before the 60th day following the Termination Date, Executive executes a full general release, releasing all claims, known or unknown, that Executive may have against Company and its officers, directors, employees and affiliated companies arising out of or any way related to Executive's employment or termination of employment with Company, and the period for revocation, if any, of such release has lapsed without the release having been revoked. In the event that Executive breaches any of the covenants contained in Sections 9 (“Other Covenants”), 10 (“Confidentiality and Proprietary Rights”) or 11 (“Non-Competition; Nonsolicitation of Company Employees”), Company shall have the right to (a) terminate further provision of any portion of the Severance Package not yet paid or provided, and (b) seek reimbursement from Executive for any and all portions of the Severance Package previously paid or provided to Executive.</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7.8</w:t>
      </w:r>
      <w:r>
        <w:rPr>
          <w:rFonts w:ascii="Arial;Helvetica;sans-serif" w:hAnsi="Arial;Helvetica;sans-serif"/>
          <w:color w:val="1F1F1F"/>
          <w:sz w:val="22"/>
          <w:u w:val="single"/>
        </w:rPr>
        <w:t>Resignation of Board or Other Positions</w:t>
      </w:r>
      <w:r>
        <w:rPr>
          <w:rFonts w:ascii="Arial;Helvetica;sans-serif" w:hAnsi="Arial;Helvetica;sans-serif"/>
          <w:color w:val="1F1F1F"/>
          <w:sz w:val="22"/>
        </w:rPr>
        <w:t>. Executive agrees that should Executive's employment terminate for any reason, Executive will immediately resign all other positions (including board membership) Executive may hold on behalf of Company.</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7.9</w:t>
      </w:r>
      <w:r>
        <w:rPr>
          <w:rFonts w:ascii="Arial;Helvetica;sans-serif" w:hAnsi="Arial;Helvetica;sans-serif"/>
          <w:color w:val="1F1F1F"/>
          <w:sz w:val="22"/>
          <w:u w:val="single"/>
        </w:rPr>
        <w:t>Application of Section 409A</w:t>
      </w:r>
      <w:r>
        <w:rPr>
          <w:rFonts w:ascii="Arial;Helvetica;sans-serif" w:hAnsi="Arial;Helvetica;sans-serif"/>
          <w:color w:val="1F1F1F"/>
          <w:sz w:val="22"/>
        </w:rPr>
        <w:t>.</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(a)Notwithstanding anything set forth in this Agreement to the contrary, no amount payable pursuant to this Agreement on account of Executive's termination of employment with Company which constitutes a “deferral of compensation” within the meaning of the Treasury Regulations issued pursuant to Section 409A of the Code (the “</w:t>
      </w:r>
      <w:r>
        <w:rPr>
          <w:rFonts w:ascii="Arial;Helvetica;sans-serif" w:hAnsi="Arial;Helvetica;sans-serif"/>
          <w:color w:val="1F1F1F"/>
          <w:sz w:val="22"/>
          <w:u w:val="single"/>
        </w:rPr>
        <w:t>Section 409A Regulations”</w:t>
      </w:r>
      <w:r>
        <w:rPr>
          <w:rFonts w:ascii="Arial;Helvetica;sans-serif" w:hAnsi="Arial;Helvetica;sans-serif"/>
          <w:color w:val="1F1F1F"/>
          <w:sz w:val="22"/>
        </w:rPr>
        <w:t>) shall be paid unless and until Executive has incurred a “separation from service” within the meaning of the Section 409A Regulations. Furthermore, if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Helvetica;sans-serif" w:hAnsi="Arial;Helvetica;sans-serif"/>
          <w:color w:val="1F1F1F"/>
          <w:sz w:val="22"/>
          <w:u w:val="single"/>
        </w:rPr>
        <w:t>Delayed Payment Date</w:t>
      </w:r>
      <w:r>
        <w:rPr>
          <w:rFonts w:ascii="Arial;Helvetica;sans-serif" w:hAnsi="Arial;Helvetica;sans-serif"/>
          <w:color w:val="1F1F1F"/>
          <w:sz w:val="22"/>
        </w:rPr>
        <w:t>”) which is first day of the seventh month after the date of Executive's separation from service or, if earlier, the date of Executive’s death following such separation from service. All such amounts that would, but for this Section 7.9(a), become payable prior to the Delayed Payment Date will be accumulated and paid on the Delayed Payment Date.</w:t>
      </w:r>
    </w:p>
    <w:p>
      <w:pPr>
        <w:pStyle w:val="TextBody"/>
        <w:bidi w:val="0"/>
        <w:spacing w:before="0" w:after="0"/>
        <w:ind w:left="216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(b)</w:t>
      </w:r>
      <w:r>
        <w:rPr>
          <w:rFonts w:ascii="Arial;Helvetica;sans-serif" w:hAnsi="Arial;Helvetica;sans-serif"/>
          <w:sz w:val="22"/>
        </w:rPr>
        <w:t>It is the intent of Company and Executive that any right of Executive to receive installment payments hereunder shall, for all purposes of Section 409A of the Code, be treated as a right to a series of separate payments.</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(c)</w:t>
      </w:r>
      <w:r>
        <w:rPr>
          <w:rFonts w:ascii="Arial;Helvetica;sans-serif" w:hAnsi="Arial;Helvetica;sans-serif"/>
          <w:sz w:val="22"/>
        </w:rPr>
        <w:t xml:space="preserve">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w:t>
      </w:r>
      <w:r>
        <w:rPr>
          <w:rFonts w:ascii="Arial;Helvetica;sans-serif" w:hAnsi="Arial;Helvetica;sans-serif"/>
          <w:b/>
          <w:sz w:val="22"/>
        </w:rPr>
        <w:t>However, Company does not guarantee any particular tax effect for income provided to Executive pursuant to this Agreement.</w:t>
      </w:r>
      <w:r>
        <w:rPr>
          <w:rFonts w:ascii="Arial;Helvetica;sans-serif" w:hAnsi="Arial;Helvetica;sans-serif"/>
          <w:sz w:val="22"/>
        </w:rPr>
        <w:t xml:space="preserve"> In any event, except for Company's responsibility to withhold applicable income and employment taxes from compensation paid or provided to Executive, Company shall not be responsible for the payment of any applicable taxes incurred by Executive on compensation paid or provided to Executive pursuant to this Agreement.</w:t>
      </w:r>
    </w:p>
    <w:p>
      <w:pPr>
        <w:pStyle w:val="TextBody"/>
        <w:bidi w:val="0"/>
        <w:spacing w:before="0" w:after="0"/>
        <w:ind w:left="0" w:right="0" w:firstLine="8"/>
        <w:jc w:val="both"/>
      </w:pPr>
      <w:r>
        <w:t>​</w:t>
      </w:r>
    </w:p>
    <w:p>
      <w:pPr>
        <w:pStyle w:val="TextBody"/>
        <w:bidi w:val="0"/>
        <w:spacing w:before="14" w:after="0"/>
        <w:ind w:left="20" w:right="0" w:hanging="0"/>
        <w:jc w:val="left"/>
        <w:rPr>
          <w:rFonts w:ascii="Arial;Helvetica;sans-serif" w:hAnsi="Arial;Helvetica;sans-serif"/>
          <w:color w:val="1F1F1F"/>
          <w:sz w:val="22"/>
        </w:rPr>
      </w:pPr>
      <w:r>
        <w:rPr>
          <w:rFonts w:ascii="Arial;Helvetica;sans-serif" w:hAnsi="Arial;Helvetica;sans-serif"/>
          <w:color w:val="1F1F1F"/>
          <w:sz w:val="22"/>
        </w:rPr>
        <w:t>7</w:t>
      </w:r>
    </w:p>
    <w:p>
      <w:pPr>
        <w:pStyle w:val="HorizontalLine"/>
        <w:pBdr>
          <w:bottom w:val="double" w:sz="2" w:space="0" w:color="808080"/>
        </w:pBdr>
        <w:bidi w:val="0"/>
        <w:spacing w:before="0" w:after="283"/>
        <w:jc w:val="left"/>
      </w:pPr>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8.</w:t>
      </w:r>
      <w:r>
        <w:rPr>
          <w:rFonts w:ascii="Arial;Helvetica;sans-serif" w:hAnsi="Arial;Helvetica;sans-serif"/>
          <w:sz w:val="22"/>
          <w:u w:val="single"/>
        </w:rPr>
        <w:t>No Violation of Rights of Third Parties.</w:t>
      </w:r>
      <w:r>
        <w:rPr>
          <w:rFonts w:ascii="Arial;Helvetica;sans-serif" w:hAnsi="Arial;Helvetica;sans-serif"/>
          <w:sz w:val="22"/>
        </w:rPr>
        <w:t xml:space="preserve"> Executive represents and warrants to Company that Executive is not currently a party, and will not become a party, to any other agreement that is in conflict with, or will prevent Executive from complying with, this Agreement. Executive further represents and warrants to Company that Executive's performance of all of the terms of this Agreement as an employee of Company does not and will not breach any agreement to keep in confidence any proprietary information, knowledge, or data acquired by Executive in confidence or trust prior to Executive’s employment with Company. Executive acknowledges and agrees that the representations and warranties in this Section 8 are a material part of this Agreement.</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9.</w:t>
      </w:r>
      <w:r>
        <w:rPr>
          <w:rFonts w:ascii="Arial;Helvetica;sans-serif" w:hAnsi="Arial;Helvetica;sans-serif"/>
          <w:sz w:val="22"/>
          <w:u w:val="single"/>
        </w:rPr>
        <w:t>Other Covenants.</w:t>
      </w:r>
      <w:r>
        <w:rPr>
          <w:rFonts w:ascii="Arial;Helvetica;sans-serif" w:hAnsi="Arial;Helvetica;sans-serif"/>
          <w:sz w:val="22"/>
        </w:rPr>
        <w:t xml:space="preserve"> Executive hereby makes the following covenants, each of which Executive acknowledges and agrees are a material part of this Agreement:</w:t>
      </w:r>
    </w:p>
    <w:p>
      <w:pPr>
        <w:pStyle w:val="TextBody"/>
        <w:bidi w:val="0"/>
        <w:spacing w:before="0" w:after="0"/>
        <w:ind w:left="0" w:right="0" w:firstLine="8"/>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9.1</w:t>
      </w:r>
      <w:r>
        <w:rPr>
          <w:rFonts w:ascii="Arial;Helvetica;sans-serif" w:hAnsi="Arial;Helvetica;sans-serif"/>
          <w:sz w:val="22"/>
        </w:rPr>
        <w:t>During the Term, Executive will not (a) breach any agreement to keep in confidence any confidential or proprietary information, knowledge or data acquired by Executive prior to Executive’s employment with Company, or (b) disclose to Company, or use or induce Company to use, any confidential or proprietary information or material belonging to any previous employer or any other third party. Executive acknowledges that Company has specifically instructed Executive not to breach any such agreement or make any such disclosure to Company.</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9.2</w:t>
      </w:r>
      <w:r>
        <w:rPr>
          <w:rFonts w:ascii="Arial;Helvetica;sans-serif" w:hAnsi="Arial;Helvetica;sans-serif"/>
          <w:sz w:val="22"/>
        </w:rPr>
        <w:t>During the Term, Executive will not engage in any work or activity, paid or unpaid, that creates an actual conflict of interest with Company. Such work shall include, but is not limited to, directly or indirectly competing with Company in any way, or acting as an officer, director, employee, consultant, stockholder, volunteer, lender, or agent of any business enterprise of the same nature as, or which is in direct competition with, the business in which Company is now engaged or in which Company becomes engaged during the Term, as may be determined by Company in their sole discretion. If Company believes such a conflict exists during the Term, Company may ask Executive to choose to discontinue the other work or activity or resign employment with Company.</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9.3</w:t>
      </w:r>
      <w:r>
        <w:rPr>
          <w:rFonts w:ascii="Arial;Helvetica;sans-serif" w:hAnsi="Arial;Helvetica;sans-serif"/>
          <w:sz w:val="22"/>
        </w:rPr>
        <w:t>During the Term and after the termination thereof, neither Executive nor Company will disparage each other, or Company's products, services, agents or employees.</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9.4</w:t>
      </w:r>
      <w:r>
        <w:rPr>
          <w:rFonts w:ascii="Arial;Helvetica;sans-serif" w:hAnsi="Arial;Helvetica;sans-serif"/>
          <w:sz w:val="22"/>
        </w:rPr>
        <w:t>During the Term and after the termination thereof, at Company's expense and upon its reasonable request, Executive will cooperate and assist Company in its defense or prosecution of any disputes, differences, grievances, claims, charges, or complaints between Company and any third party, which assistance will include testifying on Company's behalf in connection with any such matter or performing any other task reasonably requested by Company in connection therewith.</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10.</w:t>
      </w:r>
      <w:r>
        <w:rPr>
          <w:rFonts w:ascii="Arial;Helvetica;sans-serif" w:hAnsi="Arial;Helvetica;sans-serif"/>
          <w:sz w:val="22"/>
          <w:u w:val="single"/>
        </w:rPr>
        <w:t>Confidentiality and Proprietary Rights</w:t>
      </w:r>
      <w:r>
        <w:rPr>
          <w:rFonts w:ascii="Arial;Helvetica;sans-serif" w:hAnsi="Arial;Helvetica;sans-serif"/>
          <w:sz w:val="22"/>
        </w:rPr>
        <w:t>. Executive agrees to abide by the Nondisclosure Agreement, which is incorporated herein by reference.</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11.</w:t>
      </w:r>
      <w:r>
        <w:rPr>
          <w:rFonts w:ascii="Arial;Helvetica;sans-serif" w:hAnsi="Arial;Helvetica;sans-serif"/>
          <w:sz w:val="22"/>
          <w:u w:val="single"/>
        </w:rPr>
        <w:t>Non-Competition; Nonsolicitation of Company’s Employees.</w:t>
      </w:r>
      <w:r>
        <w:rPr>
          <w:rFonts w:ascii="Arial;Helvetica;sans-serif" w:hAnsi="Arial;Helvetica;sans-serif"/>
          <w:sz w:val="22"/>
        </w:rPr>
        <w:t xml:space="preserve"> Executive acknowledges that in the course of his employment with Company she will serve as a member of Company’s senior management and will become familiar with Company's trade secrets and with other confidential and proprietary information and that his services will be of special, unique and extraordinary value to Company. Executive further acknowledges that the business of Company is national in scope and that Company, in the course of such business compete with other companies located throughout the United States. Therefore, in consideration of the foregoing, Executive agrees that, during the Term, and during the twelve-month (12) month period following </w:t>
      </w:r>
    </w:p>
    <w:p>
      <w:pPr>
        <w:pStyle w:val="TextBody"/>
        <w:bidi w:val="0"/>
        <w:spacing w:before="14" w:after="0"/>
        <w:ind w:left="20" w:right="0" w:hanging="0"/>
        <w:jc w:val="left"/>
        <w:rPr>
          <w:rFonts w:ascii="Arial;Helvetica;sans-serif" w:hAnsi="Arial;Helvetica;sans-serif"/>
          <w:color w:val="1F1F1F"/>
          <w:sz w:val="22"/>
        </w:rPr>
      </w:pPr>
      <w:r>
        <w:rPr>
          <w:rFonts w:ascii="Arial;Helvetica;sans-serif" w:hAnsi="Arial;Helvetica;sans-serif"/>
          <w:color w:val="1F1F1F"/>
          <w:sz w:val="22"/>
        </w:rPr>
        <w:t>8</w:t>
      </w:r>
    </w:p>
    <w:p>
      <w:pPr>
        <w:pStyle w:val="HorizontalLine"/>
        <w:pBdr>
          <w:bottom w:val="double" w:sz="2" w:space="0" w:color="808080"/>
        </w:pBdr>
        <w:bidi w:val="0"/>
        <w:spacing w:before="0" w:after="283"/>
        <w:jc w:val="left"/>
      </w:pPr>
      <w:r/>
    </w:p>
    <w:p>
      <w:pPr>
        <w:pStyle w:val="TextBody"/>
        <w:bidi w:val="0"/>
        <w:ind w:left="0" w:right="0" w:hanging="0"/>
        <w:jc w:val="both"/>
        <w:rPr>
          <w:rFonts w:ascii="Arial;Helvetica;sans-serif" w:hAnsi="Arial;Helvetica;sans-serif"/>
          <w:sz w:val="22"/>
        </w:rPr>
      </w:pPr>
      <w:r>
        <w:rPr>
          <w:rFonts w:ascii="Arial;Helvetica;sans-serif" w:hAnsi="Arial;Helvetica;sans-serif"/>
          <w:sz w:val="22"/>
        </w:rPr>
        <w:t>the Term, Executive shall not directly or indirectly anywhere within the United States of America (a) own (except ownership of less than 1% of any class of securities which are listed for trading on any securities exchange or which are traded in the over-the-counter market), manage, control, participate in, consult with, render services for, be employed by, or in any manner engage in the operation of (i) any business that develops or administers educational services to degree-granting institutions of higher education, or (ii) any other business of Company in which Executive had significant involvement prior to Executive's separation; (b) induce or attempt to induce any employee of Company to leave the employ of Company, or in any way interfere with the relationship between Company and any employee thereof, or (c) induce or attempt to induce any customer, supplier, licensee or other business relation of Company to cease doing business with, or modify its business relationship with, Company, or in any way interfere with or hinder the relationship between any such customer, supplier, licensee or business relation and Company, as applicable.</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12.</w:t>
      </w:r>
      <w:r>
        <w:rPr>
          <w:rFonts w:ascii="Arial;Helvetica;sans-serif" w:hAnsi="Arial;Helvetica;sans-serif"/>
          <w:sz w:val="22"/>
          <w:u w:val="single"/>
        </w:rPr>
        <w:t>Injunctive Relief</w:t>
      </w:r>
      <w:r>
        <w:rPr>
          <w:rFonts w:ascii="Arial;Helvetica;sans-serif" w:hAnsi="Arial;Helvetica;sans-serif"/>
          <w:sz w:val="22"/>
        </w:rPr>
        <w:t>. Executive acknowledges that Executive's breach of the covenants contained in Sections 9, 10 and 11 hereof (collectively “</w:t>
      </w:r>
      <w:r>
        <w:rPr>
          <w:rFonts w:ascii="Arial;Helvetica;sans-serif" w:hAnsi="Arial;Helvetica;sans-serif"/>
          <w:sz w:val="22"/>
          <w:u w:val="single"/>
        </w:rPr>
        <w:t>Covenants”</w:t>
      </w:r>
      <w:r>
        <w:rPr>
          <w:rFonts w:ascii="Arial;Helvetica;sans-serif" w:hAnsi="Arial;Helvetica;sans-serif"/>
          <w:sz w:val="22"/>
        </w:rPr>
        <w:t>) would cause irreparable injury to Company and agrees that in the event of any such breach, Company shall be entitled to seek temporary, preliminary and permanent injunctive relief without the necessity of proving actual damages or posting any bond or other security in addition to any other relief to which Company may be entitled and other remedies Company may exercise under this Agreement or otherwise.</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13.</w:t>
      </w:r>
      <w:r>
        <w:rPr>
          <w:rFonts w:ascii="Arial;Helvetica;sans-serif" w:hAnsi="Arial;Helvetica;sans-serif"/>
          <w:sz w:val="22"/>
          <w:u w:val="single"/>
        </w:rPr>
        <w:t>General Provisions.</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13.1</w:t>
      </w:r>
      <w:r>
        <w:rPr>
          <w:rFonts w:ascii="Arial;Helvetica;sans-serif" w:hAnsi="Arial;Helvetica;sans-serif"/>
          <w:sz w:val="22"/>
          <w:u w:val="single"/>
        </w:rPr>
        <w:t>Successors and Assigns</w:t>
      </w:r>
      <w:r>
        <w:rPr>
          <w:rFonts w:ascii="Arial;Helvetica;sans-serif" w:hAnsi="Arial;Helvetica;sans-serif"/>
          <w:sz w:val="22"/>
        </w:rPr>
        <w:t>. The rights and obligations of Company under this Agreement shall inure to the benefit of and shall be binding upon the successors and assigns of Company. Executive shall not be entitled to assign any of Executive's rights or obligations under this Agreement.</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13.2</w:t>
      </w:r>
      <w:r>
        <w:rPr>
          <w:rFonts w:ascii="Arial;Helvetica;sans-serif" w:hAnsi="Arial;Helvetica;sans-serif"/>
          <w:sz w:val="22"/>
          <w:u w:val="single"/>
        </w:rPr>
        <w:t>Waiver</w:t>
      </w:r>
      <w:r>
        <w:rPr>
          <w:rFonts w:ascii="Arial;Helvetica;sans-serif" w:hAnsi="Arial;Helvetica;sans-serif"/>
          <w:sz w:val="22"/>
        </w:rPr>
        <w:t>. Either party's failure to enforce any provision of this Agreement shall not in any way be construed as a waiver of any such provision, or prevent that party thereafter from enforcing each and every other provision of this Agreement.</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13.3</w:t>
      </w:r>
      <w:r>
        <w:rPr>
          <w:rFonts w:ascii="Arial;Helvetica;sans-serif" w:hAnsi="Arial;Helvetica;sans-serif"/>
          <w:sz w:val="22"/>
          <w:u w:val="single"/>
        </w:rPr>
        <w:t>Attorneys’ Fees</w:t>
      </w:r>
      <w:r>
        <w:rPr>
          <w:rFonts w:ascii="Arial;Helvetica;sans-serif" w:hAnsi="Arial;Helvetica;sans-serif"/>
          <w:sz w:val="22"/>
        </w:rPr>
        <w:t>. In the event of a dispute involving the interpretation or enforcement of this Agreement, a court shall award attorneys' fees and costs to the prevailing party.</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13.4</w:t>
      </w:r>
      <w:r>
        <w:rPr>
          <w:rFonts w:ascii="Arial;Helvetica;sans-serif" w:hAnsi="Arial;Helvetica;sans-serif"/>
          <w:sz w:val="22"/>
          <w:u w:val="single"/>
        </w:rPr>
        <w:t>Severability</w:t>
      </w:r>
      <w:r>
        <w:rPr>
          <w:rFonts w:ascii="Arial;Helvetica;sans-serif" w:hAnsi="Arial;Helvetica;sans-serif"/>
          <w:sz w:val="22"/>
        </w:rPr>
        <w:t>.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13.5</w:t>
      </w:r>
      <w:r>
        <w:rPr>
          <w:rFonts w:ascii="Arial;Helvetica;sans-serif" w:hAnsi="Arial;Helvetica;sans-serif"/>
          <w:sz w:val="22"/>
          <w:u w:val="single"/>
        </w:rPr>
        <w:t>Interpretation; Construction.</w:t>
      </w:r>
      <w:r>
        <w:rPr>
          <w:rFonts w:ascii="Arial;Helvetica;sans-serif" w:hAnsi="Arial;Helvetica;sans-serif"/>
          <w:sz w:val="22"/>
        </w:rPr>
        <w:t xml:space="preserve"> The headings set forth in this Agreement are for convenience only and shall not be used in interpreting this Agreement. This Agreement has been drafted by legal counsel representing Company, but Executive has participated in the negotiation of its terms. Furthermore, Executive acknowledges that Executive has had an opportunity to review and revise the Agreement and have it reviewed by legal counsel, if desired, </w:t>
      </w:r>
    </w:p>
    <w:p>
      <w:pPr>
        <w:pStyle w:val="TextBody"/>
        <w:bidi w:val="0"/>
        <w:spacing w:before="14" w:after="0"/>
        <w:ind w:left="20" w:right="0" w:hanging="0"/>
        <w:jc w:val="left"/>
        <w:rPr>
          <w:rFonts w:ascii="Arial;Helvetica;sans-serif" w:hAnsi="Arial;Helvetica;sans-serif"/>
          <w:color w:val="1F1F1F"/>
          <w:sz w:val="22"/>
        </w:rPr>
      </w:pPr>
      <w:r>
        <w:rPr>
          <w:rFonts w:ascii="Arial;Helvetica;sans-serif" w:hAnsi="Arial;Helvetica;sans-serif"/>
          <w:color w:val="1F1F1F"/>
          <w:sz w:val="22"/>
        </w:rPr>
        <w:t>9</w:t>
      </w:r>
    </w:p>
    <w:p>
      <w:pPr>
        <w:pStyle w:val="HorizontalLine"/>
        <w:pBdr>
          <w:bottom w:val="double" w:sz="2" w:space="0" w:color="808080"/>
        </w:pBdr>
        <w:bidi w:val="0"/>
        <w:spacing w:before="0" w:after="283"/>
        <w:jc w:val="left"/>
      </w:pPr>
      <w:r/>
    </w:p>
    <w:p>
      <w:pPr>
        <w:pStyle w:val="TextBody"/>
        <w:bidi w:val="0"/>
        <w:ind w:left="0" w:right="0" w:hanging="0"/>
        <w:jc w:val="both"/>
        <w:rPr>
          <w:rFonts w:ascii="Arial;Helvetica;sans-serif" w:hAnsi="Arial;Helvetica;sans-serif"/>
          <w:sz w:val="22"/>
        </w:rPr>
      </w:pPr>
      <w:r>
        <w:rPr>
          <w:rFonts w:ascii="Arial;Helvetica;sans-serif" w:hAnsi="Arial;Helvetica;sans-serif"/>
          <w:sz w:val="22"/>
        </w:rPr>
        <w:t>and, therefore, the normal rule of construction to the effect that any ambiguities are to be resolved against the drafting party shall not be employed in the interpretation of this Agreement.</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13.6</w:t>
      </w:r>
      <w:r>
        <w:rPr>
          <w:rFonts w:ascii="Arial;Helvetica;sans-serif" w:hAnsi="Arial;Helvetica;sans-serif"/>
          <w:sz w:val="22"/>
          <w:u w:val="single"/>
        </w:rPr>
        <w:t>Governing Law; Forum</w:t>
      </w:r>
      <w:r>
        <w:rPr>
          <w:rFonts w:ascii="Arial;Helvetica;sans-serif" w:hAnsi="Arial;Helvetica;sans-serif"/>
          <w:sz w:val="22"/>
        </w:rPr>
        <w:t>. This Agreement will be governed by and construed in accordance with the laws of the United States and the State of Indiana. Each party consents to the jurisdiction and venue of the state courts in Marion County, Indiana or the federal courts in the Southern District of Indiana, if applicable, in any action, suit, or proceeding arising out of or relating to this Agreement, and agrees that the state courts in Marion County, Indiana or the federal courts in the Southern District of Indiana shall have exclusive jurisdiction over any dispute arising between the parties related to this Agreement or Executive’s employment with Company.</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13.7</w:t>
      </w:r>
      <w:r>
        <w:rPr>
          <w:rFonts w:ascii="Arial;Helvetica;sans-serif" w:hAnsi="Arial;Helvetica;sans-serif"/>
          <w:sz w:val="22"/>
          <w:u w:val="single"/>
        </w:rPr>
        <w:t>Notices</w:t>
      </w:r>
      <w:r>
        <w:rPr>
          <w:rFonts w:ascii="Arial;Helvetica;sans-serif" w:hAnsi="Arial;Helvetica;sans-serif"/>
          <w:sz w:val="22"/>
        </w:rPr>
        <w:t>. 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Notice shall be sent to the addresses set forth under the signatures below, or such other address as either party may specify in writing.</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13.8</w:t>
      </w:r>
      <w:r>
        <w:rPr>
          <w:rFonts w:ascii="Arial;Helvetica;sans-serif" w:hAnsi="Arial;Helvetica;sans-serif"/>
          <w:sz w:val="22"/>
          <w:u w:val="single"/>
        </w:rPr>
        <w:t>Survival</w:t>
      </w:r>
      <w:r>
        <w:rPr>
          <w:rFonts w:ascii="Arial;Helvetica;sans-serif" w:hAnsi="Arial;Helvetica;sans-serif"/>
          <w:sz w:val="22"/>
        </w:rPr>
        <w:t>. Sections 9 (“Other Covenants”), 10 ("Confidentiality and Proprietary Rights”), 11 (“Non-Competition; Nonsolicitation of Company’s Employees”), 12 (“Injunctive Relief”), 13 (“General Provisions”) and 15 (“Entire Agreement”) of this Agreement shall survive termination of Executive’s employment with Company.</w:t>
      </w:r>
    </w:p>
    <w:p>
      <w:pPr>
        <w:pStyle w:val="TextBody"/>
        <w:bidi w:val="0"/>
        <w:spacing w:before="0" w:after="0"/>
        <w:ind w:left="0" w:right="0" w:hanging="0"/>
        <w:jc w:val="both"/>
      </w:pPr>
      <w: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14.</w:t>
      </w:r>
      <w:r>
        <w:rPr>
          <w:rFonts w:ascii="Arial;Helvetica;sans-serif" w:hAnsi="Arial;Helvetica;sans-serif"/>
          <w:sz w:val="22"/>
          <w:u w:val="single"/>
        </w:rPr>
        <w:t>Entire Agreement.</w:t>
      </w:r>
      <w:r>
        <w:rPr>
          <w:rFonts w:ascii="Arial;Helvetica;sans-serif" w:hAnsi="Arial;Helvetica;sans-serif"/>
          <w:sz w:val="22"/>
        </w:rPr>
        <w:t xml:space="preserve"> This Agreement, including the Nondisclosure Agreement incorporated herein by reference,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Company. No oral waiver, amendment or modification will be effective under any circumstances whatsoever.</w:t>
      </w:r>
    </w:p>
    <w:p>
      <w:pPr>
        <w:pStyle w:val="TextBody"/>
        <w:bidi w:val="0"/>
        <w:spacing w:before="0" w:after="0"/>
        <w:ind w:left="0" w:right="0" w:hanging="0"/>
        <w:jc w:val="both"/>
      </w:pPr>
      <w:r>
        <w:t>​</w:t>
      </w:r>
    </w:p>
    <w:p>
      <w:pPr>
        <w:pStyle w:val="TextBody"/>
        <w:bidi w:val="0"/>
        <w:spacing w:before="14" w:after="0"/>
        <w:ind w:left="20" w:right="0" w:hanging="0"/>
        <w:jc w:val="left"/>
        <w:rPr>
          <w:rFonts w:ascii="Arial;Helvetica;sans-serif" w:hAnsi="Arial;Helvetica;sans-serif"/>
          <w:color w:val="1F1F1F"/>
          <w:sz w:val="22"/>
        </w:rPr>
      </w:pPr>
      <w:r>
        <w:rPr>
          <w:rFonts w:ascii="Arial;Helvetica;sans-serif" w:hAnsi="Arial;Helvetica;sans-serif"/>
          <w:color w:val="1F1F1F"/>
          <w:sz w:val="22"/>
        </w:rPr>
        <w:t>10</w:t>
      </w:r>
    </w:p>
    <w:p>
      <w:pPr>
        <w:pStyle w:val="HorizontalLine"/>
        <w:pBdr>
          <w:bottom w:val="double" w:sz="2" w:space="0" w:color="808080"/>
        </w:pBdr>
        <w:bidi w:val="0"/>
        <w:spacing w:before="0" w:after="283"/>
        <w:jc w:val="left"/>
      </w:pPr>
      <w:r/>
    </w:p>
    <w:p>
      <w:pPr>
        <w:pStyle w:val="TextBody"/>
        <w:bidi w:val="0"/>
        <w:jc w:val="left"/>
      </w:pPr>
      <w:r>
        <w:drawing>
          <wp:inline distT="0" distB="0" distL="0" distR="0">
            <wp:extent cx="14605" cy="182245"/>
            <wp:effectExtent l="0" t="0" r="0" b="0"/>
            <wp:docPr id="19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 descr=""/>
                    <pic:cNvPicPr>
                      <a:picLocks noChangeAspect="1" noChangeArrowheads="1"/>
                    </pic:cNvPicPr>
                  </pic:nvPicPr>
                  <pic:blipFill>
                    <a:blip r:embed="rId14"/>
                    <a:stretch>
                      <a:fillRect/>
                    </a:stretch>
                  </pic:blipFill>
                  <pic:spPr bwMode="auto">
                    <a:xfrm>
                      <a:off x="0" y="0"/>
                      <a:ext cx="14605" cy="182245"/>
                    </a:xfrm>
                    <a:prstGeom prst="rect">
                      <a:avLst/>
                    </a:prstGeom>
                  </pic:spPr>
                </pic:pic>
              </a:graphicData>
            </a:graphic>
          </wp:inline>
        </w:drawing>
      </w:r>
    </w:p>
    <w:p>
      <w:pPr>
        <w:pStyle w:val="TextBody"/>
        <w:bidi w:val="0"/>
        <w:spacing w:before="0" w:after="0"/>
        <w:ind w:left="0" w:right="0" w:hanging="0"/>
        <w:jc w:val="both"/>
        <w:rPr>
          <w:rFonts w:ascii="Arial;Helvetica;sans-serif" w:hAnsi="Arial;Helvetica;sans-serif"/>
          <w:sz w:val="22"/>
        </w:rPr>
      </w:pPr>
      <w:r>
        <w:rPr>
          <w:rFonts w:ascii="Arial;Helvetica;sans-serif" w:hAnsi="Arial;Helvetica;sans-serif"/>
          <w:sz w:val="22"/>
        </w:rPr>
        <w:t>THE PARTIES TO THIS AGREEMENT HAVE READ THE FOREGOING AGREEMENT AND FULLY UNDERSTAND EACH AND EVERY PROVISION CONTAINED HEREIN. WHEREFORE, THE PARTIES HAVE EXECUTED THIS AGREEMENT ON THE DATES SHOWN BELOW.</w:t>
      </w:r>
    </w:p>
    <w:p>
      <w:pPr>
        <w:pStyle w:val="TextBody"/>
        <w:bidi w:val="0"/>
        <w:spacing w:before="0" w:after="0"/>
        <w:ind w:left="0" w:right="0" w:hanging="0"/>
        <w:jc w:val="left"/>
      </w:pPr>
      <w:r>
        <w:t>​</w:t>
      </w:r>
    </w:p>
    <w:p>
      <w:pPr>
        <w:pStyle w:val="TextBody"/>
        <w:bidi w:val="0"/>
        <w:spacing w:before="0" w:after="0"/>
        <w:ind w:left="0" w:right="0" w:hanging="0"/>
        <w:jc w:val="left"/>
        <w:rPr>
          <w:rFonts w:ascii="Arial;Helvetica;sans-serif" w:hAnsi="Arial;Helvetica;sans-serif"/>
          <w:b/>
          <w:sz w:val="22"/>
        </w:rPr>
      </w:pPr>
      <w:r>
        <w:rPr>
          <w:rFonts w:ascii="Arial;Helvetica;sans-serif" w:hAnsi="Arial;Helvetica;sans-serif"/>
          <w:b/>
          <w:sz w:val="22"/>
        </w:rPr>
        <w:t>EXECUTIVE</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Dated: September 8, 2023By: /s/ Lori Browning</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 xml:space="preserve">Name: </w:t>
      </w:r>
    </w:p>
    <w:p>
      <w:pPr>
        <w:pStyle w:val="TextBody"/>
        <w:bidi w:val="0"/>
        <w:spacing w:before="0" w:after="0"/>
        <w:ind w:left="0" w:right="0" w:hanging="0"/>
        <w:jc w:val="left"/>
      </w:pPr>
      <w: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Address:</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rPr>
          <w:rFonts w:ascii="Arial;Helvetica;sans-serif" w:hAnsi="Arial;Helvetica;sans-serif"/>
          <w:b/>
          <w:sz w:val="22"/>
        </w:rPr>
      </w:pPr>
      <w:r>
        <w:rPr>
          <w:rFonts w:ascii="Arial;Helvetica;sans-serif" w:hAnsi="Arial;Helvetica;sans-serif"/>
          <w:b/>
          <w:sz w:val="22"/>
        </w:rPr>
        <w:t>GRAND CANYON EDUCATION, INC.</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Dated: September 8, 2023By: /s/ Daniel E. Bachus</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Name:Daniel E. Bachus</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Title:Chief Financial Officer</w:t>
      </w:r>
    </w:p>
    <w:p>
      <w:pPr>
        <w:pStyle w:val="TextBody"/>
        <w:bidi w:val="0"/>
        <w:spacing w:before="0" w:after="0"/>
        <w:ind w:left="0" w:right="0" w:hanging="0"/>
        <w:jc w:val="left"/>
      </w:pPr>
      <w: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Address:2600 West Camelback Road</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Phoenix, Arizona 85017</w:t>
      </w:r>
    </w:p>
    <w:p>
      <w:pPr>
        <w:pStyle w:val="TextBody"/>
        <w:bidi w:val="0"/>
        <w:spacing w:before="14" w:after="0"/>
        <w:ind w:left="20" w:right="0" w:hanging="0"/>
        <w:jc w:val="left"/>
        <w:rPr>
          <w:rFonts w:ascii="Arial;Helvetica;sans-serif" w:hAnsi="Arial;Helvetica;sans-serif"/>
          <w:color w:val="1F1F1F"/>
          <w:sz w:val="22"/>
        </w:rPr>
      </w:pPr>
      <w:r>
        <w:rPr>
          <w:rFonts w:ascii="Arial;Helvetica;sans-serif" w:hAnsi="Arial;Helvetica;sans-serif"/>
          <w:color w:val="1F1F1F"/>
          <w:sz w:val="22"/>
        </w:rPr>
        <w:t>11</w:t>
      </w:r>
    </w:p>
    <w:p>
      <w:pPr>
        <w:pStyle w:val="HorizontalLine"/>
        <w:pBdr>
          <w:bottom w:val="double" w:sz="2" w:space="0" w:color="808080"/>
        </w:pBdr>
        <w:bidi w:val="0"/>
        <w:spacing w:before="0" w:after="283"/>
        <w:jc w:val="left"/>
      </w:pPr>
      <w:r/>
    </w:p>
    <w:p>
      <w:pPr>
        <w:pStyle w:val="TextBody"/>
        <w:bidi w:val="0"/>
        <w:spacing w:before="0" w:after="0"/>
        <w:ind w:left="0" w:right="0" w:hanging="0"/>
        <w:jc w:val="right"/>
        <w:rPr>
          <w:rFonts w:ascii="Times New Roman;Times;serif" w:hAnsi="Times New Roman;Times;serif"/>
          <w:b/>
          <w:sz w:val="20"/>
        </w:rPr>
      </w:pPr>
      <w:bookmarkStart w:id="1081" w:name="lope-ex31d1.htm"/>
      <w:bookmarkStart w:id="1082" w:name="kslopeex31d1"/>
      <w:bookmarkEnd w:id="1081"/>
      <w:bookmarkEnd w:id="1082"/>
      <w:r>
        <w:rPr>
          <w:rFonts w:ascii="Times New Roman;Times;serif" w:hAnsi="Times New Roman;Times;serif"/>
          <w:b/>
          <w:sz w:val="20"/>
        </w:rPr>
        <w:t>Exhibit 31.1</w:t>
      </w:r>
      <w:r>
        <w:br w:type="page"/>
      </w:r>
    </w:p>
    <w:p>
      <w:pPr>
        <w:pStyle w:val="TextBody"/>
        <w:bidi w:val="0"/>
        <w:spacing w:before="0" w:after="0"/>
        <w:ind w:left="0" w:right="0" w:hanging="0"/>
        <w:jc w:val="right"/>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Brian E. Mueller, certify that:</w:t>
      </w:r>
    </w:p>
    <w:p>
      <w:pPr>
        <w:pStyle w:val="TextBody"/>
        <w:bidi w:val="0"/>
        <w:spacing w:before="0" w:after="0"/>
        <w:ind w:left="0" w:right="0" w:hanging="0"/>
        <w:jc w:val="left"/>
      </w:pPr>
      <w: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Quarterly Report on Form 10-Q for the quarter ending September 30, 2026 of Grand Canyon Education, Inc.;</w:t>
      </w:r>
    </w:p>
    <w:p>
      <w:pPr>
        <w:pStyle w:val="TextBody"/>
        <w:bidi w:val="0"/>
        <w:spacing w:before="0" w:after="0"/>
        <w:ind w:left="0" w:right="0" w:firstLine="360"/>
        <w:jc w:val="left"/>
      </w:pPr>
      <w: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left"/>
      </w:pPr>
      <w: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left"/>
      </w:pPr>
      <w: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pPr>
      <w: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pPr>
      <w: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576"/>
        <w:jc w:val="left"/>
      </w:pPr>
      <w: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576"/>
        <w:jc w:val="left"/>
      </w:pPr>
      <w: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pPr>
      <w: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pPr>
      <w: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576"/>
        <w:jc w:val="left"/>
      </w:pPr>
      <w: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pPr>
      <w:r>
        <w:t>​</w:t>
      </w:r>
    </w:p>
    <w:tbl>
      <w:tblPr>
        <w:tblW w:w="4923" w:type="dxa"/>
        <w:jc w:val="center"/>
        <w:tblInd w:w="0" w:type="dxa"/>
        <w:tblLayout w:type="fixed"/>
        <w:tblCellMar>
          <w:top w:w="0" w:type="dxa"/>
          <w:left w:w="0" w:type="dxa"/>
          <w:bottom w:w="0" w:type="dxa"/>
          <w:right w:w="0" w:type="dxa"/>
        </w:tblCellMar>
      </w:tblPr>
      <w:tblGrid>
        <w:gridCol w:w="2101"/>
        <w:gridCol w:w="346"/>
        <w:gridCol w:w="2476"/>
      </w:tblGrid>
      <w:tr>
        <w:tc>
          <w:tcPr>
            <w:tcW w:w="210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476" w:type="dxa"/>
            <w:tcBorders/>
            <w:vAlign w:val="center"/>
          </w:tcPr>
          <w:p>
            <w:pPr>
              <w:pStyle w:val="TableContents"/>
              <w:bidi w:val="0"/>
              <w:spacing w:before="0" w:after="0"/>
              <w:ind w:left="0" w:right="0" w:hanging="0"/>
              <w:jc w:val="left"/>
            </w:pPr>
            <w:r>
              <w:t>​</w:t>
            </w:r>
          </w:p>
        </w:tc>
      </w:tr>
      <w:t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4, 2026</w:t>
            </w:r>
          </w:p>
        </w:tc>
        <w:tc>
          <w:tcPr>
            <w:tcW w:w="346" w:type="dxa"/>
            <w:tcBorders/>
            <w:vAlign w:val="center"/>
          </w:tcPr>
          <w:p>
            <w:pPr>
              <w:pStyle w:val="TableContents"/>
              <w:bidi w:val="0"/>
              <w:spacing w:before="0" w:after="0"/>
              <w:ind w:left="0" w:right="0" w:hanging="0"/>
              <w:jc w:val="left"/>
            </w:pPr>
            <w:r>
              <w:t>  ​ ​ ​</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E. Mueller</w:t>
            </w:r>
          </w:p>
        </w:tc>
      </w:tr>
      <w:tr>
        <w:tc>
          <w:tcPr>
            <w:tcW w:w="210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r>
      <w:tr>
        <w:tc>
          <w:tcPr>
            <w:tcW w:w="210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c>
          <w:tcPr>
            <w:tcW w:w="210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0"/>
        <w:ind w:left="0" w:right="0" w:hanging="0"/>
        <w:jc w:val="right"/>
        <w:rPr>
          <w:rFonts w:ascii="Times New Roman;Times;serif" w:hAnsi="Times New Roman;Times;serif"/>
          <w:b/>
          <w:sz w:val="20"/>
        </w:rPr>
      </w:pPr>
      <w:bookmarkStart w:id="1083" w:name="lope-ex31d2.htm"/>
      <w:bookmarkStart w:id="1084" w:name="kslopeex31d2"/>
      <w:bookmarkEnd w:id="1083"/>
      <w:bookmarkEnd w:id="1084"/>
      <w:r>
        <w:rPr>
          <w:rFonts w:ascii="Times New Roman;Times;serif" w:hAnsi="Times New Roman;Times;serif"/>
          <w:b/>
          <w:sz w:val="20"/>
        </w:rPr>
        <w:t>Exhibit 31.2</w:t>
      </w:r>
      <w:r>
        <w:br w:type="page"/>
      </w:r>
    </w:p>
    <w:p>
      <w:pPr>
        <w:pStyle w:val="TextBody"/>
        <w:bidi w:val="0"/>
        <w:spacing w:before="0" w:after="0"/>
        <w:ind w:left="0" w:right="0" w:hanging="0"/>
        <w:jc w:val="right"/>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Lori Browning, certify that:</w:t>
      </w:r>
    </w:p>
    <w:p>
      <w:pPr>
        <w:pStyle w:val="TextBody"/>
        <w:bidi w:val="0"/>
        <w:spacing w:before="0" w:after="0"/>
        <w:ind w:left="0" w:right="0" w:hanging="0"/>
        <w:jc w:val="left"/>
      </w:pPr>
      <w: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Quarterly Report on Form 10-Q for the quarter ending September 30, 2026 of Grand Canyon Education, Inc.;</w:t>
      </w:r>
    </w:p>
    <w:p>
      <w:pPr>
        <w:pStyle w:val="TextBody"/>
        <w:bidi w:val="0"/>
        <w:spacing w:before="0" w:after="0"/>
        <w:ind w:left="0" w:right="0" w:firstLine="360"/>
        <w:jc w:val="left"/>
      </w:pPr>
      <w: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left"/>
      </w:pPr>
      <w: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left"/>
      </w:pPr>
      <w: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pPr>
      <w: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pPr>
      <w: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576"/>
        <w:jc w:val="left"/>
      </w:pPr>
      <w: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576"/>
        <w:jc w:val="left"/>
      </w:pPr>
      <w: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pPr>
      <w: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pPr>
      <w: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576"/>
        <w:jc w:val="left"/>
      </w:pPr>
      <w: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pPr>
      <w:r>
        <w:t>​</w:t>
      </w:r>
    </w:p>
    <w:tbl>
      <w:tblPr>
        <w:tblW w:w="10205" w:type="dxa"/>
        <w:jc w:val="center"/>
        <w:tblInd w:w="0" w:type="dxa"/>
        <w:tblLayout w:type="fixed"/>
        <w:tblCellMar>
          <w:top w:w="0" w:type="dxa"/>
          <w:left w:w="0" w:type="dxa"/>
          <w:bottom w:w="0" w:type="dxa"/>
          <w:right w:w="0" w:type="dxa"/>
        </w:tblCellMar>
      </w:tblPr>
      <w:tblGrid>
        <w:gridCol w:w="2038"/>
        <w:gridCol w:w="346"/>
        <w:gridCol w:w="7821"/>
      </w:tblGrid>
      <w:tr>
        <w:tc>
          <w:tcPr>
            <w:tcW w:w="203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7821" w:type="dxa"/>
            <w:tcBorders/>
            <w:vAlign w:val="center"/>
          </w:tcPr>
          <w:p>
            <w:pPr>
              <w:pStyle w:val="TableContents"/>
              <w:bidi w:val="0"/>
              <w:spacing w:before="0" w:after="0"/>
              <w:ind w:left="0" w:right="0" w:hanging="0"/>
              <w:jc w:val="left"/>
            </w:pPr>
            <w:r>
              <w:t>​</w:t>
            </w:r>
          </w:p>
        </w:tc>
      </w:tr>
      <w:tr>
        <w:tc>
          <w:tcPr>
            <w:tcW w:w="2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4, 2026</w:t>
            </w:r>
          </w:p>
        </w:tc>
        <w:tc>
          <w:tcPr>
            <w:tcW w:w="346" w:type="dxa"/>
            <w:tcBorders/>
            <w:vAlign w:val="center"/>
          </w:tcPr>
          <w:p>
            <w:pPr>
              <w:pStyle w:val="TableContents"/>
              <w:bidi w:val="0"/>
              <w:spacing w:before="0" w:after="0"/>
              <w:ind w:left="0" w:right="0" w:hanging="0"/>
              <w:jc w:val="left"/>
            </w:pPr>
            <w:r>
              <w:t>  ​ ​ ​</w:t>
            </w:r>
          </w:p>
        </w:tc>
        <w:tc>
          <w:tcPr>
            <w:tcW w:w="78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Lori Browning</w:t>
            </w:r>
          </w:p>
        </w:tc>
      </w:tr>
      <w:tr>
        <w:tc>
          <w:tcPr>
            <w:tcW w:w="203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78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Lori Browning</w:t>
            </w:r>
          </w:p>
        </w:tc>
      </w:tr>
      <w:tr>
        <w:tc>
          <w:tcPr>
            <w:tcW w:w="203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7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Financial Officer and Senior Vice President &amp; Controller – Chief Accounting Officer</w:t>
            </w:r>
          </w:p>
        </w:tc>
      </w:tr>
      <w:tr>
        <w:tc>
          <w:tcPr>
            <w:tcW w:w="203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7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Principal Financial Officer and Principal Accounting Officer)</w:t>
            </w:r>
          </w:p>
        </w:tc>
      </w:tr>
    </w:tbl>
    <w:p>
      <w:pPr>
        <w:pStyle w:val="TextBody"/>
        <w:bidi w:val="0"/>
        <w:spacing w:before="0" w:after="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0"/>
        <w:ind w:left="0" w:right="0" w:hanging="0"/>
        <w:jc w:val="right"/>
        <w:rPr>
          <w:rFonts w:ascii="Times New Roman;Times;serif" w:hAnsi="Times New Roman;Times;serif"/>
          <w:b/>
          <w:sz w:val="20"/>
        </w:rPr>
      </w:pPr>
      <w:bookmarkStart w:id="1085" w:name="lope-ex32d1.htm"/>
      <w:bookmarkStart w:id="1086" w:name="kslopeex32d1"/>
      <w:bookmarkEnd w:id="1085"/>
      <w:bookmarkEnd w:id="1086"/>
      <w:r>
        <w:rPr>
          <w:rFonts w:ascii="Times New Roman;Times;serif" w:hAnsi="Times New Roman;Times;serif"/>
          <w:b/>
          <w:sz w:val="20"/>
        </w:rPr>
        <w:t>Exhibit 32.1</w:t>
      </w:r>
      <w:r>
        <w:br w:type="page"/>
      </w:r>
    </w:p>
    <w:p>
      <w:pPr>
        <w:pStyle w:val="TextBody"/>
        <w:bidi w:val="0"/>
        <w:spacing w:before="0" w:after="0"/>
        <w:ind w:left="0" w:right="0" w:hanging="0"/>
        <w:jc w:val="right"/>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pPr>
      <w: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on Form 10-Q of Grand Canyon Education, Inc. (the “Company”) for the quarter ended September 30, 2026 as filed with the Securities and Exchange Commission on the date hereof (the “Report”), I, Brian E. Mueller,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231"/>
        <w:gridCol w:w="9974"/>
      </w:tblGrid>
      <w:tr>
        <w:tc>
          <w:tcPr>
            <w:tcW w:w="2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(15 U.S.C. 78m or 78o); and</w:t>
            </w:r>
          </w:p>
        </w:tc>
      </w:tr>
    </w:tbl>
    <w:p>
      <w:pPr>
        <w:pStyle w:val="TextBody"/>
        <w:bidi w:val="0"/>
        <w:spacing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235"/>
        <w:gridCol w:w="9970"/>
      </w:tblGrid>
      <w:tr>
        <w:tc>
          <w:tcPr>
            <w:tcW w:w="2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pPr>
      <w:r>
        <w:t>​</w:t>
      </w:r>
    </w:p>
    <w:tbl>
      <w:tblPr>
        <w:tblW w:w="4911" w:type="dxa"/>
        <w:jc w:val="center"/>
        <w:tblInd w:w="0" w:type="dxa"/>
        <w:tblLayout w:type="fixed"/>
        <w:tblCellMar>
          <w:top w:w="0" w:type="dxa"/>
          <w:left w:w="0" w:type="dxa"/>
          <w:bottom w:w="0" w:type="dxa"/>
          <w:right w:w="0" w:type="dxa"/>
        </w:tblCellMar>
      </w:tblPr>
      <w:tblGrid>
        <w:gridCol w:w="4411"/>
        <w:gridCol w:w="346"/>
        <w:gridCol w:w="154"/>
      </w:tblGrid>
      <w:tr>
        <w:tc>
          <w:tcPr>
            <w:tcW w:w="441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54" w:type="dxa"/>
            <w:tcBorders/>
            <w:vAlign w:val="center"/>
          </w:tcPr>
          <w:p>
            <w:pPr>
              <w:pStyle w:val="TableContents"/>
              <w:bidi w:val="0"/>
              <w:spacing w:before="0" w:after="0"/>
              <w:ind w:left="0" w:right="0" w:hanging="0"/>
              <w:jc w:val="left"/>
            </w:pPr>
            <w:r>
              <w:t>​</w:t>
            </w:r>
          </w:p>
        </w:tc>
      </w:tr>
      <w:t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4, 2026</w:t>
            </w:r>
          </w:p>
        </w:tc>
        <w:tc>
          <w:tcPr>
            <w:tcW w:w="346" w:type="dxa"/>
            <w:tcBorders/>
            <w:vAlign w:val="center"/>
          </w:tcPr>
          <w:p>
            <w:pPr>
              <w:pStyle w:val="TableContents"/>
              <w:bidi w:val="0"/>
              <w:spacing w:before="0" w:after="0"/>
              <w:ind w:left="0" w:right="0" w:hanging="0"/>
              <w:jc w:val="left"/>
            </w:pPr>
            <w:r>
              <w:t>  ​ ​ ​</w:t>
            </w:r>
          </w:p>
        </w:tc>
        <w:tc>
          <w:tcPr>
            <w:tcW w:w="154" w:type="dxa"/>
            <w:tcBorders/>
            <w:vAlign w:val="center"/>
          </w:tcPr>
          <w:p>
            <w:pPr>
              <w:pStyle w:val="TableContents"/>
              <w:bidi w:val="0"/>
              <w:spacing w:before="0" w:after="0"/>
              <w:ind w:left="0" w:right="0" w:hanging="0"/>
              <w:jc w:val="left"/>
            </w:pPr>
            <w:r>
              <w:t>​</w:t>
            </w:r>
          </w:p>
        </w:tc>
      </w:tr>
      <w:tr>
        <w:tc>
          <w:tcPr>
            <w:tcW w:w="441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54" w:type="dxa"/>
            <w:tcBorders/>
            <w:vAlign w:val="center"/>
          </w:tcPr>
          <w:p>
            <w:pPr>
              <w:pStyle w:val="TableContents"/>
              <w:bidi w:val="0"/>
              <w:spacing w:before="0" w:after="0"/>
              <w:ind w:left="0" w:right="0" w:hanging="0"/>
              <w:jc w:val="left"/>
            </w:pPr>
            <w:r>
              <w:t>​</w:t>
            </w:r>
          </w:p>
        </w:tc>
      </w:tr>
      <w:tr>
        <w:tc>
          <w:tcPr>
            <w:tcW w:w="4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E. Mueller</w:t>
            </w:r>
          </w:p>
        </w:tc>
        <w:tc>
          <w:tcPr>
            <w:tcW w:w="346" w:type="dxa"/>
            <w:tcBorders/>
            <w:vAlign w:val="center"/>
          </w:tcPr>
          <w:p>
            <w:pPr>
              <w:pStyle w:val="TableContents"/>
              <w:bidi w:val="0"/>
              <w:spacing w:before="0" w:after="0"/>
              <w:ind w:left="0" w:right="0" w:hanging="0"/>
              <w:jc w:val="left"/>
            </w:pPr>
            <w:r>
              <w:t>​</w:t>
            </w:r>
          </w:p>
        </w:tc>
        <w:tc>
          <w:tcPr>
            <w:tcW w:w="154" w:type="dxa"/>
            <w:tcBorders/>
            <w:vAlign w:val="center"/>
          </w:tcPr>
          <w:p>
            <w:pPr>
              <w:pStyle w:val="TableContents"/>
              <w:bidi w:val="0"/>
              <w:spacing w:before="0" w:after="0"/>
              <w:ind w:left="0" w:right="0" w:hanging="0"/>
              <w:jc w:val="left"/>
            </w:pPr>
            <w:r>
              <w:t>​</w:t>
            </w:r>
          </w:p>
        </w:tc>
      </w:tr>
      <w:tr>
        <w:tc>
          <w:tcPr>
            <w:tcW w:w="44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c>
          <w:tcPr>
            <w:tcW w:w="346" w:type="dxa"/>
            <w:tcBorders/>
            <w:vAlign w:val="center"/>
          </w:tcPr>
          <w:p>
            <w:pPr>
              <w:pStyle w:val="TableContents"/>
              <w:bidi w:val="0"/>
              <w:spacing w:before="0" w:after="0"/>
              <w:ind w:left="0" w:right="0" w:hanging="0"/>
              <w:jc w:val="left"/>
            </w:pPr>
            <w:r>
              <w:t>​</w:t>
            </w:r>
          </w:p>
        </w:tc>
        <w:tc>
          <w:tcPr>
            <w:tcW w:w="154" w:type="dxa"/>
            <w:tcBorders/>
            <w:vAlign w:val="center"/>
          </w:tcPr>
          <w:p>
            <w:pPr>
              <w:pStyle w:val="TableContents"/>
              <w:bidi w:val="0"/>
              <w:spacing w:before="0" w:after="0"/>
              <w:ind w:left="0" w:right="0" w:hanging="0"/>
              <w:jc w:val="left"/>
            </w:pPr>
            <w:r>
              <w:t>​</w:t>
            </w:r>
          </w:p>
        </w:tc>
      </w:tr>
      <w:t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(Principal Executive Officer)</w:t>
            </w:r>
          </w:p>
        </w:tc>
        <w:tc>
          <w:tcPr>
            <w:tcW w:w="346" w:type="dxa"/>
            <w:tcBorders/>
            <w:vAlign w:val="center"/>
          </w:tcPr>
          <w:p>
            <w:pPr>
              <w:pStyle w:val="TableContents"/>
              <w:bidi w:val="0"/>
              <w:spacing w:before="0" w:after="0"/>
              <w:ind w:left="0" w:right="0" w:hanging="0"/>
              <w:jc w:val="left"/>
            </w:pPr>
            <w:r>
              <w:t>​</w:t>
            </w:r>
          </w:p>
        </w:tc>
        <w:tc>
          <w:tcPr>
            <w:tcW w:w="154" w:type="dxa"/>
            <w:tcBorders/>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0"/>
        <w:ind w:left="0" w:right="0" w:hanging="0"/>
        <w:jc w:val="right"/>
        <w:rPr>
          <w:rFonts w:ascii="Times New Roman;Times;serif" w:hAnsi="Times New Roman;Times;serif"/>
          <w:b/>
          <w:sz w:val="20"/>
        </w:rPr>
      </w:pPr>
      <w:bookmarkStart w:id="1087" w:name="lope-ex32d2.htm"/>
      <w:bookmarkStart w:id="1088" w:name="kslopeex32d2"/>
      <w:bookmarkEnd w:id="1087"/>
      <w:bookmarkEnd w:id="1088"/>
      <w:r>
        <w:rPr>
          <w:rFonts w:ascii="Times New Roman;Times;serif" w:hAnsi="Times New Roman;Times;serif"/>
          <w:b/>
          <w:sz w:val="20"/>
        </w:rPr>
        <w:t>Exhibit 32.2</w:t>
      </w:r>
      <w:r>
        <w:br w:type="page"/>
      </w:r>
    </w:p>
    <w:p>
      <w:pPr>
        <w:pStyle w:val="TextBody"/>
        <w:bidi w:val="0"/>
        <w:spacing w:before="0" w:after="0"/>
        <w:ind w:left="0" w:right="0" w:hanging="0"/>
        <w:jc w:val="right"/>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INTERIM CHIEF FINANCIAL OFFICER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pPr>
      <w: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on Form 10-Q of Grand Canyon Education, Inc. (the “Company”) for the quarter ended September 30, 2026 as filed with the Securities and Exchange Commission on the date hereof (the “Report”), I, Lori Browning, Interim Chief Financial Officer and Senior Vice President &amp; Controller of the Company, certify, pursuant to 18 U.S.C. Section 1350, as adopted pursuant to Section 906 of the Sarbanes-Oxley Act of 2002, that to my knowledge:</w:t>
      </w:r>
    </w:p>
    <w:p>
      <w:pPr>
        <w:pStyle w:val="TextBody"/>
        <w:bidi w:val="0"/>
        <w:spacing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231"/>
        <w:gridCol w:w="9974"/>
      </w:tblGrid>
      <w:tr>
        <w:tc>
          <w:tcPr>
            <w:tcW w:w="2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(15 U.S.C. 78m or 78o); and</w:t>
            </w:r>
          </w:p>
        </w:tc>
      </w:tr>
    </w:tbl>
    <w:p>
      <w:pPr>
        <w:pStyle w:val="TextBody"/>
        <w:bidi w:val="0"/>
        <w:spacing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235"/>
        <w:gridCol w:w="9970"/>
      </w:tblGrid>
      <w:tr>
        <w:tc>
          <w:tcPr>
            <w:tcW w:w="2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pPr>
      <w:r>
        <w:t>​</w:t>
      </w:r>
    </w:p>
    <w:tbl>
      <w:tblPr>
        <w:tblW w:w="10205" w:type="dxa"/>
        <w:jc w:val="center"/>
        <w:tblInd w:w="0" w:type="dxa"/>
        <w:tblLayout w:type="fixed"/>
        <w:tblCellMar>
          <w:top w:w="0" w:type="dxa"/>
          <w:left w:w="0" w:type="dxa"/>
          <w:bottom w:w="0" w:type="dxa"/>
          <w:right w:w="0" w:type="dxa"/>
        </w:tblCellMar>
      </w:tblPr>
      <w:tblGrid>
        <w:gridCol w:w="9705"/>
        <w:gridCol w:w="346"/>
        <w:gridCol w:w="154"/>
      </w:tblGrid>
      <w:tr>
        <w:tc>
          <w:tcPr>
            <w:tcW w:w="9705"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54" w:type="dxa"/>
            <w:tcBorders/>
            <w:vAlign w:val="center"/>
          </w:tcPr>
          <w:p>
            <w:pPr>
              <w:pStyle w:val="TableContents"/>
              <w:bidi w:val="0"/>
              <w:spacing w:before="0" w:after="0"/>
              <w:ind w:left="0" w:right="0" w:hanging="0"/>
              <w:jc w:val="left"/>
            </w:pPr>
            <w:r>
              <w:t>​</w:t>
            </w:r>
          </w:p>
        </w:tc>
      </w:tr>
      <w:tr>
        <w:tc>
          <w:tcPr>
            <w:tcW w:w="97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4, 2026</w:t>
            </w:r>
          </w:p>
        </w:tc>
        <w:tc>
          <w:tcPr>
            <w:tcW w:w="346" w:type="dxa"/>
            <w:tcBorders/>
            <w:vAlign w:val="center"/>
          </w:tcPr>
          <w:p>
            <w:pPr>
              <w:pStyle w:val="TableContents"/>
              <w:bidi w:val="0"/>
              <w:spacing w:before="0" w:after="0"/>
              <w:ind w:left="0" w:right="0" w:hanging="0"/>
              <w:jc w:val="left"/>
            </w:pPr>
            <w:r>
              <w:t>  ​ ​ ​</w:t>
            </w:r>
          </w:p>
        </w:tc>
        <w:tc>
          <w:tcPr>
            <w:tcW w:w="154" w:type="dxa"/>
            <w:tcBorders/>
            <w:vAlign w:val="center"/>
          </w:tcPr>
          <w:p>
            <w:pPr>
              <w:pStyle w:val="TableContents"/>
              <w:bidi w:val="0"/>
              <w:spacing w:before="0" w:after="0"/>
              <w:ind w:left="0" w:right="0" w:hanging="0"/>
              <w:jc w:val="left"/>
            </w:pPr>
            <w:r>
              <w:t>​</w:t>
            </w:r>
          </w:p>
        </w:tc>
      </w:tr>
      <w:tr>
        <w:tc>
          <w:tcPr>
            <w:tcW w:w="9705"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54" w:type="dxa"/>
            <w:tcBorders/>
            <w:vAlign w:val="center"/>
          </w:tcPr>
          <w:p>
            <w:pPr>
              <w:pStyle w:val="TableContents"/>
              <w:bidi w:val="0"/>
              <w:spacing w:before="0" w:after="0"/>
              <w:ind w:left="0" w:right="0" w:hanging="0"/>
              <w:jc w:val="left"/>
            </w:pPr>
            <w:r>
              <w:t>​</w:t>
            </w:r>
          </w:p>
        </w:tc>
      </w:tr>
      <w:tr>
        <w:tc>
          <w:tcPr>
            <w:tcW w:w="97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Lori Browning</w:t>
            </w:r>
          </w:p>
        </w:tc>
        <w:tc>
          <w:tcPr>
            <w:tcW w:w="346" w:type="dxa"/>
            <w:tcBorders/>
            <w:vAlign w:val="center"/>
          </w:tcPr>
          <w:p>
            <w:pPr>
              <w:pStyle w:val="TableContents"/>
              <w:bidi w:val="0"/>
              <w:spacing w:before="0" w:after="0"/>
              <w:ind w:left="0" w:right="0" w:hanging="0"/>
              <w:jc w:val="left"/>
            </w:pPr>
            <w:r>
              <w:t>​</w:t>
            </w:r>
          </w:p>
        </w:tc>
        <w:tc>
          <w:tcPr>
            <w:tcW w:w="154" w:type="dxa"/>
            <w:tcBorders/>
            <w:vAlign w:val="center"/>
          </w:tcPr>
          <w:p>
            <w:pPr>
              <w:pStyle w:val="TableContents"/>
              <w:bidi w:val="0"/>
              <w:spacing w:before="0" w:after="0"/>
              <w:ind w:left="0" w:right="0" w:hanging="0"/>
              <w:jc w:val="left"/>
            </w:pPr>
            <w:r>
              <w:t>​</w:t>
            </w:r>
          </w:p>
        </w:tc>
      </w:tr>
      <w:tr>
        <w:tc>
          <w:tcPr>
            <w:tcW w:w="970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Lori Browning</w:t>
            </w:r>
          </w:p>
        </w:tc>
        <w:tc>
          <w:tcPr>
            <w:tcW w:w="346" w:type="dxa"/>
            <w:tcBorders/>
            <w:vAlign w:val="center"/>
          </w:tcPr>
          <w:p>
            <w:pPr>
              <w:pStyle w:val="TableContents"/>
              <w:bidi w:val="0"/>
              <w:spacing w:before="0" w:after="0"/>
              <w:ind w:left="0" w:right="0" w:hanging="0"/>
              <w:jc w:val="left"/>
            </w:pPr>
            <w:r>
              <w:t>​</w:t>
            </w:r>
          </w:p>
        </w:tc>
        <w:tc>
          <w:tcPr>
            <w:tcW w:w="154" w:type="dxa"/>
            <w:tcBorders/>
            <w:vAlign w:val="center"/>
          </w:tcPr>
          <w:p>
            <w:pPr>
              <w:pStyle w:val="TableContents"/>
              <w:bidi w:val="0"/>
              <w:spacing w:before="0" w:after="0"/>
              <w:ind w:left="0" w:right="0" w:hanging="0"/>
              <w:jc w:val="left"/>
            </w:pPr>
            <w:r>
              <w:t>​</w:t>
            </w:r>
          </w:p>
        </w:tc>
      </w:tr>
      <w:tr>
        <w:tc>
          <w:tcPr>
            <w:tcW w:w="97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Financial Officer and Senior Vice President &amp; Controller – Chief Accounting Officer (Interim Principal Financial Officer and Principal Accounting Officer)</w:t>
            </w:r>
          </w:p>
        </w:tc>
        <w:tc>
          <w:tcPr>
            <w:tcW w:w="346" w:type="dxa"/>
            <w:tcBorders/>
            <w:vAlign w:val="center"/>
          </w:tcPr>
          <w:p>
            <w:pPr>
              <w:pStyle w:val="TableContents"/>
              <w:bidi w:val="0"/>
              <w:spacing w:before="0" w:after="0"/>
              <w:ind w:left="0" w:right="0" w:hanging="0"/>
              <w:jc w:val="left"/>
            </w:pPr>
            <w:r>
              <w:t>​</w:t>
            </w:r>
          </w:p>
        </w:tc>
        <w:tc>
          <w:tcPr>
            <w:tcW w:w="154" w:type="dxa"/>
            <w:tcBorders/>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34588/000155837019000782/lope-20181231ex31395dfc9.htm" TargetMode="External"/><Relationship Id="rId3" Type="http://schemas.openxmlformats.org/officeDocument/2006/relationships/hyperlink" Target="http://www.sec.gov/Archives/edgar/data/1434588/000119312514387149/d812440dex31.htm" TargetMode="External"/><Relationship Id="rId4" Type="http://schemas.openxmlformats.org/officeDocument/2006/relationships/hyperlink" Target="http://www.sec.gov/Archives/edgar/data/1434588/000095015308001671/p75463a2exv4w1.htm" TargetMode="External"/><Relationship Id="rId5" Type="http://schemas.openxmlformats.org/officeDocument/2006/relationships/hyperlink" Target="https://www.sec.gov/Archives/edgar/data/1434588/000110465926088674/lope-20260630xex10d2.htm" TargetMode="External"/><Relationship Id="rId6" Type="http://schemas.openxmlformats.org/officeDocument/2006/relationships/hyperlink" Target="https://www.sec.gov/Archives/edgar/data/1434588/000110465926112835/lope-ex10d1.htm" TargetMode="External"/><Relationship Id="rId7" Type="http://schemas.openxmlformats.org/officeDocument/2006/relationships/hyperlink" Target="https://www.sec.gov/Archives/edgar/data/1434588/000110465926112835/lope-ex10d1.htm" TargetMode="External"/><Relationship Id="rId8" Type="http://schemas.openxmlformats.org/officeDocument/2006/relationships/hyperlink" Target="https://www.sec.gov/Archives/edgar/data/1434588/000110465926112835/lope-ex10d1.htm" TargetMode="External"/><Relationship Id="rId9" Type="http://schemas.openxmlformats.org/officeDocument/2006/relationships/hyperlink" Target="https://www.sec.gov/Archives/edgar/data/1434588/000110465926112835/lope-ex10d2.htm" TargetMode="External"/><Relationship Id="rId10" Type="http://schemas.openxmlformats.org/officeDocument/2006/relationships/hyperlink" Target="https://www.sec.gov/Archives/edgar/data/1434588/000110465926112835/lope-ex10d2.htm" TargetMode="External"/><Relationship Id="rId11" Type="http://schemas.openxmlformats.org/officeDocument/2006/relationships/hyperlink" Target="https://www.sec.gov/Archives/edgar/data/1434588/000110465926112835/lope-ex10d2.htm" TargetMode="External"/><Relationship Id="rId12" Type="http://schemas.openxmlformats.org/officeDocument/2006/relationships/hyperlink" Target="https://www.sec.gov/Archives/edgar/data/1434588/000110465926112835/lope-ex10d3.htm" TargetMode="External"/><Relationship Id="rId13" Type="http://schemas.openxmlformats.org/officeDocument/2006/relationships/hyperlink" Target="https://www.sec.gov/Archives/edgar/data/1434588/000110465926112835/lope-ex10d4.htm" TargetMode="External"/><Relationship Id="rId14" Type="http://schemas.openxmlformats.org/officeDocument/2006/relationships/image" Target="media/image1.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24790</Words>
  <Characters>138545</Characters>
  <CharactersWithSpaces>164311</CharactersWithSpaces>
  <Paragraphs>3908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