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SCHEDULE 14A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00" w:hanging="456"/>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7" w:lineRule="exact"/>
        <w:rPr>
          <w:rFonts w:ascii="MS PGothic" w:cs="MS PGothic" w:eastAsia="MS PGothic" w:hAnsi="MS PGothic"/>
          <w:sz w:val="18"/>
          <w:szCs w:val="18"/>
          <w:color w:val="auto"/>
        </w:rPr>
      </w:pPr>
    </w:p>
    <w:p>
      <w:pPr>
        <w:ind w:left="500" w:hanging="456"/>
        <w:spacing w:after="0" w:line="207" w:lineRule="exact"/>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22" w:lineRule="exact"/>
        <w:rPr>
          <w:rFonts w:ascii="MS PGothic" w:cs="MS PGothic" w:eastAsia="MS PGothic" w:hAnsi="MS PGothic"/>
          <w:sz w:val="18"/>
          <w:szCs w:val="18"/>
          <w:color w:val="auto"/>
        </w:rPr>
      </w:pPr>
    </w:p>
    <w:p>
      <w:pPr>
        <w:ind w:left="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500" w:hanging="456"/>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00" w:hanging="456"/>
        <w:spacing w:after="0" w:line="207" w:lineRule="exact"/>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85"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28"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00" w:hanging="456"/>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5" w:lineRule="exact"/>
        <w:rPr>
          <w:sz w:val="24"/>
          <w:szCs w:val="24"/>
          <w:color w:val="auto"/>
        </w:rPr>
      </w:pPr>
    </w:p>
    <w:p>
      <w:pPr>
        <w:ind w:left="500" w:hanging="456"/>
        <w:spacing w:after="0" w:line="207" w:lineRule="exact"/>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44" w:lineRule="exact"/>
        <w:rPr>
          <w:rFonts w:ascii="MS PGothic" w:cs="MS PGothic" w:eastAsia="MS PGothic" w:hAnsi="MS PGothic"/>
          <w:sz w:val="18"/>
          <w:szCs w:val="18"/>
          <w:color w:val="auto"/>
        </w:rPr>
      </w:pPr>
    </w:p>
    <w:p>
      <w:pPr>
        <w:ind w:left="920" w:hanging="417"/>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20" w:hanging="417"/>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20" w:right="119" w:hanging="417"/>
        <w:spacing w:after="0" w:line="223" w:lineRule="exact"/>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135" w:lineRule="exact"/>
        <w:rPr>
          <w:rFonts w:ascii="Arial" w:cs="Arial" w:eastAsia="Arial" w:hAnsi="Arial"/>
          <w:sz w:val="18"/>
          <w:szCs w:val="18"/>
          <w:color w:val="auto"/>
        </w:rPr>
      </w:pPr>
    </w:p>
    <w:p>
      <w:pPr>
        <w:ind w:left="920" w:hanging="417"/>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20" w:hanging="417"/>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500" w:hanging="456"/>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144" w:lineRule="exact"/>
        <w:rPr>
          <w:rFonts w:ascii="MS PGothic" w:cs="MS PGothic" w:eastAsia="MS PGothic" w:hAnsi="MS PGothic"/>
          <w:sz w:val="18"/>
          <w:szCs w:val="18"/>
          <w:color w:val="auto"/>
        </w:rPr>
      </w:pPr>
    </w:p>
    <w:p>
      <w:pPr>
        <w:jc w:val="both"/>
        <w:ind w:left="500" w:right="399" w:hanging="456"/>
        <w:spacing w:after="0" w:line="220" w:lineRule="exact"/>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8"/>
          <w:szCs w:val="18"/>
          <w:color w:val="auto"/>
        </w:rPr>
      </w:pPr>
    </w:p>
    <w:p>
      <w:pPr>
        <w:ind w:left="900" w:hanging="39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3" w:lineRule="exact"/>
        <w:rPr>
          <w:rFonts w:ascii="Arial" w:cs="Arial" w:eastAsia="Arial" w:hAnsi="Arial"/>
          <w:sz w:val="18"/>
          <w:szCs w:val="18"/>
          <w:color w:val="auto"/>
        </w:rPr>
      </w:pPr>
    </w:p>
    <w:p>
      <w:pPr>
        <w:ind w:left="900" w:hanging="39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900" w:hanging="39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900" w:hanging="39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100330</wp:posOffset>
            </wp:positionV>
            <wp:extent cx="5117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-130175</wp:posOffset>
            </wp:positionV>
            <wp:extent cx="5117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1746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-361950</wp:posOffset>
            </wp:positionV>
            <wp:extent cx="511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1746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-593090</wp:posOffset>
            </wp:positionV>
            <wp:extent cx="511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1746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-1544955</wp:posOffset>
            </wp:positionV>
            <wp:extent cx="5100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003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-1776095</wp:posOffset>
            </wp:positionV>
            <wp:extent cx="5100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00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-2007870</wp:posOffset>
            </wp:positionV>
            <wp:extent cx="5100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00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-2376170</wp:posOffset>
            </wp:positionV>
            <wp:extent cx="5100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003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-2607945</wp:posOffset>
            </wp:positionV>
            <wp:extent cx="5100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0032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246380</wp:posOffset>
            </wp:positionV>
            <wp:extent cx="5657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597535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546090" cy="840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609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2600 W. Camelback Road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(602) 247</w:t>
      </w:r>
      <w:r>
        <w:rPr>
          <w:rFonts w:ascii="MS PGothic" w:cs="MS PGothic" w:eastAsia="MS PGothic" w:hAnsi="MS PGothic"/>
          <w:sz w:val="18"/>
          <w:szCs w:val="18"/>
          <w:color w:val="auto"/>
        </w:rPr>
        <w:t>‑</w:t>
      </w:r>
      <w:r>
        <w:rPr>
          <w:rFonts w:ascii="Arial" w:cs="Arial" w:eastAsia="Arial" w:hAnsi="Arial"/>
          <w:sz w:val="18"/>
          <w:szCs w:val="18"/>
          <w:color w:val="auto"/>
        </w:rPr>
        <w:t>4400</w:t>
      </w:r>
    </w:p>
    <w:p>
      <w:pPr>
        <w:spacing w:after="0" w:line="10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April 24, 2020</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40" w:right="199" w:firstLine="648"/>
        <w:spacing w:after="0" w:line="286" w:lineRule="auto"/>
        <w:rPr>
          <w:sz w:val="20"/>
          <w:szCs w:val="20"/>
          <w:color w:val="auto"/>
        </w:rPr>
      </w:pPr>
      <w:r>
        <w:rPr>
          <w:rFonts w:ascii="Arial" w:cs="Arial" w:eastAsia="Arial" w:hAnsi="Arial"/>
          <w:sz w:val="17"/>
          <w:szCs w:val="17"/>
          <w:color w:val="auto"/>
        </w:rPr>
        <w:t>You are cordially invited to attend the 2020 Annual Meeting of Stockholders (the “Annual Meeting”) of Grand Canyon Education, Inc. (the “Company” or “GCE”) to be held at the offices of GCE located at 2600 W. Camelback Road, Phoenix, Arizona 85017, commencing at 9:00 a.m., Arizona time, on Thursday, June 11, 2020.</w:t>
      </w:r>
    </w:p>
    <w:p>
      <w:pPr>
        <w:spacing w:after="0" w:line="57"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April 17, 2020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8"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hope that you will be able to attend the Annual Meeting in person and we look forward to seeing you.</w:t>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i w:val="1"/>
          <w:iCs w:val="1"/>
          <w:color w:val="auto"/>
        </w:rPr>
        <w:t>This proxy statement is dated April 24, 2020, and is first being sent or made available to stockholders on or about 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323215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74295</wp:posOffset>
            </wp:positionV>
            <wp:extent cx="28289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Thursday, June 11, 2020, at 9:00 a.m., Arizona time</w:t>
      </w:r>
    </w:p>
    <w:p>
      <w:pPr>
        <w:spacing w:after="0" w:line="225" w:lineRule="exact"/>
        <w:rPr>
          <w:sz w:val="20"/>
          <w:szCs w:val="20"/>
          <w:color w:val="auto"/>
        </w:rPr>
      </w:pPr>
    </w:p>
    <w:p>
      <w:pPr>
        <w:ind w:left="40"/>
        <w:spacing w:after="0"/>
        <w:tabs>
          <w:tab w:leader="none" w:pos="174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Grand Canyon Education, Inc. at 2600 W. Camelback Road, Phoenix, Arizona 85017.</w:t>
      </w:r>
    </w:p>
    <w:p>
      <w:pPr>
        <w:spacing w:after="0" w:line="225" w:lineRule="exact"/>
        <w:rPr>
          <w:sz w:val="20"/>
          <w:szCs w:val="20"/>
          <w:color w:val="auto"/>
        </w:rPr>
      </w:pPr>
    </w:p>
    <w:p>
      <w:pPr>
        <w:ind w:left="1760" w:right="239" w:hanging="1700"/>
        <w:spacing w:after="0" w:line="263" w:lineRule="auto"/>
        <w:tabs>
          <w:tab w:leader="none" w:pos="17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At the Annual Meeting, holders of our common stock will be asked to consider and vote upon the following proposals, all of which are discussed in greater detail in the accompanying proxy statement:</w:t>
      </w:r>
    </w:p>
    <w:p>
      <w:pPr>
        <w:spacing w:after="0" w:line="188" w:lineRule="exact"/>
        <w:rPr>
          <w:sz w:val="20"/>
          <w:szCs w:val="20"/>
          <w:color w:val="auto"/>
        </w:rPr>
      </w:pPr>
    </w:p>
    <w:p>
      <w:pPr>
        <w:ind w:left="2260" w:right="59" w:hanging="316"/>
        <w:spacing w:after="0" w:line="255"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 Board of Directors of five directors, each to serve until the 2021 annual meeting of stockholders or until his or her successor has been duly elected and qualified or until his or her earlier resignation or removal;</w:t>
      </w:r>
    </w:p>
    <w:p>
      <w:pPr>
        <w:spacing w:after="0" w:line="2" w:lineRule="exact"/>
        <w:rPr>
          <w:rFonts w:ascii="Arial" w:cs="Arial" w:eastAsia="Arial" w:hAnsi="Arial"/>
          <w:sz w:val="18"/>
          <w:szCs w:val="18"/>
          <w:color w:val="auto"/>
        </w:rPr>
      </w:pPr>
    </w:p>
    <w:p>
      <w:pPr>
        <w:ind w:left="2260" w:right="519" w:hanging="316"/>
        <w:spacing w:after="0" w:line="250"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ind w:left="2260" w:right="319" w:hanging="316"/>
        <w:spacing w:after="0" w:line="250"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2020; and</w:t>
      </w:r>
    </w:p>
    <w:p>
      <w:pPr>
        <w:ind w:left="2260" w:right="619" w:hanging="316"/>
        <w:spacing w:after="0" w:line="260"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adjournments or postponements thereof.</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5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6"/>
              </w:rPr>
              <w:t>Only stockholders of record at the close of business on April 17, 2020, the record date for the</w:t>
            </w:r>
          </w:p>
        </w:tc>
      </w:tr>
      <w:tr>
        <w:trPr>
          <w:trHeight w:val="216"/>
        </w:trPr>
        <w:tc>
          <w:tcPr>
            <w:tcW w:w="154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rPr>
              <w:t>Annual Meeting, will be entitled to notice of and to vote at the Annual Meeting and any</w:t>
            </w:r>
          </w:p>
        </w:tc>
      </w:tr>
      <w:tr>
        <w:trPr>
          <w:trHeight w:val="230"/>
        </w:trPr>
        <w:tc>
          <w:tcPr>
            <w:tcW w:w="1540" w:type="dxa"/>
            <w:vAlign w:val="bottom"/>
          </w:tcPr>
          <w:p>
            <w:pPr>
              <w:spacing w:after="0"/>
              <w:rPr>
                <w:sz w:val="20"/>
                <w:szCs w:val="20"/>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rPr>
              <w:t>adjournments or postponements thereof.</w:t>
            </w:r>
          </w:p>
        </w:tc>
      </w:tr>
      <w:tr>
        <w:trPr>
          <w:trHeight w:val="414"/>
        </w:trPr>
        <w:tc>
          <w:tcPr>
            <w:tcW w:w="1540" w:type="dxa"/>
            <w:vAlign w:val="bottom"/>
          </w:tcPr>
          <w:p>
            <w:pPr>
              <w:spacing w:after="0"/>
              <w:rPr>
                <w:sz w:val="20"/>
                <w:szCs w:val="20"/>
                <w:color w:val="auto"/>
              </w:rPr>
            </w:pPr>
            <w:r>
              <w:rPr>
                <w:rFonts w:ascii="Arial" w:cs="Arial" w:eastAsia="Arial" w:hAnsi="Arial"/>
                <w:sz w:val="18"/>
                <w:szCs w:val="18"/>
                <w:b w:val="1"/>
                <w:bCs w:val="1"/>
                <w:color w:val="auto"/>
              </w:rPr>
              <w:t>Delivery of Proxy</w:t>
            </w: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3"/>
              </w:rPr>
              <w:t>Beginning on April 29, 2020, we began mailing a Notice of Internet Availability of Proxy Materials</w:t>
            </w:r>
          </w:p>
        </w:tc>
      </w:tr>
      <w:tr>
        <w:trPr>
          <w:trHeight w:val="220"/>
        </w:trPr>
        <w:tc>
          <w:tcPr>
            <w:tcW w:w="1540" w:type="dxa"/>
            <w:vAlign w:val="bottom"/>
          </w:tcPr>
          <w:p>
            <w:pPr>
              <w:spacing w:after="0"/>
              <w:rPr>
                <w:sz w:val="20"/>
                <w:szCs w:val="20"/>
                <w:color w:val="auto"/>
              </w:rPr>
            </w:pPr>
            <w:r>
              <w:rPr>
                <w:rFonts w:ascii="Arial" w:cs="Arial" w:eastAsia="Arial" w:hAnsi="Arial"/>
                <w:sz w:val="18"/>
                <w:szCs w:val="18"/>
                <w:b w:val="1"/>
                <w:bCs w:val="1"/>
                <w:color w:val="auto"/>
              </w:rPr>
              <w:t>Materials:</w:t>
            </w: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8"/>
              </w:rPr>
              <w:t>to our stockholders rather than a full paper set of the proxy materials. The Notice of Internet</w:t>
            </w:r>
          </w:p>
        </w:tc>
      </w:tr>
      <w:tr>
        <w:trPr>
          <w:trHeight w:val="216"/>
        </w:trPr>
        <w:tc>
          <w:tcPr>
            <w:tcW w:w="154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2"/>
              </w:rPr>
              <w:t>Availability of Proxy Materials contains instructions on how to access our proxy materials over the</w:t>
            </w:r>
          </w:p>
        </w:tc>
      </w:tr>
      <w:tr>
        <w:trPr>
          <w:trHeight w:val="216"/>
        </w:trPr>
        <w:tc>
          <w:tcPr>
            <w:tcW w:w="154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rPr>
              <w:t>Internet, as well as instructions on how stockholders may obtain a paper copy of our proxy</w:t>
            </w:r>
          </w:p>
        </w:tc>
      </w:tr>
      <w:tr>
        <w:trPr>
          <w:trHeight w:val="230"/>
        </w:trPr>
        <w:tc>
          <w:tcPr>
            <w:tcW w:w="1540" w:type="dxa"/>
            <w:vAlign w:val="bottom"/>
          </w:tcPr>
          <w:p>
            <w:pPr>
              <w:spacing w:after="0"/>
              <w:rPr>
                <w:sz w:val="20"/>
                <w:szCs w:val="20"/>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rPr>
              <w:t>materials.</w:t>
            </w:r>
          </w:p>
        </w:tc>
      </w:tr>
      <w:tr>
        <w:trPr>
          <w:trHeight w:val="414"/>
        </w:trPr>
        <w:tc>
          <w:tcPr>
            <w:tcW w:w="1540" w:type="dxa"/>
            <w:vAlign w:val="bottom"/>
          </w:tcPr>
          <w:p>
            <w:pPr>
              <w:spacing w:after="0"/>
              <w:rPr>
                <w:sz w:val="20"/>
                <w:szCs w:val="20"/>
                <w:color w:val="auto"/>
              </w:rPr>
            </w:pPr>
            <w:r>
              <w:rPr>
                <w:rFonts w:ascii="Arial" w:cs="Arial" w:eastAsia="Arial" w:hAnsi="Arial"/>
                <w:sz w:val="18"/>
                <w:szCs w:val="18"/>
                <w:b w:val="1"/>
                <w:bCs w:val="1"/>
                <w:color w:val="auto"/>
              </w:rPr>
              <w:t>Internet</w:t>
            </w:r>
          </w:p>
        </w:tc>
        <w:tc>
          <w:tcPr>
            <w:tcW w:w="738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Important Notice Regarding the Availability of Proxy Materials for the Annual Meeting of</w:t>
            </w: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Availability of</w:t>
            </w:r>
          </w:p>
        </w:tc>
        <w:tc>
          <w:tcPr>
            <w:tcW w:w="738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Stockholders to be Held on June 11, 2020</w:t>
            </w:r>
            <w:r>
              <w:rPr>
                <w:rFonts w:ascii="Arial" w:cs="Arial" w:eastAsia="Arial" w:hAnsi="Arial"/>
                <w:sz w:val="18"/>
                <w:szCs w:val="18"/>
                <w:color w:val="auto"/>
                <w:w w:val="91"/>
              </w:rPr>
              <w:t>. Our Proxy Statement is attached. Financial and other</w:t>
            </w:r>
          </w:p>
        </w:tc>
      </w:tr>
      <w:tr>
        <w:trPr>
          <w:trHeight w:val="220"/>
        </w:trPr>
        <w:tc>
          <w:tcPr>
            <w:tcW w:w="1540" w:type="dxa"/>
            <w:vAlign w:val="bottom"/>
          </w:tcPr>
          <w:p>
            <w:pPr>
              <w:spacing w:after="0"/>
              <w:rPr>
                <w:sz w:val="20"/>
                <w:szCs w:val="20"/>
                <w:color w:val="auto"/>
              </w:rPr>
            </w:pPr>
            <w:r>
              <w:rPr>
                <w:rFonts w:ascii="Arial" w:cs="Arial" w:eastAsia="Arial" w:hAnsi="Arial"/>
                <w:sz w:val="18"/>
                <w:szCs w:val="18"/>
                <w:b w:val="1"/>
                <w:bCs w:val="1"/>
                <w:color w:val="auto"/>
              </w:rPr>
              <w:t>Proxy Materials:</w:t>
            </w: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9"/>
              </w:rPr>
              <w:t>information concerning Grand Canyon Education, Inc. is contained in our Annual Report to</w:t>
            </w:r>
          </w:p>
        </w:tc>
      </w:tr>
      <w:tr>
        <w:trPr>
          <w:trHeight w:val="216"/>
        </w:trPr>
        <w:tc>
          <w:tcPr>
            <w:tcW w:w="154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6"/>
              </w:rPr>
              <w:t>Stockholders for the fiscal year ended December 31, 2019. A complete set of proxy materials</w:t>
            </w:r>
          </w:p>
        </w:tc>
      </w:tr>
      <w:tr>
        <w:trPr>
          <w:trHeight w:val="216"/>
        </w:trPr>
        <w:tc>
          <w:tcPr>
            <w:tcW w:w="154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7"/>
              </w:rPr>
              <w:t>relating to our Annual Meeting is available on the Internet. These materials, consisting of the</w:t>
            </w:r>
          </w:p>
        </w:tc>
      </w:tr>
      <w:tr>
        <w:trPr>
          <w:trHeight w:val="216"/>
        </w:trPr>
        <w:tc>
          <w:tcPr>
            <w:tcW w:w="154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3"/>
              </w:rPr>
              <w:t>Notice of Annual Meeting, Proxy Statement, Proxy Card and Annual Report to Stockholders, are</w:t>
            </w:r>
          </w:p>
        </w:tc>
      </w:tr>
      <w:tr>
        <w:trPr>
          <w:trHeight w:val="230"/>
        </w:trPr>
        <w:tc>
          <w:tcPr>
            <w:tcW w:w="1540" w:type="dxa"/>
            <w:vAlign w:val="bottom"/>
          </w:tcPr>
          <w:p>
            <w:pPr>
              <w:spacing w:after="0"/>
              <w:rPr>
                <w:sz w:val="20"/>
                <w:szCs w:val="20"/>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rPr>
              <w:t xml:space="preserve">available and may be viewed at </w:t>
            </w:r>
            <w:r>
              <w:rPr>
                <w:rFonts w:ascii="Arial" w:cs="Arial" w:eastAsia="Arial" w:hAnsi="Arial"/>
                <w:sz w:val="18"/>
                <w:szCs w:val="18"/>
                <w:i w:val="1"/>
                <w:iCs w:val="1"/>
                <w:color w:val="auto"/>
              </w:rPr>
              <w:t>www.edocumentview.com/LOPE</w:t>
            </w:r>
            <w:r>
              <w:rPr>
                <w:rFonts w:ascii="Arial" w:cs="Arial" w:eastAsia="Arial" w:hAnsi="Arial"/>
                <w:sz w:val="18"/>
                <w:szCs w:val="18"/>
                <w:color w:val="auto"/>
              </w:rPr>
              <w:t>.</w:t>
            </w:r>
          </w:p>
        </w:tc>
      </w:tr>
      <w:tr>
        <w:trPr>
          <w:trHeight w:val="418"/>
        </w:trPr>
        <w:tc>
          <w:tcPr>
            <w:tcW w:w="154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3"/>
              </w:rPr>
              <w:t>To make it easier for you to vote, Internet and telephone voting are available. The instructions on</w:t>
            </w:r>
          </w:p>
        </w:tc>
      </w:tr>
      <w:tr>
        <w:trPr>
          <w:trHeight w:val="216"/>
        </w:trPr>
        <w:tc>
          <w:tcPr>
            <w:tcW w:w="1540" w:type="dxa"/>
            <w:vAlign w:val="bottom"/>
          </w:tcPr>
          <w:p>
            <w:pPr>
              <w:spacing w:after="0"/>
              <w:rPr>
                <w:sz w:val="18"/>
                <w:szCs w:val="18"/>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w w:val="94"/>
              </w:rPr>
              <w:t>the Notice of Internet Availability of Proxy Materials or, if you received a paper copy of the proxy</w:t>
            </w:r>
          </w:p>
        </w:tc>
      </w:tr>
      <w:tr>
        <w:trPr>
          <w:trHeight w:val="230"/>
        </w:trPr>
        <w:tc>
          <w:tcPr>
            <w:tcW w:w="1540" w:type="dxa"/>
            <w:vAlign w:val="bottom"/>
          </w:tcPr>
          <w:p>
            <w:pPr>
              <w:spacing w:after="0"/>
              <w:rPr>
                <w:sz w:val="20"/>
                <w:szCs w:val="20"/>
                <w:color w:val="auto"/>
              </w:rPr>
            </w:pPr>
          </w:p>
        </w:tc>
        <w:tc>
          <w:tcPr>
            <w:tcW w:w="7380" w:type="dxa"/>
            <w:vAlign w:val="bottom"/>
            <w:gridSpan w:val="2"/>
          </w:tcPr>
          <w:p>
            <w:pPr>
              <w:ind w:left="180"/>
              <w:spacing w:after="0"/>
              <w:rPr>
                <w:sz w:val="20"/>
                <w:szCs w:val="20"/>
                <w:color w:val="auto"/>
              </w:rPr>
            </w:pPr>
            <w:r>
              <w:rPr>
                <w:rFonts w:ascii="Arial" w:cs="Arial" w:eastAsia="Arial" w:hAnsi="Arial"/>
                <w:sz w:val="18"/>
                <w:szCs w:val="18"/>
                <w:color w:val="auto"/>
              </w:rPr>
              <w:t>materials, the proxy card describe how to use these convenient services.</w:t>
            </w:r>
          </w:p>
        </w:tc>
      </w:tr>
      <w:tr>
        <w:trPr>
          <w:trHeight w:val="446"/>
        </w:trPr>
        <w:tc>
          <w:tcPr>
            <w:tcW w:w="1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45"/>
        </w:trPr>
        <w:tc>
          <w:tcPr>
            <w:tcW w:w="1540" w:type="dxa"/>
            <w:vAlign w:val="bottom"/>
          </w:tcPr>
          <w:p>
            <w:pPr>
              <w:spacing w:after="0"/>
              <w:rPr>
                <w:sz w:val="20"/>
                <w:szCs w:val="20"/>
                <w:color w:val="auto"/>
              </w:rPr>
            </w:pPr>
            <w:r>
              <w:rPr>
                <w:rFonts w:ascii="Arial" w:cs="Arial" w:eastAsia="Arial" w:hAnsi="Arial"/>
                <w:sz w:val="18"/>
                <w:szCs w:val="18"/>
                <w:color w:val="auto"/>
              </w:rPr>
              <w:t>Phoenix, Arizona</w:t>
            </w:r>
          </w:p>
        </w:tc>
        <w:tc>
          <w:tcPr>
            <w:tcW w:w="2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1540" w:type="dxa"/>
            <w:vAlign w:val="bottom"/>
          </w:tcPr>
          <w:p>
            <w:pPr>
              <w:ind w:left="200"/>
              <w:spacing w:after="0" w:line="195" w:lineRule="exact"/>
              <w:rPr>
                <w:sz w:val="20"/>
                <w:szCs w:val="20"/>
                <w:color w:val="auto"/>
              </w:rPr>
            </w:pPr>
            <w:r>
              <w:rPr>
                <w:rFonts w:ascii="Arial" w:cs="Arial" w:eastAsia="Arial" w:hAnsi="Arial"/>
                <w:sz w:val="18"/>
                <w:szCs w:val="18"/>
                <w:color w:val="auto"/>
              </w:rPr>
              <w:t>April 24, 2020</w:t>
            </w:r>
          </w:p>
        </w:tc>
        <w:tc>
          <w:tcPr>
            <w:tcW w:w="292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1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790"/>
        </w:trPr>
        <w:tc>
          <w:tcPr>
            <w:tcW w:w="15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380" w:type="dxa"/>
            <w:vAlign w:val="bottom"/>
            <w:gridSpan w:val="2"/>
          </w:tcPr>
          <w:p>
            <w:pPr>
              <w:spacing w:after="0"/>
              <w:rPr>
                <w:sz w:val="20"/>
                <w:szCs w:val="20"/>
                <w:color w:val="auto"/>
              </w:rPr>
            </w:pPr>
            <w:r>
              <w:rPr>
                <w:rFonts w:ascii="Arial" w:cs="Arial" w:eastAsia="Arial" w:hAnsi="Arial"/>
                <w:sz w:val="18"/>
                <w:szCs w:val="18"/>
                <w:color w:val="0563C1"/>
              </w:rPr>
              <w:t>Table of Contents</w:t>
            </w:r>
          </w:p>
        </w:tc>
        <w:tc>
          <w:tcPr>
            <w:tcW w:w="540" w:type="dxa"/>
            <w:vAlign w:val="bottom"/>
          </w:tcPr>
          <w:p>
            <w:pPr>
              <w:spacing w:after="0"/>
              <w:rPr>
                <w:sz w:val="17"/>
                <w:szCs w:val="17"/>
                <w:color w:val="auto"/>
              </w:rPr>
            </w:pPr>
          </w:p>
        </w:tc>
      </w:tr>
      <w:tr>
        <w:trPr>
          <w:trHeight w:val="20"/>
        </w:trPr>
        <w:tc>
          <w:tcPr>
            <w:tcW w:w="1280" w:type="dxa"/>
            <w:vAlign w:val="bottom"/>
            <w:shd w:val="clear" w:color="auto" w:fill="0563C1"/>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831"/>
        </w:trPr>
        <w:tc>
          <w:tcPr>
            <w:tcW w:w="8380" w:type="dxa"/>
            <w:vAlign w:val="bottom"/>
            <w:gridSpan w:val="2"/>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GENERAL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04"/>
        </w:trPr>
        <w:tc>
          <w:tcPr>
            <w:tcW w:w="8380" w:type="dxa"/>
            <w:vAlign w:val="bottom"/>
            <w:gridSpan w:val="2"/>
          </w:tcPr>
          <w:p>
            <w:pPr>
              <w:ind w:left="5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Notice of Internet Availability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Record Date and Quorum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Submission of Proxies; Revocation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Deadlines for Stockholder Proposals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Quorum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Vote Required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Adjournment or Postponement of Meeting</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380" w:type="dxa"/>
            <w:vAlign w:val="bottom"/>
            <w:gridSpan w:val="2"/>
          </w:tcPr>
          <w:p>
            <w:pPr>
              <w:ind w:left="5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Expenses of Soliciting Proxies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8380" w:type="dxa"/>
            <w:vAlign w:val="bottom"/>
            <w:gridSpan w:val="2"/>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GOVERNANCE AND BOARD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04"/>
        </w:trPr>
        <w:tc>
          <w:tcPr>
            <w:tcW w:w="8380" w:type="dxa"/>
            <w:vAlign w:val="bottom"/>
            <w:gridSpan w:val="2"/>
          </w:tcPr>
          <w:p>
            <w:pPr>
              <w:ind w:left="5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Corporate Governance Philosophy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Changes to the Board of Directors During 2019</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Board of Directors Meetings and Attendance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Director Independence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Board Leadership Structure</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Committees of Our Board of Directors During 2019</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Changes in Committee Composition in 2019</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Code of Conduct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Oversight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Director Nomination Process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Annual Elections of Directors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Policy on Majority Voting</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Compensation Committee Interlocks and Insider Participation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Stockholder Communications with the Board of Directors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Stock Ownership Policy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Anti-Hedging and Anti-Pledging Policy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of Directors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380" w:type="dxa"/>
            <w:vAlign w:val="bottom"/>
            <w:gridSpan w:val="2"/>
          </w:tcPr>
          <w:p>
            <w:pPr>
              <w:ind w:left="5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2019 Director Compensation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838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PROPOSAL NO. 1 ELECTION OF DIRECTORS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04"/>
        </w:trPr>
        <w:tc>
          <w:tcPr>
            <w:tcW w:w="8380" w:type="dxa"/>
            <w:vAlign w:val="bottom"/>
            <w:gridSpan w:val="2"/>
          </w:tcPr>
          <w:p>
            <w:pPr>
              <w:ind w:left="5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Composition of our Board of Directors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380" w:type="dxa"/>
            <w:vAlign w:val="bottom"/>
            <w:gridSpan w:val="2"/>
          </w:tcPr>
          <w:p>
            <w:pPr>
              <w:ind w:left="5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Directors and Director Nominees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8380" w:type="dxa"/>
            <w:vAlign w:val="bottom"/>
            <w:gridSpan w:val="2"/>
          </w:tcPr>
          <w:p>
            <w:pPr>
              <w:spacing w:after="0"/>
              <w:rPr>
                <w:rFonts w:ascii="Arial" w:cs="Arial" w:eastAsia="Arial" w:hAnsi="Arial"/>
                <w:sz w:val="18"/>
                <w:szCs w:val="18"/>
                <w:u w:val="single" w:color="auto"/>
                <w:color w:val="0000EE"/>
                <w:w w:val="99"/>
              </w:rPr>
            </w:pPr>
            <w:hyperlink w:anchor="page28">
              <w:r>
                <w:rPr>
                  <w:rFonts w:ascii="Arial" w:cs="Arial" w:eastAsia="Arial" w:hAnsi="Arial"/>
                  <w:sz w:val="18"/>
                  <w:szCs w:val="18"/>
                  <w:u w:val="single" w:color="auto"/>
                  <w:color w:val="0000EE"/>
                  <w:w w:val="99"/>
                </w:rPr>
                <w:t>PROPOSAL NO. 2 ADVISORY VOTE TO APPROVE NAMED EXECUTIVE OFFICER COMPENSATION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9"/>
        </w:trPr>
        <w:tc>
          <w:tcPr>
            <w:tcW w:w="838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EXECUTIVE OFFICERS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83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COMPENSATION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04"/>
        </w:trPr>
        <w:tc>
          <w:tcPr>
            <w:tcW w:w="8380" w:type="dxa"/>
            <w:vAlign w:val="bottom"/>
            <w:gridSpan w:val="2"/>
          </w:tcPr>
          <w:p>
            <w:pPr>
              <w:ind w:left="5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Compensation Discussion and Analysis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Clawback Policy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Compensation of Named Executive Officers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Executive Employment Agreements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380" w:type="dxa"/>
            <w:vAlign w:val="bottom"/>
            <w:gridSpan w:val="2"/>
          </w:tcPr>
          <w:p>
            <w:pPr>
              <w:ind w:left="5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Potential Payments upon Termination or Change in Control</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380" w:type="dxa"/>
            <w:vAlign w:val="bottom"/>
            <w:gridSpan w:val="2"/>
          </w:tcPr>
          <w:p>
            <w:pPr>
              <w:ind w:left="5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Compensation Committee Report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8380" w:type="dxa"/>
            <w:vAlign w:val="bottom"/>
            <w:gridSpan w:val="2"/>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PROPOSAL NO. 3 RATIFICATION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04"/>
        </w:trPr>
        <w:tc>
          <w:tcPr>
            <w:tcW w:w="8380" w:type="dxa"/>
            <w:vAlign w:val="bottom"/>
            <w:gridSpan w:val="2"/>
          </w:tcPr>
          <w:p>
            <w:pPr>
              <w:ind w:left="5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Fees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380" w:type="dxa"/>
            <w:vAlign w:val="bottom"/>
            <w:gridSpan w:val="2"/>
          </w:tcPr>
          <w:p>
            <w:pPr>
              <w:ind w:left="5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Approval of Independent Registered Public Accounting firm Services and Fees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574"/>
        </w:trPr>
        <w:tc>
          <w:tcPr>
            <w:tcW w:w="12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6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AUDIT COMMITTEE REPORT</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060" w:type="dxa"/>
            <w:vAlign w:val="bottom"/>
          </w:tcPr>
          <w:p>
            <w:pPr>
              <w:ind w:left="520"/>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Primary Responsibilities of the Audit Committee and the Audit Committee’s Activities in 201</w:t>
              </w:r>
            </w:hyperlink>
            <w:r>
              <w:rPr>
                <w:rFonts w:ascii="Arial" w:cs="Arial" w:eastAsia="Arial" w:hAnsi="Arial"/>
                <w:sz w:val="18"/>
                <w:szCs w:val="18"/>
                <w:color w:val="000000"/>
              </w:rPr>
              <w:t>9</w:t>
            </w: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060" w:type="dxa"/>
            <w:vAlign w:val="bottom"/>
          </w:tcPr>
          <w:p>
            <w:pPr>
              <w:ind w:left="5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2019 Audited Financial Statements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806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BENEFICIAL OWNERSHIP OF COMMON STOCK</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806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CERTAIN RELATIONSHIPS AND RELATED TRANSACTIONS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8060" w:type="dxa"/>
            <w:vAlign w:val="bottom"/>
          </w:tcPr>
          <w:p>
            <w:pPr>
              <w:ind w:left="5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Policies and Procedures for Related Party Transactions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060" w:type="dxa"/>
            <w:vAlign w:val="bottom"/>
          </w:tcPr>
          <w:p>
            <w:pPr>
              <w:ind w:left="5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Certain Transactions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06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SECTION 16(a) BENEFICIAL OWNERSHIP REPORTING COMPLIANCE</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06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HOUSEHOLDING OF PROXY MATERIALS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06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ADDITIONAL INFORMATION</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006"/>
        </w:trPr>
        <w:tc>
          <w:tcPr>
            <w:tcW w:w="80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1334770</wp:posOffset>
            </wp:positionV>
            <wp:extent cx="5657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357505</wp:posOffset>
            </wp:positionV>
            <wp:extent cx="5554980" cy="840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5657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0" w:right="119" w:firstLine="648"/>
        <w:spacing w:after="0" w:line="220" w:lineRule="exact"/>
        <w:rPr>
          <w:sz w:val="20"/>
          <w:szCs w:val="20"/>
          <w:color w:val="auto"/>
        </w:rPr>
      </w:pPr>
      <w:r>
        <w:rPr>
          <w:rFonts w:ascii="Arial" w:cs="Arial" w:eastAsia="Arial" w:hAnsi="Arial"/>
          <w:sz w:val="18"/>
          <w:szCs w:val="18"/>
          <w:i w:val="1"/>
          <w:iCs w:val="1"/>
          <w:color w:val="auto"/>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2019 performance, please review the Company’s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for the year ended December 31, 2019.</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INFORMATION</w:t>
      </w:r>
    </w:p>
    <w:p>
      <w:pPr>
        <w:spacing w:after="0" w:line="220"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Thursday, June 11, 2020 9:00 a.m., Arizona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5"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7"/>
          <w:szCs w:val="17"/>
          <w:color w:val="auto"/>
        </w:rPr>
        <w:t>April 17, 2020</w:t>
      </w:r>
    </w:p>
    <w:p>
      <w:pPr>
        <w:spacing w:after="0" w:line="225" w:lineRule="exact"/>
        <w:rPr>
          <w:sz w:val="20"/>
          <w:szCs w:val="20"/>
          <w:color w:val="auto"/>
        </w:rPr>
      </w:pPr>
    </w:p>
    <w:p>
      <w:pPr>
        <w:ind w:left="40"/>
        <w:spacing w:after="0"/>
        <w:tabs>
          <w:tab w:leader="none" w:pos="16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Grand Canyon Education, Inc.</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2600 W. Camelback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Phoenix, Arizona 85017</w:t>
      </w:r>
    </w:p>
    <w:p>
      <w:pPr>
        <w:spacing w:after="0" w:line="207" w:lineRule="exact"/>
        <w:rPr>
          <w:sz w:val="20"/>
          <w:szCs w:val="20"/>
          <w:color w:val="auto"/>
        </w:rPr>
      </w:pPr>
    </w:p>
    <w:p>
      <w:pPr>
        <w:ind w:left="1620" w:right="199" w:hanging="1579"/>
        <w:spacing w:after="0" w:line="293" w:lineRule="auto"/>
        <w:tabs>
          <w:tab w:leader="none" w:pos="160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Please help us save time and administrative costs by submitting your proxy through the Internet or by telephone. Each method is generally available 24 hours a day and will ensure that your voting instructions are confirmed and posted immediately. Stockholders of record as of April 17, 2020 may cast their votes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278765</wp:posOffset>
            </wp:positionV>
            <wp:extent cx="600075" cy="557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 cy="55753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313055</wp:posOffset>
            </wp:positionV>
            <wp:extent cx="299720" cy="52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9720" cy="52260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339090</wp:posOffset>
            </wp:positionV>
            <wp:extent cx="445770"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770" cy="49720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124460</wp:posOffset>
            </wp:positionV>
            <wp:extent cx="548640" cy="711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640" cy="7112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3C5F52"/>
        </w:rPr>
        <w:t>Internet</w:t>
      </w:r>
    </w:p>
    <w:p>
      <w:pPr>
        <w:ind w:left="40"/>
        <w:spacing w:after="0" w:line="233" w:lineRule="auto"/>
        <w:rPr>
          <w:sz w:val="20"/>
          <w:szCs w:val="20"/>
          <w:color w:val="auto"/>
        </w:rPr>
      </w:pPr>
      <w:r>
        <w:rPr>
          <w:rFonts w:ascii="Arial" w:cs="Arial" w:eastAsia="Arial" w:hAnsi="Arial"/>
          <w:sz w:val="15"/>
          <w:szCs w:val="15"/>
          <w:color w:val="auto"/>
        </w:rPr>
        <w:t>Visit</w:t>
      </w:r>
    </w:p>
    <w:p>
      <w:pPr>
        <w:ind w:left="40"/>
        <w:spacing w:after="0"/>
        <w:tabs>
          <w:tab w:leader="none" w:pos="2020" w:val="left"/>
        </w:tabs>
        <w:rPr>
          <w:sz w:val="20"/>
          <w:szCs w:val="20"/>
          <w:color w:val="auto"/>
        </w:rPr>
      </w:pPr>
      <w:r>
        <w:rPr>
          <w:rFonts w:ascii="Arial" w:cs="Arial" w:eastAsia="Arial" w:hAnsi="Arial"/>
          <w:sz w:val="15"/>
          <w:szCs w:val="15"/>
          <w:i w:val="1"/>
          <w:iCs w:val="1"/>
          <w:color w:val="auto"/>
        </w:rPr>
        <w:t>www.investorvote.com/LOPE</w:t>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24</w:t>
      </w:r>
    </w:p>
    <w:p>
      <w:pPr>
        <w:ind w:left="40"/>
        <w:spacing w:after="0"/>
        <w:rPr>
          <w:sz w:val="20"/>
          <w:szCs w:val="20"/>
          <w:color w:val="auto"/>
        </w:rPr>
      </w:pPr>
      <w:r>
        <w:rPr>
          <w:rFonts w:ascii="Arial" w:cs="Arial" w:eastAsia="Arial" w:hAnsi="Arial"/>
          <w:sz w:val="14"/>
          <w:szCs w:val="14"/>
          <w:color w:val="auto"/>
        </w:rPr>
        <w:t>hours a day, seven days a week,</w:t>
      </w:r>
    </w:p>
    <w:p>
      <w:pPr>
        <w:ind w:left="40"/>
        <w:spacing w:after="0"/>
        <w:tabs>
          <w:tab w:leader="none" w:pos="660" w:val="left"/>
          <w:tab w:leader="none" w:pos="1160" w:val="left"/>
          <w:tab w:leader="none" w:pos="1580" w:val="left"/>
          <w:tab w:leader="none" w:pos="2020" w:val="left"/>
        </w:tabs>
        <w:rPr>
          <w:sz w:val="20"/>
          <w:szCs w:val="20"/>
          <w:color w:val="auto"/>
        </w:rPr>
      </w:pPr>
      <w:r>
        <w:rPr>
          <w:rFonts w:ascii="Arial" w:cs="Arial" w:eastAsia="Arial" w:hAnsi="Arial"/>
          <w:sz w:val="15"/>
          <w:szCs w:val="15"/>
          <w:color w:val="auto"/>
        </w:rPr>
        <w:t>through</w:t>
        <w:tab/>
        <w:t>11:00</w:t>
        <w:tab/>
        <w:t>p.m.</w:t>
        <w:tab/>
        <w:t>(PT)</w:t>
      </w:r>
      <w:r>
        <w:rPr>
          <w:sz w:val="20"/>
          <w:szCs w:val="20"/>
          <w:color w:val="auto"/>
        </w:rPr>
        <w:tab/>
      </w:r>
      <w:r>
        <w:rPr>
          <w:rFonts w:ascii="Arial" w:cs="Arial" w:eastAsia="Arial" w:hAnsi="Arial"/>
          <w:sz w:val="14"/>
          <w:szCs w:val="14"/>
          <w:color w:val="auto"/>
        </w:rPr>
        <w:t>on</w:t>
      </w:r>
    </w:p>
    <w:p>
      <w:pPr>
        <w:ind w:left="40"/>
        <w:spacing w:after="0"/>
        <w:tabs>
          <w:tab w:leader="none" w:pos="480" w:val="left"/>
          <w:tab w:leader="none" w:pos="820" w:val="left"/>
          <w:tab w:leader="none" w:pos="1340" w:val="left"/>
          <w:tab w:leader="none" w:pos="1880" w:val="left"/>
        </w:tabs>
        <w:rPr>
          <w:sz w:val="20"/>
          <w:szCs w:val="20"/>
          <w:color w:val="auto"/>
        </w:rPr>
      </w:pPr>
      <w:r>
        <w:rPr>
          <w:rFonts w:ascii="Arial" w:cs="Arial" w:eastAsia="Arial" w:hAnsi="Arial"/>
          <w:sz w:val="15"/>
          <w:szCs w:val="15"/>
          <w:color w:val="auto"/>
        </w:rPr>
        <w:t>June</w:t>
        <w:tab/>
        <w:t>10,</w:t>
        <w:tab/>
        <w:t>2020.</w:t>
        <w:tab/>
        <w:t>Please</w:t>
      </w:r>
      <w:r>
        <w:rPr>
          <w:sz w:val="20"/>
          <w:szCs w:val="20"/>
          <w:color w:val="auto"/>
        </w:rPr>
        <w:tab/>
      </w:r>
      <w:r>
        <w:rPr>
          <w:rFonts w:ascii="Arial" w:cs="Arial" w:eastAsia="Arial" w:hAnsi="Arial"/>
          <w:sz w:val="13"/>
          <w:szCs w:val="13"/>
          <w:color w:val="auto"/>
        </w:rPr>
        <w:t>have</w:t>
      </w:r>
    </w:p>
    <w:p>
      <w:pPr>
        <w:ind w:left="40"/>
        <w:spacing w:after="0"/>
        <w:rPr>
          <w:sz w:val="20"/>
          <w:szCs w:val="20"/>
          <w:color w:val="auto"/>
        </w:rPr>
      </w:pPr>
      <w:r>
        <w:rPr>
          <w:rFonts w:ascii="Arial" w:cs="Arial" w:eastAsia="Arial" w:hAnsi="Arial"/>
          <w:sz w:val="14"/>
          <w:szCs w:val="14"/>
          <w:color w:val="auto"/>
        </w:rPr>
        <w:t>available your notice card. Follow</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F52"/>
        </w:rPr>
        <w:t>Phone</w:t>
      </w:r>
    </w:p>
    <w:p>
      <w:pPr>
        <w:spacing w:after="0" w:line="6" w:lineRule="exact"/>
        <w:rPr>
          <w:sz w:val="20"/>
          <w:szCs w:val="20"/>
          <w:color w:val="auto"/>
        </w:rPr>
      </w:pPr>
    </w:p>
    <w:p>
      <w:pPr>
        <w:jc w:val="both"/>
        <w:spacing w:after="0" w:line="165" w:lineRule="exact"/>
        <w:rPr>
          <w:sz w:val="20"/>
          <w:szCs w:val="20"/>
          <w:color w:val="auto"/>
        </w:rPr>
      </w:pPr>
      <w:r>
        <w:rPr>
          <w:rFonts w:ascii="Arial" w:cs="Arial" w:eastAsia="Arial" w:hAnsi="Arial"/>
          <w:sz w:val="15"/>
          <w:szCs w:val="15"/>
          <w:color w:val="auto"/>
        </w:rPr>
        <w:t>Call 1</w:t>
      </w:r>
      <w:r>
        <w:rPr>
          <w:rFonts w:ascii="MS PGothic" w:cs="MS PGothic" w:eastAsia="MS PGothic" w:hAnsi="MS PGothic"/>
          <w:sz w:val="15"/>
          <w:szCs w:val="15"/>
          <w:color w:val="auto"/>
        </w:rPr>
        <w:t>‑</w:t>
      </w:r>
      <w:r>
        <w:rPr>
          <w:rFonts w:ascii="Arial" w:cs="Arial" w:eastAsia="Arial" w:hAnsi="Arial"/>
          <w:sz w:val="15"/>
          <w:szCs w:val="15"/>
          <w:color w:val="auto"/>
        </w:rPr>
        <w:t>800</w:t>
      </w:r>
      <w:r>
        <w:rPr>
          <w:rFonts w:ascii="MS PGothic" w:cs="MS PGothic" w:eastAsia="MS PGothic" w:hAnsi="MS PGothic"/>
          <w:sz w:val="15"/>
          <w:szCs w:val="15"/>
          <w:color w:val="auto"/>
        </w:rPr>
        <w:t>‑</w:t>
      </w:r>
      <w:r>
        <w:rPr>
          <w:rFonts w:ascii="Arial" w:cs="Arial" w:eastAsia="Arial" w:hAnsi="Arial"/>
          <w:sz w:val="15"/>
          <w:szCs w:val="15"/>
          <w:color w:val="auto"/>
        </w:rPr>
        <w:t>652</w:t>
      </w:r>
      <w:r>
        <w:rPr>
          <w:rFonts w:ascii="MS PGothic" w:cs="MS PGothic" w:eastAsia="MS PGothic" w:hAnsi="MS PGothic"/>
          <w:sz w:val="15"/>
          <w:szCs w:val="15"/>
          <w:color w:val="auto"/>
        </w:rPr>
        <w:t>‑</w:t>
      </w:r>
      <w:r>
        <w:rPr>
          <w:rFonts w:ascii="Arial" w:cs="Arial" w:eastAsia="Arial" w:hAnsi="Arial"/>
          <w:sz w:val="15"/>
          <w:szCs w:val="15"/>
          <w:color w:val="auto"/>
        </w:rPr>
        <w:t>VOTE (8683), 24 hours a day, seven days a week, through 11:00 p.m. (PT) on June 10, 2020.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F52"/>
        </w:rPr>
        <w:t>Mail</w:t>
      </w:r>
    </w:p>
    <w:p>
      <w:pPr>
        <w:spacing w:after="0" w:line="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Mark, sign and date your proxy card. Return it in the enclosed postage-paid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3C5F52"/>
        </w:rPr>
        <w:t>In Person</w:t>
      </w:r>
    </w:p>
    <w:p>
      <w:pPr>
        <w:spacing w:after="0" w:line="6" w:lineRule="exact"/>
        <w:rPr>
          <w:sz w:val="20"/>
          <w:szCs w:val="20"/>
          <w:color w:val="auto"/>
        </w:rPr>
      </w:pPr>
    </w:p>
    <w:p>
      <w:pPr>
        <w:jc w:val="both"/>
        <w:ind w:right="59"/>
        <w:spacing w:after="0" w:line="247" w:lineRule="auto"/>
        <w:rPr>
          <w:sz w:val="20"/>
          <w:szCs w:val="20"/>
          <w:color w:val="auto"/>
        </w:rPr>
      </w:pPr>
      <w:r>
        <w:rPr>
          <w:rFonts w:ascii="Arial" w:cs="Arial" w:eastAsia="Arial" w:hAnsi="Arial"/>
          <w:sz w:val="14"/>
          <w:szCs w:val="14"/>
          <w:color w:val="auto"/>
        </w:rPr>
        <w:t>If you plan to attend the meeting in person, you will need to bring a picture ID and proof of ownership of Grand Canyon Education, Inc. common stock as of the record date.</w:t>
      </w:r>
    </w:p>
    <w:p>
      <w:pPr>
        <w:spacing w:after="0" w:line="357" w:lineRule="exact"/>
        <w:rPr>
          <w:sz w:val="20"/>
          <w:szCs w:val="20"/>
          <w:color w:val="auto"/>
        </w:rPr>
      </w:pPr>
    </w:p>
    <w:p>
      <w:pPr>
        <w:sectPr>
          <w:pgSz w:w="11900" w:h="16838" w:orient="portrait"/>
          <w:cols w:equalWidth="0" w:num="4">
            <w:col w:w="2200" w:space="220"/>
            <w:col w:w="2020" w:space="220"/>
            <w:col w:w="2040" w:space="200"/>
            <w:col w:w="2119"/>
          </w:cols>
          <w:pgMar w:left="1440" w:top="125"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MATTERS TO BE VOTED UPON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Stockholders are being asked to vote on the following matters at the Annual Meeting:</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42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Proposal</w:t>
            </w:r>
          </w:p>
        </w:tc>
        <w:tc>
          <w:tcPr>
            <w:tcW w:w="3000" w:type="dxa"/>
            <w:vAlign w:val="bottom"/>
            <w:tcBorders>
              <w:top w:val="single" w:sz="8" w:color="auto"/>
            </w:tcBorders>
          </w:tcPr>
          <w:p>
            <w:pPr>
              <w:ind w:left="660"/>
              <w:spacing w:after="0"/>
              <w:rPr>
                <w:sz w:val="20"/>
                <w:szCs w:val="20"/>
                <w:color w:val="auto"/>
              </w:rPr>
            </w:pPr>
            <w:r>
              <w:rPr>
                <w:rFonts w:ascii="Arial" w:cs="Arial" w:eastAsia="Arial" w:hAnsi="Arial"/>
                <w:sz w:val="16"/>
                <w:szCs w:val="16"/>
                <w:b w:val="1"/>
                <w:bCs w:val="1"/>
                <w:i w:val="1"/>
                <w:iCs w:val="1"/>
                <w:color w:val="auto"/>
              </w:rPr>
              <w:t>Description</w:t>
            </w:r>
          </w:p>
        </w:tc>
        <w:tc>
          <w:tcPr>
            <w:tcW w:w="2840" w:type="dxa"/>
            <w:vAlign w:val="bottom"/>
            <w:tcBorders>
              <w:top w:val="single" w:sz="8" w:color="auto"/>
            </w:tcBorders>
          </w:tcPr>
          <w:p>
            <w:pPr>
              <w:ind w:left="1560"/>
              <w:spacing w:after="0"/>
              <w:rPr>
                <w:sz w:val="20"/>
                <w:szCs w:val="20"/>
                <w:color w:val="auto"/>
              </w:rPr>
            </w:pPr>
            <w:r>
              <w:rPr>
                <w:rFonts w:ascii="Arial" w:cs="Arial" w:eastAsia="Arial" w:hAnsi="Arial"/>
                <w:sz w:val="16"/>
                <w:szCs w:val="16"/>
                <w:b w:val="1"/>
                <w:bCs w:val="1"/>
                <w:i w:val="1"/>
                <w:iCs w:val="1"/>
                <w:color w:val="auto"/>
              </w:rPr>
              <w:t>Board</w:t>
            </w:r>
          </w:p>
        </w:tc>
        <w:tc>
          <w:tcPr>
            <w:tcW w:w="166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i w:val="1"/>
                <w:iCs w:val="1"/>
                <w:color w:val="auto"/>
              </w:rPr>
              <w:t>Page Reference for</w:t>
            </w:r>
          </w:p>
        </w:tc>
      </w:tr>
      <w:tr>
        <w:trPr>
          <w:trHeight w:val="206"/>
        </w:trPr>
        <w:tc>
          <w:tcPr>
            <w:tcW w:w="1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40" w:type="dxa"/>
            <w:vAlign w:val="bottom"/>
          </w:tcPr>
          <w:p>
            <w:pPr>
              <w:ind w:left="1560"/>
              <w:spacing w:after="0"/>
              <w:rPr>
                <w:sz w:val="20"/>
                <w:szCs w:val="20"/>
                <w:color w:val="auto"/>
              </w:rPr>
            </w:pPr>
            <w:r>
              <w:rPr>
                <w:rFonts w:ascii="Arial" w:cs="Arial" w:eastAsia="Arial" w:hAnsi="Arial"/>
                <w:sz w:val="16"/>
                <w:szCs w:val="16"/>
                <w:b w:val="1"/>
                <w:bCs w:val="1"/>
                <w:i w:val="1"/>
                <w:iCs w:val="1"/>
                <w:color w:val="auto"/>
                <w:w w:val="93"/>
              </w:rPr>
              <w:t>Recommendation</w:t>
            </w:r>
          </w:p>
        </w:tc>
        <w:tc>
          <w:tcPr>
            <w:tcW w:w="1660" w:type="dxa"/>
            <w:vAlign w:val="bottom"/>
          </w:tcPr>
          <w:p>
            <w:pPr>
              <w:ind w:left="120"/>
              <w:spacing w:after="0"/>
              <w:rPr>
                <w:sz w:val="20"/>
                <w:szCs w:val="20"/>
                <w:color w:val="auto"/>
              </w:rPr>
            </w:pPr>
            <w:r>
              <w:rPr>
                <w:rFonts w:ascii="Arial" w:cs="Arial" w:eastAsia="Arial" w:hAnsi="Arial"/>
                <w:sz w:val="16"/>
                <w:szCs w:val="16"/>
                <w:b w:val="1"/>
                <w:bCs w:val="1"/>
                <w:i w:val="1"/>
                <w:iCs w:val="1"/>
                <w:color w:val="auto"/>
                <w:w w:val="98"/>
              </w:rPr>
              <w:t>Further Information:</w:t>
            </w:r>
          </w:p>
        </w:tc>
      </w:tr>
    </w:tbl>
    <w:p>
      <w:pPr>
        <w:spacing w:after="0" w:line="6" w:lineRule="exact"/>
        <w:rPr>
          <w:sz w:val="20"/>
          <w:szCs w:val="20"/>
          <w:color w:val="auto"/>
        </w:rPr>
      </w:pPr>
    </w:p>
    <w:p>
      <w:pPr>
        <w:sectPr>
          <w:pgSz w:w="11900" w:h="16838" w:orient="portrait"/>
          <w:cols w:equalWidth="0" w:num="1">
            <w:col w:w="9019"/>
          </w:cols>
          <w:pgMar w:left="1440" w:top="125" w:right="1440" w:bottom="1440" w:gutter="0" w:footer="0" w:header="0"/>
        </w:sectPr>
      </w:pPr>
    </w:p>
    <w:p>
      <w:pPr>
        <w:spacing w:after="0" w:line="4" w:lineRule="exact"/>
        <w:rPr>
          <w:sz w:val="20"/>
          <w:szCs w:val="20"/>
          <w:color w:val="auto"/>
        </w:rPr>
      </w:pPr>
    </w:p>
    <w:p>
      <w:pPr>
        <w:jc w:val="both"/>
        <w:ind w:left="380" w:hanging="201"/>
        <w:spacing w:after="0" w:line="369" w:lineRule="auto"/>
        <w:tabs>
          <w:tab w:leader="none" w:pos="388"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To elect five directors to our Board of Directors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880" w:val="left"/>
        </w:tabs>
        <w:rPr>
          <w:sz w:val="20"/>
          <w:szCs w:val="20"/>
          <w:color w:val="auto"/>
        </w:rPr>
      </w:pPr>
      <w:r>
        <w:rPr>
          <w:rFonts w:ascii="Arial" w:cs="Arial" w:eastAsia="Arial" w:hAnsi="Arial"/>
          <w:sz w:val="16"/>
          <w:szCs w:val="16"/>
          <w:color w:val="auto"/>
        </w:rPr>
        <w:t>The Board and the Nominating and Corporate</w:t>
      </w:r>
      <w:r>
        <w:rPr>
          <w:sz w:val="20"/>
          <w:szCs w:val="20"/>
          <w:color w:val="auto"/>
        </w:rPr>
        <w:tab/>
      </w:r>
      <w:r>
        <w:rPr>
          <w:rFonts w:ascii="Arial" w:cs="Arial" w:eastAsia="Arial" w:hAnsi="Arial"/>
          <w:sz w:val="15"/>
          <w:szCs w:val="15"/>
          <w:b w:val="1"/>
          <w:bCs w:val="1"/>
          <w:color w:val="auto"/>
        </w:rPr>
        <w:t xml:space="preserve">“FOR” </w:t>
      </w:r>
      <w:r>
        <w:rPr>
          <w:rFonts w:ascii="Arial" w:cs="Arial" w:eastAsia="Arial" w:hAnsi="Arial"/>
          <w:sz w:val="15"/>
          <w:szCs w:val="15"/>
          <w:color w:val="auto"/>
        </w:rPr>
        <w:t>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-116205</wp:posOffset>
            </wp:positionV>
            <wp:extent cx="5657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6" w:lineRule="exact"/>
        <w:rPr>
          <w:sz w:val="20"/>
          <w:szCs w:val="20"/>
          <w:color w:val="auto"/>
        </w:rPr>
      </w:pPr>
    </w:p>
    <w:p>
      <w:pPr>
        <w:spacing w:after="0"/>
        <w:tabs>
          <w:tab w:leader="none" w:pos="3880" w:val="left"/>
        </w:tabs>
        <w:rPr>
          <w:sz w:val="20"/>
          <w:szCs w:val="20"/>
          <w:color w:val="auto"/>
        </w:rPr>
      </w:pPr>
      <w:r>
        <w:rPr>
          <w:rFonts w:ascii="Arial" w:cs="Arial" w:eastAsia="Arial" w:hAnsi="Arial"/>
          <w:sz w:val="16"/>
          <w:szCs w:val="16"/>
          <w:color w:val="auto"/>
        </w:rPr>
        <w:t>Governance Committee believe that the five director</w:t>
      </w:r>
      <w:r>
        <w:rPr>
          <w:sz w:val="20"/>
          <w:szCs w:val="20"/>
          <w:color w:val="auto"/>
        </w:rPr>
        <w:tab/>
      </w:r>
      <w:r>
        <w:rPr>
          <w:rFonts w:ascii="Arial" w:cs="Arial" w:eastAsia="Arial" w:hAnsi="Arial"/>
          <w:sz w:val="14"/>
          <w:szCs w:val="14"/>
          <w:color w:val="auto"/>
        </w:rPr>
        <w:t>director nominee</w:t>
      </w:r>
    </w:p>
    <w:p>
      <w:pPr>
        <w:spacing w:after="0" w:line="19" w:lineRule="exact"/>
        <w:rPr>
          <w:sz w:val="20"/>
          <w:szCs w:val="20"/>
          <w:color w:val="auto"/>
        </w:rPr>
      </w:pPr>
    </w:p>
    <w:p>
      <w:pPr>
        <w:ind w:right="3299"/>
        <w:spacing w:after="0" w:line="270" w:lineRule="auto"/>
        <w:rPr>
          <w:sz w:val="20"/>
          <w:szCs w:val="20"/>
          <w:color w:val="auto"/>
        </w:rPr>
      </w:pPr>
      <w:r>
        <w:rPr>
          <w:rFonts w:ascii="Arial" w:cs="Arial" w:eastAsia="Arial" w:hAnsi="Arial"/>
          <w:sz w:val="16"/>
          <w:szCs w:val="16"/>
          <w:color w:val="auto"/>
        </w:rPr>
        <w:t>nominees possess the necessary qualifications, attributes, skills and experiences to provide quality advice and counsel to the Company’s management and effectively oversee the business and long-term interests of our stockholders.</w:t>
      </w:r>
    </w:p>
    <w:p>
      <w:pPr>
        <w:spacing w:after="0" w:line="172" w:lineRule="exact"/>
        <w:rPr>
          <w:sz w:val="20"/>
          <w:szCs w:val="20"/>
          <w:color w:val="auto"/>
        </w:rPr>
      </w:pPr>
    </w:p>
    <w:p>
      <w:pPr>
        <w:sectPr>
          <w:pgSz w:w="11900" w:h="16838" w:orient="portrait"/>
          <w:cols w:equalWidth="0" w:num="2">
            <w:col w:w="1940" w:space="180"/>
            <w:col w:w="6899"/>
          </w:cols>
          <w:pgMar w:left="1440" w:top="125" w:right="1440" w:bottom="1440" w:gutter="0" w:footer="0" w:header="0"/>
          <w:type w:val="continuous"/>
        </w:sectPr>
      </w:pPr>
    </w:p>
    <w:p>
      <w:pPr>
        <w:ind w:left="180"/>
        <w:spacing w:after="0"/>
        <w:tabs>
          <w:tab w:leader="none" w:pos="2100" w:val="left"/>
          <w:tab w:leader="none" w:pos="6000" w:val="left"/>
        </w:tabs>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i w:val="1"/>
          <w:iCs w:val="1"/>
          <w:color w:val="auto"/>
        </w:rPr>
        <w:t>To approve, on an</w:t>
      </w:r>
      <w:r>
        <w:rPr>
          <w:sz w:val="20"/>
          <w:szCs w:val="20"/>
          <w:color w:val="auto"/>
        </w:rPr>
        <w:tab/>
      </w:r>
      <w:r>
        <w:rPr>
          <w:rFonts w:ascii="Arial" w:cs="Arial" w:eastAsia="Arial" w:hAnsi="Arial"/>
          <w:sz w:val="16"/>
          <w:szCs w:val="16"/>
          <w:color w:val="auto"/>
        </w:rPr>
        <w:t>The Company seeks the approval, on an advisory, basis,</w:t>
      </w:r>
      <w:r>
        <w:rPr>
          <w:sz w:val="20"/>
          <w:szCs w:val="20"/>
          <w:color w:val="auto"/>
        </w:rPr>
        <w:tab/>
      </w:r>
      <w:r>
        <w:rPr>
          <w:rFonts w:ascii="Arial" w:cs="Arial" w:eastAsia="Arial" w:hAnsi="Arial"/>
          <w:sz w:val="16"/>
          <w:szCs w:val="16"/>
          <w:b w:val="1"/>
          <w:bCs w:val="1"/>
          <w:color w:val="auto"/>
        </w:rPr>
        <w:t>“FOR”</w:t>
      </w:r>
    </w:p>
    <w:p>
      <w:pPr>
        <w:spacing w:after="0" w:line="26"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6"/>
          <w:szCs w:val="16"/>
          <w:i w:val="1"/>
          <w:iCs w:val="1"/>
          <w:color w:val="auto"/>
        </w:rPr>
        <w:t>advisory basis, the</w:t>
      </w:r>
      <w:r>
        <w:rPr>
          <w:sz w:val="20"/>
          <w:szCs w:val="20"/>
          <w:color w:val="auto"/>
        </w:rPr>
        <w:tab/>
      </w:r>
      <w:r>
        <w:rPr>
          <w:rFonts w:ascii="Arial" w:cs="Arial" w:eastAsia="Arial" w:hAnsi="Arial"/>
          <w:sz w:val="14"/>
          <w:szCs w:val="14"/>
          <w:color w:val="auto"/>
        </w:rPr>
        <w:t>of the compensation of its named executive officers as</w:t>
      </w:r>
    </w:p>
    <w:p>
      <w:pPr>
        <w:spacing w:after="0" w:line="19"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6"/>
          <w:szCs w:val="16"/>
          <w:i w:val="1"/>
          <w:iCs w:val="1"/>
          <w:color w:val="auto"/>
        </w:rPr>
        <w:t>compensation of our</w:t>
      </w:r>
      <w:r>
        <w:rPr>
          <w:sz w:val="20"/>
          <w:szCs w:val="20"/>
          <w:color w:val="auto"/>
        </w:rPr>
        <w:tab/>
      </w:r>
      <w:r>
        <w:rPr>
          <w:rFonts w:ascii="Arial" w:cs="Arial" w:eastAsia="Arial" w:hAnsi="Arial"/>
          <w:sz w:val="14"/>
          <w:szCs w:val="14"/>
          <w:color w:val="auto"/>
        </w:rPr>
        <w:t xml:space="preserve">described in the </w:t>
      </w:r>
      <w:r>
        <w:rPr>
          <w:rFonts w:ascii="Arial" w:cs="Arial" w:eastAsia="Arial" w:hAnsi="Arial"/>
          <w:sz w:val="14"/>
          <w:szCs w:val="14"/>
          <w:i w:val="1"/>
          <w:iCs w:val="1"/>
          <w:color w:val="auto"/>
        </w:rPr>
        <w:t>Compensation Discussion and Analysis</w:t>
      </w:r>
    </w:p>
    <w:p>
      <w:pPr>
        <w:spacing w:after="0" w:line="19" w:lineRule="exact"/>
        <w:rPr>
          <w:sz w:val="20"/>
          <w:szCs w:val="20"/>
          <w:color w:val="auto"/>
        </w:rPr>
      </w:pPr>
    </w:p>
    <w:p>
      <w:pPr>
        <w:ind w:left="380"/>
        <w:spacing w:after="0"/>
        <w:tabs>
          <w:tab w:leader="none" w:pos="2100" w:val="left"/>
        </w:tabs>
        <w:rPr>
          <w:sz w:val="20"/>
          <w:szCs w:val="20"/>
          <w:color w:val="auto"/>
        </w:rPr>
      </w:pPr>
      <w:r>
        <w:rPr>
          <w:rFonts w:ascii="Arial" w:cs="Arial" w:eastAsia="Arial" w:hAnsi="Arial"/>
          <w:sz w:val="16"/>
          <w:szCs w:val="16"/>
          <w:i w:val="1"/>
          <w:iCs w:val="1"/>
          <w:color w:val="auto"/>
        </w:rPr>
        <w:t>named executive</w:t>
      </w:r>
      <w:r>
        <w:rPr>
          <w:sz w:val="20"/>
          <w:szCs w:val="20"/>
          <w:color w:val="auto"/>
        </w:rPr>
        <w:tab/>
      </w:r>
      <w:r>
        <w:rPr>
          <w:rFonts w:ascii="Arial" w:cs="Arial" w:eastAsia="Arial" w:hAnsi="Arial"/>
          <w:sz w:val="14"/>
          <w:szCs w:val="14"/>
          <w:color w:val="auto"/>
        </w:rPr>
        <w:t>section and the related tables.</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officers.</w:t>
      </w:r>
    </w:p>
    <w:p>
      <w:pPr>
        <w:sectPr>
          <w:pgSz w:w="11900" w:h="16838" w:orient="portrait"/>
          <w:cols w:equalWidth="0" w:num="1">
            <w:col w:w="9019"/>
          </w:cols>
          <w:pgMar w:left="1440" w:top="125" w:right="1440" w:bottom="1440" w:gutter="0" w:footer="0" w:header="0"/>
          <w:type w:val="continuous"/>
        </w:sectPr>
      </w:pPr>
    </w:p>
    <w:p>
      <w:pPr>
        <w:spacing w:after="0" w:line="217" w:lineRule="exact"/>
        <w:rPr>
          <w:sz w:val="20"/>
          <w:szCs w:val="20"/>
          <w:color w:val="auto"/>
        </w:rPr>
      </w:pPr>
    </w:p>
    <w:p>
      <w:pPr>
        <w:ind w:left="380" w:hanging="201"/>
        <w:spacing w:after="0" w:line="293" w:lineRule="auto"/>
        <w:tabs>
          <w:tab w:leader="none" w:pos="388" w:val="left"/>
        </w:tabs>
        <w:numPr>
          <w:ilvl w:val="0"/>
          <w:numId w:val="6"/>
        </w:numPr>
        <w:rPr>
          <w:rFonts w:ascii="Arial" w:cs="Arial" w:eastAsia="Arial" w:hAnsi="Arial"/>
          <w:sz w:val="15"/>
          <w:szCs w:val="15"/>
          <w:b w:val="1"/>
          <w:bCs w:val="1"/>
          <w:color w:val="auto"/>
        </w:rPr>
      </w:pPr>
      <w:r>
        <w:rPr>
          <w:rFonts w:ascii="Arial" w:cs="Arial" w:eastAsia="Arial" w:hAnsi="Arial"/>
          <w:sz w:val="15"/>
          <w:szCs w:val="15"/>
          <w:i w:val="1"/>
          <w:iCs w:val="1"/>
          <w:color w:val="auto"/>
        </w:rPr>
        <w:t>To ratify the appointment of KPMG LLP as our independent registered public accounting firm.</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tabs>
          <w:tab w:leader="none" w:pos="3880" w:val="left"/>
        </w:tabs>
        <w:rPr>
          <w:sz w:val="20"/>
          <w:szCs w:val="20"/>
          <w:color w:val="auto"/>
        </w:rPr>
      </w:pPr>
      <w:r>
        <w:rPr>
          <w:rFonts w:ascii="Arial" w:cs="Arial" w:eastAsia="Arial" w:hAnsi="Arial"/>
          <w:sz w:val="16"/>
          <w:szCs w:val="16"/>
          <w:color w:val="auto"/>
        </w:rPr>
        <w:t>The Audit Committee and the Board believe that the</w:t>
      </w:r>
      <w:r>
        <w:rPr>
          <w:sz w:val="20"/>
          <w:szCs w:val="20"/>
          <w:color w:val="auto"/>
        </w:rPr>
        <w:tab/>
      </w:r>
      <w:r>
        <w:rPr>
          <w:rFonts w:ascii="Arial" w:cs="Arial" w:eastAsia="Arial" w:hAnsi="Arial"/>
          <w:sz w:val="16"/>
          <w:szCs w:val="16"/>
          <w:b w:val="1"/>
          <w:bCs w:val="1"/>
          <w:color w:val="auto"/>
        </w:rPr>
        <w:t>“FOR”</w:t>
      </w:r>
    </w:p>
    <w:p>
      <w:pPr>
        <w:spacing w:after="0" w:line="26" w:lineRule="exact"/>
        <w:rPr>
          <w:sz w:val="20"/>
          <w:szCs w:val="20"/>
          <w:color w:val="auto"/>
        </w:rPr>
      </w:pPr>
    </w:p>
    <w:p>
      <w:pPr>
        <w:ind w:right="3199"/>
        <w:spacing w:after="0" w:line="290" w:lineRule="auto"/>
        <w:rPr>
          <w:sz w:val="20"/>
          <w:szCs w:val="20"/>
          <w:color w:val="auto"/>
        </w:rPr>
      </w:pPr>
      <w:r>
        <w:rPr>
          <w:rFonts w:ascii="Arial" w:cs="Arial" w:eastAsia="Arial" w:hAnsi="Arial"/>
          <w:sz w:val="15"/>
          <w:szCs w:val="15"/>
          <w:color w:val="auto"/>
        </w:rPr>
        <w:t>retention of KPMG LLP to serve as our independent registered public accounting firm for the fiscal year ending December 31, 2020 is in the best interests of the Company and its stockholders and we are asking our stockholders to ratify the Audit Committee’s selection of KPMG LLP to serve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118110</wp:posOffset>
            </wp:positionV>
            <wp:extent cx="56578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1940" w:space="180"/>
            <w:col w:w="6899"/>
          </w:cols>
          <w:pgMar w:left="1440" w:top="125" w:right="1440"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DIRECTOR NOMINEES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provides summary information regarding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Age</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Director</w:t>
            </w:r>
          </w:p>
        </w:tc>
        <w:tc>
          <w:tcPr>
            <w:tcW w:w="31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Primary Occupation</w:t>
            </w:r>
          </w:p>
        </w:tc>
        <w:tc>
          <w:tcPr>
            <w:tcW w:w="1900" w:type="dxa"/>
            <w:vAlign w:val="bottom"/>
            <w:gridSpan w:val="3"/>
            <w:vMerge w:val="restart"/>
          </w:tcPr>
          <w:p>
            <w:pPr>
              <w:jc w:val="right"/>
              <w:ind w:right="19"/>
              <w:spacing w:after="0"/>
              <w:rPr>
                <w:sz w:val="20"/>
                <w:szCs w:val="20"/>
                <w:color w:val="auto"/>
              </w:rPr>
            </w:pPr>
            <w:r>
              <w:rPr>
                <w:rFonts w:ascii="Arial" w:cs="Arial" w:eastAsia="Arial" w:hAnsi="Arial"/>
                <w:sz w:val="14"/>
                <w:szCs w:val="14"/>
                <w:b w:val="1"/>
                <w:bCs w:val="1"/>
                <w:color w:val="auto"/>
              </w:rPr>
              <w:t>Committee Memberships</w:t>
            </w:r>
            <w:r>
              <w:rPr>
                <w:rFonts w:ascii="Arial" w:cs="Arial" w:eastAsia="Arial" w:hAnsi="Arial"/>
                <w:sz w:val="14"/>
                <w:szCs w:val="14"/>
                <w:b w:val="1"/>
                <w:bCs w:val="1"/>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Other Public</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Since</w:t>
            </w:r>
          </w:p>
        </w:tc>
        <w:tc>
          <w:tcPr>
            <w:tcW w:w="3140" w:type="dxa"/>
            <w:vAlign w:val="bottom"/>
            <w:tcBorders>
              <w:bottom w:val="single" w:sz="8" w:color="auto"/>
            </w:tcBorders>
            <w:vMerge w:val="continue"/>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Company Boards</w:t>
            </w:r>
          </w:p>
        </w:tc>
        <w:tc>
          <w:tcPr>
            <w:tcW w:w="0" w:type="dxa"/>
            <w:vAlign w:val="bottom"/>
          </w:tcPr>
          <w:p>
            <w:pPr>
              <w:spacing w:after="0"/>
              <w:rPr>
                <w:sz w:val="1"/>
                <w:szCs w:val="1"/>
                <w:color w:val="auto"/>
              </w:rPr>
            </w:pPr>
          </w:p>
        </w:tc>
      </w:tr>
      <w:tr>
        <w:trPr>
          <w:trHeight w:val="200"/>
        </w:trPr>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60" w:type="dxa"/>
            <w:vAlign w:val="bottom"/>
          </w:tcPr>
          <w:p>
            <w:pPr>
              <w:ind w:left="160"/>
              <w:spacing w:after="0"/>
              <w:rPr>
                <w:sz w:val="20"/>
                <w:szCs w:val="20"/>
                <w:color w:val="auto"/>
              </w:rPr>
            </w:pPr>
            <w:r>
              <w:rPr>
                <w:rFonts w:ascii="Arial" w:cs="Arial" w:eastAsia="Arial" w:hAnsi="Arial"/>
                <w:sz w:val="16"/>
                <w:szCs w:val="16"/>
                <w:i w:val="1"/>
                <w:iCs w:val="1"/>
                <w:color w:val="auto"/>
                <w:w w:val="74"/>
              </w:rPr>
              <w:t>A</w:t>
            </w:r>
          </w:p>
        </w:tc>
        <w:tc>
          <w:tcPr>
            <w:tcW w:w="980" w:type="dxa"/>
            <w:vAlign w:val="bottom"/>
          </w:tcPr>
          <w:p>
            <w:pPr>
              <w:jc w:val="right"/>
              <w:ind w:right="139"/>
              <w:spacing w:after="0"/>
              <w:rPr>
                <w:sz w:val="20"/>
                <w:szCs w:val="20"/>
                <w:color w:val="auto"/>
              </w:rPr>
            </w:pPr>
            <w:r>
              <w:rPr>
                <w:rFonts w:ascii="Arial" w:cs="Arial" w:eastAsia="Arial" w:hAnsi="Arial"/>
                <w:sz w:val="16"/>
                <w:szCs w:val="16"/>
                <w:i w:val="1"/>
                <w:iCs w:val="1"/>
                <w:color w:val="auto"/>
              </w:rPr>
              <w:t>C</w:t>
            </w:r>
            <w:r>
              <w:rPr>
                <w:rFonts w:ascii="Arial" w:cs="Arial" w:eastAsia="Arial" w:hAnsi="Arial"/>
                <w:sz w:val="7"/>
                <w:szCs w:val="7"/>
                <w:b w:val="1"/>
                <w:bCs w:val="1"/>
                <w:color w:val="auto"/>
              </w:rPr>
              <w:t>(2)</w:t>
            </w:r>
          </w:p>
        </w:tc>
        <w:tc>
          <w:tcPr>
            <w:tcW w:w="660" w:type="dxa"/>
            <w:vAlign w:val="bottom"/>
          </w:tcPr>
          <w:p>
            <w:pPr>
              <w:jc w:val="right"/>
              <w:spacing w:after="0"/>
              <w:rPr>
                <w:sz w:val="20"/>
                <w:szCs w:val="20"/>
                <w:color w:val="auto"/>
              </w:rPr>
            </w:pPr>
            <w:r>
              <w:rPr>
                <w:rFonts w:ascii="Arial" w:cs="Arial" w:eastAsia="Arial" w:hAnsi="Arial"/>
                <w:sz w:val="16"/>
                <w:szCs w:val="16"/>
                <w:i w:val="1"/>
                <w:iCs w:val="1"/>
                <w:color w:val="auto"/>
              </w:rPr>
              <w:t>NCG</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Arial" w:cs="Arial" w:eastAsia="Arial" w:hAnsi="Arial"/>
                <w:sz w:val="16"/>
                <w:szCs w:val="16"/>
                <w:color w:val="auto"/>
              </w:rPr>
              <w:t>Brian E. Mueller*</w:t>
            </w:r>
          </w:p>
        </w:tc>
        <w:tc>
          <w:tcPr>
            <w:tcW w:w="540" w:type="dxa"/>
            <w:vAlign w:val="bottom"/>
          </w:tcPr>
          <w:p>
            <w:pPr>
              <w:ind w:left="200"/>
              <w:spacing w:after="0"/>
              <w:rPr>
                <w:sz w:val="20"/>
                <w:szCs w:val="20"/>
                <w:color w:val="auto"/>
              </w:rPr>
            </w:pPr>
            <w:r>
              <w:rPr>
                <w:rFonts w:ascii="Arial" w:cs="Arial" w:eastAsia="Arial" w:hAnsi="Arial"/>
                <w:sz w:val="16"/>
                <w:szCs w:val="16"/>
                <w:color w:val="auto"/>
              </w:rPr>
              <w:t>66</w:t>
            </w:r>
          </w:p>
        </w:tc>
        <w:tc>
          <w:tcPr>
            <w:tcW w:w="720" w:type="dxa"/>
            <w:vAlign w:val="bottom"/>
          </w:tcPr>
          <w:p>
            <w:pPr>
              <w:ind w:left="100"/>
              <w:spacing w:after="0"/>
              <w:rPr>
                <w:sz w:val="20"/>
                <w:szCs w:val="20"/>
                <w:color w:val="auto"/>
              </w:rPr>
            </w:pPr>
            <w:r>
              <w:rPr>
                <w:rFonts w:ascii="Arial" w:cs="Arial" w:eastAsia="Arial" w:hAnsi="Arial"/>
                <w:sz w:val="16"/>
                <w:szCs w:val="16"/>
                <w:color w:val="auto"/>
              </w:rPr>
              <w:t>2009</w:t>
            </w:r>
          </w:p>
        </w:tc>
        <w:tc>
          <w:tcPr>
            <w:tcW w:w="3140" w:type="dxa"/>
            <w:vAlign w:val="bottom"/>
          </w:tcPr>
          <w:p>
            <w:pPr>
              <w:ind w:left="80"/>
              <w:spacing w:after="0"/>
              <w:rPr>
                <w:sz w:val="20"/>
                <w:szCs w:val="20"/>
                <w:color w:val="auto"/>
              </w:rPr>
            </w:pPr>
            <w:r>
              <w:rPr>
                <w:rFonts w:ascii="Arial" w:cs="Arial" w:eastAsia="Arial" w:hAnsi="Arial"/>
                <w:sz w:val="16"/>
                <w:szCs w:val="16"/>
                <w:color w:val="auto"/>
              </w:rPr>
              <w:t>Chairman of the Board of Directors and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Chief Executive Officer, Grand Canyon</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Education, Inc.</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400" w:type="dxa"/>
            <w:vAlign w:val="bottom"/>
          </w:tcPr>
          <w:p>
            <w:pPr>
              <w:spacing w:after="0"/>
              <w:rPr>
                <w:sz w:val="20"/>
                <w:szCs w:val="20"/>
                <w:color w:val="auto"/>
              </w:rPr>
            </w:pPr>
            <w:r>
              <w:rPr>
                <w:rFonts w:ascii="Arial" w:cs="Arial" w:eastAsia="Arial" w:hAnsi="Arial"/>
                <w:sz w:val="16"/>
                <w:szCs w:val="16"/>
                <w:color w:val="auto"/>
              </w:rPr>
              <w:t>Sara R. Dial</w:t>
            </w:r>
            <w:r>
              <w:rPr>
                <w:rFonts w:ascii="Arial" w:cs="Arial" w:eastAsia="Arial" w:hAnsi="Arial"/>
                <w:sz w:val="17"/>
                <w:szCs w:val="17"/>
                <w:color w:val="auto"/>
                <w:vertAlign w:val="superscript"/>
              </w:rPr>
              <w:t>+≠</w:t>
            </w:r>
          </w:p>
        </w:tc>
        <w:tc>
          <w:tcPr>
            <w:tcW w:w="540" w:type="dxa"/>
            <w:vAlign w:val="bottom"/>
          </w:tcPr>
          <w:p>
            <w:pPr>
              <w:ind w:left="200"/>
              <w:spacing w:after="0"/>
              <w:rPr>
                <w:sz w:val="20"/>
                <w:szCs w:val="20"/>
                <w:color w:val="auto"/>
              </w:rPr>
            </w:pPr>
            <w:r>
              <w:rPr>
                <w:rFonts w:ascii="Arial" w:cs="Arial" w:eastAsia="Arial" w:hAnsi="Arial"/>
                <w:sz w:val="16"/>
                <w:szCs w:val="16"/>
                <w:color w:val="auto"/>
              </w:rPr>
              <w:t>56</w:t>
            </w:r>
          </w:p>
        </w:tc>
        <w:tc>
          <w:tcPr>
            <w:tcW w:w="720" w:type="dxa"/>
            <w:vAlign w:val="bottom"/>
          </w:tcPr>
          <w:p>
            <w:pPr>
              <w:ind w:left="100"/>
              <w:spacing w:after="0"/>
              <w:rPr>
                <w:sz w:val="20"/>
                <w:szCs w:val="20"/>
                <w:color w:val="auto"/>
              </w:rPr>
            </w:pPr>
            <w:r>
              <w:rPr>
                <w:rFonts w:ascii="Arial" w:cs="Arial" w:eastAsia="Arial" w:hAnsi="Arial"/>
                <w:sz w:val="16"/>
                <w:szCs w:val="16"/>
                <w:color w:val="auto"/>
              </w:rPr>
              <w:t>2013</w:t>
            </w:r>
          </w:p>
        </w:tc>
        <w:tc>
          <w:tcPr>
            <w:tcW w:w="3140" w:type="dxa"/>
            <w:vAlign w:val="bottom"/>
          </w:tcPr>
          <w:p>
            <w:pPr>
              <w:ind w:left="80"/>
              <w:spacing w:after="0"/>
              <w:rPr>
                <w:sz w:val="20"/>
                <w:szCs w:val="20"/>
                <w:color w:val="auto"/>
              </w:rPr>
            </w:pPr>
            <w:r>
              <w:rPr>
                <w:rFonts w:ascii="Arial" w:cs="Arial" w:eastAsia="Arial" w:hAnsi="Arial"/>
                <w:sz w:val="16"/>
                <w:szCs w:val="16"/>
                <w:color w:val="auto"/>
                <w:w w:val="98"/>
              </w:rPr>
              <w:t>President and Chief Executive Officer, Sara</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Dial &amp; Associates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400" w:type="dxa"/>
            <w:vAlign w:val="bottom"/>
          </w:tcPr>
          <w:p>
            <w:pPr>
              <w:spacing w:after="0"/>
              <w:rPr>
                <w:sz w:val="20"/>
                <w:szCs w:val="20"/>
                <w:color w:val="auto"/>
              </w:rPr>
            </w:pPr>
            <w:r>
              <w:rPr>
                <w:rFonts w:ascii="Arial" w:cs="Arial" w:eastAsia="Arial" w:hAnsi="Arial"/>
                <w:sz w:val="16"/>
                <w:szCs w:val="16"/>
                <w:color w:val="auto"/>
              </w:rPr>
              <w:t>Jack A. Henry</w:t>
            </w:r>
            <w:r>
              <w:rPr>
                <w:rFonts w:ascii="Arial" w:cs="Arial" w:eastAsia="Arial" w:hAnsi="Arial"/>
                <w:sz w:val="17"/>
                <w:szCs w:val="17"/>
                <w:color w:val="auto"/>
                <w:vertAlign w:val="superscript"/>
              </w:rPr>
              <w:t>+</w:t>
            </w:r>
          </w:p>
        </w:tc>
        <w:tc>
          <w:tcPr>
            <w:tcW w:w="540" w:type="dxa"/>
            <w:vAlign w:val="bottom"/>
          </w:tcPr>
          <w:p>
            <w:pPr>
              <w:ind w:left="200"/>
              <w:spacing w:after="0"/>
              <w:rPr>
                <w:sz w:val="20"/>
                <w:szCs w:val="20"/>
                <w:color w:val="auto"/>
              </w:rPr>
            </w:pPr>
            <w:r>
              <w:rPr>
                <w:rFonts w:ascii="Arial" w:cs="Arial" w:eastAsia="Arial" w:hAnsi="Arial"/>
                <w:sz w:val="16"/>
                <w:szCs w:val="16"/>
                <w:color w:val="auto"/>
              </w:rPr>
              <w:t>76</w:t>
            </w:r>
          </w:p>
        </w:tc>
        <w:tc>
          <w:tcPr>
            <w:tcW w:w="720" w:type="dxa"/>
            <w:vAlign w:val="bottom"/>
          </w:tcPr>
          <w:p>
            <w:pPr>
              <w:ind w:left="100"/>
              <w:spacing w:after="0"/>
              <w:rPr>
                <w:sz w:val="20"/>
                <w:szCs w:val="20"/>
                <w:color w:val="auto"/>
              </w:rPr>
            </w:pPr>
            <w:r>
              <w:rPr>
                <w:rFonts w:ascii="Arial" w:cs="Arial" w:eastAsia="Arial" w:hAnsi="Arial"/>
                <w:sz w:val="16"/>
                <w:szCs w:val="16"/>
                <w:color w:val="auto"/>
              </w:rPr>
              <w:t>2008</w:t>
            </w:r>
          </w:p>
        </w:tc>
        <w:tc>
          <w:tcPr>
            <w:tcW w:w="3140" w:type="dxa"/>
            <w:vAlign w:val="bottom"/>
          </w:tcPr>
          <w:p>
            <w:pPr>
              <w:ind w:left="80"/>
              <w:spacing w:after="0"/>
              <w:rPr>
                <w:sz w:val="20"/>
                <w:szCs w:val="20"/>
                <w:color w:val="auto"/>
              </w:rPr>
            </w:pPr>
            <w:r>
              <w:rPr>
                <w:rFonts w:ascii="Arial" w:cs="Arial" w:eastAsia="Arial" w:hAnsi="Arial"/>
                <w:sz w:val="16"/>
                <w:szCs w:val="16"/>
                <w:color w:val="auto"/>
                <w:w w:val="98"/>
              </w:rPr>
              <w:t>Managing Director, Sierra Blanca Ventures,</w:t>
            </w:r>
          </w:p>
        </w:tc>
        <w:tc>
          <w:tcPr>
            <w:tcW w:w="260" w:type="dxa"/>
            <w:vAlign w:val="bottom"/>
          </w:tcPr>
          <w:p>
            <w:pPr>
              <w:spacing w:after="0"/>
              <w:rPr>
                <w:sz w:val="24"/>
                <w:szCs w:val="24"/>
                <w:color w:val="auto"/>
              </w:rPr>
            </w:pPr>
          </w:p>
        </w:tc>
        <w:tc>
          <w:tcPr>
            <w:tcW w:w="980" w:type="dxa"/>
            <w:vAlign w:val="bottom"/>
          </w:tcPr>
          <w:p>
            <w:pPr>
              <w:jc w:val="right"/>
              <w:ind w:right="819"/>
              <w:spacing w:after="0"/>
              <w:rPr>
                <w:sz w:val="20"/>
                <w:szCs w:val="20"/>
                <w:color w:val="auto"/>
              </w:rPr>
            </w:pPr>
            <w:r>
              <w:rPr>
                <w:rFonts w:ascii="Arial" w:cs="Arial" w:eastAsia="Arial" w:hAnsi="Arial"/>
                <w:sz w:val="16"/>
                <w:szCs w:val="16"/>
                <w:color w:val="auto"/>
                <w:w w:val="95"/>
              </w:rPr>
              <w:t>*</w:t>
            </w:r>
          </w:p>
        </w:tc>
        <w:tc>
          <w:tcPr>
            <w:tcW w:w="6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LLC</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400" w:type="dxa"/>
            <w:vAlign w:val="bottom"/>
          </w:tcPr>
          <w:p>
            <w:pPr>
              <w:spacing w:after="0"/>
              <w:rPr>
                <w:sz w:val="20"/>
                <w:szCs w:val="20"/>
                <w:color w:val="auto"/>
              </w:rPr>
            </w:pPr>
            <w:r>
              <w:rPr>
                <w:rFonts w:ascii="Arial" w:cs="Arial" w:eastAsia="Arial" w:hAnsi="Arial"/>
                <w:sz w:val="16"/>
                <w:szCs w:val="16"/>
                <w:color w:val="auto"/>
              </w:rPr>
              <w:t>Lisa Graham</w:t>
            </w:r>
          </w:p>
        </w:tc>
        <w:tc>
          <w:tcPr>
            <w:tcW w:w="540" w:type="dxa"/>
            <w:vAlign w:val="bottom"/>
          </w:tcPr>
          <w:p>
            <w:pPr>
              <w:ind w:left="200"/>
              <w:spacing w:after="0"/>
              <w:rPr>
                <w:sz w:val="20"/>
                <w:szCs w:val="20"/>
                <w:color w:val="auto"/>
              </w:rPr>
            </w:pPr>
            <w:r>
              <w:rPr>
                <w:rFonts w:ascii="Arial" w:cs="Arial" w:eastAsia="Arial" w:hAnsi="Arial"/>
                <w:sz w:val="16"/>
                <w:szCs w:val="16"/>
                <w:color w:val="auto"/>
              </w:rPr>
              <w:t>60</w:t>
            </w:r>
          </w:p>
        </w:tc>
        <w:tc>
          <w:tcPr>
            <w:tcW w:w="720" w:type="dxa"/>
            <w:vAlign w:val="bottom"/>
          </w:tcPr>
          <w:p>
            <w:pPr>
              <w:ind w:left="100"/>
              <w:spacing w:after="0"/>
              <w:rPr>
                <w:sz w:val="20"/>
                <w:szCs w:val="20"/>
                <w:color w:val="auto"/>
              </w:rPr>
            </w:pPr>
            <w:r>
              <w:rPr>
                <w:rFonts w:ascii="Arial" w:cs="Arial" w:eastAsia="Arial" w:hAnsi="Arial"/>
                <w:sz w:val="16"/>
                <w:szCs w:val="16"/>
                <w:color w:val="auto"/>
              </w:rPr>
              <w:t>2019</w:t>
            </w:r>
          </w:p>
        </w:tc>
        <w:tc>
          <w:tcPr>
            <w:tcW w:w="3140" w:type="dxa"/>
            <w:vAlign w:val="bottom"/>
          </w:tcPr>
          <w:p>
            <w:pPr>
              <w:ind w:left="80"/>
              <w:spacing w:after="0"/>
              <w:rPr>
                <w:sz w:val="20"/>
                <w:szCs w:val="20"/>
                <w:color w:val="auto"/>
              </w:rPr>
            </w:pPr>
            <w:r>
              <w:rPr>
                <w:rFonts w:ascii="Arial" w:cs="Arial" w:eastAsia="Arial" w:hAnsi="Arial"/>
                <w:sz w:val="16"/>
                <w:szCs w:val="16"/>
                <w:color w:val="auto"/>
              </w:rPr>
              <w:t>Principal Partner at The Keegan Company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37"/>
        </w:trPr>
        <w:tc>
          <w:tcPr>
            <w:tcW w:w="1400" w:type="dxa"/>
            <w:vAlign w:val="bottom"/>
          </w:tcPr>
          <w:p>
            <w:pPr>
              <w:ind w:left="140"/>
              <w:spacing w:after="0"/>
              <w:rPr>
                <w:sz w:val="20"/>
                <w:szCs w:val="20"/>
                <w:color w:val="auto"/>
              </w:rPr>
            </w:pPr>
            <w:r>
              <w:rPr>
                <w:rFonts w:ascii="Arial" w:cs="Arial" w:eastAsia="Arial" w:hAnsi="Arial"/>
                <w:sz w:val="16"/>
                <w:szCs w:val="16"/>
                <w:color w:val="auto"/>
              </w:rPr>
              <w:t>Keegan</w:t>
            </w:r>
            <w:r>
              <w:rPr>
                <w:rFonts w:ascii="Arial" w:cs="Arial" w:eastAsia="Arial" w:hAnsi="Arial"/>
                <w:sz w:val="17"/>
                <w:szCs w:val="17"/>
                <w:color w:val="auto"/>
                <w:vertAlign w:val="superscript"/>
              </w:rPr>
              <w:t>+</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400" w:type="dxa"/>
            <w:vAlign w:val="bottom"/>
          </w:tcPr>
          <w:p>
            <w:pPr>
              <w:spacing w:after="0"/>
              <w:rPr>
                <w:sz w:val="20"/>
                <w:szCs w:val="20"/>
                <w:color w:val="auto"/>
              </w:rPr>
            </w:pPr>
            <w:r>
              <w:rPr>
                <w:rFonts w:ascii="Arial" w:cs="Arial" w:eastAsia="Arial" w:hAnsi="Arial"/>
                <w:sz w:val="16"/>
                <w:szCs w:val="16"/>
                <w:color w:val="auto"/>
              </w:rPr>
              <w:t>Chevy Humphrey</w:t>
            </w:r>
            <w:r>
              <w:rPr>
                <w:rFonts w:ascii="Arial" w:cs="Arial" w:eastAsia="Arial" w:hAnsi="Arial"/>
                <w:sz w:val="17"/>
                <w:szCs w:val="17"/>
                <w:color w:val="auto"/>
                <w:vertAlign w:val="superscript"/>
              </w:rPr>
              <w:t>+</w:t>
            </w:r>
          </w:p>
        </w:tc>
        <w:tc>
          <w:tcPr>
            <w:tcW w:w="540" w:type="dxa"/>
            <w:vAlign w:val="bottom"/>
          </w:tcPr>
          <w:p>
            <w:pPr>
              <w:ind w:left="200"/>
              <w:spacing w:after="0"/>
              <w:rPr>
                <w:sz w:val="20"/>
                <w:szCs w:val="20"/>
                <w:color w:val="auto"/>
              </w:rPr>
            </w:pPr>
            <w:r>
              <w:rPr>
                <w:rFonts w:ascii="Arial" w:cs="Arial" w:eastAsia="Arial" w:hAnsi="Arial"/>
                <w:sz w:val="16"/>
                <w:szCs w:val="16"/>
                <w:color w:val="auto"/>
              </w:rPr>
              <w:t>55</w:t>
            </w:r>
          </w:p>
        </w:tc>
        <w:tc>
          <w:tcPr>
            <w:tcW w:w="720" w:type="dxa"/>
            <w:vAlign w:val="bottom"/>
          </w:tcPr>
          <w:p>
            <w:pPr>
              <w:ind w:left="100"/>
              <w:spacing w:after="0"/>
              <w:rPr>
                <w:sz w:val="20"/>
                <w:szCs w:val="20"/>
                <w:color w:val="auto"/>
              </w:rPr>
            </w:pPr>
            <w:r>
              <w:rPr>
                <w:rFonts w:ascii="Arial" w:cs="Arial" w:eastAsia="Arial" w:hAnsi="Arial"/>
                <w:sz w:val="16"/>
                <w:szCs w:val="16"/>
                <w:color w:val="auto"/>
              </w:rPr>
              <w:t>2019</w:t>
            </w:r>
          </w:p>
        </w:tc>
        <w:tc>
          <w:tcPr>
            <w:tcW w:w="3140" w:type="dxa"/>
            <w:vAlign w:val="bottom"/>
          </w:tcPr>
          <w:p>
            <w:pPr>
              <w:ind w:left="80"/>
              <w:spacing w:after="0"/>
              <w:rPr>
                <w:sz w:val="20"/>
                <w:szCs w:val="20"/>
                <w:color w:val="auto"/>
              </w:rPr>
            </w:pPr>
            <w:r>
              <w:rPr>
                <w:rFonts w:ascii="Arial" w:cs="Arial" w:eastAsia="Arial" w:hAnsi="Arial"/>
                <w:sz w:val="16"/>
                <w:szCs w:val="16"/>
                <w:color w:val="auto"/>
                <w:w w:val="97"/>
              </w:rPr>
              <w:t>President and Chief Executive Officer of the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6"/>
                <w:szCs w:val="16"/>
                <w:color w:val="auto"/>
              </w:rPr>
              <w:t>Arizona Science Center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5" w:lineRule="exact"/>
        <w:rPr>
          <w:sz w:val="20"/>
          <w:szCs w:val="20"/>
          <w:color w:val="auto"/>
        </w:rPr>
      </w:pPr>
    </w:p>
    <w:p>
      <w:pPr>
        <w:ind w:left="360" w:hanging="31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w:t>
      </w:r>
    </w:p>
    <w:p>
      <w:pPr>
        <w:spacing w:after="0" w:line="23" w:lineRule="exact"/>
        <w:rPr>
          <w:sz w:val="20"/>
          <w:szCs w:val="20"/>
          <w:color w:val="auto"/>
        </w:rPr>
      </w:pPr>
    </w:p>
    <w:p>
      <w:pPr>
        <w:ind w:left="360" w:hanging="316"/>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360" w:hanging="316"/>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7" w:lineRule="exact"/>
        <w:rPr>
          <w:sz w:val="20"/>
          <w:szCs w:val="20"/>
          <w:color w:val="auto"/>
        </w:rPr>
      </w:pPr>
    </w:p>
    <w:p>
      <w:pPr>
        <w:ind w:left="360" w:hanging="316"/>
        <w:spacing w:after="0"/>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7"/>
          <w:szCs w:val="17"/>
          <w:color w:val="auto"/>
        </w:rPr>
        <w:t>= Audit Committee;</w:t>
      </w:r>
      <w:r>
        <w:rPr>
          <w:rFonts w:ascii="Arial" w:cs="Arial" w:eastAsia="Arial" w:hAnsi="Arial"/>
          <w:sz w:val="17"/>
          <w:szCs w:val="17"/>
          <w:b w:val="1"/>
          <w:bCs w:val="1"/>
          <w:color w:val="auto"/>
        </w:rPr>
        <w:t xml:space="preserve"> C=</w:t>
      </w:r>
      <w:r>
        <w:rPr>
          <w:rFonts w:ascii="Arial" w:cs="Arial" w:eastAsia="Arial" w:hAnsi="Arial"/>
          <w:sz w:val="17"/>
          <w:szCs w:val="17"/>
          <w:color w:val="auto"/>
        </w:rPr>
        <w:t>Compensation Committee; and</w:t>
      </w:r>
      <w:r>
        <w:rPr>
          <w:rFonts w:ascii="Arial" w:cs="Arial" w:eastAsia="Arial" w:hAnsi="Arial"/>
          <w:sz w:val="17"/>
          <w:szCs w:val="17"/>
          <w:b w:val="1"/>
          <w:bCs w:val="1"/>
          <w:color w:val="auto"/>
        </w:rPr>
        <w:t xml:space="preserve"> NCG</w:t>
      </w:r>
      <w:r>
        <w:rPr>
          <w:rFonts w:ascii="Arial" w:cs="Arial" w:eastAsia="Arial" w:hAnsi="Arial"/>
          <w:sz w:val="17"/>
          <w:szCs w:val="17"/>
          <w:color w:val="auto"/>
        </w:rPr>
        <w:t>=Nominating and Corporate Governance Committee</w:t>
      </w: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4460"/>
        <w:spacing w:after="0"/>
        <w:rPr>
          <w:rFonts w:ascii="Arial" w:cs="Arial" w:eastAsia="Arial" w:hAnsi="Arial"/>
          <w:sz w:val="17"/>
          <w:szCs w:val="17"/>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360" w:right="299" w:hanging="316"/>
        <w:spacing w:after="0" w:line="263"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David J. Johnson, a current director of the Company, currently serves as the chair of our Compensation Committee. In August 2019, Mr. Johnson notified the Company that he would not stand for re-election, and that his term as a director would end, at the 2020 annual stockholders meeting.</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78" w:lineRule="exact"/>
        <w:rPr>
          <w:sz w:val="20"/>
          <w:szCs w:val="20"/>
          <w:color w:val="auto"/>
        </w:rPr>
      </w:pPr>
    </w:p>
    <w:p>
      <w:pPr>
        <w:ind w:left="40" w:right="879" w:firstLine="648"/>
        <w:spacing w:after="0" w:line="308" w:lineRule="auto"/>
        <w:rPr>
          <w:sz w:val="20"/>
          <w:szCs w:val="20"/>
          <w:color w:val="auto"/>
        </w:rPr>
      </w:pPr>
      <w:r>
        <w:rPr>
          <w:rFonts w:ascii="Arial" w:cs="Arial" w:eastAsia="Arial" w:hAnsi="Arial"/>
          <w:sz w:val="17"/>
          <w:szCs w:val="17"/>
          <w:color w:val="auto"/>
        </w:rPr>
        <w:t>We believe that effective corporate governance is critical to our ability to create long term value for our stockholders. The following highlights certain key aspects of our corporate governance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76200</wp:posOffset>
            </wp:positionV>
            <wp:extent cx="55118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124" w:lineRule="exact"/>
        <w:rPr>
          <w:sz w:val="20"/>
          <w:szCs w:val="20"/>
          <w:color w:val="auto"/>
        </w:rPr>
      </w:pPr>
    </w:p>
    <w:p>
      <w:pPr>
        <w:jc w:val="both"/>
        <w:ind w:left="580" w:right="60"/>
        <w:spacing w:after="0" w:line="278" w:lineRule="auto"/>
        <w:rPr>
          <w:sz w:val="20"/>
          <w:szCs w:val="20"/>
          <w:color w:val="auto"/>
        </w:rPr>
      </w:pPr>
      <w:r>
        <w:rPr>
          <w:rFonts w:ascii="Arial" w:cs="Arial" w:eastAsia="Arial" w:hAnsi="Arial"/>
          <w:sz w:val="16"/>
          <w:szCs w:val="16"/>
          <w:b w:val="1"/>
          <w:bCs w:val="1"/>
          <w:i w:val="1"/>
          <w:iCs w:val="1"/>
          <w:color w:val="auto"/>
        </w:rPr>
        <w:t>We Have An Independent and Diverse Board</w:t>
      </w:r>
      <w:r>
        <w:rPr>
          <w:rFonts w:ascii="Arial" w:cs="Arial" w:eastAsia="Arial" w:hAnsi="Arial"/>
          <w:sz w:val="16"/>
          <w:szCs w:val="16"/>
          <w:color w:val="auto"/>
        </w:rPr>
        <w:t>. Four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five director nominees are independent. Three of our five director nominees are diverse persons.</w:t>
      </w:r>
    </w:p>
    <w:p>
      <w:pPr>
        <w:spacing w:after="0" w:line="171" w:lineRule="exact"/>
        <w:rPr>
          <w:sz w:val="20"/>
          <w:szCs w:val="20"/>
          <w:color w:val="auto"/>
        </w:rPr>
      </w:pPr>
    </w:p>
    <w:p>
      <w:pPr>
        <w:ind w:left="580" w:right="120"/>
        <w:spacing w:after="0" w:line="273" w:lineRule="auto"/>
        <w:rPr>
          <w:sz w:val="20"/>
          <w:szCs w:val="20"/>
          <w:color w:val="auto"/>
        </w:rPr>
      </w:pPr>
      <w:r>
        <w:rPr>
          <w:rFonts w:ascii="Arial" w:cs="Arial" w:eastAsia="Arial" w:hAnsi="Arial"/>
          <w:sz w:val="16"/>
          <w:szCs w:val="16"/>
          <w:b w:val="1"/>
          <w:bCs w:val="1"/>
          <w:i w:val="1"/>
          <w:iCs w:val="1"/>
          <w:color w:val="auto"/>
        </w:rPr>
        <w:t>We Have Majority Voting for Directors</w:t>
      </w:r>
      <w:r>
        <w:rPr>
          <w:rFonts w:ascii="Arial" w:cs="Arial" w:eastAsia="Arial" w:hAnsi="Arial"/>
          <w:sz w:val="16"/>
          <w:szCs w:val="16"/>
          <w:color w:val="auto"/>
        </w:rPr>
        <w:t>. We have adopted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voting for directors pursuant to which nominees who fail to achieve an affirmative majority of votes cast must submit their resignation.</w:t>
      </w:r>
    </w:p>
    <w:p>
      <w:pPr>
        <w:spacing w:after="0" w:line="175" w:lineRule="exact"/>
        <w:rPr>
          <w:sz w:val="20"/>
          <w:szCs w:val="20"/>
          <w:color w:val="auto"/>
        </w:rPr>
      </w:pPr>
    </w:p>
    <w:p>
      <w:pPr>
        <w:ind w:left="580"/>
        <w:spacing w:after="0" w:line="293" w:lineRule="auto"/>
        <w:rPr>
          <w:sz w:val="20"/>
          <w:szCs w:val="20"/>
          <w:color w:val="auto"/>
        </w:rPr>
      </w:pPr>
      <w:r>
        <w:rPr>
          <w:rFonts w:ascii="Arial" w:cs="Arial" w:eastAsia="Arial" w:hAnsi="Arial"/>
          <w:sz w:val="16"/>
          <w:szCs w:val="16"/>
          <w:b w:val="1"/>
          <w:bCs w:val="1"/>
          <w:i w:val="1"/>
          <w:iCs w:val="1"/>
          <w:color w:val="auto"/>
        </w:rPr>
        <w:t xml:space="preserve">We Hold Annual Elections for Directors. </w:t>
      </w:r>
      <w:r>
        <w:rPr>
          <w:rFonts w:ascii="Arial" w:cs="Arial" w:eastAsia="Arial" w:hAnsi="Arial"/>
          <w:sz w:val="16"/>
          <w:szCs w:val="16"/>
          <w:color w:val="auto"/>
        </w:rPr>
        <w:t>We do not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staggered board.</w:t>
      </w:r>
    </w:p>
    <w:p>
      <w:pPr>
        <w:spacing w:after="0" w:line="361" w:lineRule="exact"/>
        <w:rPr>
          <w:sz w:val="20"/>
          <w:szCs w:val="20"/>
          <w:color w:val="auto"/>
        </w:rPr>
      </w:pPr>
    </w:p>
    <w:p>
      <w:pPr>
        <w:ind w:left="580" w:right="500"/>
        <w:spacing w:after="0" w:line="328" w:lineRule="auto"/>
        <w:rPr>
          <w:sz w:val="20"/>
          <w:szCs w:val="20"/>
          <w:color w:val="auto"/>
        </w:rPr>
      </w:pPr>
      <w:r>
        <w:rPr>
          <w:rFonts w:ascii="Arial" w:cs="Arial" w:eastAsia="Arial" w:hAnsi="Arial"/>
          <w:sz w:val="15"/>
          <w:szCs w:val="15"/>
          <w:b w:val="1"/>
          <w:bCs w:val="1"/>
          <w:i w:val="1"/>
          <w:iCs w:val="1"/>
          <w:color w:val="auto"/>
        </w:rPr>
        <w:t>We Assess Board Performance</w:t>
      </w:r>
      <w:r>
        <w:rPr>
          <w:rFonts w:ascii="Arial" w:cs="Arial" w:eastAsia="Arial" w:hAnsi="Arial"/>
          <w:sz w:val="15"/>
          <w:szCs w:val="15"/>
          <w:color w:val="auto"/>
        </w:rPr>
        <w:t>. We conduct regular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evaluations of our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92710</wp:posOffset>
            </wp:positionV>
            <wp:extent cx="55118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1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79"/>
        <w:spacing w:after="0" w:line="335" w:lineRule="auto"/>
        <w:rPr>
          <w:sz w:val="20"/>
          <w:szCs w:val="20"/>
          <w:color w:val="auto"/>
        </w:rPr>
      </w:pPr>
      <w:r>
        <w:rPr>
          <w:rFonts w:ascii="Arial" w:cs="Arial" w:eastAsia="Arial" w:hAnsi="Arial"/>
          <w:sz w:val="14"/>
          <w:szCs w:val="14"/>
          <w:b w:val="1"/>
          <w:bCs w:val="1"/>
          <w:i w:val="1"/>
          <w:iCs w:val="1"/>
          <w:color w:val="auto"/>
        </w:rPr>
        <w:t>Our Independent Directors Meet Without Management</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independent directors meet regularly in executive sessions without management present.</w:t>
      </w:r>
    </w:p>
    <w:p>
      <w:pPr>
        <w:spacing w:after="0" w:line="136" w:lineRule="exact"/>
        <w:rPr>
          <w:sz w:val="20"/>
          <w:szCs w:val="20"/>
          <w:color w:val="auto"/>
        </w:rPr>
      </w:pPr>
    </w:p>
    <w:p>
      <w:pPr>
        <w:ind w:right="179"/>
        <w:spacing w:after="0" w:line="273" w:lineRule="auto"/>
        <w:rPr>
          <w:sz w:val="20"/>
          <w:szCs w:val="20"/>
          <w:color w:val="auto"/>
        </w:rPr>
      </w:pPr>
      <w:r>
        <w:rPr>
          <w:rFonts w:ascii="Arial" w:cs="Arial" w:eastAsia="Arial" w:hAnsi="Arial"/>
          <w:sz w:val="16"/>
          <w:szCs w:val="16"/>
          <w:b w:val="1"/>
          <w:bCs w:val="1"/>
          <w:i w:val="1"/>
          <w:iCs w:val="1"/>
          <w:color w:val="auto"/>
        </w:rPr>
        <w:t>We Have a Stock Ownership Policy</w:t>
      </w:r>
      <w:r>
        <w:rPr>
          <w:rFonts w:ascii="Arial" w:cs="Arial" w:eastAsia="Arial" w:hAnsi="Arial"/>
          <w:sz w:val="16"/>
          <w:szCs w:val="16"/>
          <w:color w:val="auto"/>
        </w:rPr>
        <w:t>. We require both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executive officers and our directors to maintain a meaningful ownership stake at levels specified in our stock ownership policy.</w:t>
      </w:r>
    </w:p>
    <w:p>
      <w:pPr>
        <w:spacing w:after="0" w:line="175" w:lineRule="exact"/>
        <w:rPr>
          <w:sz w:val="20"/>
          <w:szCs w:val="20"/>
          <w:color w:val="auto"/>
        </w:rPr>
      </w:pPr>
    </w:p>
    <w:p>
      <w:pPr>
        <w:jc w:val="both"/>
        <w:ind w:right="419"/>
        <w:spacing w:after="0" w:line="305" w:lineRule="auto"/>
        <w:rPr>
          <w:sz w:val="20"/>
          <w:szCs w:val="20"/>
          <w:color w:val="auto"/>
        </w:rPr>
      </w:pPr>
      <w:r>
        <w:rPr>
          <w:rFonts w:ascii="Arial" w:cs="Arial" w:eastAsia="Arial" w:hAnsi="Arial"/>
          <w:sz w:val="15"/>
          <w:szCs w:val="15"/>
          <w:b w:val="1"/>
          <w:bCs w:val="1"/>
          <w:i w:val="1"/>
          <w:iCs w:val="1"/>
          <w:color w:val="auto"/>
        </w:rPr>
        <w:t>Our Key Committees are Independent</w:t>
      </w:r>
      <w:r>
        <w:rPr>
          <w:rFonts w:ascii="Arial" w:cs="Arial" w:eastAsia="Arial" w:hAnsi="Arial"/>
          <w:sz w:val="15"/>
          <w:szCs w:val="15"/>
          <w:color w:val="auto"/>
        </w:rPr>
        <w:t>. We have fully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 Audit, Compensation and Nominating and Corporate Governance Committees.</w:t>
      </w:r>
    </w:p>
    <w:p>
      <w:pPr>
        <w:spacing w:after="0" w:line="152" w:lineRule="exact"/>
        <w:rPr>
          <w:sz w:val="20"/>
          <w:szCs w:val="20"/>
          <w:color w:val="auto"/>
        </w:rPr>
      </w:pPr>
    </w:p>
    <w:p>
      <w:pPr>
        <w:ind w:right="359"/>
        <w:spacing w:after="0" w:line="293" w:lineRule="auto"/>
        <w:rPr>
          <w:sz w:val="20"/>
          <w:szCs w:val="20"/>
          <w:color w:val="auto"/>
        </w:rPr>
      </w:pPr>
      <w:r>
        <w:rPr>
          <w:rFonts w:ascii="Arial" w:cs="Arial" w:eastAsia="Arial" w:hAnsi="Arial"/>
          <w:sz w:val="16"/>
          <w:szCs w:val="16"/>
          <w:b w:val="1"/>
          <w:bCs w:val="1"/>
          <w:i w:val="1"/>
          <w:iCs w:val="1"/>
          <w:color w:val="auto"/>
        </w:rPr>
        <w:t xml:space="preserve">We Do Not Have a “Poison Pill.” </w:t>
      </w:r>
      <w:r>
        <w:rPr>
          <w:rFonts w:ascii="Arial" w:cs="Arial" w:eastAsia="Arial" w:hAnsi="Arial"/>
          <w:sz w:val="16"/>
          <w:szCs w:val="16"/>
          <w:color w:val="auto"/>
        </w:rPr>
        <w:t>We do not maintain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rights plan.</w:t>
      </w:r>
    </w:p>
    <w:p>
      <w:pPr>
        <w:spacing w:after="0" w:line="222" w:lineRule="exact"/>
        <w:rPr>
          <w:sz w:val="20"/>
          <w:szCs w:val="20"/>
          <w:color w:val="auto"/>
        </w:rPr>
      </w:pPr>
    </w:p>
    <w:p>
      <w:pPr>
        <w:sectPr>
          <w:pgSz w:w="11900" w:h="16838" w:orient="portrait"/>
          <w:cols w:equalWidth="0" w:num="2">
            <w:col w:w="4460" w:space="560"/>
            <w:col w:w="3999"/>
          </w:cols>
          <w:pgMar w:left="1440" w:top="125" w:right="1440"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SOCIAL RESPONSIBILITY</w:t>
      </w:r>
    </w:p>
    <w:p>
      <w:pPr>
        <w:spacing w:after="0" w:line="229" w:lineRule="exact"/>
        <w:rPr>
          <w:sz w:val="20"/>
          <w:szCs w:val="20"/>
          <w:color w:val="auto"/>
        </w:rPr>
      </w:pPr>
    </w:p>
    <w:p>
      <w:pPr>
        <w:ind w:left="40" w:right="299" w:firstLine="648"/>
        <w:spacing w:after="0" w:line="263" w:lineRule="auto"/>
        <w:rPr>
          <w:sz w:val="20"/>
          <w:szCs w:val="20"/>
          <w:color w:val="auto"/>
        </w:rPr>
      </w:pPr>
      <w:r>
        <w:rPr>
          <w:rFonts w:ascii="Arial" w:cs="Arial" w:eastAsia="Arial" w:hAnsi="Arial"/>
          <w:sz w:val="18"/>
          <w:szCs w:val="18"/>
          <w:color w:val="auto"/>
        </w:rPr>
        <w:t>The Company places tremendous value on attracting, developing and retaining talented employees by affording them an interesting and engaging work experience and opportunities for meaningful involvement in the surrounding community. Among the activities in which we and our employees participate are:</w:t>
      </w:r>
    </w:p>
    <w:p>
      <w:pPr>
        <w:sectPr>
          <w:pgSz w:w="11900" w:h="16838" w:orient="portrait"/>
          <w:cols w:equalWidth="0" w:num="1">
            <w:col w:w="9019"/>
          </w:cols>
          <w:pgMar w:left="1440" w:top="125" w:right="1440" w:bottom="1440" w:gutter="0" w:footer="0" w:header="0"/>
        </w:sectPr>
      </w:pPr>
    </w:p>
    <w:p>
      <w:pPr>
        <w:spacing w:after="0" w:line="197" w:lineRule="exact"/>
        <w:rPr>
          <w:sz w:val="20"/>
          <w:szCs w:val="20"/>
          <w:color w:val="auto"/>
        </w:rPr>
      </w:pPr>
    </w:p>
    <w:p>
      <w:pPr>
        <w:ind w:left="620"/>
        <w:spacing w:after="0" w:line="291" w:lineRule="auto"/>
        <w:rPr>
          <w:sz w:val="20"/>
          <w:szCs w:val="20"/>
          <w:color w:val="auto"/>
        </w:rPr>
      </w:pPr>
      <w:r>
        <w:rPr>
          <w:rFonts w:ascii="Arial" w:cs="Arial" w:eastAsia="Arial" w:hAnsi="Arial"/>
          <w:sz w:val="16"/>
          <w:szCs w:val="16"/>
          <w:b w:val="1"/>
          <w:bCs w:val="1"/>
          <w:i w:val="1"/>
          <w:iCs w:val="1"/>
          <w:color w:val="auto"/>
        </w:rPr>
        <w:t>Improving Our Neighborhood</w:t>
      </w:r>
      <w:r>
        <w:rPr>
          <w:rFonts w:ascii="Arial" w:cs="Arial" w:eastAsia="Arial" w:hAnsi="Arial"/>
          <w:sz w:val="16"/>
          <w:szCs w:val="16"/>
          <w:color w:val="auto"/>
        </w:rPr>
        <w:t>. Together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Habitat for Humanity and in concert with our largest university partner, we are participating in the largest home renovation project in the country in the West Phoenix area surrounding our most significant university partner’s campus. As of December 31, 2019, 285 different projects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-990600</wp:posOffset>
            </wp:positionV>
            <wp:extent cx="56578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8" w:lineRule="exact"/>
        <w:rPr>
          <w:sz w:val="20"/>
          <w:szCs w:val="20"/>
          <w:color w:val="auto"/>
        </w:rPr>
      </w:pPr>
    </w:p>
    <w:p>
      <w:pPr>
        <w:ind w:left="620"/>
        <w:spacing w:after="0" w:line="287" w:lineRule="auto"/>
        <w:rPr>
          <w:sz w:val="20"/>
          <w:szCs w:val="20"/>
          <w:color w:val="auto"/>
        </w:rPr>
      </w:pPr>
      <w:r>
        <w:rPr>
          <w:rFonts w:ascii="Arial" w:cs="Arial" w:eastAsia="Arial" w:hAnsi="Arial"/>
          <w:sz w:val="16"/>
          <w:szCs w:val="16"/>
          <w:b w:val="1"/>
          <w:bCs w:val="1"/>
          <w:i w:val="1"/>
          <w:iCs w:val="1"/>
          <w:color w:val="auto"/>
        </w:rPr>
        <w:t>Furthering Job Creation</w:t>
      </w:r>
      <w:r>
        <w:rPr>
          <w:rFonts w:ascii="Arial" w:cs="Arial" w:eastAsia="Arial" w:hAnsi="Arial"/>
          <w:sz w:val="16"/>
          <w:szCs w:val="16"/>
          <w:color w:val="auto"/>
        </w:rPr>
        <w:t>. At December 31,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employed approximately 4,350 persons (including 950 part-time employees and student workers), which is approximately four times more persons than were employed by GCE in comparable positions ten years ago. We have launched a number of new business enterprises that have reduced costs for our most significant university partner, provided management opportunities for recent graduates and employment opportunities for students and neighborhood residents, while spurring economic growth in the area.</w:t>
      </w:r>
    </w:p>
    <w:p>
      <w:pPr>
        <w:spacing w:after="0" w:line="56" w:lineRule="exact"/>
        <w:rPr>
          <w:sz w:val="20"/>
          <w:szCs w:val="20"/>
          <w:color w:val="auto"/>
        </w:rPr>
      </w:pPr>
    </w:p>
    <w:p>
      <w:pPr>
        <w:ind w:left="620" w:right="80"/>
        <w:spacing w:after="0" w:line="271" w:lineRule="auto"/>
        <w:rPr>
          <w:sz w:val="20"/>
          <w:szCs w:val="20"/>
          <w:color w:val="auto"/>
        </w:rPr>
      </w:pPr>
      <w:r>
        <w:rPr>
          <w:rFonts w:ascii="Arial" w:cs="Arial" w:eastAsia="Arial" w:hAnsi="Arial"/>
          <w:sz w:val="17"/>
          <w:szCs w:val="17"/>
          <w:b w:val="1"/>
          <w:bCs w:val="1"/>
          <w:color w:val="auto"/>
        </w:rPr>
        <w:t xml:space="preserve">Working to Mitigate Coronavirus. </w:t>
      </w:r>
      <w:r>
        <w:rPr>
          <w:rFonts w:ascii="Arial" w:cs="Arial" w:eastAsia="Arial" w:hAnsi="Arial"/>
          <w:sz w:val="17"/>
          <w:szCs w:val="17"/>
          <w:color w:val="auto"/>
        </w:rPr>
        <w:t>GCE has</w:t>
      </w:r>
      <w:r>
        <w:rPr>
          <w:rFonts w:ascii="Arial" w:cs="Arial" w:eastAsia="Arial" w:hAnsi="Arial"/>
          <w:sz w:val="17"/>
          <w:szCs w:val="17"/>
          <w:b w:val="1"/>
          <w:bCs w:val="1"/>
          <w:color w:val="auto"/>
        </w:rPr>
        <w:t xml:space="preserve"> </w:t>
      </w:r>
      <w:r>
        <w:rPr>
          <w:rFonts w:ascii="Arial" w:cs="Arial" w:eastAsia="Arial" w:hAnsi="Arial"/>
          <w:sz w:val="17"/>
          <w:szCs w:val="17"/>
          <w:color w:val="auto"/>
        </w:rPr>
        <w:t>taken numerous steps to protect our employees and mitigate the spread of the virus, including implementation of remote work arrangements, restrictions on employee travel, and guidance to those employees experiencing symptoms. We are continuing to communicate with government and health officials, and we will adapt our efforts and responses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79"/>
        <w:spacing w:after="0" w:line="291" w:lineRule="auto"/>
        <w:rPr>
          <w:sz w:val="20"/>
          <w:szCs w:val="20"/>
          <w:color w:val="auto"/>
        </w:rPr>
      </w:pPr>
      <w:r>
        <w:rPr>
          <w:rFonts w:ascii="Arial" w:cs="Arial" w:eastAsia="Arial" w:hAnsi="Arial"/>
          <w:sz w:val="16"/>
          <w:szCs w:val="16"/>
          <w:b w:val="1"/>
          <w:bCs w:val="1"/>
          <w:i w:val="1"/>
          <w:iCs w:val="1"/>
          <w:color w:val="auto"/>
        </w:rPr>
        <w:t>Continuing Community Involvement</w:t>
      </w:r>
      <w:r>
        <w:rPr>
          <w:rFonts w:ascii="Arial" w:cs="Arial" w:eastAsia="Arial" w:hAnsi="Arial"/>
          <w:sz w:val="16"/>
          <w:szCs w:val="16"/>
          <w:color w:val="auto"/>
        </w:rPr>
        <w:t>. GCE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spacing w:after="0" w:line="58" w:lineRule="exact"/>
        <w:rPr>
          <w:sz w:val="20"/>
          <w:szCs w:val="20"/>
          <w:color w:val="auto"/>
        </w:rPr>
      </w:pPr>
    </w:p>
    <w:p>
      <w:pPr>
        <w:ind w:right="179"/>
        <w:spacing w:after="0" w:line="254" w:lineRule="auto"/>
        <w:rPr>
          <w:sz w:val="20"/>
          <w:szCs w:val="20"/>
          <w:color w:val="auto"/>
        </w:rPr>
      </w:pPr>
      <w:r>
        <w:rPr>
          <w:rFonts w:ascii="Arial" w:cs="Arial" w:eastAsia="Arial" w:hAnsi="Arial"/>
          <w:sz w:val="18"/>
          <w:szCs w:val="18"/>
          <w:b w:val="1"/>
          <w:bCs w:val="1"/>
          <w:i w:val="1"/>
          <w:iCs w:val="1"/>
          <w:color w:val="auto"/>
        </w:rPr>
        <w:t>Encouraging Employee Giving</w:t>
      </w:r>
      <w:r>
        <w:rPr>
          <w:rFonts w:ascii="Arial" w:cs="Arial" w:eastAsia="Arial" w:hAnsi="Arial"/>
          <w:sz w:val="18"/>
          <w:szCs w:val="18"/>
          <w:color w:val="auto"/>
        </w:rPr>
        <w:t>. We participate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Donate to Elevate, a program that encourages employees to contribute money in lieu of state income tax payments to benefit private schools in Arizona and the partnership with Habitat for Humanity, as well as local public schools and public charter schools.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79"/>
        <w:spacing w:after="0" w:line="254" w:lineRule="auto"/>
        <w:rPr>
          <w:sz w:val="20"/>
          <w:szCs w:val="20"/>
          <w:color w:val="auto"/>
        </w:rPr>
      </w:pPr>
      <w:r>
        <w:rPr>
          <w:rFonts w:ascii="Arial" w:cs="Arial" w:eastAsia="Arial" w:hAnsi="Arial"/>
          <w:sz w:val="18"/>
          <w:szCs w:val="18"/>
          <w:b w:val="1"/>
          <w:bCs w:val="1"/>
          <w:i w:val="1"/>
          <w:iCs w:val="1"/>
          <w:color w:val="auto"/>
        </w:rPr>
        <w:t>Funding of Student Tuition Organizations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contributes to private school tuition organizations and in 2019 increased its annual contribution to $4.0 million from $3.7 million in 2018. Financial contributions are allocated toward tuition assistance and awarding low income Arizona students with scholarships to attend Arizona private schools.</w:t>
      </w:r>
    </w:p>
    <w:p>
      <w:pPr>
        <w:spacing w:after="0" w:line="421" w:lineRule="exact"/>
        <w:rPr>
          <w:sz w:val="20"/>
          <w:szCs w:val="20"/>
          <w:color w:val="auto"/>
        </w:rPr>
      </w:pPr>
    </w:p>
    <w:p>
      <w:pPr>
        <w:sectPr>
          <w:pgSz w:w="11900" w:h="16838" w:orient="portrait"/>
          <w:cols w:equalWidth="0" w:num="2">
            <w:col w:w="4380" w:space="680"/>
            <w:col w:w="3959"/>
          </w:cols>
          <w:pgMar w:left="1440" w:top="125" w:right="1440"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i w:val="1"/>
          <w:iCs w:val="1"/>
          <w:color w:val="auto"/>
        </w:rPr>
        <w:t>Our Diverse Workforce</w:t>
      </w:r>
    </w:p>
    <w:p>
      <w:pPr>
        <w:spacing w:after="0" w:line="225" w:lineRule="exact"/>
        <w:rPr>
          <w:sz w:val="20"/>
          <w:szCs w:val="20"/>
          <w:color w:val="auto"/>
        </w:rPr>
      </w:pPr>
    </w:p>
    <w:p>
      <w:pPr>
        <w:ind w:left="40" w:right="399" w:firstLine="648"/>
        <w:spacing w:after="0" w:line="301" w:lineRule="auto"/>
        <w:rPr>
          <w:sz w:val="20"/>
          <w:szCs w:val="20"/>
          <w:color w:val="auto"/>
        </w:rPr>
      </w:pPr>
      <w:r>
        <w:rPr>
          <w:rFonts w:ascii="Arial" w:cs="Arial" w:eastAsia="Arial" w:hAnsi="Arial"/>
          <w:sz w:val="16"/>
          <w:szCs w:val="16"/>
          <w:color w:val="auto"/>
        </w:rPr>
        <w:t>The Company believes that it must have the best talent, including individuals who possess a diverse range of experiences, backgrounds and skills that enable it to anticipate and meet the needs of the business and those of our university partners. Over time, we have hired, developed and retained a diverse workforce that reflects our surrounding community and that is a key component in the Company’s success and an important part of the Company’s culture.</w:t>
      </w:r>
    </w:p>
    <w:p>
      <w:pPr>
        <w:spacing w:after="0" w:line="157"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Our ability to attract, develop and retain diverse talent is reflected at both the Board and management levels. Our five director nominees include three diverse persons. In addition, of our top 497 positions in the Company, nearly 64% are held by women and other diverse persons, collectively.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ENVIRONMENTAL AWARENESS</w:t>
      </w:r>
    </w:p>
    <w:p>
      <w:pPr>
        <w:spacing w:after="0" w:line="229"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 Company owns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p>
      <w:pPr>
        <w:sectPr>
          <w:pgSz w:w="11900" w:h="16838" w:orient="portrait"/>
          <w:cols w:equalWidth="0" w:num="1">
            <w:col w:w="9019"/>
          </w:cols>
          <w:pgMar w:left="1440" w:top="125" w:right="1440" w:bottom="1440" w:gutter="0" w:footer="0" w:header="0"/>
        </w:sectPr>
      </w:pPr>
    </w:p>
    <w:p>
      <w:pPr>
        <w:spacing w:after="0" w:line="185" w:lineRule="exact"/>
        <w:rPr>
          <w:sz w:val="20"/>
          <w:szCs w:val="20"/>
          <w:color w:val="auto"/>
        </w:rPr>
      </w:pPr>
    </w:p>
    <w:p>
      <w:pPr>
        <w:ind w:left="620" w:right="120"/>
        <w:spacing w:after="0" w:line="272" w:lineRule="auto"/>
        <w:rPr>
          <w:sz w:val="20"/>
          <w:szCs w:val="20"/>
          <w:color w:val="auto"/>
        </w:rPr>
      </w:pPr>
      <w:r>
        <w:rPr>
          <w:rFonts w:ascii="Arial" w:cs="Arial" w:eastAsia="Arial" w:hAnsi="Arial"/>
          <w:sz w:val="17"/>
          <w:szCs w:val="17"/>
          <w:b w:val="1"/>
          <w:bCs w:val="1"/>
          <w:i w:val="1"/>
          <w:iCs w:val="1"/>
          <w:color w:val="auto"/>
        </w:rPr>
        <w:t>North/South Building Orientation</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office building is orientated with north/south exposure in order to minimize direct sun and thereby reduce power usage. Exterior courtyards were arranged to ensure summer shade thus creating outdoor areas that can be used by our employees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-983615</wp:posOffset>
            </wp:positionV>
            <wp:extent cx="5657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20"/>
        <w:spacing w:after="0" w:line="272" w:lineRule="auto"/>
        <w:rPr>
          <w:sz w:val="20"/>
          <w:szCs w:val="20"/>
          <w:color w:val="auto"/>
        </w:rPr>
      </w:pPr>
      <w:r>
        <w:rPr>
          <w:rFonts w:ascii="Arial" w:cs="Arial" w:eastAsia="Arial" w:hAnsi="Arial"/>
          <w:sz w:val="17"/>
          <w:szCs w:val="17"/>
          <w:b w:val="1"/>
          <w:bCs w:val="1"/>
          <w:i w:val="1"/>
          <w:iCs w:val="1"/>
          <w:color w:val="auto"/>
        </w:rPr>
        <w:t>Use of Window Glazing</w:t>
      </w:r>
      <w:r>
        <w:rPr>
          <w:rFonts w:ascii="Arial" w:cs="Arial" w:eastAsia="Arial" w:hAnsi="Arial"/>
          <w:sz w:val="17"/>
          <w:szCs w:val="17"/>
          <w:color w:val="auto"/>
        </w:rPr>
        <w:t>. Our building utilizes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19"/>
        <w:spacing w:after="0" w:line="253" w:lineRule="auto"/>
        <w:rPr>
          <w:sz w:val="20"/>
          <w:szCs w:val="20"/>
          <w:color w:val="auto"/>
        </w:rPr>
      </w:pPr>
      <w:r>
        <w:rPr>
          <w:rFonts w:ascii="Arial" w:cs="Arial" w:eastAsia="Arial" w:hAnsi="Arial"/>
          <w:sz w:val="18"/>
          <w:szCs w:val="18"/>
          <w:b w:val="1"/>
          <w:bCs w:val="1"/>
          <w:i w:val="1"/>
          <w:iCs w:val="1"/>
          <w:color w:val="auto"/>
        </w:rPr>
        <w:t>Reducing Water Consumption</w:t>
      </w:r>
      <w:r>
        <w:rPr>
          <w:rFonts w:ascii="Arial" w:cs="Arial" w:eastAsia="Arial" w:hAnsi="Arial"/>
          <w:sz w:val="18"/>
          <w:szCs w:val="18"/>
          <w:color w:val="auto"/>
        </w:rPr>
        <w:t>. Water usage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another environmental factor for office space that is magnified by the Arizona sun. The Company’s office building utilizes numerous water conservation methods including push-tap faucets, waterless urinals, and a rooftop rain water collection system for irrigating the landscaping below, which significantly reduces our water consumption.</w:t>
      </w:r>
    </w:p>
    <w:p>
      <w:pPr>
        <w:spacing w:after="0" w:line="88" w:lineRule="exact"/>
        <w:rPr>
          <w:sz w:val="20"/>
          <w:szCs w:val="20"/>
          <w:color w:val="auto"/>
        </w:rPr>
      </w:pPr>
    </w:p>
    <w:p>
      <w:pPr>
        <w:ind w:right="339"/>
        <w:spacing w:after="0" w:line="273" w:lineRule="auto"/>
        <w:rPr>
          <w:sz w:val="20"/>
          <w:szCs w:val="20"/>
          <w:color w:val="auto"/>
        </w:rPr>
      </w:pPr>
      <w:r>
        <w:rPr>
          <w:rFonts w:ascii="Arial" w:cs="Arial" w:eastAsia="Arial" w:hAnsi="Arial"/>
          <w:sz w:val="17"/>
          <w:szCs w:val="17"/>
          <w:b w:val="1"/>
          <w:bCs w:val="1"/>
          <w:i w:val="1"/>
          <w:iCs w:val="1"/>
          <w:color w:val="auto"/>
        </w:rPr>
        <w:t>Other Design Features</w:t>
      </w:r>
      <w:r>
        <w:rPr>
          <w:rFonts w:ascii="Arial" w:cs="Arial" w:eastAsia="Arial" w:hAnsi="Arial"/>
          <w:sz w:val="17"/>
          <w:szCs w:val="17"/>
          <w:color w:val="auto"/>
        </w:rPr>
        <w:t>. Additional environment-friendly design features include low VOC paints, use of recycled building materials, interior and exterior LED light bulbs, motion sensor lighting and implementation of an energy-efficient VRF mechanical system.</w:t>
      </w:r>
    </w:p>
    <w:p>
      <w:pPr>
        <w:spacing w:after="0" w:line="407" w:lineRule="exact"/>
        <w:rPr>
          <w:sz w:val="20"/>
          <w:szCs w:val="20"/>
          <w:color w:val="auto"/>
        </w:rPr>
      </w:pPr>
    </w:p>
    <w:p>
      <w:pPr>
        <w:sectPr>
          <w:pgSz w:w="11900" w:h="16838" w:orient="portrait"/>
          <w:cols w:equalWidth="0" w:num="2">
            <w:col w:w="4380" w:space="680"/>
            <w:col w:w="3959"/>
          </w:cols>
          <w:pgMar w:left="1440" w:top="125" w:right="1440" w:bottom="1440" w:gutter="0" w:footer="0" w:header="0"/>
          <w:type w:val="continuous"/>
        </w:sectPr>
      </w:pPr>
    </w:p>
    <w:p>
      <w:pPr>
        <w:ind w:left="40" w:right="379"/>
        <w:spacing w:after="0" w:line="258" w:lineRule="auto"/>
        <w:rPr>
          <w:sz w:val="20"/>
          <w:szCs w:val="20"/>
          <w:color w:val="auto"/>
        </w:rPr>
      </w:pPr>
      <w:r>
        <w:rPr>
          <w:rFonts w:ascii="Arial" w:cs="Arial" w:eastAsia="Arial" w:hAnsi="Arial"/>
          <w:sz w:val="18"/>
          <w:szCs w:val="18"/>
          <w:color w:val="auto"/>
        </w:rPr>
        <w:t>In addition to its efficient facilities, the Company has undertaken other measures to minimize its environmental impact, including, among others:</w:t>
      </w:r>
    </w:p>
    <w:p>
      <w:pPr>
        <w:spacing w:after="0" w:line="1" w:lineRule="exact"/>
        <w:rPr>
          <w:sz w:val="20"/>
          <w:szCs w:val="20"/>
          <w:color w:val="auto"/>
        </w:rPr>
      </w:pPr>
    </w:p>
    <w:p>
      <w:pPr>
        <w:ind w:left="700" w:right="79" w:hanging="332"/>
        <w:spacing w:after="0" w:line="250"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a Trip Reduction Program, which provides incentives to employees who participate in carpooling or take public transportation to work;</w:t>
      </w: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a telecommute option for a significant number of positions; and</w:t>
      </w:r>
    </w:p>
    <w:p>
      <w:pPr>
        <w:spacing w:after="0" w:line="9" w:lineRule="exact"/>
        <w:rPr>
          <w:rFonts w:ascii="Arial" w:cs="Arial" w:eastAsia="Arial" w:hAnsi="Arial"/>
          <w:sz w:val="18"/>
          <w:szCs w:val="18"/>
          <w:color w:val="auto"/>
        </w:rPr>
      </w:pPr>
    </w:p>
    <w:p>
      <w:pPr>
        <w:ind w:left="700" w:right="799" w:hanging="332"/>
        <w:spacing w:after="0" w:line="260"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participating in a recycling program aimed at minimizing the volume of waste products generated by the Company.</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9"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 xml:space="preserve">Please see the </w:t>
      </w:r>
      <w:r>
        <w:rPr>
          <w:rFonts w:ascii="Arial" w:cs="Arial" w:eastAsia="Arial" w:hAnsi="Arial"/>
          <w:sz w:val="18"/>
          <w:szCs w:val="18"/>
          <w:i w:val="1"/>
          <w:iCs w:val="1"/>
          <w:color w:val="auto"/>
        </w:rPr>
        <w:t>General Information</w:t>
      </w:r>
      <w:r>
        <w:rPr>
          <w:rFonts w:ascii="Arial" w:cs="Arial" w:eastAsia="Arial" w:hAnsi="Arial"/>
          <w:sz w:val="18"/>
          <w:szCs w:val="18"/>
          <w:color w:val="auto"/>
        </w:rPr>
        <w:t xml:space="preserve"> section for important information about the proxy materials, voting, the annual meeting, Company documents, communications and the deadlines to submit stockholder proposals and director nominees for the 2020 Annual Meeting of Stockholders. Additional questions may be directed to our Corporate Counsel, Grand Canyon Education, Inc., 2600 W. Camelback Road, Phoenix, Arizona 85017.</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Learn More About Our Company</w:t>
      </w:r>
    </w:p>
    <w:p>
      <w:pPr>
        <w:spacing w:after="0" w:line="229"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 xml:space="preserve">You can learn more about the Company, view our governance materials and much more by visiting our website, </w:t>
      </w:r>
      <w:r>
        <w:rPr>
          <w:rFonts w:ascii="Arial" w:cs="Arial" w:eastAsia="Arial" w:hAnsi="Arial"/>
          <w:sz w:val="18"/>
          <w:szCs w:val="18"/>
          <w:i w:val="1"/>
          <w:iCs w:val="1"/>
          <w:color w:val="auto"/>
        </w:rPr>
        <w:t>www.gce.com</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2600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74295</wp:posOffset>
            </wp:positionV>
            <wp:extent cx="1423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85725</wp:posOffset>
            </wp:positionV>
            <wp:extent cx="14230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left="40" w:right="119" w:firstLine="648"/>
        <w:spacing w:after="0" w:line="311" w:lineRule="auto"/>
        <w:rPr>
          <w:sz w:val="20"/>
          <w:szCs w:val="20"/>
          <w:color w:val="auto"/>
        </w:rPr>
      </w:pPr>
      <w:r>
        <w:rPr>
          <w:rFonts w:ascii="Arial" w:cs="Arial" w:eastAsia="Arial" w:hAnsi="Arial"/>
          <w:sz w:val="16"/>
          <w:szCs w:val="16"/>
          <w:color w:val="auto"/>
        </w:rPr>
        <w:t>The enclosed proxy is being solicited by our Board of Directors for use in connection with the Annual Meeting to be held on Thursday, June 11, 2020, at the offices of Grand Canyon Education, Inc. located at 2600 W. Camelback Road, Phoenix, Arizona 85017, commencing at 9:00 a.m., Arizona time, and at any adjournment or postponement thereof.</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Notice of Internet Availability</w:t>
      </w:r>
    </w:p>
    <w:p>
      <w:pPr>
        <w:spacing w:after="0" w:line="229"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April 29, 2020,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6"/>
          <w:szCs w:val="16"/>
          <w:i w:val="1"/>
          <w:iCs w:val="1"/>
          <w:color w:val="auto"/>
        </w:rPr>
        <w:t xml:space="preserve">www.edocumentview.com/LOPE </w:t>
      </w:r>
      <w:r>
        <w:rPr>
          <w:rFonts w:ascii="Arial" w:cs="Arial" w:eastAsia="Arial" w:hAnsi="Arial"/>
          <w:sz w:val="16"/>
          <w:szCs w:val="16"/>
          <w:color w:val="auto"/>
        </w:rPr>
        <w:t>or the Company’s Investor Relations website at</w:t>
      </w:r>
      <w:r>
        <w:rPr>
          <w:rFonts w:ascii="Arial" w:cs="Arial" w:eastAsia="Arial" w:hAnsi="Arial"/>
          <w:sz w:val="16"/>
          <w:szCs w:val="16"/>
          <w:i w:val="1"/>
          <w:iCs w:val="1"/>
          <w:color w:val="auto"/>
        </w:rPr>
        <w:t xml:space="preserve"> www.gce.com</w:t>
      </w:r>
      <w:r>
        <w:rPr>
          <w:rFonts w:ascii="Arial" w:cs="Arial" w:eastAsia="Arial" w:hAnsi="Arial"/>
          <w:sz w:val="16"/>
          <w:szCs w:val="16"/>
          <w:color w:val="auto"/>
        </w:rPr>
        <w: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Record Date and Quorum</w:t>
      </w:r>
    </w:p>
    <w:p>
      <w:pPr>
        <w:spacing w:after="0" w:line="229"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Only stockholders of record at the close of business on April 17, 2020, will be entitled to notice of and to vote at the Annual Meeting and any adjournment or postponement thereof. At the close of business on the record date, we had approximately 47,313,329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Submission of Proxies; Revocation</w:t>
      </w:r>
    </w:p>
    <w:p>
      <w:pPr>
        <w:spacing w:after="0" w:line="229"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Deadlines for Stockholder Proposals</w:t>
      </w:r>
    </w:p>
    <w:p>
      <w:pPr>
        <w:spacing w:after="0" w:line="229"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w:t>
      </w:r>
      <w:r>
        <w:rPr>
          <w:rFonts w:ascii="MS PGothic" w:cs="MS PGothic" w:eastAsia="MS PGothic" w:hAnsi="MS PGothic"/>
          <w:sz w:val="16"/>
          <w:szCs w:val="16"/>
          <w:color w:val="auto"/>
        </w:rPr>
        <w:t>‑</w:t>
      </w:r>
      <w:r>
        <w:rPr>
          <w:rFonts w:ascii="Arial" w:cs="Arial" w:eastAsia="Arial" w:hAnsi="Arial"/>
          <w:sz w:val="16"/>
          <w:szCs w:val="16"/>
          <w:color w:val="auto"/>
        </w:rPr>
        <w:t>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2021 Annual Meeting of Stockholders, the proposal must be received at our principal executive offices, addressed to our Secretary, not later than the close of business on December 28, 2020.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w:t>
      </w:r>
    </w:p>
    <w:p>
      <w:pPr>
        <w:spacing w:after="0" w:line="4" w:lineRule="exact"/>
        <w:rPr>
          <w:sz w:val="20"/>
          <w:szCs w:val="20"/>
          <w:color w:val="auto"/>
        </w:rPr>
      </w:pPr>
    </w:p>
    <w:p>
      <w:pPr>
        <w:ind w:left="40" w:right="119"/>
        <w:spacing w:after="0" w:line="251" w:lineRule="auto"/>
        <w:rPr>
          <w:sz w:val="20"/>
          <w:szCs w:val="20"/>
          <w:color w:val="auto"/>
        </w:rPr>
      </w:pPr>
      <w:r>
        <w:rPr>
          <w:rFonts w:ascii="Arial" w:cs="Arial" w:eastAsia="Arial" w:hAnsi="Arial"/>
          <w:sz w:val="18"/>
          <w:szCs w:val="18"/>
          <w:color w:val="auto"/>
        </w:rPr>
        <w:t>120</w:t>
      </w:r>
      <w:r>
        <w:rPr>
          <w:rFonts w:ascii="Arial" w:cs="Arial" w:eastAsia="Arial" w:hAnsi="Arial"/>
          <w:sz w:val="8"/>
          <w:szCs w:val="8"/>
          <w:color w:val="auto"/>
        </w:rPr>
        <w:t>th</w:t>
      </w:r>
      <w:r>
        <w:rPr>
          <w:rFonts w:ascii="Arial" w:cs="Arial" w:eastAsia="Arial" w:hAnsi="Arial"/>
          <w:sz w:val="18"/>
          <w:szCs w:val="18"/>
          <w:color w:val="auto"/>
        </w:rPr>
        <w:t xml:space="preserve"> day, nor later than the close of business on the 90</w:t>
      </w:r>
      <w:r>
        <w:rPr>
          <w:rFonts w:ascii="Arial" w:cs="Arial" w:eastAsia="Arial" w:hAnsi="Arial"/>
          <w:sz w:val="8"/>
          <w:szCs w:val="8"/>
          <w:color w:val="auto"/>
        </w:rPr>
        <w:t>th</w:t>
      </w:r>
      <w:r>
        <w:rPr>
          <w:rFonts w:ascii="Arial" w:cs="Arial" w:eastAsia="Arial" w:hAnsi="Arial"/>
          <w:sz w:val="18"/>
          <w:szCs w:val="18"/>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Arial" w:cs="Arial" w:eastAsia="Arial" w:hAnsi="Arial"/>
          <w:sz w:val="8"/>
          <w:szCs w:val="8"/>
          <w:color w:val="auto"/>
        </w:rPr>
        <w:t>th</w:t>
      </w:r>
      <w:r>
        <w:rPr>
          <w:rFonts w:ascii="Arial" w:cs="Arial" w:eastAsia="Arial" w:hAnsi="Arial"/>
          <w:sz w:val="18"/>
          <w:szCs w:val="18"/>
          <w:color w:val="auto"/>
        </w:rPr>
        <w:t xml:space="preserve"> day prior to the annual meeting or the 10</w:t>
      </w:r>
      <w:r>
        <w:rPr>
          <w:rFonts w:ascii="Arial" w:cs="Arial" w:eastAsia="Arial" w:hAnsi="Arial"/>
          <w:sz w:val="8"/>
          <w:szCs w:val="8"/>
          <w:color w:val="auto"/>
        </w:rPr>
        <w:t>th</w:t>
      </w:r>
      <w:r>
        <w:rPr>
          <w:rFonts w:ascii="Arial" w:cs="Arial" w:eastAsia="Arial" w:hAnsi="Arial"/>
          <w:sz w:val="18"/>
          <w:szCs w:val="18"/>
          <w:color w:val="auto"/>
        </w:rPr>
        <w:t xml:space="preserve"> day following the date on which public announcement of the date of such meeting is first made. For our 2021 Annual Meeting of Stockholders, proper notice of business that is not intended for inclusion in our proxy statement must be received not earlier than the close of business on February 11, 2021, nor later than the close of business on March 13, 2021.</w:t>
      </w:r>
    </w:p>
    <w:p>
      <w:pPr>
        <w:spacing w:after="0" w:line="197" w:lineRule="exact"/>
        <w:rPr>
          <w:sz w:val="20"/>
          <w:szCs w:val="20"/>
          <w:color w:val="auto"/>
        </w:rPr>
      </w:pPr>
    </w:p>
    <w:p>
      <w:pPr>
        <w:ind w:left="40" w:right="79" w:firstLine="648"/>
        <w:spacing w:after="0" w:line="283"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3). However, your record holder cannot vote your shares without your specific instructions on the election of directors (Proposal No. 1), or on matters related to executive compensation, including the advisory vote described below on the compensation of our named executive officers (Proposal No. 2).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encourage you to provide instructions to your bank, broker or other holder of record regarding the voting of your shares. </w:t>
      </w:r>
      <w:r>
        <w:rPr>
          <w:rFonts w:ascii="Arial" w:cs="Arial" w:eastAsia="Arial" w:hAnsi="Arial"/>
          <w:sz w:val="16"/>
          <w:szCs w:val="16"/>
          <w:color w:val="auto"/>
        </w:rPr>
        <w:t>Our stockholders have no dissenter’s or appraisal rights in connection with any of the proposals described herein.</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vote required to approve each of the proposals presented in this Proxy Statement is set forth below:</w:t>
      </w:r>
    </w:p>
    <w:p>
      <w:pPr>
        <w:spacing w:after="0" w:line="237" w:lineRule="exact"/>
        <w:rPr>
          <w:sz w:val="20"/>
          <w:szCs w:val="20"/>
          <w:color w:val="auto"/>
        </w:rPr>
      </w:pPr>
    </w:p>
    <w:p>
      <w:pPr>
        <w:ind w:left="1340" w:right="159" w:hanging="324"/>
        <w:spacing w:after="0" w:line="293" w:lineRule="auto"/>
        <w:tabs>
          <w:tab w:leader="none" w:pos="13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Election of Directors (Proposal No. 1)</w:t>
      </w:r>
      <w:r>
        <w:rPr>
          <w:rFonts w:ascii="Arial" w:cs="Arial" w:eastAsia="Arial" w:hAnsi="Arial"/>
          <w:sz w:val="16"/>
          <w:szCs w:val="16"/>
          <w:color w:val="auto"/>
        </w:rPr>
        <w:t>. The affirmative vote of a majority of the votes cast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a nominee is required for 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164" w:lineRule="exact"/>
        <w:rPr>
          <w:rFonts w:ascii="Arial" w:cs="Arial" w:eastAsia="Arial" w:hAnsi="Arial"/>
          <w:sz w:val="16"/>
          <w:szCs w:val="16"/>
          <w:color w:val="auto"/>
        </w:rPr>
      </w:pPr>
    </w:p>
    <w:p>
      <w:pPr>
        <w:ind w:left="1340" w:right="119" w:hanging="324"/>
        <w:spacing w:after="0" w:line="271" w:lineRule="auto"/>
        <w:tabs>
          <w:tab w:leader="none" w:pos="13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Approval, on an advisory basis, of the compensation of our named executive officers (Proposal No. 2). </w:t>
      </w:r>
      <w:r>
        <w:rPr>
          <w:rFonts w:ascii="Arial" w:cs="Arial" w:eastAsia="Arial" w:hAnsi="Arial"/>
          <w:sz w:val="17"/>
          <w:szCs w:val="17"/>
          <w:color w:val="auto"/>
        </w:rPr>
        <w:t>Approval, on an advisory 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178" w:lineRule="exact"/>
        <w:rPr>
          <w:rFonts w:ascii="Arial" w:cs="Arial" w:eastAsia="Arial" w:hAnsi="Arial"/>
          <w:sz w:val="17"/>
          <w:szCs w:val="17"/>
          <w:color w:val="auto"/>
        </w:rPr>
      </w:pPr>
    </w:p>
    <w:p>
      <w:pPr>
        <w:ind w:left="1340" w:right="179" w:hanging="324"/>
        <w:spacing w:after="0" w:line="272" w:lineRule="auto"/>
        <w:tabs>
          <w:tab w:leader="none" w:pos="13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Ratification of the appointment of the Independent Registered Public Accounting Firm (Proposal No. 3). </w:t>
      </w:r>
      <w:r>
        <w:rPr>
          <w:rFonts w:ascii="Arial" w:cs="Arial" w:eastAsia="Arial" w:hAnsi="Arial"/>
          <w:sz w:val="17"/>
          <w:szCs w:val="17"/>
          <w:color w:val="auto"/>
        </w:rPr>
        <w:t>Approval of the proposal to ratify the Audit Committee’s appointment of KPMG LLP as our</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registered public accounting firm for the fiscal year ending December 31, 2020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229" w:lineRule="exact"/>
        <w:rPr>
          <w:sz w:val="20"/>
          <w:szCs w:val="20"/>
          <w:color w:val="auto"/>
        </w:rPr>
      </w:pPr>
    </w:p>
    <w:p>
      <w:pPr>
        <w:ind w:left="40" w:right="199" w:firstLine="648"/>
        <w:spacing w:after="0" w:line="279" w:lineRule="auto"/>
        <w:rPr>
          <w:sz w:val="20"/>
          <w:szCs w:val="20"/>
          <w:color w:val="auto"/>
        </w:rPr>
      </w:pPr>
      <w:r>
        <w:rPr>
          <w:rFonts w:ascii="Arial" w:cs="Arial" w:eastAsia="Arial" w:hAnsi="Arial"/>
          <w:sz w:val="17"/>
          <w:szCs w:val="17"/>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 of Soliciting Proxies</w:t>
      </w:r>
    </w:p>
    <w:p>
      <w:pPr>
        <w:spacing w:after="0" w:line="229"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18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Governance Philosophy</w:t>
      </w:r>
    </w:p>
    <w:p>
      <w:pPr>
        <w:spacing w:after="0" w:line="22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to the Board of Directors During 2019</w:t>
      </w:r>
    </w:p>
    <w:p>
      <w:pPr>
        <w:spacing w:after="0" w:line="229" w:lineRule="exact"/>
        <w:rPr>
          <w:sz w:val="20"/>
          <w:szCs w:val="20"/>
          <w:color w:val="auto"/>
        </w:rPr>
      </w:pPr>
    </w:p>
    <w:p>
      <w:pPr>
        <w:ind w:left="40" w:right="139" w:firstLine="648"/>
        <w:spacing w:after="0" w:line="296" w:lineRule="auto"/>
        <w:rPr>
          <w:sz w:val="20"/>
          <w:szCs w:val="20"/>
          <w:color w:val="auto"/>
        </w:rPr>
      </w:pPr>
      <w:r>
        <w:rPr>
          <w:rFonts w:ascii="Arial" w:cs="Arial" w:eastAsia="Arial" w:hAnsi="Arial"/>
          <w:sz w:val="16"/>
          <w:szCs w:val="16"/>
          <w:color w:val="auto"/>
        </w:rPr>
        <w:t>Effective August 27, 2019, Mr. Kevin F. Warren, a director since 2012, resigned from his position as a member of the Board of Directors of the Company, including as Chair of the Compensation Committee and as a member of the Audit Committee and Nominating and Corporate Governance Committee, in order to focus his attention on his new position as the Commissioner of the Big Ten Conference and other business interests. Mr. Warren’s decision to resign was not due to any disagreement with the Company on any matter relating to the Company’s operations, policies or practices.</w:t>
      </w:r>
    </w:p>
    <w:p>
      <w:pPr>
        <w:spacing w:after="0" w:line="161"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In August 2019, Mr. David J. Johnson notified the Company that he intended to complete his current term on the Board of Directors, which ends at the Annual Meeting, and not to stand for re-election at the Annual Meeting. Mr. Johnson was our initial lead Director at the time of our initial public offering on November 19, 2008 and has served on the Board of Directors of the Company and its various committees for approximately 12 years. Mr. Johnson’s decision not to stand for re-election for a new term was not due to any disagreement with the Company on any matter relating to the Company’s operations, policies or practices.</w:t>
      </w:r>
    </w:p>
    <w:p>
      <w:pPr>
        <w:spacing w:after="0" w:line="192" w:lineRule="exact"/>
        <w:rPr>
          <w:sz w:val="20"/>
          <w:szCs w:val="20"/>
          <w:color w:val="auto"/>
        </w:rPr>
      </w:pPr>
    </w:p>
    <w:p>
      <w:pPr>
        <w:ind w:left="40" w:right="119" w:firstLine="648"/>
        <w:spacing w:after="0" w:line="286" w:lineRule="auto"/>
        <w:rPr>
          <w:sz w:val="20"/>
          <w:szCs w:val="20"/>
          <w:color w:val="auto"/>
        </w:rPr>
      </w:pPr>
      <w:r>
        <w:rPr>
          <w:rFonts w:ascii="Arial" w:cs="Arial" w:eastAsia="Arial" w:hAnsi="Arial"/>
          <w:sz w:val="17"/>
          <w:szCs w:val="17"/>
          <w:color w:val="auto"/>
        </w:rPr>
        <w:t>In August 2019, upon the recommendation of the Nominating and Corporate Governance Committee, Ms. Lisa Graham Keegan and Ms. Chevy Humphrey were appointed to the Board of Directors and to serve as members of the Audit Committee, the Compensation Committee, and the Nominating and Corporate Governance Committee.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29" w:lineRule="exact"/>
        <w:rPr>
          <w:sz w:val="20"/>
          <w:szCs w:val="20"/>
          <w:color w:val="auto"/>
        </w:rPr>
      </w:pPr>
    </w:p>
    <w:p>
      <w:pPr>
        <w:ind w:left="40" w:right="239" w:firstLine="648"/>
        <w:spacing w:after="0" w:line="254" w:lineRule="auto"/>
        <w:rPr>
          <w:sz w:val="20"/>
          <w:szCs w:val="20"/>
          <w:color w:val="auto"/>
        </w:rPr>
      </w:pPr>
      <w:r>
        <w:rPr>
          <w:rFonts w:ascii="Arial" w:cs="Arial" w:eastAsia="Arial" w:hAnsi="Arial"/>
          <w:sz w:val="18"/>
          <w:szCs w:val="18"/>
          <w:color w:val="auto"/>
        </w:rPr>
        <w:t>During our 2019 fiscal year, our Board of Directors held seven meetings. Messrs. Brian E. Mueller, Jack A. Henry and David J. Johnson and Ms. Sara R. Dial attended 100% of such meetings, Mr. Warren attended 100% of the meetings held prior to his resignation in August 2019, and Ms. Lisa Graham Keegan and Ms. Chevy Humphrey attended 100% of the three meetings held after their appointment to the Board of Directors in August 2019. We do not have a formal policy regarding attendance of our directors at annual meetings of our stockholders, but we do encourage each of our directors to attend. All of our directors appointed at the time of our annual meeting attended our 2019 annual meeting in person or telephonically.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Brian E. Mueller, who serves as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19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spacing w:after="0" w:line="179"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applicable Nasdaq guidelines. The lead independent director, a position currently held by Ms. Sara Dial, has the following duties:</w:t>
      </w:r>
    </w:p>
    <w:p>
      <w:pPr>
        <w:spacing w:after="0" w:line="188" w:lineRule="exact"/>
        <w:rPr>
          <w:sz w:val="20"/>
          <w:szCs w:val="20"/>
          <w:color w:val="auto"/>
        </w:rPr>
      </w:pPr>
    </w:p>
    <w:p>
      <w:pPr>
        <w:ind w:left="1020" w:hanging="328"/>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Setting the agenda and serving as chairman for the executive sessions of the independent directors.</w:t>
      </w:r>
    </w:p>
    <w:p>
      <w:pPr>
        <w:spacing w:after="0" w:line="236" w:lineRule="exact"/>
        <w:rPr>
          <w:rFonts w:ascii="Arial" w:cs="Arial" w:eastAsia="Arial" w:hAnsi="Arial"/>
          <w:sz w:val="17"/>
          <w:szCs w:val="17"/>
          <w:color w:val="auto"/>
        </w:rPr>
      </w:pPr>
    </w:p>
    <w:p>
      <w:pPr>
        <w:ind w:left="1020" w:right="459" w:hanging="328"/>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Serving as liaison between the Chairman and the independent directors, including, communicating to the Chairman, as appropriate, the results of executive sessions of the independent directors.</w:t>
      </w:r>
    </w:p>
    <w:p>
      <w:pPr>
        <w:spacing w:after="0" w:line="146" w:lineRule="exact"/>
        <w:rPr>
          <w:rFonts w:ascii="Arial" w:cs="Arial" w:eastAsia="Arial" w:hAnsi="Arial"/>
          <w:sz w:val="17"/>
          <w:szCs w:val="17"/>
          <w:color w:val="auto"/>
        </w:rPr>
      </w:pPr>
    </w:p>
    <w:p>
      <w:pPr>
        <w:ind w:left="1020" w:right="619" w:hanging="328"/>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Ensuring that independent directors have adequate opportunities to meet without management present, including authority to call meetings of the independent directors.</w:t>
      </w:r>
    </w:p>
    <w:p>
      <w:pPr>
        <w:spacing w:after="0" w:line="170" w:lineRule="exact"/>
        <w:rPr>
          <w:rFonts w:ascii="Arial" w:cs="Arial" w:eastAsia="Arial" w:hAnsi="Arial"/>
          <w:sz w:val="18"/>
          <w:szCs w:val="18"/>
          <w:color w:val="auto"/>
        </w:rPr>
      </w:pPr>
    </w:p>
    <w:p>
      <w:pPr>
        <w:ind w:left="1020" w:right="279" w:hanging="328"/>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Serving as designated contact for communication to independent directors as required by the Securities and Exchange Commission and the Nasdaq Stock Market’s listing standards, including being available for consultation and direct communication with major stockholders.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020" w:right="339" w:hanging="328"/>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the agenda and information sent in connection with Board meetings and ensuring that the other independent directors also have an opportunity to provide input on the agenda.</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Approving meeting schedules to assure that there is sufficient time for discussion of all agenda items.</w:t>
      </w:r>
    </w:p>
    <w:p>
      <w:pPr>
        <w:spacing w:after="0" w:line="236" w:lineRule="exact"/>
        <w:rPr>
          <w:rFonts w:ascii="Arial" w:cs="Arial" w:eastAsia="Arial" w:hAnsi="Arial"/>
          <w:sz w:val="17"/>
          <w:szCs w:val="17"/>
          <w:color w:val="auto"/>
        </w:rPr>
      </w:pPr>
    </w:p>
    <w:p>
      <w:pPr>
        <w:ind w:left="1020" w:hanging="328"/>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Chairing Board meetings if the Chairman is unable to attend.</w:t>
      </w:r>
    </w:p>
    <w:p>
      <w:pPr>
        <w:spacing w:after="0" w:line="225"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Importantly, all of our directors play an active role in overseeing the Company’s business both at the Board and committee levels. As part of each regularly scheduled Board meeting,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 of Our Board of Directors During 2019</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Board of Directors directs the management of our business affairs, as provided by Delaware law,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conducts its business through meetings of the Board of Directors. Our Board of Directors has established three standing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committees: an Audit Committee, a Compensation Committee, and a Nominating and Corporate Governance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Committee. During 2019, each director attended 100% of the meetings of the Board committees on which he or she served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during the time for which each such director served. In addition, from time to time, special committees may be established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under the direction of the Board of Directors when necessary to address specific issues. The composition of the Board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committees complies with the applicable rules of the Nasdaq Stock Market and applicable law. Our Board of Directors has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adopted written charters for each of the standing committees, which are available in the Corporate Governance section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the Investor Relations page on our website at </w:t>
      </w:r>
      <w:r>
        <w:rPr>
          <w:rFonts w:ascii="Arial" w:cs="Arial" w:eastAsia="Arial" w:hAnsi="Arial"/>
          <w:sz w:val="17"/>
          <w:szCs w:val="17"/>
          <w:i w:val="1"/>
          <w:iCs w:val="1"/>
          <w:color w:val="auto"/>
        </w:rPr>
        <w:t>www.gce.com.</w:t>
      </w:r>
      <w:r>
        <w:rPr>
          <w:rFonts w:ascii="Arial" w:cs="Arial" w:eastAsia="Arial" w:hAnsi="Arial"/>
          <w:sz w:val="17"/>
          <w:szCs w:val="17"/>
          <w:color w:val="auto"/>
        </w:rPr>
        <w:t xml:space="preserve"> Starting in July 2019, each independent director was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appointed to serve as a member of all three committees.</w:t>
      </w:r>
    </w:p>
    <w:p>
      <w:pPr>
        <w:spacing w:after="0" w:line="211"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i w:val="1"/>
          <w:iCs w:val="1"/>
          <w:color w:val="auto"/>
        </w:rPr>
        <w:t>Audit Committee (Number of meetings held during 2019: Eight</w:t>
      </w:r>
      <w:r>
        <w:rPr>
          <w:rFonts w:ascii="Arial" w:cs="Arial" w:eastAsia="Arial" w:hAnsi="Arial"/>
          <w:sz w:val="16"/>
          <w:szCs w:val="16"/>
          <w:color w:val="auto"/>
        </w:rPr>
        <w:t>). During 2019, our Audit Committee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Messrs. Jack A. Henry (chair) and David J. Johnson (for the full year), Mr. Kevin F. Warren (until his resignation from the Board in August 2019), Ms. Sara R. Dial (following her appointment to the committee in June 2019,) and Ms. Lisa Graham Keegan and Ms. Chevy Humphrey (following their appointment to the committee in August 2019), each of whom our Board of Directors determined to be “independent,” as defined under and required by the rules of the Nasdaq Stock Market and the federal securities laws, and each of whom our Board of Directors determined to be qualified as an “audit committee financial expert,” as defined under applicable federal securities laws, except for Ms. Sara R. Dial and Ms. Lisa Graham Keegan.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The Audit Committee is also responsible for discussing the effectiveness of the internal controls over financial reporting, review of significant accounting policies, and discussion of significant judgements or accounting estimates during the audit with the firm and relevant financial management.</w:t>
      </w:r>
    </w:p>
    <w:p>
      <w:pPr>
        <w:spacing w:after="0" w:line="171"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i w:val="1"/>
          <w:iCs w:val="1"/>
          <w:color w:val="auto"/>
        </w:rPr>
        <w:t xml:space="preserve">Compensation Committee (Number of meetings held during 2019: Seven). </w:t>
      </w:r>
      <w:r>
        <w:rPr>
          <w:rFonts w:ascii="Arial" w:cs="Arial" w:eastAsia="Arial" w:hAnsi="Arial"/>
          <w:sz w:val="17"/>
          <w:szCs w:val="17"/>
          <w:color w:val="auto"/>
        </w:rPr>
        <w:t>During 2019,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consisted of Mr. Henry and Ms. Dial (for the full year), Mr. Warren (who served as a member and as chair until his resignation from the Board in August 2019), Mr. Johnson (following his appointment to the committee in June 2019 and as chair beginning in August 2019), and Ms. Graham Keegan and Ms. Humphrey (following their appointment to the committee in August 2019), each of whom the Board of Directors determined to be “independent,” as defined under and required by the rules of the Nasdaq Stock Market. The Compensation Committee is responsible for, among other things, supervising and reviewing our affairs as they relate to the compensation and benefits of our executive officers and directors. The Compensation Committee is responsible for, among other things, supervising and reviewing our affairs as they relate to the compensation and benefits of our executive officers and directors, as well as overseeing succession planning for executive officers.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7"/>
          <w:szCs w:val="17"/>
          <w:i w:val="1"/>
          <w:iCs w:val="1"/>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and most recently in 2019, the Compensation Committee has engaged Mercer from time to time as its compensation consultant and advisor to:</w:t>
      </w:r>
    </w:p>
    <w:p>
      <w:pPr>
        <w:spacing w:after="0" w:line="157" w:lineRule="exact"/>
        <w:rPr>
          <w:sz w:val="20"/>
          <w:szCs w:val="20"/>
          <w:color w:val="auto"/>
        </w:rPr>
      </w:pPr>
    </w:p>
    <w:p>
      <w:pPr>
        <w:ind w:left="1340" w:right="359" w:hanging="324"/>
        <w:spacing w:after="0" w:line="308" w:lineRule="auto"/>
        <w:tabs>
          <w:tab w:leader="none" w:pos="1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recommendations regarding executive compensation consistent with the Company’s business needs, pay philosophy, market trends and latest legal and regulatory considerations;</w:t>
      </w:r>
    </w:p>
    <w:p>
      <w:pPr>
        <w:spacing w:after="0" w:line="146" w:lineRule="exact"/>
        <w:rPr>
          <w:rFonts w:ascii="Arial" w:cs="Arial" w:eastAsia="Arial" w:hAnsi="Arial"/>
          <w:sz w:val="17"/>
          <w:szCs w:val="17"/>
          <w:color w:val="auto"/>
        </w:rPr>
      </w:pPr>
    </w:p>
    <w:p>
      <w:pPr>
        <w:ind w:left="1340" w:hanging="324"/>
        <w:spacing w:after="0"/>
        <w:tabs>
          <w:tab w:leader="none" w:pos="1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market data for base salary, short-term incentive and long-term incentive decisions; and</w:t>
      </w:r>
    </w:p>
    <w:p>
      <w:pPr>
        <w:spacing w:after="0" w:line="236" w:lineRule="exact"/>
        <w:rPr>
          <w:rFonts w:ascii="Arial" w:cs="Arial" w:eastAsia="Arial" w:hAnsi="Arial"/>
          <w:sz w:val="17"/>
          <w:szCs w:val="17"/>
          <w:color w:val="auto"/>
        </w:rPr>
      </w:pPr>
    </w:p>
    <w:p>
      <w:pPr>
        <w:ind w:left="1340" w:hanging="324"/>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left="40" w:right="119" w:firstLine="648"/>
        <w:spacing w:after="0" w:line="269" w:lineRule="auto"/>
        <w:rPr>
          <w:sz w:val="20"/>
          <w:szCs w:val="20"/>
          <w:color w:val="auto"/>
        </w:rPr>
      </w:pPr>
      <w:r>
        <w:rPr>
          <w:rFonts w:ascii="Arial" w:cs="Arial" w:eastAsia="Arial" w:hAnsi="Arial"/>
          <w:sz w:val="17"/>
          <w:szCs w:val="17"/>
          <w:i w:val="1"/>
          <w:iCs w:val="1"/>
          <w:color w:val="auto"/>
        </w:rPr>
        <w:t xml:space="preserve">Nominating and Corporate Governance Committee (Number of meetings held during 2019: Five). </w:t>
      </w:r>
      <w:r>
        <w:rPr>
          <w:rFonts w:ascii="Arial" w:cs="Arial" w:eastAsia="Arial" w:hAnsi="Arial"/>
          <w:sz w:val="17"/>
          <w:szCs w:val="17"/>
          <w:color w:val="auto"/>
        </w:rPr>
        <w:t>During 2019,</w:t>
      </w:r>
      <w:r>
        <w:rPr>
          <w:rFonts w:ascii="Arial" w:cs="Arial" w:eastAsia="Arial" w:hAnsi="Arial"/>
          <w:sz w:val="17"/>
          <w:szCs w:val="17"/>
          <w:i w:val="1"/>
          <w:iCs w:val="1"/>
          <w:color w:val="auto"/>
        </w:rPr>
        <w:t xml:space="preserve"> </w:t>
      </w:r>
      <w:r>
        <w:rPr>
          <w:rFonts w:ascii="Arial" w:cs="Arial" w:eastAsia="Arial" w:hAnsi="Arial"/>
          <w:sz w:val="17"/>
          <w:szCs w:val="17"/>
          <w:color w:val="auto"/>
        </w:rPr>
        <w:t>our Nominating and Corporate Governance Committee consisted of Ms. Dial (chair) and Mr. Johnson (for the full year), Mr. Warren (until his resignation in August 2019), Mr. Henry (following his appointment to the committee in June 2019), and Ms. Graham Keegan and Ms. Humphrey (following their appointment to the committee in August 2019), each of whom our Board of Directors determined to be “independent,” as defined under and required by the rules of the Nasdaq Stock Market.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Committee Composition in 2019</w:t>
      </w:r>
    </w:p>
    <w:p>
      <w:pPr>
        <w:spacing w:after="0" w:line="229"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The Nominating and Corporate Governance Committee is responsible for reviewing and recommending to the Board the assignment of directors to various committees. The Nominating and Corporate Governance Committee will also recommend to the Board, subject to applicable membership requirements and as practical, an appropriate rotation process to ensure diversity of Board member experience and variety of exposure to the affairs of the Company. Given the current size of the Board, and the consistent attendance of each director at all meetings of each Board committee, whether as a member or invited guest, on January 29, 2019, the Nominating and Corporate Governance Committee recommended, and the Board approved, the appointments of Ms. Dial to the Audit Committee, Mr. Henry to the Nominating and Corporate Governance Committee and Mr. Johnson to the Compensation Committee, in each case as additional members of such committees, with such appointments to be effective immediately following the Annual Meeting. In addition, the Nominating and Corporate Governance Committee recommended, and the Board approved, the appointments of Ms. Graham Keegan and Ms. Humphrey to each of the Audit Committee, the Compensation Committee and the Nominating and Corporate Governance Committee upon their appointment to the Board of Directors in August 2019.</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other employees including our principal accounting officer, performing similar functions. A copy of our code of conduct is available on the Corporate Governance section of the Investor Relations page on our website at </w:t>
      </w:r>
      <w:r>
        <w:rPr>
          <w:rFonts w:ascii="Arial" w:cs="Arial" w:eastAsia="Arial" w:hAnsi="Arial"/>
          <w:sz w:val="18"/>
          <w:szCs w:val="18"/>
          <w:i w:val="1"/>
          <w:iCs w:val="1"/>
          <w:color w:val="auto"/>
        </w:rPr>
        <w:t>www.gce.com.</w:t>
      </w:r>
      <w:r>
        <w:rPr>
          <w:rFonts w:ascii="Arial" w:cs="Arial" w:eastAsia="Arial" w:hAnsi="Arial"/>
          <w:sz w:val="18"/>
          <w:szCs w:val="18"/>
          <w:color w:val="auto"/>
        </w:rPr>
        <w:t xml:space="preserve"> We intend to post on our website any amendment to, or waiver from, a provision of our code of conduct that applies to any director or officer, including our Chief Executive Officer, Chief Financial Officer, and other persons including our principal accounting officer performing similar functions, promptly following the date of such amendment or waiver.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left="40" w:right="159" w:firstLine="648"/>
        <w:spacing w:after="0" w:line="287" w:lineRule="auto"/>
        <w:rPr>
          <w:sz w:val="20"/>
          <w:szCs w:val="20"/>
          <w:color w:val="auto"/>
        </w:rPr>
      </w:pPr>
      <w:r>
        <w:rPr>
          <w:rFonts w:ascii="Arial" w:cs="Arial" w:eastAsia="Arial" w:hAnsi="Arial"/>
          <w:sz w:val="16"/>
          <w:szCs w:val="16"/>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 security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makes such selections pursuant to the following process:</w:t>
      </w:r>
    </w:p>
    <w:p>
      <w:pPr>
        <w:spacing w:after="0" w:line="170" w:lineRule="exact"/>
        <w:rPr>
          <w:sz w:val="20"/>
          <w:szCs w:val="20"/>
          <w:color w:val="auto"/>
        </w:rPr>
      </w:pPr>
    </w:p>
    <w:p>
      <w:pPr>
        <w:ind w:left="1340" w:right="399" w:hanging="324"/>
        <w:spacing w:after="0" w:line="263"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183" w:lineRule="exact"/>
        <w:rPr>
          <w:rFonts w:ascii="Arial" w:cs="Arial" w:eastAsia="Arial" w:hAnsi="Arial"/>
          <w:sz w:val="18"/>
          <w:szCs w:val="18"/>
          <w:color w:val="auto"/>
        </w:rPr>
      </w:pPr>
    </w:p>
    <w:p>
      <w:pPr>
        <w:ind w:left="1340" w:right="359" w:hanging="324"/>
        <w:spacing w:after="0" w:line="342" w:lineRule="auto"/>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of the candidates’ qualifications by our Nominating and Corporate Governance Committee to determine which candidates best meet our Board of Directors’ required and desired criteria;</w:t>
      </w:r>
    </w:p>
    <w:p>
      <w:pPr>
        <w:spacing w:after="0" w:line="123" w:lineRule="exact"/>
        <w:rPr>
          <w:rFonts w:ascii="Arial" w:cs="Arial" w:eastAsia="Arial" w:hAnsi="Arial"/>
          <w:sz w:val="16"/>
          <w:szCs w:val="16"/>
          <w:color w:val="auto"/>
        </w:rPr>
      </w:pPr>
    </w:p>
    <w:p>
      <w:pPr>
        <w:ind w:left="1340" w:right="139" w:hanging="324"/>
        <w:spacing w:after="0" w:line="263"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183" w:lineRule="exact"/>
        <w:rPr>
          <w:rFonts w:ascii="Arial" w:cs="Arial" w:eastAsia="Arial" w:hAnsi="Arial"/>
          <w:sz w:val="18"/>
          <w:szCs w:val="18"/>
          <w:color w:val="auto"/>
        </w:rPr>
      </w:pPr>
    </w:p>
    <w:p>
      <w:pPr>
        <w:jc w:val="both"/>
        <w:ind w:left="1340" w:right="119" w:hanging="324"/>
        <w:spacing w:after="0" w:line="263"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183" w:lineRule="exact"/>
        <w:rPr>
          <w:rFonts w:ascii="Arial" w:cs="Arial" w:eastAsia="Arial" w:hAnsi="Arial"/>
          <w:sz w:val="18"/>
          <w:szCs w:val="18"/>
          <w:color w:val="auto"/>
        </w:rPr>
      </w:pPr>
    </w:p>
    <w:p>
      <w:pPr>
        <w:ind w:left="1340" w:hanging="324"/>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225" w:lineRule="exact"/>
        <w:rPr>
          <w:sz w:val="20"/>
          <w:szCs w:val="20"/>
          <w:color w:val="auto"/>
        </w:rPr>
      </w:pPr>
    </w:p>
    <w:p>
      <w:pPr>
        <w:ind w:left="40" w:right="299" w:firstLine="648"/>
        <w:spacing w:after="0" w:line="273" w:lineRule="auto"/>
        <w:rPr>
          <w:sz w:val="20"/>
          <w:szCs w:val="20"/>
          <w:color w:val="auto"/>
        </w:rPr>
      </w:pPr>
      <w:r>
        <w:rPr>
          <w:rFonts w:ascii="Arial" w:cs="Arial" w:eastAsia="Arial" w:hAnsi="Arial"/>
          <w:sz w:val="17"/>
          <w:szCs w:val="17"/>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178" w:lineRule="exact"/>
        <w:rPr>
          <w:sz w:val="20"/>
          <w:szCs w:val="20"/>
          <w:color w:val="auto"/>
        </w:rPr>
      </w:pPr>
    </w:p>
    <w:p>
      <w:pPr>
        <w:ind w:left="1340" w:right="119" w:hanging="324"/>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170" w:lineRule="exact"/>
        <w:rPr>
          <w:rFonts w:ascii="Arial" w:cs="Arial" w:eastAsia="Arial" w:hAnsi="Arial"/>
          <w:sz w:val="18"/>
          <w:szCs w:val="18"/>
          <w:color w:val="auto"/>
        </w:rPr>
      </w:pPr>
    </w:p>
    <w:p>
      <w:pPr>
        <w:ind w:left="1340" w:right="119" w:hanging="324"/>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spacing w:after="0" w:line="170" w:lineRule="exact"/>
        <w:rPr>
          <w:rFonts w:ascii="Arial" w:cs="Arial" w:eastAsia="Arial" w:hAnsi="Arial"/>
          <w:sz w:val="18"/>
          <w:szCs w:val="18"/>
          <w:color w:val="auto"/>
        </w:rPr>
      </w:pPr>
    </w:p>
    <w:p>
      <w:pPr>
        <w:ind w:left="1340" w:right="199" w:hanging="324"/>
        <w:spacing w:after="0" w:line="277"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499" w:hanging="324"/>
        <w:spacing w:after="0" w:line="27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170" w:lineRule="exact"/>
        <w:rPr>
          <w:rFonts w:ascii="Arial" w:cs="Arial" w:eastAsia="Arial" w:hAnsi="Arial"/>
          <w:sz w:val="18"/>
          <w:szCs w:val="18"/>
          <w:color w:val="auto"/>
        </w:rPr>
      </w:pPr>
    </w:p>
    <w:p>
      <w:pPr>
        <w:ind w:left="1340" w:right="119" w:hanging="324"/>
        <w:spacing w:after="0" w:line="27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170" w:lineRule="exact"/>
        <w:rPr>
          <w:rFonts w:ascii="Arial" w:cs="Arial" w:eastAsia="Arial" w:hAnsi="Arial"/>
          <w:sz w:val="18"/>
          <w:szCs w:val="18"/>
          <w:color w:val="auto"/>
        </w:rPr>
      </w:pPr>
    </w:p>
    <w:p>
      <w:pPr>
        <w:ind w:left="1340" w:right="699" w:hanging="324"/>
        <w:spacing w:after="0" w:line="263"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183" w:lineRule="exact"/>
        <w:rPr>
          <w:rFonts w:ascii="Arial" w:cs="Arial" w:eastAsia="Arial" w:hAnsi="Arial"/>
          <w:sz w:val="18"/>
          <w:szCs w:val="18"/>
          <w:color w:val="auto"/>
        </w:rPr>
      </w:pPr>
    </w:p>
    <w:p>
      <w:pPr>
        <w:ind w:left="1340" w:right="199" w:hanging="324"/>
        <w:spacing w:after="0" w:line="277"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92"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Corporate Counsel, Grand Canyon Education, Inc., 2600 W. Camelback Road, Phoenix, Arizona 85017. Submissions must be received at the Company’s principal executive offices not earlier than the close of business on the 120</w:t>
      </w:r>
      <w:r>
        <w:rPr>
          <w:rFonts w:ascii="Arial" w:cs="Arial" w:eastAsia="Arial" w:hAnsi="Arial"/>
          <w:sz w:val="8"/>
          <w:szCs w:val="8"/>
          <w:color w:val="auto"/>
        </w:rPr>
        <w:t>th</w:t>
      </w:r>
      <w:r>
        <w:rPr>
          <w:rFonts w:ascii="Arial" w:cs="Arial" w:eastAsia="Arial" w:hAnsi="Arial"/>
          <w:sz w:val="17"/>
          <w:szCs w:val="17"/>
          <w:color w:val="auto"/>
        </w:rPr>
        <w:t xml:space="preserve"> day, nor later than the close of business on the 90</w:t>
      </w:r>
      <w:r>
        <w:rPr>
          <w:rFonts w:ascii="Arial" w:cs="Arial" w:eastAsia="Arial" w:hAnsi="Arial"/>
          <w:sz w:val="8"/>
          <w:szCs w:val="8"/>
          <w:color w:val="auto"/>
        </w:rPr>
        <w:t>th</w:t>
      </w:r>
      <w:r>
        <w:rPr>
          <w:rFonts w:ascii="Arial" w:cs="Arial" w:eastAsia="Arial" w:hAnsi="Arial"/>
          <w:sz w:val="17"/>
          <w:szCs w:val="17"/>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2021 Annual Meeting of Stockholders, stockholder nominations must be received not earlier than the close of business on February 11, 2021, and not later than the close of business on March 13, 2021.</w:t>
      </w:r>
    </w:p>
    <w:p>
      <w:pPr>
        <w:spacing w:after="0" w:line="186" w:lineRule="exact"/>
        <w:rPr>
          <w:sz w:val="20"/>
          <w:szCs w:val="20"/>
          <w:color w:val="auto"/>
        </w:rPr>
      </w:pPr>
    </w:p>
    <w:p>
      <w:pPr>
        <w:ind w:left="40" w:right="159" w:firstLine="648"/>
        <w:spacing w:after="0" w:line="284" w:lineRule="auto"/>
        <w:rPr>
          <w:sz w:val="20"/>
          <w:szCs w:val="20"/>
          <w:color w:val="auto"/>
        </w:rPr>
      </w:pPr>
      <w:r>
        <w:rPr>
          <w:rFonts w:ascii="Arial" w:cs="Arial" w:eastAsia="Arial" w:hAnsi="Arial"/>
          <w:sz w:val="16"/>
          <w:szCs w:val="16"/>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w:t>
      </w:r>
    </w:p>
    <w:p>
      <w:pPr>
        <w:spacing w:after="0" w:line="4" w:lineRule="exact"/>
        <w:rPr>
          <w:sz w:val="20"/>
          <w:szCs w:val="20"/>
          <w:color w:val="auto"/>
        </w:rPr>
      </w:pPr>
    </w:p>
    <w:p>
      <w:pPr>
        <w:ind w:left="40" w:right="99" w:firstLine="4"/>
        <w:spacing w:after="0" w:line="281" w:lineRule="auto"/>
        <w:tabs>
          <w:tab w:leader="none" w:pos="3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w:t>
      </w:r>
    </w:p>
    <w:p>
      <w:pPr>
        <w:spacing w:after="0" w:line="4" w:lineRule="exact"/>
        <w:rPr>
          <w:rFonts w:ascii="Arial" w:cs="Arial" w:eastAsia="Arial" w:hAnsi="Arial"/>
          <w:sz w:val="16"/>
          <w:szCs w:val="16"/>
          <w:color w:val="auto"/>
        </w:rPr>
      </w:pPr>
    </w:p>
    <w:p>
      <w:pPr>
        <w:ind w:left="40" w:right="59"/>
        <w:spacing w:after="0" w:line="270" w:lineRule="auto"/>
        <w:rPr>
          <w:rFonts w:ascii="Arial" w:cs="Arial" w:eastAsia="Arial" w:hAnsi="Arial"/>
          <w:sz w:val="16"/>
          <w:szCs w:val="16"/>
          <w:color w:val="auto"/>
        </w:rPr>
      </w:pPr>
      <w:r>
        <w:rPr>
          <w:rFonts w:ascii="Arial" w:cs="Arial" w:eastAsia="Arial" w:hAnsi="Arial"/>
          <w:sz w:val="17"/>
          <w:szCs w:val="17"/>
          <w:color w:val="auto"/>
        </w:rPr>
        <w:t>(F)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239"/>
        <w:spacing w:after="0" w:line="286" w:lineRule="auto"/>
        <w:rPr>
          <w:sz w:val="20"/>
          <w:szCs w:val="20"/>
          <w:color w:val="auto"/>
        </w:rPr>
      </w:pPr>
      <w:r>
        <w:rPr>
          <w:rFonts w:ascii="Arial" w:cs="Arial" w:eastAsia="Arial" w:hAnsi="Arial"/>
          <w:sz w:val="16"/>
          <w:szCs w:val="16"/>
          <w:color w:val="auto"/>
        </w:rPr>
        <w:t>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w:t>
      </w:r>
    </w:p>
    <w:p>
      <w:pPr>
        <w:spacing w:after="0" w:line="1" w:lineRule="exact"/>
        <w:rPr>
          <w:sz w:val="20"/>
          <w:szCs w:val="20"/>
          <w:color w:val="auto"/>
        </w:rPr>
      </w:pPr>
    </w:p>
    <w:p>
      <w:pPr>
        <w:ind w:left="40" w:right="99" w:firstLine="4"/>
        <w:spacing w:after="0" w:line="286" w:lineRule="auto"/>
        <w:tabs>
          <w:tab w:leader="none" w:pos="2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Annual Elections of Directors</w:t>
      </w:r>
    </w:p>
    <w:p>
      <w:pPr>
        <w:spacing w:after="0" w:line="229"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Our directors are elected each year at the annual meeting of stockholders to hold office until the next annual meeting of stockholders and until their successors are duly elected and qualified.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Policy on Majority Voting</w:t>
      </w:r>
    </w:p>
    <w:p>
      <w:pPr>
        <w:spacing w:after="0" w:line="229"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spacing w:after="0" w:line="174"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 Board member, or otherwise be detrimental to the Company, is expected to offer his or her resignation to the Board. The Board in its discretion will determine whether such member should continue to serve as a director for an unexpired term or any future terms.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During 2019, Messrs. Warren, Henry, and Johnson, and Mses. Dial, Keegan, and Humphrey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Ownership Policy</w:t>
      </w:r>
    </w:p>
    <w:p>
      <w:pPr>
        <w:spacing w:after="0" w:line="229" w:lineRule="exact"/>
        <w:rPr>
          <w:sz w:val="20"/>
          <w:szCs w:val="20"/>
          <w:color w:val="auto"/>
        </w:rPr>
      </w:pPr>
    </w:p>
    <w:p>
      <w:pPr>
        <w:ind w:left="40" w:right="219" w:firstLine="648"/>
        <w:spacing w:after="0" w:line="273" w:lineRule="auto"/>
        <w:rPr>
          <w:sz w:val="20"/>
          <w:szCs w:val="20"/>
          <w:color w:val="auto"/>
        </w:rPr>
      </w:pPr>
      <w:r>
        <w:rPr>
          <w:rFonts w:ascii="Arial" w:cs="Arial" w:eastAsia="Arial" w:hAnsi="Arial"/>
          <w:sz w:val="17"/>
          <w:szCs w:val="17"/>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Arial" w:cs="Arial" w:eastAsia="Arial" w:hAnsi="Arial"/>
          <w:sz w:val="17"/>
          <w:szCs w:val="17"/>
          <w:i w:val="1"/>
          <w:iCs w:val="1"/>
          <w:color w:val="auto"/>
        </w:rPr>
        <w:t>www.gce.com</w:t>
      </w:r>
      <w:r>
        <w:rPr>
          <w:rFonts w:ascii="Arial" w:cs="Arial" w:eastAsia="Arial" w:hAnsi="Arial"/>
          <w:sz w:val="17"/>
          <w:szCs w:val="17"/>
          <w:color w:val="auto"/>
        </w:rPr>
        <w:t>, establishes the following ownership levels for each category of person covered by the policy:</w:t>
      </w:r>
    </w:p>
    <w:p>
      <w:pPr>
        <w:spacing w:after="0" w:line="186" w:lineRule="exact"/>
        <w:rPr>
          <w:sz w:val="20"/>
          <w:szCs w:val="20"/>
          <w:color w:val="auto"/>
        </w:rPr>
      </w:pPr>
    </w:p>
    <w:tbl>
      <w:tblPr>
        <w:tblLayout w:type="fixed"/>
        <w:tblInd w:w="950" w:type="dxa"/>
        <w:tblCellMar>
          <w:top w:w="0" w:type="dxa"/>
          <w:left w:w="0" w:type="dxa"/>
          <w:bottom w:w="0" w:type="dxa"/>
          <w:right w:w="0" w:type="dxa"/>
        </w:tblCellMar>
      </w:tblPr>
      <w:tr>
        <w:trPr>
          <w:trHeight w:val="230"/>
        </w:trPr>
        <w:tc>
          <w:tcPr>
            <w:tcW w:w="440" w:type="dxa"/>
            <w:vAlign w:val="bottom"/>
            <w:tcBorders>
              <w:top w:val="single" w:sz="8" w:color="auto"/>
              <w:left w:val="single" w:sz="8" w:color="auto"/>
            </w:tcBorders>
          </w:tcPr>
          <w:p>
            <w:pPr>
              <w:spacing w:after="0"/>
              <w:rPr>
                <w:sz w:val="19"/>
                <w:szCs w:val="19"/>
                <w:color w:val="auto"/>
              </w:rPr>
            </w:pPr>
          </w:p>
        </w:tc>
        <w:tc>
          <w:tcPr>
            <w:tcW w:w="3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Covered Person</w:t>
            </w:r>
          </w:p>
        </w:tc>
        <w:tc>
          <w:tcPr>
            <w:tcW w:w="160" w:type="dxa"/>
            <w:vAlign w:val="bottom"/>
            <w:tcBorders>
              <w:top w:val="single" w:sz="8" w:color="auto"/>
            </w:tcBorders>
          </w:tcPr>
          <w:p>
            <w:pPr>
              <w:spacing w:after="0"/>
              <w:rPr>
                <w:sz w:val="19"/>
                <w:szCs w:val="19"/>
                <w:color w:val="auto"/>
              </w:rPr>
            </w:pPr>
          </w:p>
        </w:tc>
        <w:tc>
          <w:tcPr>
            <w:tcW w:w="3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Required Salary Multiple</w:t>
            </w:r>
          </w:p>
        </w:tc>
        <w:tc>
          <w:tcPr>
            <w:tcW w:w="180" w:type="dxa"/>
            <w:vAlign w:val="bottom"/>
            <w:tcBorders>
              <w:top w:val="single" w:sz="8" w:color="auto"/>
              <w:right w:val="single" w:sz="8" w:color="auto"/>
            </w:tcBorders>
          </w:tcPr>
          <w:p>
            <w:pPr>
              <w:spacing w:after="0"/>
              <w:rPr>
                <w:sz w:val="19"/>
                <w:szCs w:val="19"/>
                <w:color w:val="auto"/>
              </w:rPr>
            </w:pPr>
          </w:p>
        </w:tc>
      </w:tr>
      <w:tr>
        <w:trPr>
          <w:trHeight w:val="345"/>
        </w:trPr>
        <w:tc>
          <w:tcPr>
            <w:tcW w:w="440" w:type="dxa"/>
            <w:vAlign w:val="bottom"/>
            <w:tcBorders>
              <w:left w:val="single" w:sz="8" w:color="auto"/>
            </w:tcBorders>
          </w:tcPr>
          <w:p>
            <w:pPr>
              <w:spacing w:after="0"/>
              <w:rPr>
                <w:sz w:val="24"/>
                <w:szCs w:val="24"/>
                <w:color w:val="auto"/>
              </w:rPr>
            </w:pPr>
          </w:p>
        </w:tc>
        <w:tc>
          <w:tcPr>
            <w:tcW w:w="33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Chairman and Chief Executive Officer</w:t>
            </w:r>
          </w:p>
        </w:tc>
        <w:tc>
          <w:tcPr>
            <w:tcW w:w="33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7"/>
              </w:rPr>
              <w:t>5x base salary</w:t>
            </w:r>
          </w:p>
        </w:tc>
      </w:tr>
      <w:tr>
        <w:trPr>
          <w:trHeight w:val="351"/>
        </w:trPr>
        <w:tc>
          <w:tcPr>
            <w:tcW w:w="440" w:type="dxa"/>
            <w:vAlign w:val="bottom"/>
            <w:tcBorders>
              <w:left w:val="single" w:sz="8" w:color="auto"/>
            </w:tcBorders>
          </w:tcPr>
          <w:p>
            <w:pPr>
              <w:spacing w:after="0"/>
              <w:rPr>
                <w:sz w:val="24"/>
                <w:szCs w:val="24"/>
                <w:color w:val="auto"/>
              </w:rPr>
            </w:pPr>
          </w:p>
        </w:tc>
        <w:tc>
          <w:tcPr>
            <w:tcW w:w="33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All other Named Executive Officers</w:t>
            </w:r>
          </w:p>
        </w:tc>
        <w:tc>
          <w:tcPr>
            <w:tcW w:w="33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7"/>
              </w:rPr>
              <w:t>3x base salary</w:t>
            </w:r>
          </w:p>
        </w:tc>
      </w:tr>
      <w:tr>
        <w:trPr>
          <w:trHeight w:val="337"/>
        </w:trPr>
        <w:tc>
          <w:tcPr>
            <w:tcW w:w="440" w:type="dxa"/>
            <w:vAlign w:val="bottom"/>
            <w:tcBorders>
              <w:left w:val="single" w:sz="8" w:color="auto"/>
            </w:tcBorders>
          </w:tcPr>
          <w:p>
            <w:pPr>
              <w:spacing w:after="0"/>
              <w:rPr>
                <w:sz w:val="24"/>
                <w:szCs w:val="24"/>
                <w:color w:val="auto"/>
              </w:rPr>
            </w:pPr>
          </w:p>
        </w:tc>
        <w:tc>
          <w:tcPr>
            <w:tcW w:w="3320" w:type="dxa"/>
            <w:vAlign w:val="bottom"/>
            <w:gridSpan w:val="2"/>
          </w:tcPr>
          <w:p>
            <w:pPr>
              <w:ind w:left="1140"/>
              <w:spacing w:after="0"/>
              <w:rPr>
                <w:sz w:val="20"/>
                <w:szCs w:val="20"/>
                <w:color w:val="auto"/>
              </w:rPr>
            </w:pPr>
            <w:r>
              <w:rPr>
                <w:rFonts w:ascii="Arial" w:cs="Arial" w:eastAsia="Arial" w:hAnsi="Arial"/>
                <w:sz w:val="18"/>
                <w:szCs w:val="18"/>
                <w:color w:val="auto"/>
              </w:rPr>
              <w:t>Outside Directors</w:t>
            </w:r>
          </w:p>
        </w:tc>
        <w:tc>
          <w:tcPr>
            <w:tcW w:w="3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0"/>
              </w:rPr>
              <w:t>3x annual cash retainer (exclusive of any</w:t>
            </w:r>
          </w:p>
        </w:tc>
      </w:tr>
      <w:tr>
        <w:trPr>
          <w:trHeight w:val="216"/>
        </w:trPr>
        <w:tc>
          <w:tcPr>
            <w:tcW w:w="440" w:type="dxa"/>
            <w:vAlign w:val="bottom"/>
            <w:tcBorders>
              <w:lef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89"/>
              </w:rPr>
              <w:t>cash retainer payable for service as lead</w:t>
            </w:r>
          </w:p>
        </w:tc>
      </w:tr>
      <w:tr>
        <w:trPr>
          <w:trHeight w:val="216"/>
        </w:trPr>
        <w:tc>
          <w:tcPr>
            <w:tcW w:w="440" w:type="dxa"/>
            <w:vAlign w:val="bottom"/>
            <w:tcBorders>
              <w:lef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1"/>
              </w:rPr>
              <w:t>director, chairperson of the Board or</w:t>
            </w:r>
          </w:p>
        </w:tc>
      </w:tr>
      <w:tr>
        <w:trPr>
          <w:trHeight w:val="230"/>
        </w:trPr>
        <w:tc>
          <w:tcPr>
            <w:tcW w:w="440" w:type="dxa"/>
            <w:vAlign w:val="bottom"/>
            <w:tcBorders>
              <w:left w:val="single" w:sz="8" w:color="auto"/>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80" w:type="dxa"/>
            <w:vAlign w:val="bottom"/>
            <w:tcBorders>
              <w:bottom w:val="single" w:sz="8" w:color="auto"/>
              <w:right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1"/>
              </w:rPr>
              <w:t>any committee thereof)</w:t>
            </w:r>
          </w:p>
        </w:tc>
      </w:tr>
    </w:tbl>
    <w:p>
      <w:pPr>
        <w:spacing w:after="0" w:line="80" w:lineRule="exact"/>
        <w:rPr>
          <w:sz w:val="20"/>
          <w:szCs w:val="20"/>
          <w:color w:val="auto"/>
        </w:rPr>
      </w:pPr>
    </w:p>
    <w:p>
      <w:pPr>
        <w:ind w:left="40" w:right="619" w:firstLine="648"/>
        <w:spacing w:after="0" w:line="277" w:lineRule="auto"/>
        <w:rPr>
          <w:sz w:val="20"/>
          <w:szCs w:val="20"/>
          <w:color w:val="auto"/>
        </w:rPr>
      </w:pPr>
      <w:r>
        <w:rPr>
          <w:rFonts w:ascii="Arial" w:cs="Arial" w:eastAsia="Arial" w:hAnsi="Arial"/>
          <w:sz w:val="18"/>
          <w:szCs w:val="18"/>
          <w:color w:val="auto"/>
        </w:rPr>
        <w:t>Under the policy, the following may be used in determining share ownership for purposes of the ownership requirement:</w:t>
      </w:r>
    </w:p>
    <w:p>
      <w:pPr>
        <w:spacing w:after="0" w:line="170" w:lineRule="exact"/>
        <w:rPr>
          <w:sz w:val="20"/>
          <w:szCs w:val="20"/>
          <w:color w:val="auto"/>
        </w:rPr>
      </w:pPr>
    </w:p>
    <w:p>
      <w:pPr>
        <w:jc w:val="both"/>
        <w:ind w:left="1340" w:right="299" w:hanging="324"/>
        <w:spacing w:after="0" w:line="286" w:lineRule="auto"/>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spacing w:after="0" w:line="165" w:lineRule="exact"/>
        <w:rPr>
          <w:rFonts w:ascii="Arial" w:cs="Arial" w:eastAsia="Arial" w:hAnsi="Arial"/>
          <w:sz w:val="17"/>
          <w:szCs w:val="17"/>
          <w:color w:val="auto"/>
        </w:rPr>
      </w:pPr>
    </w:p>
    <w:p>
      <w:pPr>
        <w:ind w:left="1340" w:hanging="324"/>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owned jointly with or separately by the director’s spouse;</w:t>
      </w:r>
    </w:p>
    <w:p>
      <w:pPr>
        <w:spacing w:after="0" w:line="225" w:lineRule="exact"/>
        <w:rPr>
          <w:rFonts w:ascii="Arial" w:cs="Arial" w:eastAsia="Arial" w:hAnsi="Arial"/>
          <w:sz w:val="18"/>
          <w:szCs w:val="18"/>
          <w:color w:val="auto"/>
        </w:rPr>
      </w:pPr>
    </w:p>
    <w:p>
      <w:pPr>
        <w:ind w:left="1340" w:right="99" w:hanging="324"/>
        <w:spacing w:after="0" w:line="277" w:lineRule="auto"/>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held in trust for the benefit of the Covered Person, or one or more family members of the Covered Person;</w:t>
      </w:r>
    </w:p>
    <w:p>
      <w:pPr>
        <w:spacing w:after="0" w:line="170" w:lineRule="exact"/>
        <w:rPr>
          <w:rFonts w:ascii="Arial" w:cs="Arial" w:eastAsia="Arial" w:hAnsi="Arial"/>
          <w:sz w:val="18"/>
          <w:szCs w:val="18"/>
          <w:color w:val="auto"/>
        </w:rPr>
      </w:pPr>
    </w:p>
    <w:p>
      <w:pPr>
        <w:ind w:left="1340" w:hanging="324"/>
        <w:spacing w:after="0"/>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held in qualified or nonqualified savings, profit-sharing, or deferred compensation accounts;</w:t>
      </w:r>
    </w:p>
    <w:p>
      <w:pPr>
        <w:spacing w:after="0" w:line="236" w:lineRule="exact"/>
        <w:rPr>
          <w:rFonts w:ascii="Arial" w:cs="Arial" w:eastAsia="Arial" w:hAnsi="Arial"/>
          <w:sz w:val="17"/>
          <w:szCs w:val="17"/>
          <w:color w:val="auto"/>
        </w:rPr>
      </w:pPr>
    </w:p>
    <w:p>
      <w:pPr>
        <w:ind w:left="1340" w:right="299" w:hanging="324"/>
        <w:spacing w:after="0" w:line="308" w:lineRule="auto"/>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Shares underlying vested but unexercised stock options (based on the excess of the market price of the stock over the exercise price and after deducting any tax withholding obligations); and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hanging="3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underlying vested but unexercised warrants.</w:t>
      </w:r>
    </w:p>
    <w:p>
      <w:pPr>
        <w:spacing w:after="0" w:line="225"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Each person covered by the policy is expected to achieve the target ownership threshold within five years of the later of (i) January 26, 2017 and (ii)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2019, all persons covered by the policy were in compliance with the stock ownership requirements.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Anti-Hedging and Anti-Pledging Policy</w:t>
      </w:r>
    </w:p>
    <w:p>
      <w:pPr>
        <w:spacing w:after="0" w:line="229"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40" w:right="339" w:firstLine="648"/>
        <w:spacing w:after="0" w:line="287" w:lineRule="auto"/>
        <w:rPr>
          <w:sz w:val="20"/>
          <w:szCs w:val="20"/>
          <w:color w:val="auto"/>
        </w:rPr>
      </w:pPr>
      <w:r>
        <w:rPr>
          <w:rFonts w:ascii="Arial" w:cs="Arial" w:eastAsia="Arial" w:hAnsi="Arial"/>
          <w:sz w:val="16"/>
          <w:szCs w:val="16"/>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w:t>
      </w:r>
    </w:p>
    <w:p>
      <w:pPr>
        <w:spacing w:after="0" w:line="2" w:lineRule="exact"/>
        <w:rPr>
          <w:sz w:val="20"/>
          <w:szCs w:val="20"/>
          <w:color w:val="auto"/>
        </w:rPr>
      </w:pPr>
    </w:p>
    <w:p>
      <w:pPr>
        <w:ind w:left="40" w:right="99"/>
        <w:spacing w:after="0" w:line="267" w:lineRule="auto"/>
        <w:rPr>
          <w:sz w:val="20"/>
          <w:szCs w:val="20"/>
          <w:color w:val="auto"/>
        </w:rPr>
      </w:pPr>
      <w:r>
        <w:rPr>
          <w:rFonts w:ascii="Arial" w:cs="Arial" w:eastAsia="Arial" w:hAnsi="Arial"/>
          <w:sz w:val="17"/>
          <w:szCs w:val="17"/>
          <w:color w:val="auto"/>
        </w:rPr>
        <w:t>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2019 Director Compensation</w:t>
      </w:r>
    </w:p>
    <w:p>
      <w:pPr>
        <w:spacing w:after="0" w:line="229" w:lineRule="exact"/>
        <w:rPr>
          <w:sz w:val="20"/>
          <w:szCs w:val="20"/>
          <w:color w:val="auto"/>
        </w:rPr>
      </w:pPr>
    </w:p>
    <w:p>
      <w:pPr>
        <w:ind w:left="40" w:right="459" w:firstLine="648"/>
        <w:spacing w:after="0" w:line="277" w:lineRule="auto"/>
        <w:rPr>
          <w:sz w:val="20"/>
          <w:szCs w:val="20"/>
          <w:color w:val="auto"/>
        </w:rPr>
      </w:pPr>
      <w:r>
        <w:rPr>
          <w:rFonts w:ascii="Arial" w:cs="Arial" w:eastAsia="Arial" w:hAnsi="Arial"/>
          <w:sz w:val="18"/>
          <w:szCs w:val="18"/>
          <w:color w:val="auto"/>
        </w:rPr>
        <w:t>The following table provides information regarding the compensation paid to the persons who served as non-employee directors in 2019:</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Fees Earned or</w:t>
            </w:r>
          </w:p>
        </w:tc>
        <w:tc>
          <w:tcPr>
            <w:tcW w:w="16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 xml:space="preserve">Stock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 xml:space="preserve">Paid in Cash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r>
              <w:rPr>
                <w:rFonts w:ascii="Arial" w:cs="Arial" w:eastAsia="Arial" w:hAnsi="Arial"/>
                <w:sz w:val="14"/>
                <w:szCs w:val="14"/>
                <w:b w:val="1"/>
                <w:bCs w:val="1"/>
                <w:color w:val="auto"/>
                <w:w w:val="90"/>
                <w:vertAlign w:val="superscript"/>
              </w:rPr>
              <w:t>(1)</w:t>
            </w: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Sara R. Dial</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105,833</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Lisa Graham Keegan</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16,250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Chevy Humphrey</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56,250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1" w:lineRule="exact"/>
        <w:rPr>
          <w:sz w:val="20"/>
          <w:szCs w:val="20"/>
          <w:color w:val="auto"/>
        </w:rPr>
      </w:pPr>
    </w:p>
    <w:p>
      <w:pPr>
        <w:ind w:left="360" w:right="379" w:hanging="316"/>
        <w:spacing w:after="0" w:line="263"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table provides a breakdown of the cash compensation paid to our non-employee directors in 2019 in respect of their annual retainers for service on the Board of Directors, for service on Board committees, and for services as a Board committee chair or as lead independent director:</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3"/>
              </w:rPr>
              <w:t>Board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3"/>
              </w:rPr>
              <w:t>Board</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Chair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Directors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Committee</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Annual</w:t>
            </w:r>
          </w:p>
        </w:tc>
        <w:tc>
          <w:tcPr>
            <w:tcW w:w="16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Annual Retainer</w:t>
            </w: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Annual Retainers</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Retainer</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Sara R. Dial</w:t>
            </w:r>
            <w:r>
              <w:rPr>
                <w:rFonts w:ascii="Arial" w:cs="Arial" w:eastAsia="Arial" w:hAnsi="Arial"/>
                <w:sz w:val="8"/>
                <w:szCs w:val="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$ 43,333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$105,833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Jack A. Henry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Lisa Graham Keegan</w:t>
            </w:r>
            <w:r>
              <w:rPr>
                <w:rFonts w:ascii="Arial" w:cs="Arial" w:eastAsia="Arial" w:hAnsi="Arial"/>
                <w:sz w:val="8"/>
                <w:szCs w:val="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Chevy Humphrey</w:t>
            </w:r>
            <w:r>
              <w:rPr>
                <w:rFonts w:ascii="Arial" w:cs="Arial" w:eastAsia="Arial" w:hAnsi="Arial"/>
                <w:sz w:val="8"/>
                <w:szCs w:val="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80" w:type="dxa"/>
            <w:vAlign w:val="bottom"/>
          </w:tcPr>
          <w:p>
            <w:pPr>
              <w:spacing w:after="0"/>
              <w:rPr>
                <w:sz w:val="20"/>
                <w:szCs w:val="20"/>
                <w:color w:val="auto"/>
              </w:rPr>
            </w:pPr>
            <w:r>
              <w:rPr>
                <w:rFonts w:ascii="Arial" w:cs="Arial" w:eastAsia="Arial" w:hAnsi="Arial"/>
                <w:sz w:val="18"/>
                <w:szCs w:val="18"/>
                <w:color w:val="auto"/>
              </w:rPr>
              <w:t>Kevin F. Warren</w:t>
            </w:r>
            <w:r>
              <w:rPr>
                <w:rFonts w:ascii="Arial" w:cs="Arial" w:eastAsia="Arial" w:hAnsi="Arial"/>
                <w:sz w:val="8"/>
                <w:szCs w:val="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00" w:right="359" w:hanging="332"/>
        <w:spacing w:after="0" w:line="249" w:lineRule="auto"/>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amount for Ms. Dial includes the additional annual retainer of $33,333 that she received in her capacity as lead independent director.</w:t>
      </w:r>
    </w:p>
    <w:p>
      <w:pPr>
        <w:ind w:left="700" w:right="139" w:hanging="332"/>
        <w:spacing w:after="0" w:line="250" w:lineRule="auto"/>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amounts for Ms. Graham Keegan and Ms. Humphrey reflect a prorated amount based on the date each joined the Board of Directors in August 2019.</w:t>
      </w:r>
    </w:p>
    <w:p>
      <w:pPr>
        <w:ind w:left="700" w:right="79" w:hanging="332"/>
        <w:spacing w:after="0" w:line="260" w:lineRule="auto"/>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amount for Mr. Warren reflects a prorated amount through the date he resigned from the Board of Directors in August 2019.</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360" w:right="79" w:hanging="316"/>
        <w:spacing w:after="0" w:line="271"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the shares of restricted stock granted during the fiscal year as computed in accordance with ASC 718. For each director, the number of shares granted was determined by dividing the grant date value of the award, $75,000, by $123.09, the closing price of the company’s common stock on June 13, 2019, the date of grant, rounded up to the nearest whole share. Each director held 610 unvested shares at December 31, 2019, except for Mr. Warren, whose unvested shares were forfeited upon his resignation in August 2019, and for Ms. Graham Keegan and Ms. Humphrey, each of whom received a grant of 158 shares upon their appointment to the Board of Directors in August 2019. All unvested shares will vest on the earlier of the one-year anniversary of the date of grant or immediately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-1196975</wp:posOffset>
            </wp:positionV>
            <wp:extent cx="1414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24" w:lineRule="exact"/>
        <w:rPr>
          <w:sz w:val="20"/>
          <w:szCs w:val="20"/>
          <w:color w:val="auto"/>
        </w:rPr>
      </w:pPr>
    </w:p>
    <w:p>
      <w:pPr>
        <w:ind w:left="580"/>
        <w:spacing w:after="0"/>
        <w:tabs>
          <w:tab w:leader="none" w:pos="2700" w:val="left"/>
        </w:tabs>
        <w:rPr>
          <w:sz w:val="20"/>
          <w:szCs w:val="20"/>
          <w:color w:val="auto"/>
        </w:rPr>
      </w:pPr>
      <w:r>
        <w:rPr>
          <w:rFonts w:ascii="Arial" w:cs="Arial" w:eastAsia="Arial" w:hAnsi="Arial"/>
          <w:sz w:val="18"/>
          <w:szCs w:val="18"/>
          <w:b w:val="1"/>
          <w:bCs w:val="1"/>
          <w:i w:val="1"/>
          <w:iCs w:val="1"/>
          <w:color w:val="auto"/>
        </w:rPr>
        <w:t>What am I voting on?</w:t>
      </w:r>
      <w:r>
        <w:rPr>
          <w:sz w:val="20"/>
          <w:szCs w:val="20"/>
          <w:color w:val="auto"/>
        </w:rPr>
        <w:tab/>
      </w:r>
      <w:r>
        <w:rPr>
          <w:rFonts w:ascii="Arial" w:cs="Arial" w:eastAsia="Arial" w:hAnsi="Arial"/>
          <w:sz w:val="16"/>
          <w:szCs w:val="16"/>
          <w:color w:val="auto"/>
        </w:rPr>
        <w:t>Stockholders are being asked to elect five directors to serve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2211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211705"/>
                    </a:xfrm>
                    <a:prstGeom prst="rect">
                      <a:avLst/>
                    </a:prstGeom>
                    <a:noFill/>
                  </pic:spPr>
                </pic:pic>
              </a:graphicData>
            </a:graphic>
          </wp:anchor>
        </w:drawing>
      </w:r>
    </w:p>
    <w:p>
      <w:pPr>
        <w:spacing w:after="0" w:line="201" w:lineRule="exact"/>
        <w:rPr>
          <w:sz w:val="20"/>
          <w:szCs w:val="20"/>
          <w:color w:val="auto"/>
        </w:rPr>
      </w:pPr>
    </w:p>
    <w:p>
      <w:pPr>
        <w:ind w:left="2720" w:right="119" w:hanging="2131"/>
        <w:spacing w:after="0" w:line="274" w:lineRule="auto"/>
        <w:tabs>
          <w:tab w:leader="none" w:pos="2700" w:val="left"/>
        </w:tabs>
        <w:rPr>
          <w:sz w:val="20"/>
          <w:szCs w:val="20"/>
          <w:color w:val="auto"/>
        </w:rPr>
      </w:pPr>
      <w:r>
        <w:rPr>
          <w:rFonts w:ascii="Arial" w:cs="Arial" w:eastAsia="Arial" w:hAnsi="Arial"/>
          <w:sz w:val="18"/>
          <w:szCs w:val="18"/>
          <w:b w:val="1"/>
          <w:bCs w:val="1"/>
          <w:i w:val="1"/>
          <w:iCs w:val="1"/>
          <w:color w:val="auto"/>
        </w:rPr>
        <w:t>Voting recommendation:</w:t>
      </w:r>
      <w:r>
        <w:rPr>
          <w:sz w:val="20"/>
          <w:szCs w:val="20"/>
          <w:color w:val="auto"/>
        </w:rPr>
        <w:tab/>
      </w:r>
      <w:r>
        <w:rPr>
          <w:rFonts w:ascii="Arial" w:cs="Arial" w:eastAsia="Arial" w:hAnsi="Arial"/>
          <w:sz w:val="17"/>
          <w:szCs w:val="17"/>
          <w:color w:val="auto"/>
        </w:rPr>
        <w:t>Our Board of Directors unanimous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director nominee. The Board and the Nominating and Corporate Governance Committee believe that the five director nominees each possess the necessary qualifications, attributes, skills and experiences to provide quality advice and counsel to the Company’s management and effectively oversee the business and the long-term interests of our stockholders.</w:t>
      </w:r>
    </w:p>
    <w:p>
      <w:pPr>
        <w:spacing w:after="0" w:line="177" w:lineRule="exact"/>
        <w:rPr>
          <w:sz w:val="20"/>
          <w:szCs w:val="20"/>
          <w:color w:val="auto"/>
        </w:rPr>
      </w:pPr>
    </w:p>
    <w:p>
      <w:pPr>
        <w:ind w:left="2720" w:right="179" w:hanging="2131"/>
        <w:spacing w:after="0" w:line="254" w:lineRule="auto"/>
        <w:tabs>
          <w:tab w:leader="none" w:pos="2700" w:val="left"/>
        </w:tabs>
        <w:rPr>
          <w:sz w:val="20"/>
          <w:szCs w:val="20"/>
          <w:color w:val="auto"/>
        </w:rPr>
      </w:pPr>
      <w:r>
        <w:rPr>
          <w:rFonts w:ascii="Arial" w:cs="Arial" w:eastAsia="Arial" w:hAnsi="Arial"/>
          <w:sz w:val="18"/>
          <w:szCs w:val="18"/>
          <w:b w:val="1"/>
          <w:bCs w:val="1"/>
          <w:i w:val="1"/>
          <w:iCs w:val="1"/>
          <w:color w:val="auto"/>
        </w:rPr>
        <w:t>Vote required:</w:t>
      </w:r>
      <w:r>
        <w:rPr>
          <w:sz w:val="20"/>
          <w:szCs w:val="20"/>
          <w:color w:val="auto"/>
        </w:rPr>
        <w:tab/>
      </w:r>
      <w:r>
        <w:rPr>
          <w:rFonts w:ascii="Arial" w:cs="Arial" w:eastAsia="Arial" w:hAnsi="Arial"/>
          <w:sz w:val="18"/>
          <w:szCs w:val="18"/>
          <w:color w:val="auto"/>
        </w:rPr>
        <w:t>The affirmative vote of a majority of the votes cast at the Annual Meeting is required for the election of each director. Stockholders of the Company are not permitted to cumulate their votes for the election of directors. Abstentions and broker non-votes will have no effect on the results of the election of directors. Unless contrary instructions are given, shares represented by proxies solicited by the Board of Directors will be voted for the election of each of the director nominees identified below.</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9"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six members although Mr. Johnson previously determined not to stand for reelection at the Annual Meeting. Each of our five nominees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five persons named below for election as directors. Proxies solicited by our Board of Directors will, unless otherwise directed, be voted to elect the five nominees named below to constitute the entire Board of Directors.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Directors and Director Nominees</w:t>
      </w:r>
    </w:p>
    <w:p>
      <w:pPr>
        <w:spacing w:after="0" w:line="229" w:lineRule="exact"/>
        <w:rPr>
          <w:sz w:val="20"/>
          <w:szCs w:val="20"/>
          <w:color w:val="auto"/>
        </w:rPr>
      </w:pPr>
    </w:p>
    <w:p>
      <w:pPr>
        <w:ind w:left="40" w:right="159" w:firstLine="648"/>
        <w:spacing w:after="0" w:line="279" w:lineRule="auto"/>
        <w:rPr>
          <w:sz w:val="20"/>
          <w:szCs w:val="20"/>
          <w:color w:val="auto"/>
        </w:rPr>
      </w:pPr>
      <w:r>
        <w:rPr>
          <w:rFonts w:ascii="Arial" w:cs="Arial" w:eastAsia="Arial" w:hAnsi="Arial"/>
          <w:sz w:val="17"/>
          <w:szCs w:val="17"/>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2120" w:type="dxa"/>
            <w:vAlign w:val="bottom"/>
          </w:tcPr>
          <w:p>
            <w:pPr>
              <w:ind w:left="800"/>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4"/>
                <w:szCs w:val="14"/>
                <w:color w:val="auto"/>
              </w:rPr>
            </w:pPr>
          </w:p>
        </w:tc>
        <w:tc>
          <w:tcPr>
            <w:tcW w:w="3740" w:type="dxa"/>
            <w:vAlign w:val="bottom"/>
          </w:tcPr>
          <w:p>
            <w:pPr>
              <w:ind w:left="1120"/>
              <w:spacing w:after="0"/>
              <w:rPr>
                <w:sz w:val="20"/>
                <w:szCs w:val="20"/>
                <w:color w:val="auto"/>
              </w:rPr>
            </w:pPr>
            <w:r>
              <w:rPr>
                <w:rFonts w:ascii="Arial" w:cs="Arial" w:eastAsia="Arial" w:hAnsi="Arial"/>
                <w:sz w:val="14"/>
                <w:szCs w:val="14"/>
                <w:b w:val="1"/>
                <w:bCs w:val="1"/>
                <w:color w:val="auto"/>
              </w:rPr>
              <w:t>Committee Membership</w:t>
            </w:r>
          </w:p>
        </w:tc>
      </w:tr>
      <w:tr>
        <w:trPr>
          <w:trHeight w:val="195"/>
        </w:trPr>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Brian E. Mueller</w:t>
            </w:r>
          </w:p>
        </w:tc>
        <w:tc>
          <w:tcPr>
            <w:tcW w:w="1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66</w:t>
            </w:r>
          </w:p>
        </w:tc>
        <w:tc>
          <w:tcPr>
            <w:tcW w:w="18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and Chief</w:t>
            </w:r>
          </w:p>
        </w:tc>
        <w:tc>
          <w:tcPr>
            <w:tcW w:w="18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None</w:t>
            </w:r>
          </w:p>
        </w:tc>
      </w:tr>
      <w:tr>
        <w:trPr>
          <w:trHeight w:val="230"/>
        </w:trPr>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r>
      <w:tr>
        <w:trPr>
          <w:trHeight w:val="202"/>
        </w:trPr>
        <w:tc>
          <w:tcPr>
            <w:tcW w:w="1540" w:type="dxa"/>
            <w:vAlign w:val="bottom"/>
            <w:gridSpan w:val="2"/>
          </w:tcPr>
          <w:p>
            <w:pPr>
              <w:spacing w:after="0" w:line="201" w:lineRule="exact"/>
              <w:rPr>
                <w:sz w:val="20"/>
                <w:szCs w:val="20"/>
                <w:color w:val="auto"/>
              </w:rPr>
            </w:pPr>
            <w:r>
              <w:rPr>
                <w:rFonts w:ascii="Arial" w:cs="Arial" w:eastAsia="Arial" w:hAnsi="Arial"/>
                <w:sz w:val="18"/>
                <w:szCs w:val="18"/>
                <w:color w:val="auto"/>
              </w:rPr>
              <w:t>Sara R. Dial</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56</w:t>
            </w:r>
          </w:p>
        </w:tc>
        <w:tc>
          <w:tcPr>
            <w:tcW w:w="18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w w:val="93"/>
              </w:rPr>
              <w:t>(Lead Independent Director)</w:t>
            </w: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(chair); Compensation; and Audit</w:t>
            </w:r>
          </w:p>
        </w:tc>
      </w:tr>
      <w:tr>
        <w:trPr>
          <w:trHeight w:val="202"/>
        </w:trPr>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Jack A. Henry</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76</w:t>
            </w:r>
          </w:p>
        </w:tc>
        <w:tc>
          <w:tcPr>
            <w:tcW w:w="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Audit (chair); Nominating and Corporate</w:t>
            </w:r>
          </w:p>
        </w:tc>
      </w:tr>
      <w:tr>
        <w:trPr>
          <w:trHeight w:val="230"/>
        </w:trPr>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Governance; and Compensation</w:t>
            </w:r>
          </w:p>
        </w:tc>
      </w:tr>
      <w:tr>
        <w:trPr>
          <w:trHeight w:val="202"/>
        </w:trPr>
        <w:tc>
          <w:tcPr>
            <w:tcW w:w="1540" w:type="dxa"/>
            <w:vAlign w:val="bottom"/>
            <w:gridSpan w:val="2"/>
          </w:tcPr>
          <w:p>
            <w:pPr>
              <w:spacing w:after="0" w:line="201" w:lineRule="exact"/>
              <w:rPr>
                <w:sz w:val="20"/>
                <w:szCs w:val="20"/>
                <w:color w:val="auto"/>
              </w:rPr>
            </w:pPr>
            <w:r>
              <w:rPr>
                <w:rFonts w:ascii="Arial" w:cs="Arial" w:eastAsia="Arial" w:hAnsi="Arial"/>
                <w:sz w:val="18"/>
                <w:szCs w:val="18"/>
                <w:color w:val="auto"/>
              </w:rPr>
              <w:t>Lisa Graham</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60</w:t>
            </w:r>
          </w:p>
        </w:tc>
        <w:tc>
          <w:tcPr>
            <w:tcW w:w="18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Keegan</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Pr>
          <w:p>
            <w:pPr>
              <w:ind w:left="40"/>
              <w:spacing w:after="0"/>
              <w:rPr>
                <w:sz w:val="20"/>
                <w:szCs w:val="20"/>
                <w:color w:val="auto"/>
              </w:rPr>
            </w:pPr>
            <w:r>
              <w:rPr>
                <w:rFonts w:ascii="Arial" w:cs="Arial" w:eastAsia="Arial" w:hAnsi="Arial"/>
                <w:sz w:val="18"/>
                <w:szCs w:val="18"/>
                <w:color w:val="auto"/>
              </w:rPr>
              <w:t>Compensation; and Audit</w:t>
            </w:r>
          </w:p>
        </w:tc>
      </w:tr>
      <w:tr>
        <w:trPr>
          <w:trHeight w:val="202"/>
        </w:trPr>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Chevy Humphrey</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55</w:t>
            </w:r>
          </w:p>
        </w:tc>
        <w:tc>
          <w:tcPr>
            <w:tcW w:w="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w:t>
            </w:r>
          </w:p>
        </w:tc>
        <w:tc>
          <w:tcPr>
            <w:tcW w:w="39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Audit</w:t>
            </w:r>
          </w:p>
        </w:tc>
      </w:tr>
      <w:tr>
        <w:trPr>
          <w:trHeight w:val="864"/>
        </w:trPr>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ind w:left="15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61"/>
        </w:trPr>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2280" w:right="79" w:firstLine="648"/>
        <w:spacing w:after="0" w:line="283" w:lineRule="auto"/>
        <w:rPr>
          <w:sz w:val="20"/>
          <w:szCs w:val="20"/>
          <w:color w:val="auto"/>
        </w:rPr>
      </w:pPr>
      <w:r>
        <w:rPr>
          <w:rFonts w:ascii="Arial" w:cs="Arial" w:eastAsia="Arial" w:hAnsi="Arial"/>
          <w:sz w:val="16"/>
          <w:szCs w:val="16"/>
          <w:i w:val="1"/>
          <w:iCs w:val="1"/>
          <w:color w:val="auto"/>
        </w:rPr>
        <w:t xml:space="preserve">Brian E. Mueller </w:t>
      </w:r>
      <w:r>
        <w:rPr>
          <w:rFonts w:ascii="Arial" w:cs="Arial" w:eastAsia="Arial" w:hAnsi="Arial"/>
          <w:sz w:val="16"/>
          <w:szCs w:val="16"/>
          <w:color w:val="auto"/>
        </w:rPr>
        <w:t>has been serving as our Chief Executive Officer since July 1,</w:t>
      </w:r>
      <w:r>
        <w:rPr>
          <w:rFonts w:ascii="Arial" w:cs="Arial" w:eastAsia="Arial" w:hAnsi="Arial"/>
          <w:sz w:val="16"/>
          <w:szCs w:val="16"/>
          <w:i w:val="1"/>
          <w:iCs w:val="1"/>
          <w:color w:val="auto"/>
        </w:rPr>
        <w:t xml:space="preserve"> </w:t>
      </w:r>
      <w:r>
        <w:rPr>
          <w:rFonts w:ascii="Arial" w:cs="Arial" w:eastAsia="Arial" w:hAnsi="Arial"/>
          <w:sz w:val="16"/>
          <w:szCs w:val="16"/>
          <w:color w:val="auto"/>
        </w:rPr>
        <w:t>2008, as a director since March 2009, and as the Chairman of our Board since January 2017. Since July 1, 2018, Mr. Mueller has also served as the President of Grand Canyon University, an independent non-profit Arizona corporation that is our most significant university partner. From 2012 to 2018, Mr. Mueller served as the President of Grand Canyon University when it was owned and operated by the Company. See Policies and Procedures for Related Party Transactions.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-1918970</wp:posOffset>
            </wp:positionV>
            <wp:extent cx="1234440" cy="1645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ind w:left="2280" w:right="99"/>
        <w:spacing w:after="0" w:line="251" w:lineRule="auto"/>
        <w:rPr>
          <w:sz w:val="20"/>
          <w:szCs w:val="20"/>
          <w:color w:val="auto"/>
        </w:rPr>
      </w:pPr>
      <w:r>
        <w:rPr>
          <w:rFonts w:ascii="Arial" w:cs="Arial" w:eastAsia="Arial" w:hAnsi="Arial"/>
          <w:sz w:val="18"/>
          <w:szCs w:val="18"/>
          <w:color w:val="auto"/>
        </w:rPr>
        <w:t>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198" w:lineRule="exact"/>
        <w:rPr>
          <w:sz w:val="20"/>
          <w:szCs w:val="20"/>
          <w:color w:val="auto"/>
        </w:rPr>
      </w:pPr>
    </w:p>
    <w:p>
      <w:pPr>
        <w:ind w:left="2280" w:right="79" w:firstLine="648"/>
        <w:spacing w:after="0" w:line="284"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2013, and as the lead independent director since January 2017. Ms. Dial has served as President and Chief Executive Officer of Sara Dial &amp; Associates, an economic development consulting firm specializing in site selection and government relations since 1996. She has led high profile economic development initiatives in Arizona including the restructuring of Arizona’s statewide economic development organization under Governor Brewer, resulting in the creation of the agency now known as the Arizona Commerce Authority. From 2002 through 2003, Ms. Dial also served as the Chief Executive of Social Venture Partners Arizona, a philanthropic foundation using a venture capital approach to giving. In 2004, Ms. Dial served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In 2019, she became a National Association of Corporate Directors Board Leadership Fellow on behalf of her commitment to exemplary corporate governance. Currently, Ms. Dial is a director for Mobile Mini, Inc., a publicly traded provider of portable storage and specialty containment solutions, and she also sits on the local advisory board of BBVA. Ms. Dial was previously a member of the board of trustees at Seattle Pacific University. Ms. Dial is a graduate of Stanford University with a Bachelor of Arts degree in international relations.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2280" w:right="79" w:firstLine="648"/>
        <w:spacing w:after="0" w:line="286"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2008. Since 2000, Mr. Henry has 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 of directors and as chair of the audit committee of TPI Composites, Inc., a manufacturer of composite wind blades, and on the boards of directors and audit committees of several private companies. He is past President of the Arizona Chapter of the National Association of Corporate Directors having served in that capacity for 15 years.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-1939290</wp:posOffset>
            </wp:positionV>
            <wp:extent cx="1234440" cy="1645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spacing w:after="0" w:line="151" w:lineRule="exact"/>
        <w:rPr>
          <w:sz w:val="20"/>
          <w:szCs w:val="20"/>
          <w:color w:val="auto"/>
        </w:rPr>
      </w:pPr>
    </w:p>
    <w:p>
      <w:pPr>
        <w:ind w:left="2280" w:right="99" w:firstLine="648"/>
        <w:spacing w:after="0" w:line="268" w:lineRule="auto"/>
        <w:rPr>
          <w:sz w:val="20"/>
          <w:szCs w:val="20"/>
          <w:color w:val="auto"/>
        </w:rPr>
      </w:pPr>
      <w:r>
        <w:rPr>
          <w:rFonts w:ascii="Arial" w:cs="Arial" w:eastAsia="Arial" w:hAnsi="Arial"/>
          <w:sz w:val="17"/>
          <w:szCs w:val="17"/>
          <w:i w:val="1"/>
          <w:iCs w:val="1"/>
          <w:color w:val="auto"/>
        </w:rPr>
        <w:t xml:space="preserve">Lisa Graham Keegan </w:t>
      </w:r>
      <w:r>
        <w:rPr>
          <w:rFonts w:ascii="Arial" w:cs="Arial" w:eastAsia="Arial" w:hAnsi="Arial"/>
          <w:sz w:val="17"/>
          <w:szCs w:val="17"/>
          <w:color w:val="auto"/>
        </w:rPr>
        <w:t>has been serving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since August 2019. Since 2001, Ms. Keegan has served as the Principal Partner at The Keegan Company, an education policy consulting firm, where she leads numerous projects, writes, and speaks on critical issues in American education. From 1991 to 2001, Ms. Keegan served as an Arizona elected official, first in the Arizona House of Representatives from 1991 to 1995, where she chaired the House Education Committee and oversaw the K-12, community college and university education budgets on the Appropriations Committee, and later as the Arizona Superintendent of Public Instruction from 1995 to 2001, where she oversaw Arizona’s public school system and directed the state’s Department of Education. In 2000 and 2008, respectively, Ms. Keegan served as education advisor to the John McCain campaigns for President. Ms. Keegan received a Bachelor of Arts degree from Stanford University and a Masters’ Degree from Arizona State University. We believe Ms. Keegan’s extensive experience with education and public office experience provides a tremendous resource to our Board of Directors and management team, particularly in the areas of operations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-2069465</wp:posOffset>
            </wp:positionV>
            <wp:extent cx="1259840" cy="1885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59840" cy="1885950"/>
                    </a:xfrm>
                    <a:prstGeom prst="rect">
                      <a:avLst/>
                    </a:prstGeom>
                    <a:noFill/>
                  </pic:spPr>
                </pic:pic>
              </a:graphicData>
            </a:graphic>
          </wp:anchor>
        </w:drawing>
      </w:r>
    </w:p>
    <w:p>
      <w:pPr>
        <w:spacing w:after="0" w:line="378" w:lineRule="exact"/>
        <w:rPr>
          <w:sz w:val="20"/>
          <w:szCs w:val="20"/>
          <w:color w:val="auto"/>
        </w:rPr>
      </w:pPr>
    </w:p>
    <w:p>
      <w:pPr>
        <w:ind w:left="2280" w:right="79" w:firstLine="648"/>
        <w:spacing w:after="0" w:line="284" w:lineRule="auto"/>
        <w:rPr>
          <w:sz w:val="20"/>
          <w:szCs w:val="20"/>
          <w:color w:val="auto"/>
        </w:rPr>
      </w:pPr>
      <w:r>
        <w:rPr>
          <w:rFonts w:ascii="Arial" w:cs="Arial" w:eastAsia="Arial" w:hAnsi="Arial"/>
          <w:sz w:val="16"/>
          <w:szCs w:val="16"/>
          <w:i w:val="1"/>
          <w:iCs w:val="1"/>
          <w:color w:val="auto"/>
        </w:rPr>
        <w:t xml:space="preserve">Chevy Humphrey </w:t>
      </w:r>
      <w:r>
        <w:rPr>
          <w:rFonts w:ascii="Arial" w:cs="Arial" w:eastAsia="Arial" w:hAnsi="Arial"/>
          <w:sz w:val="16"/>
          <w:szCs w:val="16"/>
          <w:color w:val="auto"/>
        </w:rPr>
        <w:t>has been serving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2019. Ms. Humphrey has been President and CEO of the Arizona Science Center, one of the nation’s premier science and education centers, since 2005 and is the first African-American to lead a Science Center in the United States. During her tenure, Ms. Humphrey has secured numerous national competitive and prestigious grants for the Arizona Science Center from organizations such as the National Institutes for Health and the National Science Foundation and has been recognized by the Phoenix Business Journal as a Most Admired CEO and by the Women’s National Basketball Association as a Visionary Leader. Ms. Humphrey currently serves as a board member and Vice Chair of the American Alliance of Museums, an organization that supports museums, zoos, science centers and similar organizations, and as a board member of College Success Arizona, an organization focused on increasing the post-secondary attainment rates of Arizona students, and the Sandra Day O’Connor Institute, an organization that advances civics education, civic engagement and civil discourse. Ms. Humphrey received a Bachelor of Business degree with a concentration in Marketing from the University of Phoenix, a Master of Business Administration degree from Northeastern University with specializations in Marketing and Entrepreneurship/Innovation, and is pursuing her Doctorate of Business Administration from Grand Canyon University. We believe Ms. Humphrey’s extensive experience on boards and STEM related experience provides a tremendous resource to our Board of Directors and management team, particularly in the areas of operations, finance,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-2755265</wp:posOffset>
            </wp:positionV>
            <wp:extent cx="1276985" cy="1920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6985" cy="192024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right="319" w:firstLine="648"/>
        <w:spacing w:after="0" w:line="250"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five nominees listed above to constitute our Board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ectPr>
          <w:pgSz w:w="11900" w:h="16838" w:orient="portrait"/>
          <w:cols w:equalWidth="0" w:num="1">
            <w:col w:w="9019"/>
          </w:cols>
          <w:pgMar w:left="1440" w:top="125" w:right="1440" w:bottom="1440" w:gutter="0" w:footer="0" w:header="0"/>
        </w:sectPr>
      </w:pPr>
    </w:p>
    <w:p>
      <w:pPr>
        <w:spacing w:after="0" w:line="224"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What am I voting 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79"/>
        <w:spacing w:after="0" w:line="263" w:lineRule="auto"/>
        <w:rPr>
          <w:sz w:val="20"/>
          <w:szCs w:val="20"/>
          <w:color w:val="auto"/>
        </w:rPr>
      </w:pPr>
      <w:r>
        <w:rPr>
          <w:rFonts w:ascii="Arial" w:cs="Arial" w:eastAsia="Arial" w:hAnsi="Arial"/>
          <w:sz w:val="18"/>
          <w:szCs w:val="18"/>
          <w:color w:val="auto"/>
        </w:rPr>
        <w:t xml:space="preserve">Stockholders are being asked to approve, on an advisory basis, the compensation of the named executive officers as described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section and the related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-431165</wp:posOffset>
            </wp:positionV>
            <wp:extent cx="5657850" cy="1937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93738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200" w:space="520"/>
            <w:col w:w="6299"/>
          </w:cols>
          <w:pgMar w:left="1440" w:top="125" w:right="1440" w:bottom="1440" w:gutter="0" w:footer="0" w:header="0"/>
          <w:type w:val="continuous"/>
        </w:sectPr>
      </w:pPr>
    </w:p>
    <w:p>
      <w:pPr>
        <w:ind w:left="2720" w:right="79" w:hanging="2131"/>
        <w:spacing w:after="0" w:line="275" w:lineRule="auto"/>
        <w:tabs>
          <w:tab w:leader="none" w:pos="2700" w:val="left"/>
        </w:tabs>
        <w:rPr>
          <w:sz w:val="20"/>
          <w:szCs w:val="20"/>
          <w:color w:val="auto"/>
        </w:rPr>
      </w:pPr>
      <w:r>
        <w:rPr>
          <w:rFonts w:ascii="Arial" w:cs="Arial" w:eastAsia="Arial" w:hAnsi="Arial"/>
          <w:sz w:val="18"/>
          <w:szCs w:val="18"/>
          <w:b w:val="1"/>
          <w:bCs w:val="1"/>
          <w:i w:val="1"/>
          <w:iCs w:val="1"/>
          <w:color w:val="auto"/>
        </w:rPr>
        <w:t>Voting recommendation:</w:t>
      </w:r>
      <w:r>
        <w:rPr>
          <w:sz w:val="20"/>
          <w:szCs w:val="20"/>
          <w:color w:val="auto"/>
        </w:rPr>
        <w:tab/>
      </w:r>
      <w:r>
        <w:rPr>
          <w:rFonts w:ascii="Arial" w:cs="Arial" w:eastAsia="Arial" w:hAnsi="Arial"/>
          <w:sz w:val="17"/>
          <w:szCs w:val="17"/>
          <w:color w:val="auto"/>
        </w:rPr>
        <w:t>Our Board of Directors unanimously recommends that you vote “FOR” the advisory vote to approve the compensation of our named executive officers. The Compensation Committee takes very seriously its role in the governance of the Company’s compensation programs and will take into account the outcome of the advisory vote when considering future executive compensation decisions.</w:t>
      </w:r>
    </w:p>
    <w:p>
      <w:pPr>
        <w:spacing w:after="0" w:line="176" w:lineRule="exact"/>
        <w:rPr>
          <w:sz w:val="20"/>
          <w:szCs w:val="20"/>
          <w:color w:val="auto"/>
        </w:rPr>
      </w:pPr>
    </w:p>
    <w:p>
      <w:pPr>
        <w:ind w:left="2720" w:right="119" w:hanging="2131"/>
        <w:spacing w:after="0" w:line="259" w:lineRule="auto"/>
        <w:tabs>
          <w:tab w:leader="none" w:pos="2700" w:val="left"/>
        </w:tabs>
        <w:rPr>
          <w:sz w:val="20"/>
          <w:szCs w:val="20"/>
          <w:color w:val="auto"/>
        </w:rPr>
      </w:pPr>
      <w:r>
        <w:rPr>
          <w:rFonts w:ascii="Arial" w:cs="Arial" w:eastAsia="Arial" w:hAnsi="Arial"/>
          <w:sz w:val="18"/>
          <w:szCs w:val="18"/>
          <w:b w:val="1"/>
          <w:bCs w:val="1"/>
          <w:i w:val="1"/>
          <w:iCs w:val="1"/>
          <w:color w:val="auto"/>
        </w:rPr>
        <w:t>Vote required:</w:t>
      </w:r>
      <w:r>
        <w:rPr>
          <w:sz w:val="20"/>
          <w:szCs w:val="20"/>
          <w:color w:val="auto"/>
        </w:rPr>
        <w:tab/>
      </w:r>
      <w:r>
        <w:rPr>
          <w:rFonts w:ascii="Arial" w:cs="Arial" w:eastAsia="Arial" w:hAnsi="Arial"/>
          <w:sz w:val="18"/>
          <w:szCs w:val="18"/>
          <w:color w:val="auto"/>
        </w:rPr>
        <w:t>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00" w:lineRule="exact"/>
        <w:rPr>
          <w:sz w:val="20"/>
          <w:szCs w:val="20"/>
          <w:color w:val="auto"/>
        </w:rPr>
      </w:pPr>
    </w:p>
    <w:p>
      <w:pPr>
        <w:ind w:left="40" w:right="119" w:firstLine="648"/>
        <w:spacing w:after="0" w:line="273" w:lineRule="auto"/>
        <w:rPr>
          <w:sz w:val="20"/>
          <w:szCs w:val="20"/>
          <w:color w:val="auto"/>
        </w:rPr>
      </w:pPr>
      <w:r>
        <w:rPr>
          <w:rFonts w:ascii="Arial" w:cs="Arial" w:eastAsia="Arial" w:hAnsi="Arial"/>
          <w:sz w:val="17"/>
          <w:szCs w:val="17"/>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2017 Annual Meeting, our stockholders voted in favor of holding Say-On-Pay votes annually. In light of this result and other factors considered by the Board, the Board has determined that the Company will hold Say-On-Pay votes on an annual basis.</w:t>
      </w:r>
    </w:p>
    <w:p>
      <w:pPr>
        <w:spacing w:after="0" w:line="178"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8"/>
          <w:szCs w:val="18"/>
          <w:color w:val="auto"/>
        </w:rPr>
        <w:t xml:space="preserve">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for a detailed discussion about our executive compensation programs, including information about the fiscal year 2019 compensation of our named executive officers.</w:t>
      </w:r>
    </w:p>
    <w:p>
      <w:pPr>
        <w:spacing w:after="0" w:line="195"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 xml:space="preserve">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of this proxy statement provides a more detailed discussion of our executive compensation program. We believe that the compensation program we follow helps us achieve our principal compensation objectives.</w:t>
      </w:r>
    </w:p>
    <w:p>
      <w:pPr>
        <w:spacing w:after="0" w:line="177" w:lineRule="exact"/>
        <w:rPr>
          <w:sz w:val="20"/>
          <w:szCs w:val="20"/>
          <w:color w:val="auto"/>
        </w:rPr>
      </w:pPr>
    </w:p>
    <w:p>
      <w:pPr>
        <w:ind w:left="40" w:right="139" w:firstLine="648"/>
        <w:spacing w:after="0" w:line="289" w:lineRule="auto"/>
        <w:rPr>
          <w:sz w:val="20"/>
          <w:szCs w:val="20"/>
          <w:color w:val="auto"/>
        </w:rPr>
      </w:pPr>
      <w:r>
        <w:rPr>
          <w:rFonts w:ascii="Arial" w:cs="Arial" w:eastAsia="Arial" w:hAnsi="Arial"/>
          <w:sz w:val="16"/>
          <w:szCs w:val="16"/>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will be asked at the Annual Meeting to approve the following resolution pursuant to this Proposal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 2:</w:t>
      </w:r>
    </w:p>
    <w:p>
      <w:pPr>
        <w:spacing w:after="0" w:line="211" w:lineRule="exact"/>
        <w:rPr>
          <w:sz w:val="20"/>
          <w:szCs w:val="20"/>
          <w:color w:val="auto"/>
        </w:rPr>
      </w:pPr>
    </w:p>
    <w:p>
      <w:pPr>
        <w:ind w:left="40" w:right="679" w:firstLine="648"/>
        <w:spacing w:after="0" w:line="286" w:lineRule="auto"/>
        <w:rPr>
          <w:sz w:val="20"/>
          <w:szCs w:val="20"/>
          <w:color w:val="auto"/>
        </w:rPr>
      </w:pPr>
      <w:r>
        <w:rPr>
          <w:rFonts w:ascii="Arial" w:cs="Arial" w:eastAsia="Arial" w:hAnsi="Arial"/>
          <w:sz w:val="17"/>
          <w:szCs w:val="17"/>
          <w:color w:val="auto"/>
        </w:rPr>
        <w:t>“RESOLVED, that the stockholders of Grand Canyon Education, Inc. approve, on an advisory basis, the compensation of the Company’s named executive officers, disclosed pursuant to Item 402 of Regulation S-K in the Company’s definitive proxy statement for the 2020 Annual Meeting of Stockholders.”</w:t>
      </w:r>
    </w:p>
    <w:p>
      <w:pPr>
        <w:spacing w:after="0" w:line="161" w:lineRule="exact"/>
        <w:rPr>
          <w:sz w:val="20"/>
          <w:szCs w:val="20"/>
          <w:color w:val="auto"/>
        </w:rPr>
      </w:pPr>
    </w:p>
    <w:p>
      <w:pPr>
        <w:ind w:left="40" w:right="779" w:firstLine="648"/>
        <w:spacing w:after="0" w:line="312" w:lineRule="auto"/>
        <w:rPr>
          <w:sz w:val="20"/>
          <w:szCs w:val="20"/>
          <w:color w:val="auto"/>
        </w:rPr>
      </w:pPr>
      <w:r>
        <w:rPr>
          <w:rFonts w:ascii="Arial" w:cs="Arial" w:eastAsia="Arial" w:hAnsi="Arial"/>
          <w:sz w:val="17"/>
          <w:szCs w:val="17"/>
          <w:b w:val="1"/>
          <w:bCs w:val="1"/>
          <w:color w:val="auto"/>
        </w:rPr>
        <w:t xml:space="preserve">Our Board of Directors unanimously recommends that you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the resolution approving the compensation of our named executive officers as disclosed in this proxy 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40" w:right="459" w:firstLine="648"/>
        <w:spacing w:after="0" w:line="263"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Brian E. Mueller, our Chairman and our Chief Executive Officer,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ind w:left="240"/>
              <w:spacing w:after="0"/>
              <w:rPr>
                <w:sz w:val="20"/>
                <w:szCs w:val="20"/>
                <w:color w:val="auto"/>
              </w:rPr>
            </w:pPr>
            <w:r>
              <w:rPr>
                <w:rFonts w:ascii="Arial" w:cs="Arial" w:eastAsia="Arial" w:hAnsi="Arial"/>
                <w:sz w:val="14"/>
                <w:szCs w:val="14"/>
                <w:b w:val="1"/>
                <w:bCs w:val="1"/>
                <w:color w:val="auto"/>
              </w:rPr>
              <w:t>Age</w:t>
            </w:r>
          </w:p>
        </w:tc>
        <w:tc>
          <w:tcPr>
            <w:tcW w:w="6320" w:type="dxa"/>
            <w:vAlign w:val="bottom"/>
            <w:gridSpan w:val="2"/>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720" w:type="dxa"/>
            <w:vAlign w:val="bottom"/>
          </w:tcPr>
          <w:p>
            <w:pPr>
              <w:ind w:left="240"/>
              <w:spacing w:after="0"/>
              <w:rPr>
                <w:sz w:val="20"/>
                <w:szCs w:val="20"/>
                <w:color w:val="auto"/>
              </w:rPr>
            </w:pPr>
            <w:r>
              <w:rPr>
                <w:rFonts w:ascii="Arial" w:cs="Arial" w:eastAsia="Arial" w:hAnsi="Arial"/>
                <w:sz w:val="18"/>
                <w:szCs w:val="18"/>
                <w:color w:val="auto"/>
              </w:rPr>
              <w:t>49</w:t>
            </w: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66</w:t>
            </w: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Information Officer</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Daniel J. Briggs</w:t>
            </w:r>
          </w:p>
        </w:tc>
        <w:tc>
          <w:tcPr>
            <w:tcW w:w="720" w:type="dxa"/>
            <w:vAlign w:val="bottom"/>
          </w:tcPr>
          <w:p>
            <w:pPr>
              <w:ind w:left="240"/>
              <w:spacing w:after="0"/>
              <w:rPr>
                <w:sz w:val="20"/>
                <w:szCs w:val="20"/>
                <w:color w:val="auto"/>
              </w:rPr>
            </w:pPr>
            <w:r>
              <w:rPr>
                <w:rFonts w:ascii="Arial" w:cs="Arial" w:eastAsia="Arial" w:hAnsi="Arial"/>
                <w:sz w:val="18"/>
                <w:szCs w:val="18"/>
                <w:color w:val="auto"/>
              </w:rPr>
              <w:t>60</w:t>
            </w:r>
          </w:p>
        </w:tc>
        <w:tc>
          <w:tcPr>
            <w:tcW w:w="6320" w:type="dxa"/>
            <w:vAlign w:val="bottom"/>
            <w:gridSpan w:val="2"/>
          </w:tcPr>
          <w:p>
            <w:pPr>
              <w:ind w:left="180"/>
              <w:spacing w:after="0"/>
              <w:rPr>
                <w:sz w:val="20"/>
                <w:szCs w:val="20"/>
                <w:color w:val="auto"/>
              </w:rPr>
            </w:pPr>
            <w:r>
              <w:rPr>
                <w:rFonts w:ascii="Arial" w:cs="Arial" w:eastAsia="Arial" w:hAnsi="Arial"/>
                <w:sz w:val="18"/>
                <w:szCs w:val="18"/>
                <w:color w:val="auto"/>
              </w:rPr>
              <w:t>Orbis Education, Chief Executive Officer</w:t>
            </w: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Dilek Marsh</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46</w:t>
            </w:r>
          </w:p>
        </w:tc>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Data Officer</w:t>
            </w:r>
          </w:p>
        </w:tc>
      </w:tr>
    </w:tbl>
    <w:p>
      <w:pPr>
        <w:spacing w:after="0" w:line="200" w:lineRule="exact"/>
        <w:rPr>
          <w:sz w:val="20"/>
          <w:szCs w:val="20"/>
          <w:color w:val="auto"/>
        </w:rPr>
      </w:pPr>
    </w:p>
    <w:p>
      <w:pPr>
        <w:spacing w:after="0" w:line="218" w:lineRule="exact"/>
        <w:rPr>
          <w:sz w:val="20"/>
          <w:szCs w:val="20"/>
          <w:color w:val="auto"/>
        </w:rPr>
      </w:pPr>
    </w:p>
    <w:p>
      <w:pPr>
        <w:ind w:left="2400" w:right="59" w:firstLine="648"/>
        <w:spacing w:after="0" w:line="268" w:lineRule="auto"/>
        <w:rPr>
          <w:sz w:val="20"/>
          <w:szCs w:val="20"/>
          <w:color w:val="auto"/>
        </w:rPr>
      </w:pPr>
      <w:r>
        <w:rPr>
          <w:rFonts w:ascii="Arial" w:cs="Arial" w:eastAsia="Arial" w:hAnsi="Arial"/>
          <w:sz w:val="17"/>
          <w:szCs w:val="17"/>
          <w:i w:val="1"/>
          <w:iCs w:val="1"/>
          <w:color w:val="auto"/>
        </w:rPr>
        <w:t xml:space="preserve">Dr. W. Stan Meyer </w:t>
      </w:r>
      <w:r>
        <w:rPr>
          <w:rFonts w:ascii="Arial" w:cs="Arial" w:eastAsia="Arial" w:hAnsi="Arial"/>
          <w:sz w:val="17"/>
          <w:szCs w:val="17"/>
          <w:color w:val="auto"/>
        </w:rPr>
        <w:t>has been serving as our Chief Operating Officer since July 26,</w:t>
      </w:r>
      <w:r>
        <w:rPr>
          <w:rFonts w:ascii="Arial" w:cs="Arial" w:eastAsia="Arial" w:hAnsi="Arial"/>
          <w:sz w:val="17"/>
          <w:szCs w:val="17"/>
          <w:i w:val="1"/>
          <w:iCs w:val="1"/>
          <w:color w:val="auto"/>
        </w:rPr>
        <w:t xml:space="preserve"> </w:t>
      </w:r>
      <w:r>
        <w:rPr>
          <w:rFonts w:ascii="Arial" w:cs="Arial" w:eastAsia="Arial" w:hAnsi="Arial"/>
          <w:sz w:val="17"/>
          <w:szCs w:val="17"/>
          <w:color w:val="auto"/>
        </w:rPr>
        <w:t>2012, having previously served in the position of Executive Vice President from June 2008 to July 2012.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-1931035</wp:posOffset>
            </wp:positionV>
            <wp:extent cx="1234440" cy="1645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spacing w:after="0" w:line="164" w:lineRule="exact"/>
        <w:rPr>
          <w:sz w:val="20"/>
          <w:szCs w:val="20"/>
          <w:color w:val="auto"/>
        </w:rPr>
      </w:pPr>
    </w:p>
    <w:p>
      <w:pPr>
        <w:ind w:left="3040"/>
        <w:spacing w:after="0"/>
        <w:rPr>
          <w:sz w:val="20"/>
          <w:szCs w:val="20"/>
          <w:color w:val="auto"/>
        </w:rPr>
      </w:pPr>
      <w:r>
        <w:rPr>
          <w:rFonts w:ascii="Arial" w:cs="Arial" w:eastAsia="Arial" w:hAnsi="Arial"/>
          <w:sz w:val="17"/>
          <w:szCs w:val="17"/>
          <w:i w:val="1"/>
          <w:iCs w:val="1"/>
          <w:color w:val="auto"/>
        </w:rPr>
        <w:t xml:space="preserve">Daniel E. Bachus </w:t>
      </w:r>
      <w:r>
        <w:rPr>
          <w:rFonts w:ascii="Arial" w:cs="Arial" w:eastAsia="Arial" w:hAnsi="Arial"/>
          <w:sz w:val="17"/>
          <w:szCs w:val="17"/>
          <w:color w:val="auto"/>
        </w:rPr>
        <w:t>has been serving as our Chief Financial Officer since July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1234440" cy="1645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2008. From January 2007 until June 2008, Mr. Bachus served as chief financial officer for</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Loreto Bay Company, a real estate developer. From 2000 to 2006, Mr. Bachus served as</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the chief accounting officer and controller of Apollo Education Group, Inc., a for-profit,</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postsecondary education company and the parent company of the University of</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Phoenix. From 1992 to 2000, Mr. Bachus was employed by Deloitte &amp; Touche LLP, most</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recently as an audit senior manager. Mr. Bachus received a Bachelor of Science degree in</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7"/>
          <w:szCs w:val="17"/>
          <w:color w:val="auto"/>
        </w:rPr>
        <w:t>Accountancy from the University of Arizona and a Master of Business Administration</w:t>
      </w:r>
    </w:p>
    <w:p>
      <w:pPr>
        <w:spacing w:after="0" w:line="2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degree from the University of Phoenix.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2400" w:right="99" w:firstLine="648"/>
        <w:spacing w:after="0" w:line="286" w:lineRule="auto"/>
        <w:rPr>
          <w:sz w:val="20"/>
          <w:szCs w:val="20"/>
          <w:color w:val="auto"/>
        </w:rPr>
      </w:pPr>
      <w:r>
        <w:rPr>
          <w:rFonts w:ascii="Arial" w:cs="Arial" w:eastAsia="Arial" w:hAnsi="Arial"/>
          <w:sz w:val="16"/>
          <w:szCs w:val="16"/>
          <w:i w:val="1"/>
          <w:iCs w:val="1"/>
          <w:color w:val="auto"/>
        </w:rPr>
        <w:t xml:space="preserve">Joseph N. Mildenhall </w:t>
      </w:r>
      <w:r>
        <w:rPr>
          <w:rFonts w:ascii="Arial" w:cs="Arial" w:eastAsia="Arial" w:hAnsi="Arial"/>
          <w:sz w:val="16"/>
          <w:szCs w:val="16"/>
          <w:color w:val="auto"/>
        </w:rPr>
        <w:t>has been serving as our Chief Information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2009. From 1998 to September 2009, Mr. Mildenhall was 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-1939290</wp:posOffset>
            </wp:positionV>
            <wp:extent cx="1234440" cy="1645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spacing w:after="0" w:line="151" w:lineRule="exact"/>
        <w:rPr>
          <w:sz w:val="20"/>
          <w:szCs w:val="20"/>
          <w:color w:val="auto"/>
        </w:rPr>
      </w:pPr>
    </w:p>
    <w:p>
      <w:pPr>
        <w:ind w:left="2400" w:right="79"/>
        <w:spacing w:after="0" w:line="253" w:lineRule="auto"/>
        <w:rPr>
          <w:sz w:val="20"/>
          <w:szCs w:val="20"/>
          <w:color w:val="auto"/>
        </w:rPr>
      </w:pPr>
      <w:r>
        <w:rPr>
          <w:rFonts w:ascii="Arial" w:cs="Arial" w:eastAsia="Arial" w:hAnsi="Arial"/>
          <w:sz w:val="18"/>
          <w:szCs w:val="18"/>
          <w:i w:val="1"/>
          <w:iCs w:val="1"/>
          <w:color w:val="333333"/>
        </w:rPr>
        <w:t xml:space="preserve">Daniel J. Briggs </w:t>
      </w:r>
      <w:r>
        <w:rPr>
          <w:rFonts w:ascii="Arial" w:cs="Arial" w:eastAsia="Arial" w:hAnsi="Arial"/>
          <w:sz w:val="18"/>
          <w:szCs w:val="18"/>
          <w:color w:val="333333"/>
        </w:rPr>
        <w:t>has been serving as the Chief Executive Officer of Orbis Education</w:t>
      </w:r>
      <w:r>
        <w:rPr>
          <w:rFonts w:ascii="Arial" w:cs="Arial" w:eastAsia="Arial" w:hAnsi="Arial"/>
          <w:sz w:val="18"/>
          <w:szCs w:val="18"/>
          <w:i w:val="1"/>
          <w:iCs w:val="1"/>
          <w:color w:val="333333"/>
        </w:rPr>
        <w:t xml:space="preserve"> </w:t>
      </w:r>
      <w:r>
        <w:rPr>
          <w:rFonts w:ascii="Arial" w:cs="Arial" w:eastAsia="Arial" w:hAnsi="Arial"/>
          <w:sz w:val="18"/>
          <w:szCs w:val="18"/>
          <w:color w:val="333333"/>
        </w:rPr>
        <w:t>Services, our wholly owned subsidiary, since our acquisition of Orbis Education in January 2019. Mr. Briggs founded Orbis Education in 2003 and served in various positions, including chief executive officer and chief growth officer until January 2019. Prior to founding Orbis Education, Mr. Briggs served as Vice President of National Accounts for CCS Medical, a national home delivery company addressing chronic medical conditions, and Senior Vice President for ORYX Consulting, specializing in business unit for Roche Diagnostics Corporation that focused on treating common ailments through a virtual portal. Mr. Briggs holds a Bachelor of Secondary Education degree from the University of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-1376045</wp:posOffset>
            </wp:positionV>
            <wp:extent cx="1294130" cy="1859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9413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360" w:right="99"/>
        <w:spacing w:after="0" w:line="285" w:lineRule="auto"/>
        <w:rPr>
          <w:sz w:val="20"/>
          <w:szCs w:val="20"/>
          <w:color w:val="auto"/>
        </w:rPr>
      </w:pPr>
      <w:r>
        <w:rPr>
          <w:rFonts w:ascii="Arial" w:cs="Arial" w:eastAsia="Arial" w:hAnsi="Arial"/>
          <w:sz w:val="16"/>
          <w:szCs w:val="16"/>
          <w:i w:val="1"/>
          <w:iCs w:val="1"/>
          <w:color w:val="auto"/>
        </w:rPr>
        <w:t xml:space="preserve">Dilek Marsh </w:t>
      </w:r>
      <w:r>
        <w:rPr>
          <w:rFonts w:ascii="Arial" w:cs="Arial" w:eastAsia="Arial" w:hAnsi="Arial"/>
          <w:sz w:val="16"/>
          <w:szCs w:val="16"/>
          <w:color w:val="auto"/>
        </w:rPr>
        <w:t>has been serving as our Chief Data Officer since July 2018, having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served in the position of Executive Vice President since July 2012 and Senior Vice President since August 2008. Ms. Marsh has been in higher education for the last 20 years. Ms. Marsh has served in information technology roles since 1999, including software development project management, business process design and business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-683895</wp:posOffset>
            </wp:positionV>
            <wp:extent cx="1234440" cy="1645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1645920"/>
                    </a:xfrm>
                    <a:prstGeom prst="rect">
                      <a:avLst/>
                    </a:prstGeom>
                    <a:noFill/>
                  </pic:spPr>
                </pic:pic>
              </a:graphicData>
            </a:graphic>
          </wp:anchor>
        </w:drawing>
      </w:r>
    </w:p>
    <w:p>
      <w:pPr>
        <w:jc w:val="both"/>
        <w:ind w:left="2360" w:right="299"/>
        <w:spacing w:after="0" w:line="277" w:lineRule="auto"/>
        <w:rPr>
          <w:sz w:val="20"/>
          <w:szCs w:val="20"/>
          <w:color w:val="auto"/>
        </w:rPr>
      </w:pPr>
      <w:r>
        <w:rPr>
          <w:rFonts w:ascii="Arial" w:cs="Arial" w:eastAsia="Arial" w:hAnsi="Arial"/>
          <w:sz w:val="17"/>
          <w:szCs w:val="17"/>
          <w:color w:val="auto"/>
        </w:rPr>
        <w:t>Ms. Marsh holds a Bachelor of Arts in Sociology from Bogazici University in Turkey, a Master of Arts in Anthropology from Arizona State University and a Master of Business administration in Technology Management from the University of Phoenix.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170" w:lineRule="exact"/>
        <w:rPr>
          <w:sz w:val="20"/>
          <w:szCs w:val="20"/>
          <w:color w:val="auto"/>
        </w:rPr>
      </w:pPr>
    </w:p>
    <w:p>
      <w:pPr>
        <w:ind w:left="40" w:right="199" w:firstLine="648"/>
        <w:spacing w:after="0" w:line="296" w:lineRule="auto"/>
        <w:rPr>
          <w:sz w:val="20"/>
          <w:szCs w:val="20"/>
          <w:color w:val="auto"/>
        </w:rPr>
      </w:pPr>
      <w:r>
        <w:rPr>
          <w:rFonts w:ascii="Arial" w:cs="Arial" w:eastAsia="Arial" w:hAnsi="Arial"/>
          <w:sz w:val="16"/>
          <w:szCs w:val="16"/>
          <w:color w:val="auto"/>
        </w:rPr>
        <w:t>In this section, we describe the material components of our executive compensation program for our named executive officers (the “named executive officers”), whose compensation is set forth in the 2019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2019.</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2019, our named executive officers were:</w:t>
      </w:r>
    </w:p>
    <w:p>
      <w:pPr>
        <w:spacing w:after="0" w:line="225" w:lineRule="exact"/>
        <w:rPr>
          <w:sz w:val="20"/>
          <w:szCs w:val="20"/>
          <w:color w:val="auto"/>
        </w:rPr>
      </w:pPr>
    </w:p>
    <w:p>
      <w:pPr>
        <w:ind w:left="1380" w:hanging="323"/>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Brian E. Mueller, our Chief Executive Officer;</w:t>
      </w:r>
    </w:p>
    <w:p>
      <w:pPr>
        <w:spacing w:after="0" w:line="23" w:lineRule="exact"/>
        <w:rPr>
          <w:rFonts w:ascii="Arial" w:cs="Arial" w:eastAsia="Arial" w:hAnsi="Arial"/>
          <w:sz w:val="18"/>
          <w:szCs w:val="18"/>
          <w:color w:val="auto"/>
        </w:rPr>
      </w:pPr>
    </w:p>
    <w:p>
      <w:pPr>
        <w:ind w:left="1380" w:hanging="323"/>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 W. Stan Meyer, our Chief Operating Officer;</w:t>
      </w:r>
    </w:p>
    <w:p>
      <w:pPr>
        <w:spacing w:after="0" w:line="9" w:lineRule="exact"/>
        <w:rPr>
          <w:rFonts w:ascii="Arial" w:cs="Arial" w:eastAsia="Arial" w:hAnsi="Arial"/>
          <w:sz w:val="18"/>
          <w:szCs w:val="18"/>
          <w:color w:val="auto"/>
        </w:rPr>
      </w:pPr>
    </w:p>
    <w:p>
      <w:pPr>
        <w:ind w:left="1380" w:hanging="323"/>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Daniel E. Bachus, our Chief Financial Officer;</w:t>
      </w:r>
    </w:p>
    <w:p>
      <w:pPr>
        <w:spacing w:after="0" w:line="9" w:lineRule="exact"/>
        <w:rPr>
          <w:rFonts w:ascii="Arial" w:cs="Arial" w:eastAsia="Arial" w:hAnsi="Arial"/>
          <w:sz w:val="18"/>
          <w:szCs w:val="18"/>
          <w:color w:val="auto"/>
        </w:rPr>
      </w:pPr>
    </w:p>
    <w:p>
      <w:pPr>
        <w:ind w:left="1380" w:hanging="323"/>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Joseph N. Mildenhall, our Chief Information Officer; and</w:t>
      </w:r>
    </w:p>
    <w:p>
      <w:pPr>
        <w:spacing w:after="0" w:line="9" w:lineRule="exact"/>
        <w:rPr>
          <w:rFonts w:ascii="Arial" w:cs="Arial" w:eastAsia="Arial" w:hAnsi="Arial"/>
          <w:sz w:val="18"/>
          <w:szCs w:val="18"/>
          <w:color w:val="auto"/>
        </w:rPr>
      </w:pPr>
    </w:p>
    <w:p>
      <w:pPr>
        <w:ind w:left="1380" w:hanging="323"/>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Daniel J. Briggs, Chief Executive Officer, Orbis Education Services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Business Highlights</w:t>
      </w:r>
    </w:p>
    <w:p>
      <w:pPr>
        <w:spacing w:after="0" w:line="225" w:lineRule="exact"/>
        <w:rPr>
          <w:sz w:val="20"/>
          <w:szCs w:val="20"/>
          <w:color w:val="auto"/>
        </w:rPr>
      </w:pPr>
    </w:p>
    <w:p>
      <w:pPr>
        <w:ind w:left="40" w:right="259" w:firstLine="648"/>
        <w:spacing w:after="0" w:line="254" w:lineRule="auto"/>
        <w:rPr>
          <w:sz w:val="20"/>
          <w:szCs w:val="20"/>
          <w:color w:val="auto"/>
        </w:rPr>
      </w:pPr>
      <w:r>
        <w:rPr>
          <w:rFonts w:ascii="Arial" w:cs="Arial" w:eastAsia="Arial" w:hAnsi="Arial"/>
          <w:sz w:val="18"/>
          <w:szCs w:val="18"/>
          <w:i w:val="1"/>
          <w:iCs w:val="1"/>
          <w:color w:val="auto"/>
        </w:rPr>
        <w:t xml:space="preserve">Our Business. </w:t>
      </w:r>
      <w:r>
        <w:rPr>
          <w:rFonts w:ascii="Arial" w:cs="Arial" w:eastAsia="Arial" w:hAnsi="Arial"/>
          <w:sz w:val="18"/>
          <w:szCs w:val="18"/>
          <w:color w:val="auto"/>
        </w:rPr>
        <w:t>We are an education services company dedicated to serving colleges and universities.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significant technological solutions, infrastructure and operational processes to provide services to these institutions on a large scale. Our most significant university partner is Grand Canyon University (“GCU”), a comprehensive regionally accredited university that offers graduate and undergraduate degree programs, emphases and certificates across nine colleges both online and on ground at its campus in Phoenix, Arizona. As of December 31, 2019, we provided education services and support to more than 103,100 students enrolled in GCU’s programs, emphases and certificates.</w:t>
      </w:r>
    </w:p>
    <w:p>
      <w:pPr>
        <w:spacing w:after="0" w:line="195"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In January 2019, we began providing education services to numerous university partners across the United States through our wholly owned subsidiary, Orbis Education Services (“Orbis Education”), which we acquired on January 22, 2019. Orbis Education works in partnership with a growing number of top universities and healthcare networks across the country to develop high-quality, career-ready graduates in four primary academic programs to meet the healthcare industry’s demands. As of December 31, 2019, Orbis Education provided education services to 22 university partners, at 24 locations, in 20 states throughout the country.</w:t>
      </w:r>
    </w:p>
    <w:p>
      <w:pPr>
        <w:spacing w:after="0" w:line="192"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The decisions made by the Compensation Committee and the Board on the compensation of our named executive officers reflect their role in the successful transition of the Company during 2018 from being an owner and operator of an educational institution to being an education services company, their role in the successful education services relationship with GCU, and their successful move to diversify the Company’s university partner base through the acquisition of Orbis Education, all of which led to a successful 2019 and help position the Company for a successful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Compensation Practices Highlights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summarizes key aspects of our compensation policies and programs:</w:t>
      </w:r>
    </w:p>
    <w:p>
      <w:pPr>
        <w:sectPr>
          <w:pgSz w:w="11900" w:h="16838" w:orient="portrait"/>
          <w:cols w:equalWidth="0" w:num="1">
            <w:col w:w="9019"/>
          </w:cols>
          <w:pgMar w:left="1440" w:top="125" w:right="1440" w:bottom="1440" w:gutter="0" w:footer="0" w:header="0"/>
        </w:sectPr>
      </w:pPr>
    </w:p>
    <w:p>
      <w:pPr>
        <w:spacing w:after="0" w:line="262"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-116205</wp:posOffset>
            </wp:positionV>
            <wp:extent cx="56578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20320</wp:posOffset>
            </wp:positionV>
            <wp:extent cx="28289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340" w:hanging="251"/>
        <w:spacing w:after="0" w:line="278" w:lineRule="auto"/>
        <w:tabs>
          <w:tab w:leader="none" w:pos="340" w:val="left"/>
        </w:tabs>
        <w:numPr>
          <w:ilvl w:val="0"/>
          <w:numId w:val="2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Pay for Performance: </w:t>
      </w:r>
      <w:r>
        <w:rPr>
          <w:rFonts w:ascii="Arial" w:cs="Arial" w:eastAsia="Arial" w:hAnsi="Arial"/>
          <w:sz w:val="16"/>
          <w:szCs w:val="16"/>
          <w:color w:val="auto"/>
        </w:rPr>
        <w:t>A significant portion of our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is based on achievement of key financial metrics that are disclosed to our stockholders.</w:t>
      </w:r>
    </w:p>
    <w:p>
      <w:pPr>
        <w:spacing w:after="0" w:line="170" w:lineRule="exact"/>
        <w:rPr>
          <w:rFonts w:ascii="MS PGothic" w:cs="MS PGothic" w:eastAsia="MS PGothic" w:hAnsi="MS PGothic"/>
          <w:sz w:val="16"/>
          <w:szCs w:val="16"/>
          <w:color w:val="auto"/>
        </w:rPr>
      </w:pPr>
    </w:p>
    <w:p>
      <w:pPr>
        <w:ind w:left="340" w:right="140" w:hanging="251"/>
        <w:spacing w:after="0" w:line="273" w:lineRule="auto"/>
        <w:tabs>
          <w:tab w:leader="none" w:pos="340" w:val="left"/>
        </w:tabs>
        <w:numPr>
          <w:ilvl w:val="0"/>
          <w:numId w:val="2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Seek Alignment with Our Stockholders</w:t>
      </w:r>
      <w:r>
        <w:rPr>
          <w:rFonts w:ascii="Arial" w:cs="Arial" w:eastAsia="Arial" w:hAnsi="Arial"/>
          <w:sz w:val="16"/>
          <w:szCs w:val="16"/>
          <w:color w:val="auto"/>
        </w:rPr>
        <w:t>. We require both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and our directors to maintain a meaningful ownership stake at levels specified in our stock ownership policy.</w:t>
      </w:r>
    </w:p>
    <w:p>
      <w:pPr>
        <w:spacing w:after="0" w:line="377" w:lineRule="exact"/>
        <w:rPr>
          <w:rFonts w:ascii="MS PGothic" w:cs="MS PGothic" w:eastAsia="MS PGothic" w:hAnsi="MS PGothic"/>
          <w:sz w:val="16"/>
          <w:szCs w:val="16"/>
          <w:color w:val="auto"/>
        </w:rPr>
      </w:pPr>
    </w:p>
    <w:p>
      <w:pPr>
        <w:ind w:left="340" w:right="140" w:hanging="251"/>
        <w:spacing w:after="0" w:line="318" w:lineRule="auto"/>
        <w:tabs>
          <w:tab w:leader="none" w:pos="340" w:val="left"/>
        </w:tabs>
        <w:numPr>
          <w:ilvl w:val="0"/>
          <w:numId w:val="28"/>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 xml:space="preserve">We Balance Our Incentive Compensation: </w:t>
      </w:r>
      <w:r>
        <w:rPr>
          <w:rFonts w:ascii="Arial" w:cs="Arial" w:eastAsia="Arial" w:hAnsi="Arial"/>
          <w:sz w:val="14"/>
          <w:szCs w:val="14"/>
          <w:color w:val="auto"/>
        </w:rPr>
        <w:t>Our incentive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compensation programs provide a balance of short-term cash incentives that are based on achievement of annual financial metrics and time-based equity incentives that vest over five years and provide value as a long-term retention tool.</w:t>
      </w:r>
    </w:p>
    <w:p>
      <w:pPr>
        <w:spacing w:after="0" w:line="148" w:lineRule="exact"/>
        <w:rPr>
          <w:rFonts w:ascii="MS PGothic" w:cs="MS PGothic" w:eastAsia="MS PGothic" w:hAnsi="MS PGothic"/>
          <w:sz w:val="14"/>
          <w:szCs w:val="14"/>
          <w:color w:val="auto"/>
        </w:rPr>
      </w:pPr>
    </w:p>
    <w:p>
      <w:pPr>
        <w:ind w:left="340" w:right="140" w:hanging="251"/>
        <w:spacing w:after="0" w:line="271" w:lineRule="auto"/>
        <w:tabs>
          <w:tab w:leader="none" w:pos="340" w:val="left"/>
        </w:tabs>
        <w:numPr>
          <w:ilvl w:val="0"/>
          <w:numId w:val="2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Can Claw Back Compensation</w:t>
      </w:r>
      <w:r>
        <w:rPr>
          <w:rFonts w:ascii="Arial" w:cs="Arial" w:eastAsia="Arial" w:hAnsi="Arial"/>
          <w:sz w:val="16"/>
          <w:szCs w:val="16"/>
          <w:color w:val="auto"/>
        </w:rPr>
        <w:t>: We have the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recoup incentive compensation if the Company’s financial results are restated or materially misstated due in whole or in part to misconduct by one or more of our named executive officers.</w:t>
      </w:r>
    </w:p>
    <w:p>
      <w:pPr>
        <w:spacing w:after="0" w:line="176" w:lineRule="exact"/>
        <w:rPr>
          <w:rFonts w:ascii="MS PGothic" w:cs="MS PGothic" w:eastAsia="MS PGothic" w:hAnsi="MS PGothic"/>
          <w:sz w:val="16"/>
          <w:szCs w:val="16"/>
          <w:color w:val="auto"/>
        </w:rPr>
      </w:pPr>
    </w:p>
    <w:p>
      <w:pPr>
        <w:ind w:left="340" w:right="100" w:hanging="233"/>
        <w:spacing w:after="0" w:line="297" w:lineRule="auto"/>
        <w:tabs>
          <w:tab w:leader="none" w:pos="340" w:val="left"/>
        </w:tabs>
        <w:numPr>
          <w:ilvl w:val="1"/>
          <w:numId w:val="28"/>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 xml:space="preserve">We Retain an Independent Compensation Consultant: </w:t>
      </w:r>
      <w:r>
        <w:rPr>
          <w:rFonts w:ascii="Arial" w:cs="Arial" w:eastAsia="Arial" w:hAnsi="Arial"/>
          <w:sz w:val="15"/>
          <w:szCs w:val="15"/>
          <w:color w:val="auto"/>
        </w:rPr>
        <w:t>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engages an independent consultant from time to time to provide guidance on peer group composition and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506"/>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20320</wp:posOffset>
            </wp:positionV>
            <wp:extent cx="26828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19" w:lineRule="exact"/>
        <w:rPr>
          <w:sz w:val="20"/>
          <w:szCs w:val="20"/>
          <w:color w:val="auto"/>
        </w:rPr>
      </w:pPr>
    </w:p>
    <w:p>
      <w:pPr>
        <w:ind w:left="246" w:right="319" w:hanging="246"/>
        <w:spacing w:after="0" w:line="278" w:lineRule="auto"/>
        <w:tabs>
          <w:tab w:leader="none" w:pos="246" w:val="left"/>
        </w:tabs>
        <w:numPr>
          <w:ilvl w:val="0"/>
          <w:numId w:val="29"/>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Do Not Have Tax Gross-Ups: </w:t>
      </w:r>
      <w:r>
        <w:rPr>
          <w:rFonts w:ascii="Arial" w:cs="Arial" w:eastAsia="Arial" w:hAnsi="Arial"/>
          <w:sz w:val="16"/>
          <w:szCs w:val="16"/>
          <w:color w:val="auto"/>
        </w:rPr>
        <w:t>We do not provide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gross-ups on any severance, change-in-control or other payments.</w:t>
      </w:r>
    </w:p>
    <w:p>
      <w:pPr>
        <w:spacing w:after="0" w:line="170" w:lineRule="exact"/>
        <w:rPr>
          <w:rFonts w:ascii="MS PGothic" w:cs="MS PGothic" w:eastAsia="MS PGothic" w:hAnsi="MS PGothic"/>
          <w:sz w:val="16"/>
          <w:szCs w:val="16"/>
          <w:color w:val="auto"/>
        </w:rPr>
      </w:pPr>
    </w:p>
    <w:p>
      <w:pPr>
        <w:ind w:left="246" w:right="199" w:hanging="246"/>
        <w:spacing w:after="0" w:line="271" w:lineRule="auto"/>
        <w:tabs>
          <w:tab w:leader="none" w:pos="246" w:val="left"/>
        </w:tabs>
        <w:numPr>
          <w:ilvl w:val="0"/>
          <w:numId w:val="29"/>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Permit Hedging, Short Sales, or Pledging</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insider trading policy, our officers and directors are prohibited from hedging, effecting short sales of, and (except in extremely limited circumstances) pledging our stock.</w:t>
      </w:r>
    </w:p>
    <w:p>
      <w:pPr>
        <w:spacing w:after="0" w:line="176" w:lineRule="exact"/>
        <w:rPr>
          <w:rFonts w:ascii="MS PGothic" w:cs="MS PGothic" w:eastAsia="MS PGothic" w:hAnsi="MS PGothic"/>
          <w:sz w:val="16"/>
          <w:szCs w:val="16"/>
          <w:color w:val="auto"/>
        </w:rPr>
      </w:pPr>
    </w:p>
    <w:p>
      <w:pPr>
        <w:ind w:left="246" w:hanging="246"/>
        <w:spacing w:after="0"/>
        <w:tabs>
          <w:tab w:leader="none" w:pos="246" w:val="left"/>
        </w:tabs>
        <w:numPr>
          <w:ilvl w:val="0"/>
          <w:numId w:val="29"/>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Automatically Increase Salaries or</w:t>
      </w:r>
    </w:p>
    <w:p>
      <w:pPr>
        <w:spacing w:after="0" w:line="32" w:lineRule="exact"/>
        <w:rPr>
          <w:rFonts w:ascii="MS PGothic" w:cs="MS PGothic" w:eastAsia="MS PGothic" w:hAnsi="MS PGothic"/>
          <w:sz w:val="16"/>
          <w:szCs w:val="16"/>
          <w:color w:val="auto"/>
        </w:rPr>
      </w:pPr>
    </w:p>
    <w:p>
      <w:pPr>
        <w:ind w:left="246" w:right="99"/>
        <w:spacing w:after="0" w:line="267" w:lineRule="auto"/>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Bonuses</w:t>
      </w:r>
      <w:r>
        <w:rPr>
          <w:rFonts w:ascii="Arial" w:cs="Arial" w:eastAsia="Arial" w:hAnsi="Arial"/>
          <w:sz w:val="16"/>
          <w:szCs w:val="16"/>
          <w:color w:val="auto"/>
        </w:rPr>
        <w:t>: Since 2013, we have raised the base salary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only once, and those of our other named executive officers only twice, and bonuses are strictly performance based.</w:t>
      </w:r>
    </w:p>
    <w:p>
      <w:pPr>
        <w:spacing w:after="0" w:line="179" w:lineRule="exact"/>
        <w:rPr>
          <w:rFonts w:ascii="MS PGothic" w:cs="MS PGothic" w:eastAsia="MS PGothic" w:hAnsi="MS PGothic"/>
          <w:sz w:val="16"/>
          <w:szCs w:val="16"/>
          <w:color w:val="auto"/>
        </w:rPr>
      </w:pPr>
    </w:p>
    <w:p>
      <w:pPr>
        <w:ind w:left="246" w:right="219" w:hanging="246"/>
        <w:spacing w:after="0" w:line="369" w:lineRule="auto"/>
        <w:tabs>
          <w:tab w:leader="none" w:pos="246" w:val="left"/>
        </w:tabs>
        <w:numPr>
          <w:ilvl w:val="0"/>
          <w:numId w:val="29"/>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We Do Not Provide Excessive Perquisites</w:t>
      </w:r>
      <w:r>
        <w:rPr>
          <w:rFonts w:ascii="Arial" w:cs="Arial" w:eastAsia="Arial" w:hAnsi="Arial"/>
          <w:sz w:val="14"/>
          <w:szCs w:val="14"/>
          <w:color w:val="auto"/>
        </w:rPr>
        <w:t>: Our named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officers receive limited perquisites and benefits.</w:t>
      </w:r>
    </w:p>
    <w:p>
      <w:pPr>
        <w:spacing w:after="0" w:line="200" w:lineRule="exact"/>
        <w:rPr>
          <w:rFonts w:ascii="MS PGothic" w:cs="MS PGothic" w:eastAsia="MS PGothic" w:hAnsi="MS PGothic"/>
          <w:sz w:val="14"/>
          <w:szCs w:val="14"/>
          <w:color w:val="auto"/>
        </w:rPr>
      </w:pPr>
    </w:p>
    <w:p>
      <w:pPr>
        <w:spacing w:after="0" w:line="200" w:lineRule="exact"/>
        <w:rPr>
          <w:rFonts w:ascii="MS PGothic" w:cs="MS PGothic" w:eastAsia="MS PGothic" w:hAnsi="MS PGothic"/>
          <w:sz w:val="14"/>
          <w:szCs w:val="14"/>
          <w:color w:val="auto"/>
        </w:rPr>
      </w:pPr>
    </w:p>
    <w:p>
      <w:pPr>
        <w:spacing w:after="0" w:line="319" w:lineRule="exact"/>
        <w:rPr>
          <w:rFonts w:ascii="MS PGothic" w:cs="MS PGothic" w:eastAsia="MS PGothic" w:hAnsi="MS PGothic"/>
          <w:sz w:val="14"/>
          <w:szCs w:val="14"/>
          <w:color w:val="auto"/>
        </w:rPr>
      </w:pPr>
    </w:p>
    <w:p>
      <w:pPr>
        <w:ind w:left="246" w:right="59" w:hanging="246"/>
        <w:spacing w:after="0" w:line="273" w:lineRule="auto"/>
        <w:tabs>
          <w:tab w:leader="none" w:pos="246" w:val="left"/>
        </w:tabs>
        <w:numPr>
          <w:ilvl w:val="0"/>
          <w:numId w:val="29"/>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Provide for Change of Control Acceleration</w:t>
      </w:r>
      <w:r>
        <w:rPr>
          <w:rFonts w:ascii="Arial" w:cs="Arial" w:eastAsia="Arial" w:hAnsi="Arial"/>
          <w:sz w:val="16"/>
          <w:szCs w:val="16"/>
          <w:color w:val="auto"/>
        </w:rPr>
        <w:t>. We do not provide “single-trigger”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accelerated vesting of equity-based awards upon a change in control.</w:t>
      </w:r>
    </w:p>
    <w:p>
      <w:pPr>
        <w:spacing w:after="0" w:line="197" w:lineRule="exact"/>
        <w:rPr>
          <w:sz w:val="20"/>
          <w:szCs w:val="20"/>
          <w:color w:val="auto"/>
        </w:rPr>
      </w:pPr>
    </w:p>
    <w:p>
      <w:pPr>
        <w:sectPr>
          <w:pgSz w:w="11900" w:h="16838" w:orient="portrait"/>
          <w:cols w:equalWidth="0" w:num="2">
            <w:col w:w="4440" w:space="334"/>
            <w:col w:w="4245"/>
          </w:cols>
          <w:pgMar w:left="1440" w:top="125" w:right="1440" w:bottom="1440" w:gutter="0" w:footer="0" w:header="0"/>
          <w:type w:val="continuous"/>
        </w:sectPr>
      </w:pPr>
    </w:p>
    <w:p>
      <w:pPr>
        <w:ind w:left="40"/>
        <w:spacing w:after="0"/>
        <w:rPr>
          <w:sz w:val="20"/>
          <w:szCs w:val="20"/>
          <w:color w:val="auto"/>
        </w:rPr>
      </w:pPr>
      <w:r>
        <w:rPr>
          <w:rFonts w:ascii="Arial" w:cs="Arial" w:eastAsia="Arial" w:hAnsi="Arial"/>
          <w:sz w:val="18"/>
          <w:szCs w:val="18"/>
          <w:b w:val="1"/>
          <w:bCs w:val="1"/>
          <w:i w:val="1"/>
          <w:iCs w:val="1"/>
          <w:color w:val="auto"/>
        </w:rPr>
        <w:t>Response to Advisory Vote on Executive Compensation</w:t>
      </w:r>
    </w:p>
    <w:p>
      <w:pPr>
        <w:spacing w:after="0" w:line="225" w:lineRule="exact"/>
        <w:rPr>
          <w:sz w:val="20"/>
          <w:szCs w:val="20"/>
          <w:color w:val="auto"/>
        </w:rPr>
      </w:pPr>
    </w:p>
    <w:p>
      <w:pPr>
        <w:ind w:left="40" w:right="219" w:firstLine="648"/>
        <w:spacing w:after="0" w:line="293" w:lineRule="auto"/>
        <w:rPr>
          <w:sz w:val="20"/>
          <w:szCs w:val="20"/>
          <w:color w:val="auto"/>
        </w:rPr>
      </w:pPr>
      <w:r>
        <w:rPr>
          <w:rFonts w:ascii="Arial" w:cs="Arial" w:eastAsia="Arial" w:hAnsi="Arial"/>
          <w:sz w:val="16"/>
          <w:szCs w:val="16"/>
          <w:color w:val="auto"/>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93.3% of shares voted in 2019. As we evaluate our compensation practices in light of such votes, we give great consideration to the strong support our stockholders continue to express for our overall compensation philosophy and practices. As a result, our Compensation Committee retained our general approach to executive compensation in 2019 and into 2020, as discussed below.</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ind w:left="40" w:right="239" w:firstLine="648"/>
        <w:spacing w:after="0" w:line="275" w:lineRule="auto"/>
        <w:rPr>
          <w:sz w:val="20"/>
          <w:szCs w:val="20"/>
          <w:color w:val="auto"/>
        </w:rPr>
      </w:pPr>
      <w:r>
        <w:rPr>
          <w:rFonts w:ascii="Arial" w:cs="Arial" w:eastAsia="Arial" w:hAnsi="Arial"/>
          <w:sz w:val="17"/>
          <w:szCs w:val="17"/>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p>
      <w:pPr>
        <w:spacing w:after="0" w:line="176" w:lineRule="exact"/>
        <w:rPr>
          <w:sz w:val="20"/>
          <w:szCs w:val="20"/>
          <w:color w:val="auto"/>
        </w:rPr>
      </w:pPr>
    </w:p>
    <w:p>
      <w:pPr>
        <w:ind w:left="1340" w:right="119" w:hanging="324"/>
        <w:spacing w:after="0" w:line="277" w:lineRule="auto"/>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Strong alignment between company-wide performance and payouts under our annual cash incentive plan (“Annual Cash Incentive Plan”);</w:t>
      </w:r>
    </w:p>
    <w:p>
      <w:pPr>
        <w:spacing w:after="0" w:line="170" w:lineRule="exact"/>
        <w:rPr>
          <w:rFonts w:ascii="Arial" w:cs="Arial" w:eastAsia="Arial" w:hAnsi="Arial"/>
          <w:sz w:val="18"/>
          <w:szCs w:val="18"/>
          <w:color w:val="auto"/>
        </w:rPr>
      </w:pPr>
    </w:p>
    <w:p>
      <w:pPr>
        <w:ind w:left="1340" w:hanging="324"/>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379" w:hanging="324"/>
        <w:spacing w:after="0" w:line="342" w:lineRule="auto"/>
        <w:tabs>
          <w:tab w:leader="none" w:pos="1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a tool to retain key personnel, all stock-based awards are subject to five-year vesting periods, with 20% of each grant vesting annually on each of the first five anniversaries of the date of grant;</w:t>
      </w:r>
    </w:p>
    <w:p>
      <w:pPr>
        <w:spacing w:after="0" w:line="123" w:lineRule="exact"/>
        <w:rPr>
          <w:rFonts w:ascii="Arial" w:cs="Arial" w:eastAsia="Arial" w:hAnsi="Arial"/>
          <w:sz w:val="16"/>
          <w:szCs w:val="16"/>
          <w:color w:val="auto"/>
        </w:rPr>
      </w:pPr>
    </w:p>
    <w:p>
      <w:pPr>
        <w:ind w:left="1340" w:right="199" w:hanging="324"/>
        <w:spacing w:after="0" w:line="277" w:lineRule="auto"/>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and benefits and limited acceleration of vesting; and</w:t>
      </w:r>
    </w:p>
    <w:p>
      <w:pPr>
        <w:spacing w:after="0" w:line="170" w:lineRule="exact"/>
        <w:rPr>
          <w:rFonts w:ascii="Arial" w:cs="Arial" w:eastAsia="Arial" w:hAnsi="Arial"/>
          <w:sz w:val="18"/>
          <w:szCs w:val="18"/>
          <w:color w:val="auto"/>
        </w:rPr>
      </w:pPr>
    </w:p>
    <w:p>
      <w:pPr>
        <w:ind w:left="1340" w:hanging="324"/>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left="40" w:right="259" w:firstLine="648"/>
        <w:spacing w:after="0" w:line="301"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2019 appropriately reflected the economic and regulatory environments, the performance of the Company and the relationship with market compensation necessary to retain and motivate our executives, and that the continuation of these practices in 2020 is appropriate given the continued regulatory, economic and competitive challenges that we expect to face.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Note About the Compensation of Our Management Team</w:t>
      </w:r>
    </w:p>
    <w:p>
      <w:pPr>
        <w:spacing w:after="0" w:line="225" w:lineRule="exact"/>
        <w:rPr>
          <w:sz w:val="20"/>
          <w:szCs w:val="20"/>
          <w:color w:val="auto"/>
        </w:rPr>
      </w:pPr>
    </w:p>
    <w:p>
      <w:pPr>
        <w:ind w:left="40" w:right="159" w:firstLine="648"/>
        <w:spacing w:after="0" w:line="296" w:lineRule="auto"/>
        <w:rPr>
          <w:sz w:val="20"/>
          <w:szCs w:val="20"/>
          <w:color w:val="auto"/>
        </w:rPr>
      </w:pPr>
      <w:r>
        <w:rPr>
          <w:rFonts w:ascii="Arial" w:cs="Arial" w:eastAsia="Arial" w:hAnsi="Arial"/>
          <w:sz w:val="16"/>
          <w:szCs w:val="16"/>
          <w:color w:val="auto"/>
        </w:rPr>
        <w:t>Over the years, the Compensation Committee has periodically engaged Mercer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Typically, analyses of peer group data show that our named executive officers are compensated below their peers. The reasons for this are twofold:</w:t>
      </w:r>
    </w:p>
    <w:p>
      <w:pPr>
        <w:spacing w:after="0" w:line="161" w:lineRule="exact"/>
        <w:rPr>
          <w:sz w:val="20"/>
          <w:szCs w:val="20"/>
          <w:color w:val="auto"/>
        </w:rPr>
      </w:pPr>
    </w:p>
    <w:p>
      <w:pPr>
        <w:ind w:left="740" w:right="179" w:hanging="331"/>
        <w:spacing w:after="0" w:line="279"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of our executive officers as of December 31, 2019 has been with the Company for a decade (except for Mr. Briggs, who joined our Company upon our acquisition of Orbis Education) or more and, overall, our top management ranks have been extremely stable over time. This means that the compensation structure has not been forced to re-set due to the hiring of new management level personnel; and</w:t>
      </w:r>
    </w:p>
    <w:p>
      <w:pPr>
        <w:spacing w:after="0" w:line="171" w:lineRule="exact"/>
        <w:rPr>
          <w:rFonts w:ascii="Arial" w:cs="Arial" w:eastAsia="Arial" w:hAnsi="Arial"/>
          <w:sz w:val="17"/>
          <w:szCs w:val="17"/>
          <w:color w:val="auto"/>
        </w:rPr>
      </w:pPr>
    </w:p>
    <w:p>
      <w:pPr>
        <w:ind w:left="740" w:right="159" w:hanging="331"/>
        <w:spacing w:after="0" w:line="259"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area of compensation, our senior executives firmly believe that compensation should be based on performance: thus, base salaries should be relatively stable, cash bonuses should reflect annual performance, and equity incentives should be granted in appropriate amounts and provide upside value only if that value is shared by all of our stockholders.</w:t>
      </w:r>
    </w:p>
    <w:p>
      <w:pPr>
        <w:spacing w:after="0" w:line="187"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This belief has been backed up by actions. Between December 31, 2010 and the date of this Proxy Statement - a period during which the Company’s market capitalization increased by 323% (or nearly $2.9 billion), from $895.6 million to $3.789 billion - our Chief Executive Officer, Chief Operating Officer, Chief Financial Officer and Chief Information Officer have accepted base salary increases of only $40,000 each even though their cash compensation substantially lags behind peers. In addition, the grant date value of their annual long-term equity incentive grants substantially lags behind peers. The Compensation Committee applauds the leadership and performance of our executive management team and the example they set for the Company.</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 of 2019 Executive Compensation</w:t>
      </w:r>
    </w:p>
    <w:p>
      <w:pPr>
        <w:spacing w:after="0" w:line="225"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color w:val="auto"/>
        </w:rPr>
        <w:t>The purpose of this Compensation Discussion and Analysis is to provide information about each material element of compensation that we pay or award to, or that is earned by, our named executive officers.</w:t>
      </w:r>
    </w:p>
    <w:p>
      <w:pPr>
        <w:spacing w:after="0" w:line="170"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2019, the numerical and related information contained in the summary compensation and related tables presented below, and actions we have taken regarding executive compensation since the end of our 2019 fiscal year. Specifically, this Compensation Discussion and Analysis addresses:</w:t>
      </w:r>
    </w:p>
    <w:p>
      <w:pPr>
        <w:spacing w:after="0" w:line="187" w:lineRule="exact"/>
        <w:rPr>
          <w:sz w:val="20"/>
          <w:szCs w:val="20"/>
          <w:color w:val="auto"/>
        </w:rPr>
      </w:pPr>
    </w:p>
    <w:p>
      <w:pPr>
        <w:ind w:left="1340" w:right="159" w:hanging="324"/>
        <w:spacing w:after="0" w:line="277"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119" w:hanging="324"/>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What our compensation program is designed to reward (also described in the section entitled “Objectives of Compensation Programs”);</w:t>
      </w:r>
    </w:p>
    <w:p>
      <w:pPr>
        <w:spacing w:after="0" w:line="170" w:lineRule="exact"/>
        <w:rPr>
          <w:rFonts w:ascii="Arial" w:cs="Arial" w:eastAsia="Arial" w:hAnsi="Arial"/>
          <w:sz w:val="18"/>
          <w:szCs w:val="18"/>
          <w:color w:val="auto"/>
        </w:rPr>
      </w:pPr>
    </w:p>
    <w:p>
      <w:pPr>
        <w:ind w:left="1340" w:right="479" w:hanging="324"/>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 Design and Elements of Compensation”);</w:t>
      </w:r>
    </w:p>
    <w:p>
      <w:pPr>
        <w:spacing w:after="0" w:line="170" w:lineRule="exact"/>
        <w:rPr>
          <w:rFonts w:ascii="Arial" w:cs="Arial" w:eastAsia="Arial" w:hAnsi="Arial"/>
          <w:sz w:val="18"/>
          <w:szCs w:val="18"/>
          <w:color w:val="auto"/>
        </w:rPr>
      </w:pPr>
    </w:p>
    <w:p>
      <w:pPr>
        <w:ind w:left="1340" w:right="139" w:hanging="324"/>
        <w:spacing w:after="0" w:line="277"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170" w:lineRule="exact"/>
        <w:rPr>
          <w:rFonts w:ascii="Arial" w:cs="Arial" w:eastAsia="Arial" w:hAnsi="Arial"/>
          <w:sz w:val="18"/>
          <w:szCs w:val="18"/>
          <w:color w:val="auto"/>
        </w:rPr>
      </w:pPr>
    </w:p>
    <w:p>
      <w:pPr>
        <w:ind w:left="1340" w:right="259" w:hanging="324"/>
        <w:spacing w:after="0" w:line="308" w:lineRule="auto"/>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How amounts and formulas for pay are calculated and determined (also described with each element of compensation, including base pay, short-term incentives and long-term incentives); and</w:t>
      </w:r>
    </w:p>
    <w:p>
      <w:pPr>
        <w:spacing w:after="0" w:line="146" w:lineRule="exact"/>
        <w:rPr>
          <w:rFonts w:ascii="Arial" w:cs="Arial" w:eastAsia="Arial" w:hAnsi="Arial"/>
          <w:sz w:val="17"/>
          <w:szCs w:val="17"/>
          <w:color w:val="auto"/>
        </w:rPr>
      </w:pPr>
    </w:p>
    <w:p>
      <w:pPr>
        <w:ind w:left="1340" w:right="259" w:hanging="324"/>
        <w:spacing w:after="0" w:line="263"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225" w:lineRule="exact"/>
        <w:rPr>
          <w:sz w:val="20"/>
          <w:szCs w:val="20"/>
          <w:color w:val="auto"/>
        </w:rPr>
      </w:pPr>
    </w:p>
    <w:p>
      <w:pPr>
        <w:ind w:left="40" w:right="119" w:firstLine="648"/>
        <w:spacing w:after="0" w:line="301" w:lineRule="auto"/>
        <w:rPr>
          <w:sz w:val="20"/>
          <w:szCs w:val="20"/>
          <w:color w:val="auto"/>
        </w:rPr>
      </w:pPr>
      <w:r>
        <w:rPr>
          <w:rFonts w:ascii="Arial" w:cs="Arial" w:eastAsia="Arial" w:hAnsi="Arial"/>
          <w:sz w:val="16"/>
          <w:szCs w:val="16"/>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57"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225" w:lineRule="exact"/>
        <w:rPr>
          <w:sz w:val="20"/>
          <w:szCs w:val="20"/>
          <w:color w:val="auto"/>
        </w:rPr>
      </w:pPr>
    </w:p>
    <w:p>
      <w:pPr>
        <w:ind w:left="40" w:right="99" w:firstLine="648"/>
        <w:spacing w:after="0" w:line="311" w:lineRule="auto"/>
        <w:rPr>
          <w:sz w:val="20"/>
          <w:szCs w:val="20"/>
          <w:color w:val="auto"/>
        </w:rPr>
      </w:pPr>
      <w:r>
        <w:rPr>
          <w:rFonts w:ascii="Arial" w:cs="Arial" w:eastAsia="Arial" w:hAnsi="Arial"/>
          <w:sz w:val="16"/>
          <w:szCs w:val="16"/>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49"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i w:val="1"/>
          <w:iCs w:val="1"/>
          <w:color w:val="auto"/>
        </w:rPr>
        <w:t xml:space="preserve">Compensation philosophy. </w:t>
      </w:r>
      <w:r>
        <w:rPr>
          <w:rFonts w:ascii="Arial" w:cs="Arial" w:eastAsia="Arial" w:hAnsi="Arial"/>
          <w:sz w:val="17"/>
          <w:szCs w:val="17"/>
          <w:color w:val="auto"/>
        </w:rPr>
        <w:t>Under our compensation philosophy, a named executive officer’s total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will vary based on our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78" w:lineRule="exact"/>
        <w:rPr>
          <w:sz w:val="20"/>
          <w:szCs w:val="20"/>
          <w:color w:val="auto"/>
        </w:rPr>
      </w:pPr>
    </w:p>
    <w:p>
      <w:pPr>
        <w:ind w:left="40" w:right="359" w:firstLine="648"/>
        <w:spacing w:after="0" w:line="277" w:lineRule="auto"/>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w:t>
      </w:r>
    </w:p>
    <w:p>
      <w:pPr>
        <w:spacing w:after="0" w:line="170" w:lineRule="exact"/>
        <w:rPr>
          <w:sz w:val="20"/>
          <w:szCs w:val="20"/>
          <w:color w:val="auto"/>
        </w:rPr>
      </w:pPr>
    </w:p>
    <w:p>
      <w:pPr>
        <w:ind w:left="1340" w:right="339" w:hanging="324"/>
        <w:spacing w:after="0" w:line="301" w:lineRule="auto"/>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related to performance. </w:t>
      </w:r>
      <w:r>
        <w:rPr>
          <w:rFonts w:ascii="Arial" w:cs="Arial" w:eastAsia="Arial" w:hAnsi="Arial"/>
          <w:sz w:val="16"/>
          <w:szCs w:val="16"/>
          <w:color w:val="auto"/>
        </w:rPr>
        <w:t>We believe that the performance-based portion of an</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total compensation should 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99" w:hanging="324"/>
        <w:spacing w:after="0" w:line="293"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be competitive and cost effective. </w:t>
      </w:r>
      <w:r>
        <w:rPr>
          <w:rFonts w:ascii="Arial" w:cs="Arial" w:eastAsia="Arial" w:hAnsi="Arial"/>
          <w:sz w:val="16"/>
          <w:szCs w:val="16"/>
          <w:color w:val="auto"/>
        </w:rPr>
        <w:t>We believe that our compensation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should foster an 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64"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7"/>
          <w:szCs w:val="17"/>
          <w:i w:val="1"/>
          <w:iCs w:val="1"/>
          <w:color w:val="auto"/>
        </w:rPr>
        <w:t xml:space="preserve">Company compensation policies. </w:t>
      </w:r>
      <w:r>
        <w:rPr>
          <w:rFonts w:ascii="Arial" w:cs="Arial" w:eastAsia="Arial" w:hAnsi="Arial"/>
          <w:sz w:val="17"/>
          <w:szCs w:val="17"/>
          <w:color w:val="auto"/>
        </w:rPr>
        <w:t>During 2019, our named executive officers’ total in-service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base salaries, cash bonuses, share-based compensation, and other benefits generally available to all employees. With regard to these components, we adhere to the following compensation policies:</w:t>
      </w:r>
    </w:p>
    <w:p>
      <w:pPr>
        <w:spacing w:after="0" w:line="165" w:lineRule="exact"/>
        <w:rPr>
          <w:sz w:val="20"/>
          <w:szCs w:val="20"/>
          <w:color w:val="auto"/>
        </w:rPr>
      </w:pPr>
    </w:p>
    <w:p>
      <w:pPr>
        <w:ind w:left="1340" w:right="199" w:hanging="324"/>
        <w:spacing w:after="0" w:line="311" w:lineRule="auto"/>
        <w:tabs>
          <w:tab w:leader="none" w:pos="13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Cash should be a significant component of compensation. </w:t>
      </w:r>
      <w:r>
        <w:rPr>
          <w:rFonts w:ascii="Arial" w:cs="Arial" w:eastAsia="Arial" w:hAnsi="Arial"/>
          <w:sz w:val="16"/>
          <w:szCs w:val="16"/>
          <w:color w:val="auto"/>
        </w:rPr>
        <w:t>The Company’s compensation policy focuses</w:t>
      </w:r>
      <w:r>
        <w:rPr>
          <w:rFonts w:ascii="Arial" w:cs="Arial" w:eastAsia="Arial" w:hAnsi="Arial"/>
          <w:sz w:val="16"/>
          <w:szCs w:val="16"/>
          <w:i w:val="1"/>
          <w:iCs w:val="1"/>
          <w:color w:val="auto"/>
        </w:rPr>
        <w:t xml:space="preserve"> </w:t>
      </w:r>
      <w:r>
        <w:rPr>
          <w:rFonts w:ascii="Arial" w:cs="Arial" w:eastAsia="Arial" w:hAnsi="Arial"/>
          <w:sz w:val="16"/>
          <w:szCs w:val="16"/>
          <w:color w:val="auto"/>
        </w:rPr>
        <w:t>on providing the opportunity for its named executive officers to earn total cash compensation at levels that enable the Company to achieve the motivation and retention goals described above.</w:t>
      </w:r>
    </w:p>
    <w:p>
      <w:pPr>
        <w:spacing w:after="0" w:line="148" w:lineRule="exact"/>
        <w:rPr>
          <w:rFonts w:ascii="Arial" w:cs="Arial" w:eastAsia="Arial" w:hAnsi="Arial"/>
          <w:sz w:val="16"/>
          <w:szCs w:val="16"/>
          <w:color w:val="auto"/>
        </w:rPr>
      </w:pPr>
    </w:p>
    <w:p>
      <w:pPr>
        <w:ind w:left="1340" w:right="159" w:hanging="324"/>
        <w:spacing w:after="0" w:line="273" w:lineRule="auto"/>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Base salaries should generally be the largest component of cash compensation</w:t>
      </w:r>
      <w:r>
        <w:rPr>
          <w:rFonts w:ascii="Arial" w:cs="Arial" w:eastAsia="Arial" w:hAnsi="Arial"/>
          <w:sz w:val="17"/>
          <w:szCs w:val="17"/>
          <w:color w:val="auto"/>
        </w:rPr>
        <w:t>.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generally reflect our 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177" w:lineRule="exact"/>
        <w:rPr>
          <w:rFonts w:ascii="Arial" w:cs="Arial" w:eastAsia="Arial" w:hAnsi="Arial"/>
          <w:sz w:val="17"/>
          <w:szCs w:val="17"/>
          <w:color w:val="auto"/>
        </w:rPr>
      </w:pPr>
    </w:p>
    <w:p>
      <w:pPr>
        <w:ind w:left="1340" w:right="79" w:hanging="324"/>
        <w:spacing w:after="0" w:line="279" w:lineRule="auto"/>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Cash incentives should be linked to performance. </w:t>
      </w:r>
      <w:r>
        <w:rPr>
          <w:rFonts w:ascii="Arial" w:cs="Arial" w:eastAsia="Arial" w:hAnsi="Arial"/>
          <w:sz w:val="17"/>
          <w:szCs w:val="17"/>
          <w:color w:val="auto"/>
        </w:rPr>
        <w:t>Under our Annual Cash Incentive Plan, bonuses paid to</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are based on overall company financial performance, but are subject to reduction based on the Compensation Committee’s assessment of the particular named executive officer’s personal performance and contribution to our overall results.</w:t>
      </w:r>
    </w:p>
    <w:p>
      <w:pPr>
        <w:spacing w:after="0" w:line="171" w:lineRule="exact"/>
        <w:rPr>
          <w:rFonts w:ascii="Arial" w:cs="Arial" w:eastAsia="Arial" w:hAnsi="Arial"/>
          <w:sz w:val="17"/>
          <w:szCs w:val="17"/>
          <w:color w:val="auto"/>
        </w:rPr>
      </w:pPr>
    </w:p>
    <w:p>
      <w:pPr>
        <w:ind w:left="1340" w:right="279" w:hanging="324"/>
        <w:spacing w:after="0" w:line="259"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Equity awards should be utilized as a means to retain key management and to align their interests with those of our stockholders. </w:t>
      </w:r>
      <w:r>
        <w:rPr>
          <w:rFonts w:ascii="Arial" w:cs="Arial" w:eastAsia="Arial" w:hAnsi="Arial"/>
          <w:sz w:val="18"/>
          <w:szCs w:val="18"/>
          <w:color w:val="auto"/>
        </w:rPr>
        <w:t>We utilize time-based equity awards that vest ratably over five years.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a long vesting period encourages retention and focuses our management team on the long-term interests of our Company and stockholders.</w:t>
      </w:r>
    </w:p>
    <w:p>
      <w:pPr>
        <w:spacing w:after="0" w:line="187" w:lineRule="exact"/>
        <w:rPr>
          <w:sz w:val="20"/>
          <w:szCs w:val="20"/>
          <w:color w:val="auto"/>
        </w:rPr>
      </w:pPr>
    </w:p>
    <w:p>
      <w:pPr>
        <w:ind w:left="40" w:right="259" w:firstLine="648"/>
        <w:spacing w:after="0" w:line="277" w:lineRule="auto"/>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225"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84"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2019 fiscal year, our executive compensation mix included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performance-based cash 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2019, we did not provide any perquisites to our named executive officers. We generally determine the nature and amount of each element of compensation as follows:</w:t>
      </w:r>
    </w:p>
    <w:p>
      <w:pPr>
        <w:spacing w:after="0" w:line="192" w:lineRule="exact"/>
        <w:rPr>
          <w:sz w:val="20"/>
          <w:szCs w:val="20"/>
          <w:color w:val="auto"/>
        </w:rPr>
      </w:pPr>
    </w:p>
    <w:p>
      <w:pPr>
        <w:ind w:left="1340" w:right="159" w:hanging="324"/>
        <w:spacing w:after="0" w:line="296" w:lineRule="auto"/>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typically agree upon a base salary with a named executive officer at the time of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239"/>
        <w:spacing w:after="0" w:line="255" w:lineRule="auto"/>
        <w:rPr>
          <w:sz w:val="20"/>
          <w:szCs w:val="20"/>
          <w:color w:val="auto"/>
        </w:rPr>
      </w:pPr>
      <w:r>
        <w:rPr>
          <w:rFonts w:ascii="Arial" w:cs="Arial" w:eastAsia="Arial" w:hAnsi="Arial"/>
          <w:sz w:val="18"/>
          <w:szCs w:val="18"/>
          <w:color w:val="auto"/>
        </w:rPr>
        <w:t>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192" w:lineRule="exact"/>
        <w:rPr>
          <w:sz w:val="20"/>
          <w:szCs w:val="20"/>
          <w:color w:val="auto"/>
        </w:rPr>
      </w:pPr>
    </w:p>
    <w:p>
      <w:pPr>
        <w:jc w:val="both"/>
        <w:ind w:left="1340" w:right="499" w:hanging="324"/>
        <w:spacing w:after="0" w:line="279" w:lineRule="auto"/>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Bonuses. </w:t>
      </w:r>
      <w:r>
        <w:rPr>
          <w:rFonts w:ascii="Arial" w:cs="Arial" w:eastAsia="Arial" w:hAnsi="Arial"/>
          <w:sz w:val="17"/>
          <w:szCs w:val="17"/>
          <w:color w:val="auto"/>
        </w:rPr>
        <w:t>We provide cash bonuses, which typically are at-risk, to recognize and reward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based on our success in a given year. For 2019, we awarded performance-related bonuses under our Annual Cash Incentive Plan. The operation of this plan as it relates to our named executive officers is described in more detail below.</w:t>
      </w:r>
    </w:p>
    <w:p>
      <w:pPr>
        <w:spacing w:after="0" w:line="171" w:lineRule="exact"/>
        <w:rPr>
          <w:rFonts w:ascii="Arial" w:cs="Arial" w:eastAsia="Arial" w:hAnsi="Arial"/>
          <w:sz w:val="17"/>
          <w:szCs w:val="17"/>
          <w:color w:val="auto"/>
        </w:rPr>
      </w:pPr>
    </w:p>
    <w:p>
      <w:pPr>
        <w:ind w:left="1340" w:right="139" w:hanging="324"/>
        <w:spacing w:after="0" w:line="254"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Prior to June 2017, the Company made grants of restricted stock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its 2008 Equity Incentive Plan (the “2008 Plan”). In January 2017, the Board of Directors approved, and at the Company’s 2017 annual meeting of stockholders held on June 14, 2017, the Company’s stockholders adopted a 2017 Equity Incentive Plan (the “2017 Plan”) under which a maximum of 3,000,000 shares may be granted. In 2019, our named executive officers received grants of restricted stock under the 2017 plan, as part of an overall, annual equity incentive grant made to Company employees.</w:t>
      </w:r>
    </w:p>
    <w:p>
      <w:pPr>
        <w:spacing w:after="0" w:line="194" w:lineRule="exact"/>
        <w:rPr>
          <w:rFonts w:ascii="Arial" w:cs="Arial" w:eastAsia="Arial" w:hAnsi="Arial"/>
          <w:sz w:val="18"/>
          <w:szCs w:val="18"/>
          <w:color w:val="auto"/>
        </w:rPr>
      </w:pPr>
    </w:p>
    <w:p>
      <w:pPr>
        <w:ind w:left="1340" w:right="159" w:hanging="324"/>
        <w:spacing w:after="0" w:line="269" w:lineRule="auto"/>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and future 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tuition benefits for a spouse or up to two children with no more than two participants receiving the benefits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85" w:lineRule="exact"/>
        <w:rPr>
          <w:sz w:val="20"/>
          <w:szCs w:val="20"/>
          <w:color w:val="auto"/>
        </w:rPr>
      </w:pPr>
    </w:p>
    <w:p>
      <w:pPr>
        <w:ind w:left="40" w:right="239" w:firstLine="648"/>
        <w:spacing w:after="0" w:line="288" w:lineRule="auto"/>
        <w:rPr>
          <w:sz w:val="20"/>
          <w:szCs w:val="20"/>
          <w:color w:val="auto"/>
        </w:rPr>
      </w:pPr>
      <w:r>
        <w:rPr>
          <w:rFonts w:ascii="Arial" w:cs="Arial" w:eastAsia="Arial" w:hAnsi="Arial"/>
          <w:sz w:val="16"/>
          <w:szCs w:val="16"/>
          <w:i w:val="1"/>
          <w:iCs w:val="1"/>
          <w:color w:val="auto"/>
        </w:rPr>
        <w:t xml:space="preserve">Elements of Post-Termination Compensation and Benefits. </w:t>
      </w:r>
      <w:r>
        <w:rPr>
          <w:rFonts w:ascii="Arial" w:cs="Arial" w:eastAsia="Arial" w:hAnsi="Arial"/>
          <w:sz w:val="16"/>
          <w:szCs w:val="16"/>
          <w:color w:val="auto"/>
        </w:rPr>
        <w:t>The employment agreements of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provide for post-termination 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2019 pursuant to the written employment agreements consisted of the following:</w:t>
      </w:r>
    </w:p>
    <w:p>
      <w:pPr>
        <w:spacing w:after="0" w:line="168" w:lineRule="exact"/>
        <w:rPr>
          <w:sz w:val="20"/>
          <w:szCs w:val="20"/>
          <w:color w:val="auto"/>
        </w:rPr>
      </w:pPr>
    </w:p>
    <w:p>
      <w:pPr>
        <w:ind w:left="1340" w:right="239" w:hanging="324"/>
        <w:spacing w:after="0" w:line="259"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100% of their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over a period of twelve (12) months following any qualifying termination of employment (except that Mr. Briggs would receive 50% of his base salary payable over such twelve (12) month period).</w:t>
      </w:r>
    </w:p>
    <w:p>
      <w:pPr>
        <w:spacing w:after="0" w:line="186" w:lineRule="exact"/>
        <w:rPr>
          <w:rFonts w:ascii="Arial" w:cs="Arial" w:eastAsia="Arial" w:hAnsi="Arial"/>
          <w:sz w:val="18"/>
          <w:szCs w:val="18"/>
          <w:color w:val="auto"/>
        </w:rPr>
      </w:pPr>
    </w:p>
    <w:p>
      <w:pPr>
        <w:ind w:left="1340" w:right="299" w:hanging="324"/>
        <w:spacing w:after="0" w:line="259"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(other than Mr. Briggs) would receive an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amount equal to 100% of the named executive officer’s annual target bonus for the year in which such termination occurs, with such amount also payable over twelve (12) months following any qualifying termination of employment.</w:t>
      </w:r>
    </w:p>
    <w:p>
      <w:pPr>
        <w:spacing w:after="0" w:line="186" w:lineRule="exact"/>
        <w:rPr>
          <w:rFonts w:ascii="Arial" w:cs="Arial" w:eastAsia="Arial" w:hAnsi="Arial"/>
          <w:sz w:val="18"/>
          <w:szCs w:val="18"/>
          <w:color w:val="auto"/>
        </w:rPr>
      </w:pPr>
    </w:p>
    <w:p>
      <w:pPr>
        <w:ind w:left="1340" w:right="119" w:hanging="324"/>
        <w:spacing w:after="0" w:line="308" w:lineRule="auto"/>
        <w:tabs>
          <w:tab w:leader="none" w:pos="134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Benefits continuation. </w:t>
      </w:r>
      <w:r>
        <w:rPr>
          <w:rFonts w:ascii="Arial" w:cs="Arial" w:eastAsia="Arial" w:hAnsi="Arial"/>
          <w:sz w:val="17"/>
          <w:szCs w:val="17"/>
          <w:color w:val="auto"/>
        </w:rPr>
        <w:t>Each named executive officer would continue to receive Company-paid premiums</w:t>
      </w:r>
      <w:r>
        <w:rPr>
          <w:rFonts w:ascii="Arial" w:cs="Arial" w:eastAsia="Arial" w:hAnsi="Arial"/>
          <w:sz w:val="17"/>
          <w:szCs w:val="17"/>
          <w:i w:val="1"/>
          <w:iCs w:val="1"/>
          <w:color w:val="auto"/>
        </w:rPr>
        <w:t xml:space="preserve"> </w:t>
      </w:r>
      <w:r>
        <w:rPr>
          <w:rFonts w:ascii="Arial" w:cs="Arial" w:eastAsia="Arial" w:hAnsi="Arial"/>
          <w:sz w:val="17"/>
          <w:szCs w:val="17"/>
          <w:color w:val="auto"/>
        </w:rPr>
        <w:t>for continued group health benefits under COBRA during the severance period (or, in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179"/>
        <w:spacing w:after="0" w:line="277" w:lineRule="auto"/>
        <w:rPr>
          <w:sz w:val="20"/>
          <w:szCs w:val="20"/>
          <w:color w:val="auto"/>
        </w:rPr>
      </w:pPr>
      <w:r>
        <w:rPr>
          <w:rFonts w:ascii="Arial" w:cs="Arial" w:eastAsia="Arial" w:hAnsi="Arial"/>
          <w:sz w:val="18"/>
          <w:szCs w:val="18"/>
          <w:color w:val="auto"/>
        </w:rPr>
        <w:t>case of Mr. Briggs, through the earlier of the end of the severance period or the date he becomes eligible for health coverage through another employer).</w:t>
      </w:r>
    </w:p>
    <w:p>
      <w:pPr>
        <w:spacing w:after="0" w:line="170" w:lineRule="exact"/>
        <w:rPr>
          <w:sz w:val="20"/>
          <w:szCs w:val="20"/>
          <w:color w:val="auto"/>
        </w:rPr>
      </w:pPr>
    </w:p>
    <w:p>
      <w:pPr>
        <w:ind w:left="1340" w:right="219" w:hanging="324"/>
        <w:spacing w:after="0" w:line="286" w:lineRule="auto"/>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Partially accelerated vesting of equity incentives</w:t>
      </w:r>
      <w:r>
        <w:rPr>
          <w:rFonts w:ascii="Arial" w:cs="Arial" w:eastAsia="Arial" w:hAnsi="Arial"/>
          <w:sz w:val="17"/>
          <w:szCs w:val="17"/>
          <w:color w:val="auto"/>
        </w:rPr>
        <w:t>. Each named executive officer (other than Mr. Briggs)</w:t>
      </w:r>
      <w:r>
        <w:rPr>
          <w:rFonts w:ascii="Arial" w:cs="Arial" w:eastAsia="Arial" w:hAnsi="Arial"/>
          <w:sz w:val="17"/>
          <w:szCs w:val="17"/>
          <w:i w:val="1"/>
          <w:iCs w:val="1"/>
          <w:color w:val="auto"/>
        </w:rPr>
        <w:t xml:space="preserve"> </w:t>
      </w:r>
      <w:r>
        <w:rPr>
          <w:rFonts w:ascii="Arial" w:cs="Arial" w:eastAsia="Arial" w:hAnsi="Arial"/>
          <w:sz w:val="17"/>
          <w:szCs w:val="17"/>
          <w:color w:val="auto"/>
        </w:rPr>
        <w:t>would receive partial acceleration of the vesting of any outstanding stock options or restricted stock awards to the next vesting date immediately following the date of termination.</w:t>
      </w:r>
    </w:p>
    <w:p>
      <w:pPr>
        <w:spacing w:after="0" w:line="165" w:lineRule="exact"/>
        <w:rPr>
          <w:rFonts w:ascii="Arial" w:cs="Arial" w:eastAsia="Arial" w:hAnsi="Arial"/>
          <w:sz w:val="17"/>
          <w:szCs w:val="17"/>
          <w:color w:val="auto"/>
        </w:rPr>
      </w:pPr>
    </w:p>
    <w:p>
      <w:pPr>
        <w:ind w:left="1340" w:right="99" w:hanging="324"/>
        <w:spacing w:after="0" w:line="259" w:lineRule="auto"/>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Fully accelerated vesting of equity incentives</w:t>
      </w:r>
      <w:r>
        <w:rPr>
          <w:rFonts w:ascii="Arial" w:cs="Arial" w:eastAsia="Arial" w:hAnsi="Arial"/>
          <w:sz w:val="18"/>
          <w:szCs w:val="18"/>
          <w:color w:val="auto"/>
        </w:rPr>
        <w:t>. In the event of a termination by us without Cause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for Good Reason within twelve (12) months following a Change in Control, each named executive officer would receive full acceleration of the vesting of their outstanding stock options or restricted stock awards.</w:t>
      </w:r>
    </w:p>
    <w:p>
      <w:pPr>
        <w:spacing w:after="0" w:line="187"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See “Executive Employment Agreements” and “Potential Payments Upon Termination or Change in Control” for additional detail.</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225" w:lineRule="exact"/>
        <w:rPr>
          <w:sz w:val="20"/>
          <w:szCs w:val="20"/>
          <w:color w:val="auto"/>
        </w:rPr>
      </w:pPr>
    </w:p>
    <w:p>
      <w:pPr>
        <w:ind w:left="40" w:right="279" w:firstLine="648"/>
        <w:spacing w:after="0" w:line="217" w:lineRule="exact"/>
        <w:rPr>
          <w:sz w:val="20"/>
          <w:szCs w:val="20"/>
          <w:color w:val="auto"/>
        </w:rPr>
      </w:pPr>
      <w:r>
        <w:rPr>
          <w:rFonts w:ascii="Arial" w:cs="Arial" w:eastAsia="Arial" w:hAnsi="Arial"/>
          <w:sz w:val="17"/>
          <w:szCs w:val="17"/>
          <w:color w:val="auto"/>
        </w:rPr>
        <w:t xml:space="preserve">For 2019, each of our named executive officers participated in the Annual Cash Incentive Plan, other than Mr. Briggs, who participated in the Senior Management Plan (as further described below). Under the Annual Cash Incentive Plan as in effect for 2019,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2019, we defined Adjusted EBITDA for purposes of the Annual Cash Incentive Plan in a manner consistent with the definition we use when reporting our financial results. See Item 6, </w:t>
      </w:r>
      <w:r>
        <w:rPr>
          <w:rFonts w:ascii="Arial" w:cs="Arial" w:eastAsia="Arial" w:hAnsi="Arial"/>
          <w:sz w:val="17"/>
          <w:szCs w:val="17"/>
          <w:i w:val="1"/>
          <w:iCs w:val="1"/>
          <w:color w:val="auto"/>
        </w:rPr>
        <w:t>Selected Consolidated Financial and Other Data,</w:t>
      </w:r>
      <w:r>
        <w:rPr>
          <w:rFonts w:ascii="Arial" w:cs="Arial" w:eastAsia="Arial" w:hAnsi="Arial"/>
          <w:sz w:val="17"/>
          <w:szCs w:val="17"/>
          <w:color w:val="auto"/>
        </w:rPr>
        <w:t xml:space="preserve"> beginning on page 41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December 31, 2019 for information regarding our use and calculation of Adjusted EBITDA. As such, we believe it is fair and reasonable to our executives to assess their individual performance on the same basis as our performance is assessed by our Board of Directors and investors.</w:t>
      </w:r>
    </w:p>
    <w:p>
      <w:pPr>
        <w:spacing w:after="0" w:line="209" w:lineRule="exact"/>
        <w:rPr>
          <w:sz w:val="20"/>
          <w:szCs w:val="20"/>
          <w:color w:val="auto"/>
        </w:rPr>
      </w:pPr>
    </w:p>
    <w:p>
      <w:pPr>
        <w:ind w:left="40" w:right="99" w:firstLine="648"/>
        <w:spacing w:after="0" w:line="296" w:lineRule="auto"/>
        <w:rPr>
          <w:sz w:val="20"/>
          <w:szCs w:val="20"/>
          <w:color w:val="auto"/>
        </w:rPr>
      </w:pPr>
      <w:r>
        <w:rPr>
          <w:rFonts w:ascii="Arial" w:cs="Arial" w:eastAsia="Arial" w:hAnsi="Arial"/>
          <w:sz w:val="16"/>
          <w:szCs w:val="16"/>
          <w:i w:val="1"/>
          <w:iCs w:val="1"/>
          <w:color w:val="auto"/>
        </w:rPr>
        <w:t>Company performance</w:t>
      </w:r>
      <w:r>
        <w:rPr>
          <w:rFonts w:ascii="Arial" w:cs="Arial" w:eastAsia="Arial" w:hAnsi="Arial"/>
          <w:sz w:val="16"/>
          <w:szCs w:val="16"/>
          <w:color w:val="auto"/>
        </w:rPr>
        <w:t>. For our named executive officers on the Annual Cash Incentive Plan, the financial metrics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for 100% of the target bonus, with the resulting amount subject to reduction based on the Compensation Committee’s assessment of the particular named executive officer’s personal performance and contribution to our overall results. For other plan participants on the Senior Management Plan (as defined below), the financial metrics account for 60% of the target bonus and specific individual performance goals account for 40% of the target bonus.</w:t>
      </w:r>
    </w:p>
    <w:p>
      <w:pPr>
        <w:spacing w:after="0" w:line="161" w:lineRule="exact"/>
        <w:rPr>
          <w:sz w:val="20"/>
          <w:szCs w:val="20"/>
          <w:color w:val="auto"/>
        </w:rPr>
      </w:pPr>
    </w:p>
    <w:p>
      <w:pPr>
        <w:jc w:val="both"/>
        <w:ind w:left="40" w:right="459" w:firstLine="648"/>
        <w:spacing w:after="0" w:line="311" w:lineRule="auto"/>
        <w:rPr>
          <w:sz w:val="20"/>
          <w:szCs w:val="20"/>
          <w:color w:val="auto"/>
        </w:rPr>
      </w:pPr>
      <w:r>
        <w:rPr>
          <w:rFonts w:ascii="Arial" w:cs="Arial" w:eastAsia="Arial" w:hAnsi="Arial"/>
          <w:sz w:val="16"/>
          <w:szCs w:val="16"/>
          <w:i w:val="1"/>
          <w:iCs w:val="1"/>
          <w:color w:val="auto"/>
        </w:rPr>
        <w:t>Individual performance</w:t>
      </w:r>
      <w:r>
        <w:rPr>
          <w:rFonts w:ascii="Arial" w:cs="Arial" w:eastAsia="Arial" w:hAnsi="Arial"/>
          <w:sz w:val="16"/>
          <w:szCs w:val="16"/>
          <w:color w:val="auto"/>
        </w:rPr>
        <w:t>. In reviewing individual performance, we look at an executive’s achievement of non-financial objectives that, with respect to a given participant, may include achieving objectives related to, among other things, program development and expansion, regulatory compliance, student retention and academic outcomes.</w:t>
      </w:r>
    </w:p>
    <w:p>
      <w:pPr>
        <w:spacing w:after="0" w:line="149" w:lineRule="exact"/>
        <w:rPr>
          <w:sz w:val="20"/>
          <w:szCs w:val="20"/>
          <w:color w:val="auto"/>
        </w:rPr>
      </w:pPr>
    </w:p>
    <w:p>
      <w:pPr>
        <w:ind w:left="40" w:right="239" w:firstLine="648"/>
        <w:spacing w:after="0" w:line="259" w:lineRule="auto"/>
        <w:rPr>
          <w:sz w:val="20"/>
          <w:szCs w:val="20"/>
          <w:color w:val="auto"/>
        </w:rPr>
      </w:pPr>
      <w:r>
        <w:rPr>
          <w:rFonts w:ascii="Arial" w:cs="Arial" w:eastAsia="Arial" w:hAnsi="Arial"/>
          <w:sz w:val="18"/>
          <w:szCs w:val="18"/>
          <w:i w:val="1"/>
          <w:iCs w:val="1"/>
          <w:color w:val="auto"/>
        </w:rPr>
        <w:t>Calculation of bonuses</w:t>
      </w:r>
      <w:r>
        <w:rPr>
          <w:rFonts w:ascii="Arial" w:cs="Arial" w:eastAsia="Arial" w:hAnsi="Arial"/>
          <w:sz w:val="18"/>
          <w:szCs w:val="18"/>
          <w:color w:val="auto"/>
        </w:rPr>
        <w:t>. For each named executive officer on the Annual Cash Incentive Plan,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establishes a target bonus, which is stated as a percentage of the named executive officer’s base salary. For 2019, the bonus opportunity as a percentage of base salary for each of the named executive officers on the Annual Cash Incentive Plan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jc w:val="center"/>
              <w:ind w:left="676"/>
              <w:spacing w:after="0"/>
              <w:rPr>
                <w:sz w:val="20"/>
                <w:szCs w:val="20"/>
                <w:color w:val="auto"/>
              </w:rPr>
            </w:pPr>
            <w:r>
              <w:rPr>
                <w:rFonts w:ascii="Arial" w:cs="Arial" w:eastAsia="Arial" w:hAnsi="Arial"/>
                <w:sz w:val="14"/>
                <w:szCs w:val="14"/>
                <w:b w:val="1"/>
                <w:bCs w:val="1"/>
                <w:color w:val="auto"/>
                <w:w w:val="91"/>
              </w:rPr>
              <w:t>Bonus Opportunity as a</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4"/>
                <w:szCs w:val="14"/>
                <w:b w:val="1"/>
                <w:bCs w:val="1"/>
                <w:color w:val="auto"/>
                <w:vertAlign w:val="superscript"/>
              </w:rPr>
              <w:t>(1)</w:t>
            </w:r>
          </w:p>
        </w:tc>
        <w:tc>
          <w:tcPr>
            <w:tcW w:w="160" w:type="dxa"/>
            <w:vAlign w:val="bottom"/>
            <w:vMerge w:val="restart"/>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0"/>
              </w:rPr>
              <w:t>Base Salary</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8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Threshold</w:t>
            </w: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Target</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9"/>
              </w:rPr>
              <w:t>Maximum</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20" w:hanging="328"/>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2019, Mr. Briggs received an annual cash bonus pursuant to the Senior Management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For these executive officers,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96% of both the revenue and Adjusted EBITDA goals. Assuming both of these thresholds are achieved, payouts are made based on the Company’s achievement of a minimum of 96% of both the revenue goal and Adjusted EBITDA goal (resulting in a bonus of 50% of the target bonus) and a maximum of 104% of the revenue goal and 106% of the Adjusted EBITDA goal (resulting in a bonus of 150% of the target bonus). Performance between threshold and maximum levels results in prorated payments using straight-line interpolation.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Shown below is a summary of the matrix described above:</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Threshold</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209"/>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goal (50.0% of financial metric)</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96% of goal</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 of goal</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104% of goal</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Adjusted EBITDA (50.0% of financial metric)</w:t>
            </w: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96% of goal</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100% of goal</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106% of goal</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 as a % of target bonus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2"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2019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(50% of the revenue component) plus $75,000 (100% of the Adjusted EBITDA component).</w:t>
      </w:r>
    </w:p>
    <w:p>
      <w:pPr>
        <w:spacing w:after="0" w:line="166"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The plan for eligible senior management (the “Senior Management Plan”), in which Mr. Briggs participated in 2019, differs from the Annual Cash Incentive Plan in that it includes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participating in this plan, the bonus under the Senior Management Plan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78"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i w:val="1"/>
          <w:iCs w:val="1"/>
          <w:color w:val="auto"/>
        </w:rPr>
        <w:t>Changes to performance goals and target awards</w:t>
      </w:r>
      <w:r>
        <w:rPr>
          <w:rFonts w:ascii="Arial" w:cs="Arial" w:eastAsia="Arial" w:hAnsi="Arial"/>
          <w:sz w:val="17"/>
          <w:szCs w:val="17"/>
          <w:color w:val="auto"/>
        </w:rPr>
        <w:t>. In accordance with the terms of the Annual Cash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at any time prior to the final 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i w:val="1"/>
          <w:iCs w:val="1"/>
          <w:color w:val="auto"/>
        </w:rPr>
        <w:t xml:space="preserve">2019 financial goals. </w:t>
      </w:r>
      <w:r>
        <w:rPr>
          <w:rFonts w:ascii="Arial" w:cs="Arial" w:eastAsia="Arial" w:hAnsi="Arial"/>
          <w:sz w:val="16"/>
          <w:szCs w:val="16"/>
          <w:color w:val="auto"/>
        </w:rPr>
        <w:t>The following table shows the Company-wide financial goals established for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for 2019. These financial goals were selected based upon a combination of the Company’s internal budget and analyst estimates, which the Compensation Committee believes establishes an appropriate level at which to set goals in order to maximize the incentive for superior performance, as adjusted for the Transaction, as described above.</w:t>
      </w:r>
    </w:p>
    <w:p>
      <w:pPr>
        <w:spacing w:after="0" w:line="15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9"/>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2"/>
                <w:szCs w:val="12"/>
                <w:color w:val="auto"/>
              </w:rPr>
            </w:pPr>
          </w:p>
        </w:tc>
        <w:tc>
          <w:tcPr>
            <w:tcW w:w="13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(104% of Goal for</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Revenue/106% of Goal</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w w:val="98"/>
              </w:rPr>
              <w:t>(96% of Goal)</w:t>
            </w:r>
          </w:p>
        </w:tc>
        <w:tc>
          <w:tcPr>
            <w:tcW w:w="14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(100% of Goal)</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for Adjusted EBITDA)</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744,480,000</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$775,500,000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806,520,000</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285,377,000</w:t>
            </w:r>
          </w:p>
        </w:tc>
        <w:tc>
          <w:tcPr>
            <w:tcW w:w="11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$297,268,000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315,104,000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i w:val="1"/>
          <w:iCs w:val="1"/>
          <w:color w:val="auto"/>
        </w:rPr>
        <w:t>Actual performance vs. compensation paid for 2019</w:t>
      </w:r>
      <w:r>
        <w:rPr>
          <w:rFonts w:ascii="Arial" w:cs="Arial" w:eastAsia="Arial" w:hAnsi="Arial"/>
          <w:sz w:val="18"/>
          <w:szCs w:val="18"/>
          <w:color w:val="auto"/>
        </w:rPr>
        <w:t>. For 2019, the Company achieved revenue of $778.6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equal to 100.4% of the revenue target, and Adjusted EBITDA of $311.3 million, which is equal to 104.7% of the Adjusted EBITDA target, resulting in performance payout percentages equal to 105.1% for the revenue component of the incentive bonus and 139.5% for the Adjusted EBITDA component of the incentive target bonus. Accordingly, the named executive officers achieved incentive bonuses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93"/>
              </w:rPr>
              <w:t>Adjusted</w:t>
            </w:r>
          </w:p>
        </w:tc>
        <w:tc>
          <w:tcPr>
            <w:tcW w:w="114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89"/>
              </w:rPr>
              <w:t>2019 Bonus as</w:t>
            </w:r>
          </w:p>
        </w:tc>
        <w:tc>
          <w:tcPr>
            <w:tcW w:w="122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1"/>
              </w:rPr>
              <w:t>2019 Bonus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2"/>
              </w:rPr>
              <w:t>Revenue</w:t>
            </w: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76"/>
              </w:rPr>
              <w:t>as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EBITDA</w:t>
            </w:r>
          </w:p>
        </w:tc>
        <w:tc>
          <w:tcPr>
            <w:tcW w:w="11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22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Percentage</w:t>
            </w: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22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86"/>
              </w:rPr>
              <w:t>of Base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1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6"/>
              </w:rPr>
              <w:t>Payout (%)</w:t>
            </w:r>
          </w:p>
        </w:tc>
        <w:tc>
          <w:tcPr>
            <w:tcW w:w="11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9"/>
              </w:rPr>
              <w:t>Payout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4"/>
              </w:rPr>
              <w:t>Salary($)</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Bonus ($)</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392,454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105.1 %</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139.5 %</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122.3 %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91.7 % $</w:t>
            </w:r>
          </w:p>
        </w:tc>
        <w:tc>
          <w:tcPr>
            <w:tcW w:w="820" w:type="dxa"/>
            <w:vAlign w:val="bottom"/>
          </w:tcPr>
          <w:p>
            <w:pPr>
              <w:ind w:left="180"/>
              <w:spacing w:after="0"/>
              <w:rPr>
                <w:sz w:val="20"/>
                <w:szCs w:val="20"/>
                <w:color w:val="auto"/>
              </w:rPr>
            </w:pPr>
            <w:r>
              <w:rPr>
                <w:rFonts w:ascii="Arial" w:cs="Arial" w:eastAsia="Arial" w:hAnsi="Arial"/>
                <w:sz w:val="18"/>
                <w:szCs w:val="18"/>
                <w:color w:val="auto"/>
                <w:w w:val="95"/>
              </w:rPr>
              <w:t>357,610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105.1 %</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139.5 %</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122.3 %</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91.7 % $</w:t>
            </w:r>
          </w:p>
        </w:tc>
        <w:tc>
          <w:tcPr>
            <w:tcW w:w="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357,610</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105.1 %</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139.5 %</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122.3 %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61.1 % $</w:t>
            </w:r>
          </w:p>
        </w:tc>
        <w:tc>
          <w:tcPr>
            <w:tcW w:w="820" w:type="dxa"/>
            <w:vAlign w:val="bottom"/>
          </w:tcPr>
          <w:p>
            <w:pPr>
              <w:ind w:left="180"/>
              <w:spacing w:after="0"/>
              <w:rPr>
                <w:sz w:val="20"/>
                <w:szCs w:val="20"/>
                <w:color w:val="auto"/>
              </w:rPr>
            </w:pPr>
            <w:r>
              <w:rPr>
                <w:rFonts w:ascii="Arial" w:cs="Arial" w:eastAsia="Arial" w:hAnsi="Arial"/>
                <w:sz w:val="18"/>
                <w:szCs w:val="18"/>
                <w:color w:val="auto"/>
                <w:w w:val="95"/>
              </w:rPr>
              <w:t>207,842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99" w:firstLine="648"/>
        <w:spacing w:after="0" w:line="311" w:lineRule="auto"/>
        <w:rPr>
          <w:sz w:val="20"/>
          <w:szCs w:val="20"/>
          <w:color w:val="auto"/>
        </w:rPr>
      </w:pPr>
      <w:r>
        <w:rPr>
          <w:rFonts w:ascii="Arial" w:cs="Arial" w:eastAsia="Arial" w:hAnsi="Arial"/>
          <w:sz w:val="16"/>
          <w:szCs w:val="16"/>
          <w:i w:val="1"/>
          <w:iCs w:val="1"/>
          <w:color w:val="auto"/>
        </w:rPr>
        <w:t>2019 individual goals</w:t>
      </w:r>
      <w:r>
        <w:rPr>
          <w:rFonts w:ascii="Arial" w:cs="Arial" w:eastAsia="Arial" w:hAnsi="Arial"/>
          <w:sz w:val="16"/>
          <w:szCs w:val="16"/>
          <w:color w:val="auto"/>
        </w:rPr>
        <w:t>. The individual performance goals applicable to the named executive officers in 2019</w:t>
      </w:r>
      <w:r>
        <w:rPr>
          <w:rFonts w:ascii="Arial" w:cs="Arial" w:eastAsia="Arial" w:hAnsi="Arial"/>
          <w:sz w:val="16"/>
          <w:szCs w:val="16"/>
          <w:i w:val="1"/>
          <w:iCs w:val="1"/>
          <w:color w:val="auto"/>
        </w:rPr>
        <w:t xml:space="preserve"> </w:t>
      </w:r>
      <w:r>
        <w:rPr>
          <w:rFonts w:ascii="Arial" w:cs="Arial" w:eastAsia="Arial" w:hAnsi="Arial"/>
          <w:sz w:val="16"/>
          <w:szCs w:val="16"/>
          <w:color w:val="auto"/>
        </w:rPr>
        <w:t>focused on each executive’s achievement of one or more objectives that related to their specific duties and responsibilities on behalf of the Company. These individual goals, some of which related to periods prior to the Transaction, included:</w:t>
      </w:r>
    </w:p>
    <w:p>
      <w:pPr>
        <w:spacing w:after="0" w:line="149" w:lineRule="exact"/>
        <w:rPr>
          <w:sz w:val="20"/>
          <w:szCs w:val="20"/>
          <w:color w:val="auto"/>
        </w:rPr>
      </w:pPr>
    </w:p>
    <w:p>
      <w:pPr>
        <w:ind w:left="1340" w:right="399" w:hanging="324"/>
        <w:spacing w:after="0" w:line="277"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Dr. Meyer, Mr. Bachus, and Mr. Mildenhall, collectively: to manage their individual departments within budget.</w:t>
      </w:r>
    </w:p>
    <w:p>
      <w:pPr>
        <w:spacing w:after="0" w:line="170" w:lineRule="exact"/>
        <w:rPr>
          <w:rFonts w:ascii="Arial" w:cs="Arial" w:eastAsia="Arial" w:hAnsi="Arial"/>
          <w:sz w:val="18"/>
          <w:szCs w:val="18"/>
          <w:color w:val="auto"/>
        </w:rPr>
      </w:pPr>
    </w:p>
    <w:p>
      <w:pPr>
        <w:ind w:left="1340" w:right="479" w:hanging="324"/>
        <w:spacing w:after="0" w:line="259"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Mr. Mueller, Dr. Meyer and Mr. Bachus, collectively: to work on key strategic initiatives for the Company including the successful integration of Orbis Education and its continued organic growth, continue to achieve growth goals set by our most significant partner, and participate in a specified number of investor conferences and/or investor meetings.</w:t>
      </w:r>
    </w:p>
    <w:p>
      <w:pPr>
        <w:spacing w:after="0" w:line="186" w:lineRule="exact"/>
        <w:rPr>
          <w:rFonts w:ascii="Arial" w:cs="Arial" w:eastAsia="Arial" w:hAnsi="Arial"/>
          <w:sz w:val="18"/>
          <w:szCs w:val="18"/>
          <w:color w:val="auto"/>
        </w:rPr>
      </w:pPr>
    </w:p>
    <w:p>
      <w:pPr>
        <w:ind w:left="1340" w:right="579" w:hanging="324"/>
        <w:spacing w:after="0" w:line="277"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Mr. Mueller: to lead the Company’s corporate responsibility initiatives, including its efforts in expanding its environment and social initiatives.</w:t>
      </w:r>
    </w:p>
    <w:p>
      <w:pPr>
        <w:spacing w:after="0" w:line="170" w:lineRule="exact"/>
        <w:rPr>
          <w:rFonts w:ascii="Arial" w:cs="Arial" w:eastAsia="Arial" w:hAnsi="Arial"/>
          <w:sz w:val="18"/>
          <w:szCs w:val="18"/>
          <w:color w:val="auto"/>
        </w:rPr>
      </w:pPr>
    </w:p>
    <w:p>
      <w:pPr>
        <w:ind w:left="1340" w:right="159" w:hanging="324"/>
        <w:spacing w:after="0" w:line="277"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Dr. Meyer: to demonstrate leadership over key functional areas such as marketing, online operations and campus operations.</w:t>
      </w:r>
    </w:p>
    <w:p>
      <w:pPr>
        <w:spacing w:after="0" w:line="170" w:lineRule="exact"/>
        <w:rPr>
          <w:rFonts w:ascii="Arial" w:cs="Arial" w:eastAsia="Arial" w:hAnsi="Arial"/>
          <w:sz w:val="18"/>
          <w:szCs w:val="18"/>
          <w:color w:val="auto"/>
        </w:rPr>
      </w:pPr>
    </w:p>
    <w:p>
      <w:pPr>
        <w:ind w:left="1340" w:right="299" w:hanging="324"/>
        <w:spacing w:after="0" w:line="277"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Mr. Bachus: to manage the financial and reporting functions to ensure that no material weaknesses occurred within the Company’s financial reporting structure.</w:t>
      </w:r>
    </w:p>
    <w:p>
      <w:pPr>
        <w:spacing w:after="0" w:line="170" w:lineRule="exact"/>
        <w:rPr>
          <w:rFonts w:ascii="Arial" w:cs="Arial" w:eastAsia="Arial" w:hAnsi="Arial"/>
          <w:sz w:val="18"/>
          <w:szCs w:val="18"/>
          <w:color w:val="auto"/>
        </w:rPr>
      </w:pPr>
    </w:p>
    <w:p>
      <w:pPr>
        <w:ind w:left="1340" w:right="299" w:hanging="324"/>
        <w:spacing w:after="0" w:line="311" w:lineRule="auto"/>
        <w:tabs>
          <w:tab w:leader="none" w:pos="1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Mr. Mildenhall: to improve and build additional software engineering capabilities to address key needs in student scheduling, demonstrate improvement in application availability, manage the learning management system and oversee the relationship with CampusVue and LoudCloud to ensure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219"/>
        <w:spacing w:after="0" w:line="277" w:lineRule="auto"/>
        <w:rPr>
          <w:sz w:val="20"/>
          <w:szCs w:val="20"/>
          <w:color w:val="auto"/>
        </w:rPr>
      </w:pPr>
      <w:r>
        <w:rPr>
          <w:rFonts w:ascii="Arial" w:cs="Arial" w:eastAsia="Arial" w:hAnsi="Arial"/>
          <w:sz w:val="18"/>
          <w:szCs w:val="18"/>
          <w:color w:val="auto"/>
        </w:rPr>
        <w:t>continued improvements are made to the product to eliminate manual processes, and ensure no material network vulnerability events occur.</w:t>
      </w:r>
    </w:p>
    <w:p>
      <w:pPr>
        <w:spacing w:after="0" w:line="170"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Based on each individual named executive officer’s achievement or substantial achievement of their individual performance goals, and in light of the superior financial performance achieved by the Company in 2019,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188"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i w:val="1"/>
          <w:iCs w:val="1"/>
          <w:color w:val="auto"/>
        </w:rPr>
        <w:t xml:space="preserve">Bonus Paid to Mr. Briggs in 2019. </w:t>
      </w:r>
      <w:r>
        <w:rPr>
          <w:rFonts w:ascii="Arial" w:cs="Arial" w:eastAsia="Arial" w:hAnsi="Arial"/>
          <w:sz w:val="16"/>
          <w:szCs w:val="16"/>
          <w:color w:val="auto"/>
        </w:rPr>
        <w:t>For 2019, Mr. Briggs participated in the Senior Management Plan.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employment agreement entered into between Mr. Briggs and Orbis Education, which was effective upon the completion of our acquisition of Orbis Education in January 2019, Mr. Briggs was eligible to receive an incentive bonus with a target amount equal to 75% of his base salary and threshold and maximum amounts equal to 52.5% and 97.5%, respectively. Of his target bonus, 60% was based on the achievement of revenue and Adjusted EBITDA targets for the Company (discussed above) and 40% was based on the achievement of individual performance goals, Mr. Brigg’s goals for</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 were as follows:</w:t>
      </w:r>
    </w:p>
    <w:p>
      <w:pPr>
        <w:spacing w:after="0" w:line="211" w:lineRule="exact"/>
        <w:rPr>
          <w:sz w:val="20"/>
          <w:szCs w:val="20"/>
          <w:color w:val="auto"/>
        </w:rPr>
      </w:pPr>
    </w:p>
    <w:p>
      <w:pPr>
        <w:ind w:left="1340" w:right="659" w:hanging="324"/>
        <w:spacing w:after="0" w:line="263" w:lineRule="auto"/>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develop new and expand current university partner relationships, expand number of locations, demonstrate leadership during the acquisition and transition to maximize employee retention, and integrate policies and procedures with the Company.</w:t>
      </w:r>
    </w:p>
    <w:p>
      <w:pPr>
        <w:spacing w:after="0" w:line="184" w:lineRule="exact"/>
        <w:rPr>
          <w:sz w:val="20"/>
          <w:szCs w:val="20"/>
          <w:color w:val="auto"/>
        </w:rPr>
      </w:pPr>
    </w:p>
    <w:p>
      <w:pPr>
        <w:ind w:left="40" w:right="279" w:firstLine="648"/>
        <w:spacing w:after="0" w:line="263" w:lineRule="auto"/>
        <w:rPr>
          <w:sz w:val="20"/>
          <w:szCs w:val="20"/>
          <w:color w:val="auto"/>
        </w:rPr>
      </w:pPr>
      <w:r>
        <w:rPr>
          <w:rFonts w:ascii="Arial" w:cs="Arial" w:eastAsia="Arial" w:hAnsi="Arial"/>
          <w:sz w:val="18"/>
          <w:szCs w:val="18"/>
          <w:color w:val="auto"/>
        </w:rPr>
        <w:t>Based on the financial performance of Orbis Education during 2019 and the determination that Mr. Briggs achieved is his individual performance goals, Mr. Briggs was awarded a bonus equal to approximately 90.0% of his base salary.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left="40" w:right="119" w:firstLine="648"/>
        <w:spacing w:after="0" w:line="257" w:lineRule="auto"/>
        <w:rPr>
          <w:sz w:val="20"/>
          <w:szCs w:val="20"/>
          <w:color w:val="auto"/>
        </w:rPr>
      </w:pPr>
      <w:r>
        <w:rPr>
          <w:rFonts w:ascii="Arial" w:cs="Arial" w:eastAsia="Arial" w:hAnsi="Arial"/>
          <w:sz w:val="18"/>
          <w:szCs w:val="18"/>
          <w:color w:val="auto"/>
        </w:rPr>
        <w:t>Prior to June 2017, the Company made grants of restricted stock and stock options under its 2008 Plan. On January 26, 2017, the Board of Directors of the Company adopted the 2017 Plan, and at the Company’s annual meeting of stockholders held on June 14, 2017, the Company’s stockholders adopted the 2017 Plan under which a maximum of 3,000,000 shares may be granted. As of December 31, 2019 there were 1,762,771 shares available for grant under the 2017 Plan.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225" w:lineRule="exact"/>
        <w:rPr>
          <w:sz w:val="20"/>
          <w:szCs w:val="20"/>
          <w:color w:val="auto"/>
        </w:rPr>
      </w:pPr>
    </w:p>
    <w:p>
      <w:pPr>
        <w:ind w:left="40" w:right="459" w:firstLine="648"/>
        <w:spacing w:after="0" w:line="277" w:lineRule="auto"/>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170" w:lineRule="exact"/>
        <w:rPr>
          <w:sz w:val="20"/>
          <w:szCs w:val="20"/>
          <w:color w:val="auto"/>
        </w:rPr>
      </w:pPr>
    </w:p>
    <w:p>
      <w:pPr>
        <w:ind w:left="1340" w:right="359" w:hanging="324"/>
        <w:spacing w:after="0" w:line="308" w:lineRule="auto"/>
        <w:tabs>
          <w:tab w:leader="none" w:pos="1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stock option grants, restricted stock awards, and other equity based awards, which we collectively refer to as stock-based awards, must be approved by the Compensation Committee;</w:t>
      </w:r>
    </w:p>
    <w:p>
      <w:pPr>
        <w:spacing w:after="0" w:line="146" w:lineRule="exact"/>
        <w:rPr>
          <w:rFonts w:ascii="Arial" w:cs="Arial" w:eastAsia="Arial" w:hAnsi="Arial"/>
          <w:sz w:val="17"/>
          <w:szCs w:val="17"/>
          <w:color w:val="auto"/>
        </w:rPr>
      </w:pPr>
    </w:p>
    <w:p>
      <w:pPr>
        <w:ind w:left="1340" w:right="119" w:hanging="324"/>
        <w:spacing w:after="0" w:line="259"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186" w:lineRule="exact"/>
        <w:rPr>
          <w:rFonts w:ascii="Arial" w:cs="Arial" w:eastAsia="Arial" w:hAnsi="Arial"/>
          <w:sz w:val="18"/>
          <w:szCs w:val="18"/>
          <w:color w:val="auto"/>
        </w:rPr>
      </w:pPr>
    </w:p>
    <w:p>
      <w:pPr>
        <w:jc w:val="both"/>
        <w:ind w:left="1340" w:right="359" w:hanging="324"/>
        <w:spacing w:after="0" w:line="263"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83" w:lineRule="exact"/>
        <w:rPr>
          <w:rFonts w:ascii="Arial" w:cs="Arial" w:eastAsia="Arial" w:hAnsi="Arial"/>
          <w:sz w:val="18"/>
          <w:szCs w:val="18"/>
          <w:color w:val="auto"/>
        </w:rPr>
      </w:pPr>
    </w:p>
    <w:p>
      <w:pPr>
        <w:ind w:left="1340" w:right="139" w:hanging="324"/>
        <w:spacing w:after="0" w:line="277" w:lineRule="auto"/>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Compensation Committee will approve stock-based grants only for persons specifically identified at the meeting by management.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225"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 benefits in the event of an involuntary termination of employment without “cause” or a termination of employment with “good reason” in connection with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“Potential Payments Upon Termination or Change in Control.”</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left="40" w:right="279" w:firstLine="648"/>
        <w:spacing w:after="0" w:line="279" w:lineRule="auto"/>
        <w:rPr>
          <w:sz w:val="20"/>
          <w:szCs w:val="20"/>
          <w:color w:val="auto"/>
        </w:rPr>
      </w:pPr>
      <w:r>
        <w:rPr>
          <w:rFonts w:ascii="Arial" w:cs="Arial" w:eastAsia="Arial" w:hAnsi="Arial"/>
          <w:sz w:val="17"/>
          <w:szCs w:val="17"/>
          <w:color w:val="auto"/>
        </w:rPr>
        <w:t>We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do not provide tax reimbursements or any other tax payments, including excise tax “gross-ups,” to any of our executive officers.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ind w:left="40" w:right="139" w:firstLine="648"/>
        <w:spacing w:after="0" w:line="268" w:lineRule="auto"/>
        <w:rPr>
          <w:sz w:val="20"/>
          <w:szCs w:val="20"/>
          <w:color w:val="auto"/>
        </w:rPr>
      </w:pPr>
      <w:r>
        <w:rPr>
          <w:rFonts w:ascii="Arial" w:cs="Arial" w:eastAsia="Arial" w:hAnsi="Arial"/>
          <w:sz w:val="17"/>
          <w:szCs w:val="17"/>
          <w:color w:val="auto"/>
        </w:rPr>
        <w:t>Effective January 26, 2017, the Board of Directors adopted an Incentive Compensation Clawback Policy that authorizes the Company to recover incentive compensation previously paid to its Section 16 officers. The policy provides that, in the event of a restatement of the Company’s financial statements for any fiscal year commencing after December 31, 2015 that is due to the misconduct of any employee, the Board or, if so designated by the Board, the Compensation Committee of the Board, is authorized to take action to recoup all or part of any incentive compensation received by a Section 16 officer of the Company. For purposes of this policy, incentive compensation means any cash compensation paid by or any equity compensation awarded by the Company that is based in whole or in part on the achievement of financial results by the Company, including, but not limited to, any bonus or other performance-based cash or equity arrangement or award, but excluding base salary. The policy defines misconduct as the willful commission of an illegal act, fraud, intentional misconduct or gross recklessness in the performance of a Section 16 officer’s duties and responsibilities, as determined by the Board in its sole discretion. In determining whether to take action to recoup any incentive compensation received by a Section 16 officer of the Company, the Board or, if so designated, the Compensation Committee of the Board, will take into consideration whether the Section 16 officer engaged in the misconduct or was in a position, including in a supervisory role, to have been able to have reasonably prevented the misconduct that caused the restatement.</w:t>
      </w:r>
    </w:p>
    <w:p>
      <w:pPr>
        <w:spacing w:after="0" w:line="182"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As directed by the Dodd-Frank Act, the SEC has issued proposed rules which, if adopted in final form, would require issuers to seek recovery from executive officers in certain circumstances involving financial restatements. As of the date of this Proxy Statement, the SEC has not issued final rules implementing this portion of the Dodd-Frank Act. Once the SEC issues final rules regarding the required form of a clawback policy under the Dodd-Frank Act, we expect to amend our Incentive Compensation Clawback Policy accordingly.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225"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Compensation Committee has the sole authority, delegated from the Board of Directors, to appoint, compensate and oversee the work of our outside compensation consultant. In prior years, the Compensation Committee has retained Mercer as its consultant to assist the Compensation Committee with its responsibilities related to our executive compensation programs. The Compensation Committee incurred $30,000 of consulting costs utilizing Mercer’s services in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225" w:lineRule="exact"/>
        <w:rPr>
          <w:sz w:val="20"/>
          <w:szCs w:val="20"/>
          <w:color w:val="auto"/>
        </w:rPr>
      </w:pPr>
    </w:p>
    <w:p>
      <w:pPr>
        <w:jc w:val="both"/>
        <w:ind w:left="40" w:right="419" w:firstLine="648"/>
        <w:spacing w:after="0" w:line="287" w:lineRule="auto"/>
        <w:rPr>
          <w:sz w:val="20"/>
          <w:szCs w:val="20"/>
          <w:color w:val="auto"/>
        </w:rPr>
      </w:pPr>
      <w:r>
        <w:rPr>
          <w:rFonts w:ascii="Arial" w:cs="Arial" w:eastAsia="Arial" w:hAnsi="Arial"/>
          <w:sz w:val="16"/>
          <w:szCs w:val="16"/>
          <w:color w:val="auto"/>
        </w:rPr>
        <w:t>Prior to January 1, 2018, Section 162(m) of the Internal Revenue Code (“Section 162(m)”) generally placed a limit of $1.0 million on the amount of compensation that we may deduct in any calendar year with respect to our Chief Executive Officer and each of our three most highly paid executive officers (excluding our Chief Financial Officer).</w:t>
      </w:r>
    </w:p>
    <w:p>
      <w:pPr>
        <w:spacing w:after="0" w:line="2" w:lineRule="exact"/>
        <w:rPr>
          <w:sz w:val="20"/>
          <w:szCs w:val="20"/>
          <w:color w:val="auto"/>
        </w:rPr>
      </w:pPr>
    </w:p>
    <w:p>
      <w:pPr>
        <w:ind w:left="40" w:right="59"/>
        <w:spacing w:after="0" w:line="285" w:lineRule="auto"/>
        <w:rPr>
          <w:sz w:val="20"/>
          <w:szCs w:val="20"/>
          <w:color w:val="auto"/>
        </w:rPr>
      </w:pPr>
      <w:r>
        <w:rPr>
          <w:rFonts w:ascii="Arial" w:cs="Arial" w:eastAsia="Arial" w:hAnsi="Arial"/>
          <w:sz w:val="16"/>
          <w:szCs w:val="16"/>
          <w:color w:val="auto"/>
        </w:rPr>
        <w:t>However, an exception to the $1.0 million limitation was provided for commission-based and performance-based compensation meeting certain requirements. Pursuant to the Tax Cuts and Jobs Act of 2017, which was signed into law on December 22, 2017 (the “Tax Act”), for taxable years beginning after December 31, 2017, the remuneration of a publicly-traded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exemptions from the deduction limit for commission-based and performance-based compensation are no longer available. Consequently, for fiscal years beginning after December 31, 2017, other than the transition rules mentioned above, all remuneration in excess of $1.0 million paid to a specified executive generally will not be deductible. Our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the Company and our stockholders.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Internal Revenue Code Section 409A</w:t>
      </w:r>
    </w:p>
    <w:p>
      <w:pPr>
        <w:spacing w:after="0" w:line="225"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penalties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w:t>
      </w:r>
    </w:p>
    <w:p>
      <w:pPr>
        <w:spacing w:after="0" w:line="225" w:lineRule="exact"/>
        <w:rPr>
          <w:sz w:val="20"/>
          <w:szCs w:val="20"/>
          <w:color w:val="auto"/>
        </w:rPr>
      </w:pPr>
    </w:p>
    <w:p>
      <w:pPr>
        <w:ind w:left="40" w:right="339" w:firstLine="648"/>
        <w:spacing w:after="0" w:line="275" w:lineRule="auto"/>
        <w:rPr>
          <w:sz w:val="20"/>
          <w:szCs w:val="20"/>
          <w:color w:val="auto"/>
        </w:rPr>
      </w:pPr>
      <w:r>
        <w:rPr>
          <w:rFonts w:ascii="Arial" w:cs="Arial" w:eastAsia="Arial" w:hAnsi="Arial"/>
          <w:sz w:val="17"/>
          <w:szCs w:val="17"/>
          <w:color w:val="auto"/>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Conclusion</w:t>
      </w:r>
    </w:p>
    <w:p>
      <w:pPr>
        <w:spacing w:after="0" w:line="225" w:lineRule="exact"/>
        <w:rPr>
          <w:sz w:val="20"/>
          <w:szCs w:val="20"/>
          <w:color w:val="auto"/>
        </w:rPr>
      </w:pPr>
    </w:p>
    <w:p>
      <w:pPr>
        <w:ind w:left="40" w:right="399" w:firstLine="648"/>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2019 were reasonable and appropriate and in our best interests.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225" w:lineRule="exact"/>
        <w:rPr>
          <w:sz w:val="20"/>
          <w:szCs w:val="20"/>
          <w:color w:val="auto"/>
        </w:rPr>
      </w:pPr>
    </w:p>
    <w:p>
      <w:pPr>
        <w:jc w:val="both"/>
        <w:ind w:left="40" w:right="139" w:firstLine="648"/>
        <w:spacing w:after="0" w:line="263" w:lineRule="auto"/>
        <w:rPr>
          <w:sz w:val="20"/>
          <w:szCs w:val="20"/>
          <w:color w:val="auto"/>
        </w:rPr>
      </w:pPr>
      <w:r>
        <w:rPr>
          <w:rFonts w:ascii="Arial" w:cs="Arial" w:eastAsia="Arial" w:hAnsi="Arial"/>
          <w:sz w:val="18"/>
          <w:szCs w:val="18"/>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184" w:lineRule="exact"/>
        <w:rPr>
          <w:sz w:val="20"/>
          <w:szCs w:val="20"/>
          <w:color w:val="auto"/>
        </w:rPr>
      </w:pPr>
    </w:p>
    <w:p>
      <w:pPr>
        <w:ind w:left="1340" w:right="139" w:hanging="324"/>
        <w:spacing w:after="0" w:line="286" w:lineRule="auto"/>
        <w:tabs>
          <w:tab w:leader="none" w:pos="1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165" w:lineRule="exact"/>
        <w:rPr>
          <w:rFonts w:ascii="Arial" w:cs="Arial" w:eastAsia="Arial" w:hAnsi="Arial"/>
          <w:sz w:val="17"/>
          <w:szCs w:val="17"/>
          <w:color w:val="auto"/>
        </w:rPr>
      </w:pPr>
    </w:p>
    <w:p>
      <w:pPr>
        <w:ind w:left="1340" w:right="79" w:hanging="324"/>
        <w:spacing w:after="0" w:line="263"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183" w:lineRule="exact"/>
        <w:rPr>
          <w:rFonts w:ascii="Arial" w:cs="Arial" w:eastAsia="Arial" w:hAnsi="Arial"/>
          <w:sz w:val="18"/>
          <w:szCs w:val="18"/>
          <w:color w:val="auto"/>
        </w:rPr>
      </w:pPr>
    </w:p>
    <w:p>
      <w:pPr>
        <w:ind w:left="1340" w:right="239" w:hanging="324"/>
        <w:spacing w:after="0" w:line="263"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183" w:lineRule="exact"/>
        <w:rPr>
          <w:rFonts w:ascii="Arial" w:cs="Arial" w:eastAsia="Arial" w:hAnsi="Arial"/>
          <w:sz w:val="18"/>
          <w:szCs w:val="18"/>
          <w:color w:val="auto"/>
        </w:rPr>
      </w:pPr>
    </w:p>
    <w:p>
      <w:pPr>
        <w:ind w:left="1340" w:right="219" w:hanging="324"/>
        <w:spacing w:after="0" w:line="263"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our equity plan all vest in annual increments over a period of five years, which we believe discourages excessive or inappropriate short-term risk taking.</w:t>
      </w:r>
    </w:p>
    <w:p>
      <w:pPr>
        <w:spacing w:after="0" w:line="184" w:lineRule="exact"/>
        <w:rPr>
          <w:sz w:val="20"/>
          <w:szCs w:val="20"/>
          <w:color w:val="auto"/>
        </w:rPr>
      </w:pPr>
    </w:p>
    <w:p>
      <w:pPr>
        <w:ind w:left="40" w:right="59" w:firstLine="648"/>
        <w:spacing w:after="0" w:line="263"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The following table sets forth the total compensation earned for services rendered by our named executive officers for the fiscal year ended December 31, 2019, 2018 and 2017.</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Incentive Plan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auto"/>
                <w:vertAlign w:val="superscript"/>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auto"/>
                <w:vertAlign w:val="superscript"/>
              </w:rPr>
              <w:t>(3)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b w:val="1"/>
                <w:bCs w:val="1"/>
                <w:color w:val="auto"/>
                <w:vertAlign w:val="superscript"/>
              </w:rPr>
              <w:t>(4)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w w:val="96"/>
              </w:rPr>
              <w:t>Chief Executive Officer and Chairman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1,211,502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392,454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1,929,086</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(Principal Executive Officer)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$ 487,673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1,230,040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637,988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2,361,195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$ 642,000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1,249,916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904,434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2,799,914</w:t>
            </w:r>
          </w:p>
        </w:tc>
        <w:tc>
          <w:tcPr>
            <w:tcW w:w="0" w:type="dxa"/>
            <w:vAlign w:val="bottom"/>
          </w:tcPr>
          <w:p>
            <w:pPr>
              <w:spacing w:after="0"/>
              <w:rPr>
                <w:sz w:val="1"/>
                <w:szCs w:val="1"/>
                <w:color w:val="auto"/>
              </w:rPr>
            </w:pP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$ 390,000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646,486</w:t>
            </w:r>
          </w:p>
        </w:tc>
        <w:tc>
          <w:tcPr>
            <w:tcW w:w="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357,610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1,399,210</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Operating Officer</w:t>
            </w: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$ 390,000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656,328</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387,563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11,383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1,445,274</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$ 390,000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667,090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412,067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8,954</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1,478,111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8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357,610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1,394,708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387,563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1,434,503</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(Principal Financial Officer)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412,067</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1,469,769</w:t>
            </w:r>
          </w:p>
        </w:tc>
        <w:tc>
          <w:tcPr>
            <w:tcW w:w="0" w:type="dxa"/>
            <w:vAlign w:val="bottom"/>
          </w:tcPr>
          <w:p>
            <w:pPr>
              <w:spacing w:after="0"/>
              <w:rPr>
                <w:sz w:val="1"/>
                <w:szCs w:val="1"/>
                <w:color w:val="auto"/>
              </w:rPr>
            </w:pPr>
          </w:p>
        </w:tc>
      </w:tr>
      <w:tr>
        <w:trPr>
          <w:trHeight w:val="418"/>
        </w:trPr>
        <w:tc>
          <w:tcPr>
            <w:tcW w:w="306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$ 340,000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646,486</w:t>
            </w:r>
          </w:p>
        </w:tc>
        <w:tc>
          <w:tcPr>
            <w:tcW w:w="1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207,842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1,198,748</w:t>
            </w:r>
          </w:p>
        </w:tc>
        <w:tc>
          <w:tcPr>
            <w:tcW w:w="0" w:type="dxa"/>
            <w:vAlign w:val="bottom"/>
          </w:tcPr>
          <w:p>
            <w:pPr>
              <w:spacing w:after="0"/>
              <w:rPr>
                <w:sz w:val="1"/>
                <w:szCs w:val="1"/>
                <w:color w:val="auto"/>
              </w:rPr>
            </w:pPr>
          </w:p>
        </w:tc>
      </w:tr>
      <w:tr>
        <w:trPr>
          <w:trHeight w:val="216"/>
        </w:trPr>
        <w:tc>
          <w:tcPr>
            <w:tcW w:w="306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Information Officer</w:t>
            </w: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$ 340,000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656,328</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225,250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1,225,998</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$ 340,000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667,090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239,492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1,248,879</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82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$ 266,319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239,482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763,264</w:t>
            </w:r>
          </w:p>
        </w:tc>
        <w:tc>
          <w:tcPr>
            <w:tcW w:w="0" w:type="dxa"/>
            <w:vAlign w:val="bottom"/>
          </w:tcPr>
          <w:p>
            <w:pPr>
              <w:spacing w:after="0"/>
              <w:rPr>
                <w:sz w:val="1"/>
                <w:szCs w:val="1"/>
                <w:color w:val="auto"/>
              </w:rPr>
            </w:pPr>
          </w:p>
        </w:tc>
      </w:tr>
      <w:tr>
        <w:trPr>
          <w:trHeight w:val="202"/>
        </w:trPr>
        <w:tc>
          <w:tcPr>
            <w:tcW w:w="30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i w:val="1"/>
                <w:iCs w:val="1"/>
                <w:color w:val="auto"/>
              </w:rPr>
              <w:t>Orbis Education Chief Executive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2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79" w:hanging="316"/>
        <w:spacing w:after="0" w:line="259"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in this column reflect the base salary cash payments made in each year. Beginning July 1, 2018, Mr. Mueller’s base salary was decreased by 50% to $321,000, reflecting his dual employment by GCE and our university partner, GCU. Mr. Briggs base salary reflects the amount paid since the acquisition of Orbis Education on January 22, 2019 through December 31, 2019.</w:t>
      </w:r>
    </w:p>
    <w:p>
      <w:pPr>
        <w:spacing w:after="0" w:line="186" w:lineRule="exact"/>
        <w:rPr>
          <w:rFonts w:ascii="Arial" w:cs="Arial" w:eastAsia="Arial" w:hAnsi="Arial"/>
          <w:sz w:val="18"/>
          <w:szCs w:val="18"/>
          <w:color w:val="auto"/>
        </w:rPr>
      </w:pPr>
    </w:p>
    <w:p>
      <w:pPr>
        <w:ind w:left="360" w:right="79" w:hanging="316"/>
        <w:spacing w:after="0" w:line="219" w:lineRule="exact"/>
        <w:tabs>
          <w:tab w:leader="none" w:pos="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amounts shown in this column reflect the compensation costs attributable to the restricted stock awards granted in 2019, 2018 and 2017.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2019, 2018, and 2017 fiscal years are set forth in Notes 4 and 16 to our financial statements for the fiscal year ended December 31, 2019 included in our 2019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2" w:lineRule="exact"/>
        <w:rPr>
          <w:rFonts w:ascii="Arial" w:cs="Arial" w:eastAsia="Arial" w:hAnsi="Arial"/>
          <w:sz w:val="17"/>
          <w:szCs w:val="17"/>
          <w:color w:val="auto"/>
        </w:rPr>
      </w:pPr>
    </w:p>
    <w:p>
      <w:pPr>
        <w:jc w:val="both"/>
        <w:ind w:left="360" w:right="119" w:hanging="316"/>
        <w:spacing w:after="0" w:line="286" w:lineRule="auto"/>
        <w:tabs>
          <w:tab w:leader="none" w:pos="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amounts in this column reflect non-equity incentive payments earned pursuant to our Annual Cash Incentive Plan, except for Mr. Briggs whose non-equity incentive payments were based on the Senior Management Plan. The amount for Mr. Mueller reflects the decrease in his base salary, effective July 1, 2018.</w:t>
      </w:r>
    </w:p>
    <w:p>
      <w:pPr>
        <w:spacing w:after="0" w:line="165" w:lineRule="exact"/>
        <w:rPr>
          <w:rFonts w:ascii="Arial" w:cs="Arial" w:eastAsia="Arial" w:hAnsi="Arial"/>
          <w:sz w:val="17"/>
          <w:szCs w:val="17"/>
          <w:color w:val="auto"/>
        </w:rPr>
      </w:pPr>
    </w:p>
    <w:p>
      <w:pPr>
        <w:ind w:left="360" w:right="139" w:hanging="316"/>
        <w:spacing w:after="0" w:line="263"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2019, 2018, and 2017, the amounts in this column include company paid life insurance premiums for all named executive officers. For Dr. Meyer and Mr. Briggs, the amounts in this column also reflect matching payments made by the Company under our 401(k)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Grants of Plan-Based Awards</w:t>
      </w:r>
    </w:p>
    <w:p>
      <w:pPr>
        <w:spacing w:after="0" w:line="225" w:lineRule="exact"/>
        <w:rPr>
          <w:sz w:val="20"/>
          <w:szCs w:val="20"/>
          <w:color w:val="auto"/>
        </w:rPr>
      </w:pPr>
    </w:p>
    <w:p>
      <w:pPr>
        <w:ind w:left="40" w:right="339" w:firstLine="648"/>
        <w:spacing w:after="0" w:line="263"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2017 equity plan for the fiscal year ended December 31, 2019 to each of our named executive officers: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3"/>
              </w:rPr>
              <w:t>Estimated Future Payouts Under Non-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2"/>
              </w:rPr>
              <w:t>Equity Incentive Plan Awards</w:t>
            </w:r>
            <w:r>
              <w:rPr>
                <w:rFonts w:ascii="Arial" w:cs="Arial" w:eastAsia="Arial" w:hAnsi="Arial"/>
                <w:sz w:val="14"/>
                <w:szCs w:val="14"/>
                <w:b w:val="1"/>
                <w:bCs w:val="1"/>
                <w:color w:val="auto"/>
                <w:w w:val="92"/>
                <w:vertAlign w:val="superscript"/>
              </w:rPr>
              <w:t>(1)</w:t>
            </w: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Maximum</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u w:val="single" w:color="auto"/>
                <w:color w:val="auto"/>
                <w:w w:val="91"/>
              </w:rPr>
              <w:t>Threshold($</w:t>
            </w:r>
            <w:r>
              <w:rPr>
                <w:rFonts w:ascii="Arial" w:cs="Arial" w:eastAsia="Arial" w:hAnsi="Arial"/>
                <w:sz w:val="14"/>
                <w:szCs w:val="14"/>
                <w:b w:val="1"/>
                <w:bCs w:val="1"/>
                <w:color w:val="auto"/>
                <w:w w:val="91"/>
              </w:rPr>
              <w:t>)</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of Stock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Awards(2)</w:t>
            </w:r>
          </w:p>
        </w:tc>
        <w:tc>
          <w:tcPr>
            <w:tcW w:w="0" w:type="dxa"/>
            <w:vAlign w:val="bottom"/>
          </w:tcPr>
          <w:p>
            <w:pPr>
              <w:spacing w:after="0"/>
              <w:rPr>
                <w:sz w:val="1"/>
                <w:szCs w:val="1"/>
                <w:color w:val="auto"/>
              </w:rPr>
            </w:pPr>
          </w:p>
        </w:tc>
      </w:tr>
      <w:tr>
        <w:trPr>
          <w:trHeight w:val="210"/>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$ 160,500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321,000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481,500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January 29, 2019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1,211,502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438,750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January 29, 2019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292,500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438,750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January 29, 2019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170,000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January 29, 2019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220,561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286,730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January 29, 2019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60" w:right="99" w:hanging="316"/>
        <w:spacing w:after="0" w:line="287" w:lineRule="auto"/>
        <w:tabs>
          <w:tab w:leader="none" w:pos="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 The actual amount paid to Mr.</w:t>
      </w:r>
    </w:p>
    <w:p>
      <w:pPr>
        <w:spacing w:after="0" w:line="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Mueller reflects the reduction in his base salary, effective July 1, 2018.</w:t>
      </w:r>
    </w:p>
    <w:p>
      <w:pPr>
        <w:spacing w:after="0" w:line="210" w:lineRule="exact"/>
        <w:rPr>
          <w:rFonts w:ascii="Arial" w:cs="Arial" w:eastAsia="Arial" w:hAnsi="Arial"/>
          <w:sz w:val="16"/>
          <w:szCs w:val="16"/>
          <w:color w:val="auto"/>
        </w:rPr>
      </w:pPr>
    </w:p>
    <w:p>
      <w:pPr>
        <w:ind w:left="360" w:right="99" w:hanging="316"/>
        <w:spacing w:after="0" w:line="219" w:lineRule="exact"/>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the restricted stock awards granted in 2019.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2019 are set forth in Notes 4 and 16 to our financial statements for the fiscal year ended December 31, 2019 included in our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Outstanding Equity Awards at Fiscal Year-End</w:t>
      </w:r>
    </w:p>
    <w:p>
      <w:pPr>
        <w:spacing w:after="0" w:line="225" w:lineRule="exact"/>
        <w:rPr>
          <w:sz w:val="20"/>
          <w:szCs w:val="20"/>
          <w:color w:val="auto"/>
        </w:rPr>
      </w:pPr>
    </w:p>
    <w:p>
      <w:pPr>
        <w:ind w:left="40" w:right="479" w:firstLine="648"/>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4"/>
                <w:szCs w:val="14"/>
                <w:b w:val="1"/>
                <w:bCs w:val="1"/>
                <w:color w:val="auto"/>
                <w:vertAlign w:val="superscript"/>
              </w:rPr>
              <w:t>(1)</w:t>
            </w:r>
          </w:p>
        </w:tc>
        <w:tc>
          <w:tcPr>
            <w:tcW w:w="1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w:t>
            </w: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Expiration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That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w:t>
            </w:r>
          </w:p>
        </w:tc>
        <w:tc>
          <w:tcPr>
            <w:tcW w:w="150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Exercisable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75"/>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500" w:type="dxa"/>
            <w:vAlign w:val="bottom"/>
            <w:gridSpan w:val="2"/>
          </w:tcPr>
          <w:p>
            <w:pPr>
              <w:ind w:left="54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 xml:space="preserve">Vested </w:t>
            </w:r>
            <w:r>
              <w:rPr>
                <w:rFonts w:ascii="Arial" w:cs="Arial" w:eastAsia="Arial" w:hAnsi="Arial"/>
                <w:sz w:val="14"/>
                <w:szCs w:val="14"/>
                <w:b w:val="1"/>
                <w:bCs w:val="1"/>
                <w:color w:val="auto"/>
                <w:w w:val="84"/>
                <w:vertAlign w:val="superscript"/>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5,019,588</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2,678,193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2,678,193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2,678,193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254,801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60" w:right="219" w:hanging="316"/>
        <w:spacing w:after="0" w:line="263"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covered by the options granted to Mr. Mueller, Dr. Meyer, and Mr. Bachus vested in five successive equal annual installments upon the completion of each year of service with us over the five year period measured from the respective date of grant. All such options are fully vested and exercisable.</w:t>
      </w:r>
    </w:p>
    <w:p>
      <w:pPr>
        <w:spacing w:after="0" w:line="183" w:lineRule="exact"/>
        <w:rPr>
          <w:rFonts w:ascii="Arial" w:cs="Arial" w:eastAsia="Arial" w:hAnsi="Arial"/>
          <w:sz w:val="18"/>
          <w:szCs w:val="18"/>
          <w:color w:val="auto"/>
        </w:rPr>
      </w:pPr>
    </w:p>
    <w:p>
      <w:pPr>
        <w:ind w:left="360" w:right="119" w:hanging="316"/>
        <w:spacing w:after="0" w:line="286" w:lineRule="auto"/>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restricted stock awards granted to Mr. Mueller, Dr. Meyer, Mr. Bachus, Mr. Mildenhall, and Mr. Briggs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 months following a change in control of the Company. Mr. Mueller, Dr. Meyer, Mr. Bachus,</w:t>
      </w:r>
    </w:p>
    <w:p>
      <w:pPr>
        <w:spacing w:after="0" w:line="9" w:lineRule="exact"/>
        <w:rPr>
          <w:sz w:val="20"/>
          <w:szCs w:val="20"/>
          <w:color w:val="auto"/>
        </w:rPr>
      </w:pPr>
    </w:p>
    <w:p>
      <w:pPr>
        <w:ind w:left="360" w:right="99"/>
        <w:spacing w:after="0" w:line="255" w:lineRule="auto"/>
        <w:rPr>
          <w:sz w:val="20"/>
          <w:szCs w:val="20"/>
          <w:color w:val="auto"/>
        </w:rPr>
      </w:pPr>
      <w:r>
        <w:rPr>
          <w:rFonts w:ascii="Arial" w:cs="Arial" w:eastAsia="Arial" w:hAnsi="Arial"/>
          <w:sz w:val="18"/>
          <w:szCs w:val="18"/>
          <w:color w:val="auto"/>
        </w:rPr>
        <w:t>and Mr. Mildenhall also receive partial accelerated vesting through the next vesting date immediately following the date of termination, upon the termination of employment by us without Cause or by the executive for Good Reason (as further discussed below).</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Option Exercises and Stock Vested</w:t>
      </w:r>
    </w:p>
    <w:p>
      <w:pPr>
        <w:spacing w:after="0" w:line="225" w:lineRule="exact"/>
        <w:rPr>
          <w:sz w:val="20"/>
          <w:szCs w:val="20"/>
          <w:color w:val="auto"/>
        </w:rPr>
      </w:pPr>
    </w:p>
    <w:p>
      <w:pPr>
        <w:jc w:val="both"/>
        <w:ind w:left="40" w:right="439" w:firstLine="648"/>
        <w:spacing w:after="0" w:line="263"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and restricted stock awards made to our named executive officers that vested, during the fiscal year ended December 31, 2019.</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1200"/>
              <w:spacing w:after="0"/>
              <w:rPr>
                <w:sz w:val="20"/>
                <w:szCs w:val="20"/>
                <w:color w:val="auto"/>
              </w:rPr>
            </w:pPr>
            <w:r>
              <w:rPr>
                <w:rFonts w:ascii="Arial" w:cs="Arial" w:eastAsia="Arial" w:hAnsi="Arial"/>
                <w:sz w:val="14"/>
                <w:szCs w:val="14"/>
                <w:b w:val="1"/>
                <w:bCs w:val="1"/>
                <w:color w:val="auto"/>
              </w:rPr>
              <w:t>Option Awards</w:t>
            </w:r>
          </w:p>
        </w:tc>
        <w:tc>
          <w:tcPr>
            <w:tcW w:w="29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19"/>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Number of Shares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Value Realized</w:t>
            </w:r>
          </w:p>
        </w:tc>
        <w:tc>
          <w:tcPr>
            <w:tcW w:w="15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Number of Shares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71"/>
        </w:trPr>
        <w:tc>
          <w:tcPr>
            <w:tcW w:w="2740" w:type="dxa"/>
            <w:vAlign w:val="bottom"/>
            <w:gridSpan w:val="3"/>
            <w:vMerge w:val="continue"/>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2"/>
              </w:rPr>
              <w:t>Acquired on Exercise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on Exercise ($)</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w w:val="91"/>
              </w:rPr>
              <w:t>Acquired on Vesting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6"/>
              <w:spacing w:after="0"/>
              <w:rPr>
                <w:sz w:val="20"/>
                <w:szCs w:val="20"/>
                <w:color w:val="auto"/>
              </w:rPr>
            </w:pPr>
            <w:r>
              <w:rPr>
                <w:rFonts w:ascii="Arial" w:cs="Arial" w:eastAsia="Arial" w:hAnsi="Arial"/>
                <w:sz w:val="14"/>
                <w:szCs w:val="14"/>
                <w:b w:val="1"/>
                <w:bCs w:val="1"/>
                <w:color w:val="auto"/>
                <w:w w:val="99"/>
              </w:rPr>
              <w:t>on Vesting ($)</w:t>
            </w: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Brian E. Mueller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8,302,644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3,036,582</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4,201,982</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1,619,653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4,201,932</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1,619,653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Joseph N. Mildenhall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1,847,731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1,619,653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Daniel J. Briggs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22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Pay Ratio Disclosure</w:t>
      </w:r>
    </w:p>
    <w:p>
      <w:pPr>
        <w:spacing w:after="0" w:line="225" w:lineRule="exact"/>
        <w:rPr>
          <w:sz w:val="20"/>
          <w:szCs w:val="20"/>
          <w:color w:val="auto"/>
        </w:rPr>
      </w:pPr>
    </w:p>
    <w:p>
      <w:pPr>
        <w:ind w:left="40" w:right="179" w:firstLine="648"/>
        <w:spacing w:after="0" w:line="311" w:lineRule="auto"/>
        <w:rPr>
          <w:sz w:val="20"/>
          <w:szCs w:val="20"/>
          <w:color w:val="auto"/>
        </w:rPr>
      </w:pPr>
      <w:r>
        <w:rPr>
          <w:rFonts w:ascii="Arial" w:cs="Arial" w:eastAsia="Arial" w:hAnsi="Arial"/>
          <w:sz w:val="16"/>
          <w:szCs w:val="16"/>
          <w:color w:val="auto"/>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2019, our last completed fiscal year:</w:t>
      </w:r>
    </w:p>
    <w:p>
      <w:pPr>
        <w:spacing w:after="0" w:line="225" w:lineRule="exact"/>
        <w:rPr>
          <w:sz w:val="20"/>
          <w:szCs w:val="20"/>
          <w:color w:val="auto"/>
        </w:rPr>
      </w:pPr>
    </w:p>
    <w:p>
      <w:pPr>
        <w:ind w:left="1340" w:right="319" w:hanging="324"/>
        <w:spacing w:after="0" w:line="277"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median annual total compensation of all of our employees (other than the Chief Executive Officer) was $60,255; and</w:t>
      </w:r>
    </w:p>
    <w:p>
      <w:pPr>
        <w:spacing w:after="0" w:line="170" w:lineRule="exact"/>
        <w:rPr>
          <w:rFonts w:ascii="Arial" w:cs="Arial" w:eastAsia="Arial" w:hAnsi="Arial"/>
          <w:sz w:val="18"/>
          <w:szCs w:val="18"/>
          <w:color w:val="auto"/>
        </w:rPr>
      </w:pPr>
    </w:p>
    <w:p>
      <w:pPr>
        <w:ind w:left="1340" w:right="299" w:hanging="324"/>
        <w:spacing w:after="0" w:line="277" w:lineRule="auto"/>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annual total compensation of Mr. Mueller, as reported above in the Summary Compensation Table, was $1,929,086.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117475</wp:posOffset>
            </wp:positionV>
            <wp:extent cx="4526280" cy="436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26280" cy="436880"/>
                    </a:xfrm>
                    <a:prstGeom prst="rect">
                      <a:avLst/>
                    </a:prstGeom>
                    <a:noFill/>
                  </pic:spPr>
                </pic:pic>
              </a:graphicData>
            </a:graphic>
          </wp:anchor>
        </w:drawing>
      </w:r>
    </w:p>
    <w:p>
      <w:pPr>
        <w:spacing w:after="0" w:line="177" w:lineRule="exact"/>
        <w:rPr>
          <w:sz w:val="20"/>
          <w:szCs w:val="20"/>
          <w:color w:val="auto"/>
        </w:rPr>
      </w:pPr>
    </w:p>
    <w:p>
      <w:pPr>
        <w:ind w:left="1080" w:right="1179"/>
        <w:spacing w:after="0" w:line="263" w:lineRule="auto"/>
        <w:rPr>
          <w:sz w:val="20"/>
          <w:szCs w:val="20"/>
          <w:color w:val="auto"/>
        </w:rPr>
      </w:pPr>
      <w:r>
        <w:rPr>
          <w:rFonts w:ascii="Arial" w:cs="Arial" w:eastAsia="Arial" w:hAnsi="Arial"/>
          <w:sz w:val="18"/>
          <w:szCs w:val="18"/>
          <w:i w:val="1"/>
          <w:iCs w:val="1"/>
          <w:color w:val="auto"/>
        </w:rPr>
        <w:t>Based on this information, for 2019 the ratio of the annual total compensation of Mr. Mueller, our Chief Executive Officer, to the median of the annual total compensation of all employees was 32.0 to 1.</w:t>
      </w:r>
    </w:p>
    <w:p>
      <w:pPr>
        <w:spacing w:after="0" w:line="197" w:lineRule="exact"/>
        <w:rPr>
          <w:sz w:val="20"/>
          <w:szCs w:val="20"/>
          <w:color w:val="auto"/>
        </w:rPr>
      </w:pPr>
    </w:p>
    <w:p>
      <w:pPr>
        <w:ind w:left="40" w:right="259" w:firstLine="648"/>
        <w:spacing w:after="0" w:line="27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we took the following steps:</w:t>
      </w:r>
    </w:p>
    <w:p>
      <w:pPr>
        <w:spacing w:after="0" w:line="170" w:lineRule="exact"/>
        <w:rPr>
          <w:sz w:val="20"/>
          <w:szCs w:val="20"/>
          <w:color w:val="auto"/>
        </w:rPr>
      </w:pPr>
    </w:p>
    <w:p>
      <w:pPr>
        <w:ind w:left="1340" w:right="239" w:hanging="324"/>
        <w:spacing w:after="0" w:line="301" w:lineRule="auto"/>
        <w:tabs>
          <w:tab w:leader="none" w:pos="1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determined that, as of December 31, 2019, our employee population consisted of 4,350 individuals, all of whom were located in the United States, including 950 part-time employees and student workers. We selected December 31, 2019 as the date upon which we would identify the “median employee” because it enabled us to make such identification in a reasonably efficient and economical manner.</w:t>
      </w:r>
    </w:p>
    <w:p>
      <w:pPr>
        <w:spacing w:after="0" w:line="157" w:lineRule="exact"/>
        <w:rPr>
          <w:rFonts w:ascii="Arial" w:cs="Arial" w:eastAsia="Arial" w:hAnsi="Arial"/>
          <w:sz w:val="16"/>
          <w:szCs w:val="16"/>
          <w:color w:val="auto"/>
        </w:rPr>
      </w:pPr>
    </w:p>
    <w:p>
      <w:pPr>
        <w:ind w:left="1340" w:right="119" w:hanging="324"/>
        <w:spacing w:after="0" w:line="271" w:lineRule="auto"/>
        <w:tabs>
          <w:tab w:leader="none" w:pos="1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accordance with Item 402(u) of Regulation S-K, we are using the same “median employee” identified in 2018 in our 2019 pay ratio calculation, as we believe that there has been no change in our employee population or employee compensation arrangements that we believe would result in a significant change to our pay ratio disclosure for 2019 (noting that we are excluding from our employee population for this purpose the approximately 350 employees we acquired as a result of the Orbis Education acquisition in January 2019, who will be included in our calculation next year). See our proxy statement for our 2018 annual meeting of stockholders for information regarding the process we utilized to identify our “median employee.”</w:t>
      </w:r>
    </w:p>
    <w:p>
      <w:pPr>
        <w:spacing w:after="0" w:line="178" w:lineRule="exact"/>
        <w:rPr>
          <w:rFonts w:ascii="Arial" w:cs="Arial" w:eastAsia="Arial" w:hAnsi="Arial"/>
          <w:sz w:val="17"/>
          <w:szCs w:val="17"/>
          <w:color w:val="auto"/>
        </w:rPr>
      </w:pPr>
    </w:p>
    <w:p>
      <w:pPr>
        <w:ind w:left="1340" w:right="99" w:hanging="324"/>
        <w:spacing w:after="0" w:line="253" w:lineRule="auto"/>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Once we identified our median employee, we combined all of the elements of such employee’s compensation for 2019 in accordance with the requirements of Item 402(c)(2)(x) of Regulation S-K, resulting in annual total compensation of $60,255. The difference between such employee’s base salary and the employee’s annual total compensation represents the employee’s overtime pay, annual bonus and company matching contributions on behalf of the employee to our 401(k) employee savings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ind w:left="40" w:right="59" w:firstLine="648"/>
        <w:spacing w:after="0" w:line="308" w:lineRule="auto"/>
        <w:rPr>
          <w:sz w:val="20"/>
          <w:szCs w:val="20"/>
          <w:color w:val="auto"/>
        </w:rPr>
      </w:pPr>
      <w:r>
        <w:rPr>
          <w:rFonts w:ascii="Arial" w:cs="Arial" w:eastAsia="Arial" w:hAnsi="Arial"/>
          <w:sz w:val="17"/>
          <w:szCs w:val="17"/>
          <w:color w:val="auto"/>
        </w:rPr>
        <w:t>We are party to employment agreements with each of our named executive officers. Each of the agreements have a five-year term from the effective date that automatically renews for one-year periods after the initial term unless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219"/>
        <w:spacing w:after="0" w:line="308" w:lineRule="auto"/>
        <w:rPr>
          <w:sz w:val="20"/>
          <w:szCs w:val="20"/>
          <w:color w:val="auto"/>
        </w:rPr>
      </w:pPr>
      <w:r>
        <w:rPr>
          <w:rFonts w:ascii="Arial" w:cs="Arial" w:eastAsia="Arial" w:hAnsi="Arial"/>
          <w:sz w:val="17"/>
          <w:szCs w:val="17"/>
          <w:color w:val="auto"/>
        </w:rPr>
        <w:t>either party provides written notice that it does not wish to renew the respective agreement. Except with respect to certain items of compensation, as described below, the terms of each agreement are similar in all material respects.</w:t>
      </w:r>
    </w:p>
    <w:p>
      <w:pPr>
        <w:spacing w:after="0" w:line="146" w:lineRule="exact"/>
        <w:rPr>
          <w:sz w:val="20"/>
          <w:szCs w:val="20"/>
          <w:color w:val="auto"/>
        </w:rPr>
      </w:pPr>
    </w:p>
    <w:p>
      <w:pPr>
        <w:ind w:left="1340" w:right="119" w:hanging="324"/>
        <w:spacing w:after="0" w:line="277"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and Mr. Mildenhall provide for a base salary and a target incentive bonus.</w:t>
      </w:r>
    </w:p>
    <w:p>
      <w:pPr>
        <w:spacing w:after="0" w:line="170" w:lineRule="exact"/>
        <w:rPr>
          <w:rFonts w:ascii="Arial" w:cs="Arial" w:eastAsia="Arial" w:hAnsi="Arial"/>
          <w:sz w:val="18"/>
          <w:szCs w:val="18"/>
          <w:color w:val="auto"/>
        </w:rPr>
      </w:pPr>
    </w:p>
    <w:p>
      <w:pPr>
        <w:ind w:left="1340" w:right="199" w:hanging="324"/>
        <w:spacing w:after="0" w:line="342" w:lineRule="auto"/>
        <w:tabs>
          <w:tab w:leader="none" w:pos="1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agreement entitles the executive to receive customary and usual fringe benefits generally available to our senior management, and to be reimbursed for reasonable out-of-pocket business expenses.</w:t>
      </w:r>
    </w:p>
    <w:p>
      <w:pPr>
        <w:spacing w:after="0" w:line="123" w:lineRule="exact"/>
        <w:rPr>
          <w:rFonts w:ascii="Arial" w:cs="Arial" w:eastAsia="Arial" w:hAnsi="Arial"/>
          <w:sz w:val="16"/>
          <w:szCs w:val="16"/>
          <w:color w:val="auto"/>
        </w:rPr>
      </w:pPr>
    </w:p>
    <w:p>
      <w:pPr>
        <w:ind w:left="1340" w:right="479" w:hanging="324"/>
        <w:spacing w:after="0" w:line="277" w:lineRule="auto"/>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170" w:lineRule="exact"/>
        <w:rPr>
          <w:sz w:val="20"/>
          <w:szCs w:val="20"/>
          <w:color w:val="auto"/>
        </w:rPr>
      </w:pPr>
    </w:p>
    <w:p>
      <w:pPr>
        <w:ind w:left="40" w:right="379" w:firstLine="648"/>
        <w:spacing w:after="0" w:line="277"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as described below.</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225" w:lineRule="exact"/>
        <w:rPr>
          <w:sz w:val="20"/>
          <w:szCs w:val="20"/>
          <w:color w:val="auto"/>
        </w:rPr>
      </w:pPr>
    </w:p>
    <w:p>
      <w:pPr>
        <w:ind w:left="40" w:right="159" w:firstLine="648"/>
        <w:spacing w:after="0" w:line="284"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w:t>
      </w:r>
    </w:p>
    <w:p>
      <w:pPr>
        <w:spacing w:after="0" w:line="2" w:lineRule="exact"/>
        <w:rPr>
          <w:sz w:val="20"/>
          <w:szCs w:val="20"/>
          <w:color w:val="auto"/>
        </w:rPr>
      </w:pPr>
    </w:p>
    <w:p>
      <w:pPr>
        <w:ind w:left="40" w:right="239" w:firstLine="4"/>
        <w:spacing w:after="0" w:line="251" w:lineRule="auto"/>
        <w:tabs>
          <w:tab w:leader="none" w:pos="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225" w:lineRule="exact"/>
        <w:rPr>
          <w:sz w:val="20"/>
          <w:szCs w:val="20"/>
          <w:color w:val="auto"/>
        </w:rPr>
      </w:pPr>
    </w:p>
    <w:p>
      <w:pPr>
        <w:ind w:left="40" w:right="159" w:firstLine="648"/>
        <w:spacing w:after="0" w:line="311"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149" w:lineRule="exact"/>
        <w:rPr>
          <w:sz w:val="20"/>
          <w:szCs w:val="20"/>
          <w:color w:val="auto"/>
        </w:rPr>
      </w:pPr>
    </w:p>
    <w:p>
      <w:pPr>
        <w:ind w:left="1340" w:right="219" w:hanging="324"/>
        <w:spacing w:after="0" w:line="291" w:lineRule="auto"/>
        <w:tabs>
          <w:tab w:leader="none" w:pos="1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severance payment in an amount equal to the sum of (i) twelve (12) months of the executive’s base salary then in effect on the date of termination (except for Mr. Briggs, whose payments would be equivalent to six (6) months of his base salary), and (ii) for Mr. Mueller, Dr. Meyer, Mr. Bachus and Mr. Mildenhall,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166" w:lineRule="exact"/>
        <w:rPr>
          <w:rFonts w:ascii="Arial" w:cs="Arial" w:eastAsia="Arial" w:hAnsi="Arial"/>
          <w:sz w:val="16"/>
          <w:szCs w:val="16"/>
          <w:color w:val="auto"/>
        </w:rPr>
      </w:pPr>
    </w:p>
    <w:p>
      <w:pPr>
        <w:ind w:left="1340" w:right="79" w:hanging="324"/>
        <w:spacing w:after="0" w:line="286" w:lineRule="auto"/>
        <w:tabs>
          <w:tab w:leader="none" w:pos="1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payment by us of the premiums required to continue the executive’s group health care coverage for a period of twelve (12) months following the executive’s termination under the applicable provisions of the Consolidated Omnibus Budget Reconciliation Act (“COBRA”), provided that the executive timely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right="59"/>
        <w:spacing w:after="0" w:line="277" w:lineRule="auto"/>
        <w:rPr>
          <w:sz w:val="20"/>
          <w:szCs w:val="20"/>
          <w:color w:val="auto"/>
        </w:rPr>
      </w:pPr>
      <w:r>
        <w:rPr>
          <w:rFonts w:ascii="Arial" w:cs="Arial" w:eastAsia="Arial" w:hAnsi="Arial"/>
          <w:sz w:val="18"/>
          <w:szCs w:val="18"/>
          <w:color w:val="auto"/>
        </w:rPr>
        <w:t>elects to continue and remains eligible for these benefits under COBRA, and does not become eligible for health coverage through another employer during this period; and</w:t>
      </w:r>
    </w:p>
    <w:p>
      <w:pPr>
        <w:spacing w:after="0" w:line="170" w:lineRule="exact"/>
        <w:rPr>
          <w:sz w:val="20"/>
          <w:szCs w:val="20"/>
          <w:color w:val="auto"/>
        </w:rPr>
      </w:pPr>
    </w:p>
    <w:p>
      <w:pPr>
        <w:ind w:left="1340" w:right="79" w:hanging="324"/>
        <w:spacing w:after="0" w:line="311" w:lineRule="auto"/>
        <w:tabs>
          <w:tab w:leader="none" w:pos="1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w:t>
      </w:r>
    </w:p>
    <w:p>
      <w:pPr>
        <w:spacing w:after="0" w:line="149"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192"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225"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w:t>
      </w:r>
      <w:r>
        <w:rPr>
          <w:rFonts w:ascii="MS PGothic" w:cs="MS PGothic" w:eastAsia="MS PGothic" w:hAnsi="MS PGothic"/>
          <w:sz w:val="16"/>
          <w:szCs w:val="16"/>
          <w:color w:val="auto"/>
        </w:rPr>
        <w:t>‑</w:t>
      </w:r>
      <w:r>
        <w:rPr>
          <w:rFonts w:ascii="Arial" w:cs="Arial" w:eastAsia="Arial" w:hAnsi="Arial"/>
          <w:sz w:val="16"/>
          <w:szCs w:val="16"/>
          <w:color w:val="auto"/>
        </w:rPr>
        <w:t>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w:t>
      </w:r>
    </w:p>
    <w:p>
      <w:pPr>
        <w:spacing w:after="0" w:line="4" w:lineRule="exact"/>
        <w:rPr>
          <w:sz w:val="20"/>
          <w:szCs w:val="20"/>
          <w:color w:val="auto"/>
        </w:rPr>
      </w:pPr>
    </w:p>
    <w:p>
      <w:pPr>
        <w:ind w:left="40" w:right="79" w:firstLine="4"/>
        <w:spacing w:after="0" w:line="285"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225"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2% of any class of securities which are listed for trading on any securities exchange or which are traded in the over-the-counter market), managing, controlling, participating in, consulting with, rendering services for, being employed by, or in any manner engaging in the operation of (i) a post-secondary education institution (other than GCU), (ii) any business that develops or administers services to degree-granting institutions of higher education, or (iii) any other business of the Company in which the executive had significant involvement prior to the executive’s separation;</w:t>
      </w:r>
    </w:p>
    <w:p>
      <w:pPr>
        <w:spacing w:after="0" w:line="1" w:lineRule="exact"/>
        <w:rPr>
          <w:sz w:val="20"/>
          <w:szCs w:val="20"/>
          <w:color w:val="auto"/>
        </w:rPr>
      </w:pPr>
    </w:p>
    <w:p>
      <w:pPr>
        <w:ind w:left="40" w:right="179" w:firstLine="4"/>
        <w:spacing w:after="0" w:line="251"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soliciting funds on behalf of, or for the benefit of, any post-secondary education institution (other than GCU) or any other entity that competes with the Company; (c) inducing or attempting to induce any employee of the Company to leave the employ of the Company, or in any way interfering with the relationship between the Company and any employee thereof, or (d)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(provided, that clauses (a)(i) and (b) do not apply to Mr. Briggs). Each of the executives has separately entered into a confidentiality agreement with us.</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2019, the last business day of fiscal year 2019.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7"/>
            <w:vMerge w:val="restart"/>
          </w:tcPr>
          <w:p>
            <w:pPr>
              <w:ind w:left="100"/>
              <w:spacing w:after="0"/>
              <w:rPr>
                <w:sz w:val="20"/>
                <w:szCs w:val="20"/>
                <w:color w:val="auto"/>
              </w:rPr>
            </w:pPr>
            <w:r>
              <w:rPr>
                <w:rFonts w:ascii="Arial" w:cs="Arial" w:eastAsia="Arial" w:hAnsi="Arial"/>
                <w:sz w:val="14"/>
                <w:szCs w:val="14"/>
                <w:b w:val="1"/>
                <w:bCs w:val="1"/>
                <w:color w:val="auto"/>
                <w:w w:val="95"/>
              </w:rPr>
              <w:t>Termination without Cause or for Good Reason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gridSpan w:val="6"/>
          </w:tcPr>
          <w:p>
            <w:pPr>
              <w:jc w:val="right"/>
              <w:ind w:right="259"/>
              <w:spacing w:after="0"/>
              <w:rPr>
                <w:sz w:val="20"/>
                <w:szCs w:val="20"/>
                <w:color w:val="auto"/>
              </w:rPr>
            </w:pPr>
            <w:r>
              <w:rPr>
                <w:rFonts w:ascii="Arial" w:cs="Arial" w:eastAsia="Arial" w:hAnsi="Arial"/>
                <w:sz w:val="14"/>
                <w:szCs w:val="14"/>
                <w:b w:val="1"/>
                <w:bCs w:val="1"/>
                <w:color w:val="auto"/>
                <w:w w:val="96"/>
              </w:rPr>
              <w:t>Termination without Cause or for Good Reason</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tcBorders>
              <w:bottom w:val="single" w:sz="8" w:color="auto"/>
            </w:tcBorders>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4"/>
                <w:szCs w:val="14"/>
                <w:b w:val="1"/>
                <w:bCs w:val="1"/>
                <w:color w:val="auto"/>
              </w:rPr>
              <w:t>following a Change in Control</w:t>
            </w:r>
          </w:p>
        </w:tc>
        <w:tc>
          <w:tcPr>
            <w:tcW w:w="0" w:type="dxa"/>
            <w:vAlign w:val="bottom"/>
          </w:tcPr>
          <w:p>
            <w:pPr>
              <w:spacing w:after="0"/>
              <w:rPr>
                <w:sz w:val="1"/>
                <w:szCs w:val="1"/>
                <w:color w:val="auto"/>
              </w:rPr>
            </w:pPr>
          </w:p>
        </w:tc>
      </w:tr>
      <w:tr>
        <w:trPr>
          <w:trHeight w:val="119"/>
        </w:trPr>
        <w:tc>
          <w:tcPr>
            <w:tcW w:w="1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Acceleration of</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59"/>
              <w:spacing w:after="0" w:line="119" w:lineRule="exact"/>
              <w:rPr>
                <w:sz w:val="20"/>
                <w:szCs w:val="20"/>
                <w:color w:val="auto"/>
              </w:rPr>
            </w:pPr>
            <w:r>
              <w:rPr>
                <w:rFonts w:ascii="Arial" w:cs="Arial" w:eastAsia="Arial" w:hAnsi="Arial"/>
                <w:sz w:val="13"/>
                <w:szCs w:val="13"/>
                <w:b w:val="1"/>
                <w:bCs w:val="1"/>
                <w:color w:val="auto"/>
              </w:rPr>
              <w:t>Acceleration of</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18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Cash Payment</w:t>
            </w: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Payment</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and Options</w:t>
            </w: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and Options</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04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9"/>
              </w:rPr>
              <w:t>($)(1)</w:t>
            </w:r>
          </w:p>
        </w:tc>
        <w:tc>
          <w:tcPr>
            <w:tcW w:w="9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10"/>
        </w:trPr>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$ 642,000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16,634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2"/>
              </w:rPr>
              <w:t>2,037,568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16,634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5,019,588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Dr. W. Stan Meyer</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682,500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19,504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w w:val="92"/>
              </w:rPr>
              <w:t>1,086,967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682,500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2,678,116</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1,086,967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2,678,116</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Joseph N. Mildenhall</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510,000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Arial" w:cs="Arial" w:eastAsia="Arial" w:hAnsi="Arial"/>
                <w:sz w:val="18"/>
                <w:szCs w:val="18"/>
                <w:color w:val="auto"/>
                <w:w w:val="92"/>
              </w:rPr>
              <w:t>1,086,967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510,000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2,678,116</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147,041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254,801</w:t>
            </w:r>
          </w:p>
        </w:tc>
        <w:tc>
          <w:tcPr>
            <w:tcW w:w="0" w:type="dxa"/>
            <w:vAlign w:val="bottom"/>
          </w:tcPr>
          <w:p>
            <w:pPr>
              <w:spacing w:after="0"/>
              <w:rPr>
                <w:sz w:val="1"/>
                <w:szCs w:val="1"/>
                <w:color w:val="auto"/>
              </w:rPr>
            </w:pPr>
          </w:p>
        </w:tc>
      </w:tr>
      <w:tr>
        <w:trPr>
          <w:trHeight w:val="108"/>
        </w:trPr>
        <w:tc>
          <w:tcPr>
            <w:tcW w:w="17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179" w:hanging="316"/>
        <w:spacing w:after="0" w:line="277"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Assumes a termination date of December 31, 2019, and is based on the executive’s salary and target bonus in effect at such date.</w:t>
      </w:r>
    </w:p>
    <w:p>
      <w:pPr>
        <w:spacing w:after="0" w:line="170" w:lineRule="exact"/>
        <w:rPr>
          <w:rFonts w:ascii="Arial" w:cs="Arial" w:eastAsia="Arial" w:hAnsi="Arial"/>
          <w:sz w:val="18"/>
          <w:szCs w:val="18"/>
          <w:color w:val="auto"/>
        </w:rPr>
      </w:pPr>
    </w:p>
    <w:p>
      <w:pPr>
        <w:ind w:left="360" w:hanging="316"/>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225" w:lineRule="exact"/>
        <w:rPr>
          <w:rFonts w:ascii="Arial" w:cs="Arial" w:eastAsia="Arial" w:hAnsi="Arial"/>
          <w:sz w:val="18"/>
          <w:szCs w:val="18"/>
          <w:color w:val="auto"/>
        </w:rPr>
      </w:pPr>
    </w:p>
    <w:p>
      <w:pPr>
        <w:ind w:left="360" w:right="219" w:hanging="316"/>
        <w:spacing w:after="0" w:line="277"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2019 and the closing market price of our common stock on the Nasdaq Global Market on such date.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40" w:right="559" w:firstLine="648"/>
        <w:spacing w:after="0" w:line="311" w:lineRule="auto"/>
        <w:rPr>
          <w:sz w:val="20"/>
          <w:szCs w:val="20"/>
          <w:color w:val="auto"/>
        </w:rPr>
      </w:pPr>
      <w:r>
        <w:rPr>
          <w:rFonts w:ascii="Arial" w:cs="Arial" w:eastAsia="Arial" w:hAnsi="Arial"/>
          <w:sz w:val="16"/>
          <w:szCs w:val="16"/>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David J. Johnson (Chair)</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Sara R. Dial</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Lisa Graham Keegan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Chevy Humphrey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ectPr>
          <w:pgSz w:w="11900" w:h="16838" w:orient="portrait"/>
          <w:cols w:equalWidth="0" w:num="1">
            <w:col w:w="9019"/>
          </w:cols>
          <w:pgMar w:left="1440" w:top="125" w:right="1440" w:bottom="1440" w:gutter="0" w:footer="0" w:header="0"/>
        </w:sectPr>
      </w:pPr>
    </w:p>
    <w:p>
      <w:pPr>
        <w:spacing w:after="0" w:line="224"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What am I voting 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79"/>
        <w:spacing w:after="0" w:line="286" w:lineRule="auto"/>
        <w:rPr>
          <w:sz w:val="20"/>
          <w:szCs w:val="20"/>
          <w:color w:val="auto"/>
        </w:rPr>
      </w:pPr>
      <w:r>
        <w:rPr>
          <w:rFonts w:ascii="Arial" w:cs="Arial" w:eastAsia="Arial" w:hAnsi="Arial"/>
          <w:sz w:val="17"/>
          <w:szCs w:val="17"/>
          <w:color w:val="auto"/>
        </w:rPr>
        <w:t>Stockholders are being asked to ratify the appointment of KPMG LLP, a registered public accounting firm, to serve as the Company’s independent registered public accounting firm for the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-1733550</wp:posOffset>
            </wp:positionH>
            <wp:positionV relativeFrom="paragraph">
              <wp:posOffset>-442595</wp:posOffset>
            </wp:positionV>
            <wp:extent cx="5657850" cy="1800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80022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2320" w:space="460"/>
            <w:col w:w="6239"/>
          </w:cols>
          <w:pgMar w:left="1440" w:top="125" w:right="1440" w:bottom="1440" w:gutter="0" w:footer="0" w:header="0"/>
          <w:type w:val="continuous"/>
        </w:sectPr>
      </w:pPr>
    </w:p>
    <w:p>
      <w:pPr>
        <w:ind w:left="2780" w:right="279" w:hanging="2077"/>
        <w:spacing w:after="0" w:line="263" w:lineRule="auto"/>
        <w:tabs>
          <w:tab w:leader="none" w:pos="2760" w:val="left"/>
        </w:tabs>
        <w:rPr>
          <w:sz w:val="20"/>
          <w:szCs w:val="20"/>
          <w:color w:val="auto"/>
        </w:rPr>
      </w:pPr>
      <w:r>
        <w:rPr>
          <w:rFonts w:ascii="Arial" w:cs="Arial" w:eastAsia="Arial" w:hAnsi="Arial"/>
          <w:sz w:val="18"/>
          <w:szCs w:val="18"/>
          <w:b w:val="1"/>
          <w:bCs w:val="1"/>
          <w:i w:val="1"/>
          <w:iCs w:val="1"/>
          <w:color w:val="auto"/>
        </w:rPr>
        <w:t>Voting recommendation:</w:t>
      </w:r>
      <w:r>
        <w:rPr>
          <w:sz w:val="20"/>
          <w:szCs w:val="20"/>
          <w:color w:val="auto"/>
        </w:rPr>
        <w:tab/>
      </w:r>
      <w:r>
        <w:rPr>
          <w:rFonts w:ascii="Arial" w:cs="Arial" w:eastAsia="Arial" w:hAnsi="Arial"/>
          <w:sz w:val="18"/>
          <w:szCs w:val="18"/>
          <w:color w:val="auto"/>
        </w:rPr>
        <w:t>Our Board of Directors unanimously recommends that you vote “FOR” the ratification of the appointment of KPMG LLP as our independent registered public accounting firm for the fiscal year ending December 31, 2020.</w:t>
      </w:r>
    </w:p>
    <w:p>
      <w:pPr>
        <w:spacing w:after="0" w:line="184" w:lineRule="exact"/>
        <w:rPr>
          <w:sz w:val="20"/>
          <w:szCs w:val="20"/>
          <w:color w:val="auto"/>
        </w:rPr>
      </w:pPr>
    </w:p>
    <w:p>
      <w:pPr>
        <w:ind w:left="2780" w:right="179" w:hanging="2077"/>
        <w:spacing w:after="0" w:line="257" w:lineRule="auto"/>
        <w:tabs>
          <w:tab w:leader="none" w:pos="2760" w:val="left"/>
        </w:tabs>
        <w:rPr>
          <w:sz w:val="20"/>
          <w:szCs w:val="20"/>
          <w:color w:val="auto"/>
        </w:rPr>
      </w:pPr>
      <w:r>
        <w:rPr>
          <w:rFonts w:ascii="Arial" w:cs="Arial" w:eastAsia="Arial" w:hAnsi="Arial"/>
          <w:sz w:val="18"/>
          <w:szCs w:val="18"/>
          <w:b w:val="1"/>
          <w:bCs w:val="1"/>
          <w:i w:val="1"/>
          <w:iCs w:val="1"/>
          <w:color w:val="auto"/>
        </w:rPr>
        <w:t>Vote required:</w:t>
      </w:r>
      <w:r>
        <w:rPr>
          <w:sz w:val="20"/>
          <w:szCs w:val="20"/>
          <w:color w:val="auto"/>
        </w:rPr>
        <w:tab/>
      </w:r>
      <w:r>
        <w:rPr>
          <w:rFonts w:ascii="Arial" w:cs="Arial" w:eastAsia="Arial" w:hAnsi="Arial"/>
          <w:sz w:val="18"/>
          <w:szCs w:val="18"/>
          <w:color w:val="auto"/>
        </w:rPr>
        <w:t>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201"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2020.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2020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2020.</w:t>
      </w:r>
    </w:p>
    <w:p>
      <w:pPr>
        <w:spacing w:after="0" w:line="179" w:lineRule="exact"/>
        <w:rPr>
          <w:sz w:val="20"/>
          <w:szCs w:val="20"/>
          <w:color w:val="auto"/>
        </w:rPr>
      </w:pPr>
    </w:p>
    <w:p>
      <w:pPr>
        <w:ind w:left="40" w:right="239" w:firstLine="648"/>
        <w:spacing w:after="0" w:line="342" w:lineRule="auto"/>
        <w:rPr>
          <w:sz w:val="20"/>
          <w:szCs w:val="20"/>
          <w:color w:val="auto"/>
        </w:rPr>
      </w:pPr>
      <w:r>
        <w:rPr>
          <w:rFonts w:ascii="Arial" w:cs="Arial" w:eastAsia="Arial" w:hAnsi="Arial"/>
          <w:sz w:val="16"/>
          <w:szCs w:val="16"/>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20" w:lineRule="exact"/>
        <w:rPr>
          <w:sz w:val="20"/>
          <w:szCs w:val="20"/>
          <w:color w:val="auto"/>
        </w:rPr>
      </w:pPr>
    </w:p>
    <w:p>
      <w:pPr>
        <w:ind w:left="40" w:right="359" w:firstLine="648"/>
        <w:spacing w:after="0" w:line="266"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2020.</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For the years ended December 31, 2019 and 2018,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Services Rendered</w:t>
            </w:r>
          </w:p>
        </w:tc>
        <w:tc>
          <w:tcPr>
            <w:tcW w:w="9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2018</w:t>
            </w:r>
          </w:p>
        </w:tc>
      </w:tr>
      <w:tr>
        <w:trPr>
          <w:trHeight w:val="210"/>
        </w:trPr>
        <w:tc>
          <w:tcPr>
            <w:tcW w:w="900" w:type="dxa"/>
            <w:vAlign w:val="bottom"/>
          </w:tcPr>
          <w:p>
            <w:pPr>
              <w:spacing w:after="0"/>
              <w:rPr>
                <w:sz w:val="18"/>
                <w:szCs w:val="18"/>
                <w:color w:val="auto"/>
              </w:rPr>
            </w:pPr>
          </w:p>
        </w:tc>
        <w:tc>
          <w:tcPr>
            <w:tcW w:w="5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$657,500</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$570,000</w:t>
            </w:r>
          </w:p>
        </w:tc>
      </w:tr>
      <w:tr>
        <w:trPr>
          <w:trHeight w:val="216"/>
        </w:trPr>
        <w:tc>
          <w:tcPr>
            <w:tcW w:w="9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5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657,500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570,000</w:t>
            </w:r>
          </w:p>
        </w:tc>
      </w:tr>
      <w:tr>
        <w:trPr>
          <w:trHeight w:val="108"/>
        </w:trPr>
        <w:tc>
          <w:tcPr>
            <w:tcW w:w="9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94" w:lineRule="exact"/>
        <w:rPr>
          <w:sz w:val="20"/>
          <w:szCs w:val="20"/>
          <w:color w:val="auto"/>
        </w:rPr>
      </w:pPr>
    </w:p>
    <w:p>
      <w:pPr>
        <w:ind w:left="360" w:right="199" w:hanging="316"/>
        <w:spacing w:after="0" w:line="308" w:lineRule="auto"/>
        <w:tabs>
          <w:tab w:leader="none" w:pos="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Audit Fees in 2019 and 2018 relate to services rendered for the audits of our annual consolidated financial statements including accounting and reporting consultations, for the review of our quarterly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360" w:right="659"/>
        <w:spacing w:after="0" w:line="277" w:lineRule="auto"/>
        <w:rPr>
          <w:sz w:val="20"/>
          <w:szCs w:val="20"/>
          <w:color w:val="auto"/>
        </w:rPr>
      </w:pPr>
      <w:r>
        <w:rPr>
          <w:rFonts w:ascii="Arial" w:cs="Arial" w:eastAsia="Arial" w:hAnsi="Arial"/>
          <w:sz w:val="18"/>
          <w:szCs w:val="18"/>
          <w:color w:val="auto"/>
        </w:rPr>
        <w:t>and for services that are normally provided by the auditor in connection with statutory and regulatory filings or engagements.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229"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76"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88" w:lineRule="exact"/>
        <w:rPr>
          <w:sz w:val="20"/>
          <w:szCs w:val="20"/>
          <w:color w:val="auto"/>
        </w:rPr>
      </w:pPr>
    </w:p>
    <w:p>
      <w:pPr>
        <w:ind w:left="40" w:right="259" w:firstLine="648"/>
        <w:spacing w:after="0" w:line="263"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2019 and 2018 were approved by our Audit Committee.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40" w:right="159" w:firstLine="648"/>
        <w:spacing w:after="0" w:line="275" w:lineRule="auto"/>
        <w:rPr>
          <w:sz w:val="20"/>
          <w:szCs w:val="20"/>
          <w:color w:val="auto"/>
        </w:rPr>
      </w:pPr>
      <w:r>
        <w:rPr>
          <w:rFonts w:ascii="Arial" w:cs="Arial" w:eastAsia="Arial" w:hAnsi="Arial"/>
          <w:sz w:val="17"/>
          <w:szCs w:val="17"/>
          <w:color w:val="auto"/>
        </w:rPr>
        <w:t xml:space="preserve">The Audit Committee operates under a written charter adopted by the Board that outlines its responsibilities and the practices it follows. You can view the charter on the Company’s website, </w:t>
      </w:r>
      <w:r>
        <w:rPr>
          <w:rFonts w:ascii="Arial" w:cs="Arial" w:eastAsia="Arial" w:hAnsi="Arial"/>
          <w:sz w:val="17"/>
          <w:szCs w:val="17"/>
          <w:i w:val="1"/>
          <w:iCs w:val="1"/>
          <w:u w:val="single" w:color="auto"/>
          <w:color w:val="auto"/>
        </w:rPr>
        <w:t>www.gce.com</w:t>
      </w:r>
      <w:r>
        <w:rPr>
          <w:rFonts w:ascii="Arial" w:cs="Arial" w:eastAsia="Arial" w:hAnsi="Arial"/>
          <w:sz w:val="17"/>
          <w:szCs w:val="17"/>
          <w:color w:val="auto"/>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w:t>
      </w:r>
      <w:r>
        <w:rPr>
          <w:rFonts w:ascii="Arial" w:cs="Arial" w:eastAsia="Arial" w:hAnsi="Arial"/>
          <w:sz w:val="17"/>
          <w:szCs w:val="17"/>
          <w:i w:val="1"/>
          <w:iCs w:val="1"/>
          <w:color w:val="auto"/>
        </w:rPr>
        <w:t>Committees of Our Board of Directors</w:t>
      </w:r>
      <w:r>
        <w:rPr>
          <w:rFonts w:ascii="Arial" w:cs="Arial" w:eastAsia="Arial" w:hAnsi="Arial"/>
          <w:sz w:val="17"/>
          <w:szCs w:val="17"/>
          <w:color w:val="auto"/>
        </w:rPr>
        <w:t>.</w:t>
      </w:r>
    </w:p>
    <w:p>
      <w:pPr>
        <w:spacing w:after="0" w:line="176"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Audit Committee is composed of five,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Messrs. Jack A. Henry and David J. Johnson, and Ms. Chevy Humphrey as “audit committee financial experts” under the SEC rules.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Primary Responsibilities of the Audit Committee and the Audit Committee’s Activities in 2019</w:t>
      </w:r>
    </w:p>
    <w:p>
      <w:pPr>
        <w:spacing w:after="0" w:line="229" w:lineRule="exact"/>
        <w:rPr>
          <w:sz w:val="20"/>
          <w:szCs w:val="20"/>
          <w:color w:val="auto"/>
        </w:rPr>
      </w:pPr>
    </w:p>
    <w:p>
      <w:pPr>
        <w:ind w:left="40" w:right="179" w:firstLine="648"/>
        <w:spacing w:after="0" w:line="269" w:lineRule="auto"/>
        <w:rPr>
          <w:sz w:val="20"/>
          <w:szCs w:val="20"/>
          <w:color w:val="auto"/>
        </w:rPr>
      </w:pPr>
      <w:r>
        <w:rPr>
          <w:rFonts w:ascii="Arial" w:cs="Arial" w:eastAsia="Arial" w:hAnsi="Arial"/>
          <w:sz w:val="17"/>
          <w:szCs w:val="17"/>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2019, among other things, the Audit Committee:</w:t>
      </w:r>
    </w:p>
    <w:p>
      <w:pPr>
        <w:spacing w:after="0" w:line="225" w:lineRule="exact"/>
        <w:rPr>
          <w:sz w:val="20"/>
          <w:szCs w:val="20"/>
          <w:color w:val="auto"/>
        </w:rPr>
      </w:pPr>
    </w:p>
    <w:p>
      <w:pPr>
        <w:ind w:left="1340" w:hanging="324"/>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Engaged KPMG LLP (“KPMG”) as our independent auditors;</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Involved in the selection of the lead engagement partner and negotiation of audit fees;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1340" w:hanging="324"/>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tenure of the independent audit firm;</w:t>
      </w:r>
    </w:p>
    <w:p>
      <w:pPr>
        <w:spacing w:after="0" w:line="225" w:lineRule="exact"/>
        <w:rPr>
          <w:rFonts w:ascii="Arial" w:cs="Arial" w:eastAsia="Arial" w:hAnsi="Arial"/>
          <w:sz w:val="18"/>
          <w:szCs w:val="18"/>
          <w:color w:val="auto"/>
        </w:rPr>
      </w:pPr>
    </w:p>
    <w:p>
      <w:pPr>
        <w:ind w:left="1340" w:right="199" w:hanging="324"/>
        <w:spacing w:after="0" w:line="277"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Met with the senior members of the Company’s financial management team at each regularly scheduled meeting;</w:t>
      </w:r>
    </w:p>
    <w:p>
      <w:pPr>
        <w:spacing w:after="0" w:line="170" w:lineRule="exact"/>
        <w:rPr>
          <w:rFonts w:ascii="Arial" w:cs="Arial" w:eastAsia="Arial" w:hAnsi="Arial"/>
          <w:sz w:val="18"/>
          <w:szCs w:val="18"/>
          <w:color w:val="auto"/>
        </w:rPr>
      </w:pPr>
    </w:p>
    <w:p>
      <w:pPr>
        <w:ind w:left="1340" w:right="459" w:hanging="324"/>
        <w:spacing w:after="0" w:line="263"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spacing w:after="0" w:line="183" w:lineRule="exact"/>
        <w:rPr>
          <w:rFonts w:ascii="Arial" w:cs="Arial" w:eastAsia="Arial" w:hAnsi="Arial"/>
          <w:sz w:val="18"/>
          <w:szCs w:val="18"/>
          <w:color w:val="auto"/>
        </w:rPr>
      </w:pPr>
    </w:p>
    <w:p>
      <w:pPr>
        <w:jc w:val="both"/>
        <w:ind w:left="1340" w:right="159" w:hanging="324"/>
        <w:spacing w:after="0" w:line="311" w:lineRule="auto"/>
        <w:tabs>
          <w:tab w:leader="none" w:pos="1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148" w:lineRule="exact"/>
        <w:rPr>
          <w:rFonts w:ascii="Arial" w:cs="Arial" w:eastAsia="Arial" w:hAnsi="Arial"/>
          <w:sz w:val="16"/>
          <w:szCs w:val="16"/>
          <w:color w:val="auto"/>
        </w:rPr>
      </w:pPr>
    </w:p>
    <w:p>
      <w:pPr>
        <w:ind w:left="1340" w:right="219" w:hanging="324"/>
        <w:spacing w:after="0" w:line="263"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Discussed with KPMG the Company’s internal control assessment process, management’s assessment with respect thereto and KPMG’s evaluation of the Company’s system of internal control over financial reporting;</w:t>
      </w:r>
    </w:p>
    <w:p>
      <w:pPr>
        <w:spacing w:after="0" w:line="183" w:lineRule="exact"/>
        <w:rPr>
          <w:rFonts w:ascii="Arial" w:cs="Arial" w:eastAsia="Arial" w:hAnsi="Arial"/>
          <w:sz w:val="18"/>
          <w:szCs w:val="18"/>
          <w:color w:val="auto"/>
        </w:rPr>
      </w:pPr>
    </w:p>
    <w:p>
      <w:pPr>
        <w:jc w:val="both"/>
        <w:ind w:left="1340" w:right="379" w:hanging="324"/>
        <w:spacing w:after="0" w:line="263"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and discussed with management and KPMG the Company’s periodic reports prior to filing with the SEC, including matters such as significant accounting policies, management judgements and accounting estimates;</w:t>
      </w:r>
    </w:p>
    <w:p>
      <w:pPr>
        <w:spacing w:after="0" w:line="183" w:lineRule="exact"/>
        <w:rPr>
          <w:rFonts w:ascii="Arial" w:cs="Arial" w:eastAsia="Arial" w:hAnsi="Arial"/>
          <w:sz w:val="18"/>
          <w:szCs w:val="18"/>
          <w:color w:val="auto"/>
        </w:rPr>
      </w:pPr>
    </w:p>
    <w:p>
      <w:pPr>
        <w:ind w:left="1340" w:right="619" w:hanging="324"/>
        <w:spacing w:after="0" w:line="277"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the Company’s internal audit plan and the performance of the Company’s internal audit function;</w:t>
      </w:r>
    </w:p>
    <w:p>
      <w:pPr>
        <w:spacing w:after="0" w:line="170" w:lineRule="exact"/>
        <w:rPr>
          <w:rFonts w:ascii="Arial" w:cs="Arial" w:eastAsia="Arial" w:hAnsi="Arial"/>
          <w:sz w:val="18"/>
          <w:szCs w:val="18"/>
          <w:color w:val="auto"/>
        </w:rPr>
      </w:pPr>
    </w:p>
    <w:p>
      <w:pPr>
        <w:ind w:left="1340" w:right="239" w:hanging="324"/>
        <w:spacing w:after="0" w:line="259" w:lineRule="auto"/>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spacing w:after="0" w:line="186" w:lineRule="exact"/>
        <w:rPr>
          <w:rFonts w:ascii="Arial" w:cs="Arial" w:eastAsia="Arial" w:hAnsi="Arial"/>
          <w:sz w:val="18"/>
          <w:szCs w:val="18"/>
          <w:color w:val="auto"/>
        </w:rPr>
      </w:pPr>
    </w:p>
    <w:p>
      <w:pPr>
        <w:ind w:left="1340" w:right="299" w:hanging="324"/>
        <w:spacing w:after="0" w:line="279" w:lineRule="auto"/>
        <w:tabs>
          <w:tab w:leader="none" w:pos="1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Reviewed with management, including our Chief Risk Officer, Chief Information Security Officer and Corporate Counsel, and KPMG significant risks and exposures identified by management, the overall adequacy and effectiveness of the Company’s legal, regulatory and ethical compliance programs, including the Company’s code of conduct and cybersecurity programs.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2019 Audited Financial Statements</w:t>
      </w:r>
    </w:p>
    <w:p>
      <w:pPr>
        <w:spacing w:after="0" w:line="229" w:lineRule="exact"/>
        <w:rPr>
          <w:sz w:val="20"/>
          <w:szCs w:val="20"/>
          <w:color w:val="auto"/>
        </w:rPr>
      </w:pPr>
    </w:p>
    <w:p>
      <w:pPr>
        <w:ind w:left="40" w:right="319" w:firstLine="648"/>
        <w:spacing w:after="0" w:line="279"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71" w:lineRule="exact"/>
        <w:rPr>
          <w:sz w:val="20"/>
          <w:szCs w:val="20"/>
          <w:color w:val="auto"/>
        </w:rPr>
      </w:pPr>
    </w:p>
    <w:p>
      <w:pPr>
        <w:ind w:left="40" w:right="279" w:firstLine="648"/>
        <w:spacing w:after="0" w:line="286" w:lineRule="auto"/>
        <w:rPr>
          <w:sz w:val="20"/>
          <w:szCs w:val="20"/>
          <w:color w:val="auto"/>
        </w:rPr>
      </w:pPr>
      <w:r>
        <w:rPr>
          <w:rFonts w:ascii="Arial" w:cs="Arial" w:eastAsia="Arial" w:hAnsi="Arial"/>
          <w:sz w:val="16"/>
          <w:szCs w:val="16"/>
          <w:color w:val="auto"/>
        </w:rPr>
        <w:t xml:space="preserve">We have (a) reviewed and discussed our Company’s audited financial statements for the fiscal year ended December 31, 2019, with management; (b) discussed with our Company’s independent registered public accounting firm the matters required to be discussed by Public Company Oversight Board (PCAOB) Auditing Standard Number 1301, </w:t>
      </w:r>
      <w:r>
        <w:rPr>
          <w:rFonts w:ascii="Arial" w:cs="Arial" w:eastAsia="Arial" w:hAnsi="Arial"/>
          <w:sz w:val="16"/>
          <w:szCs w:val="16"/>
          <w:i w:val="1"/>
          <w:iCs w:val="1"/>
          <w:color w:val="auto"/>
        </w:rPr>
        <w:t xml:space="preserve">Communications with Audit Committees </w:t>
      </w:r>
      <w:r>
        <w:rPr>
          <w:rFonts w:ascii="Arial" w:cs="Arial" w:eastAsia="Arial" w:hAnsi="Arial"/>
          <w:sz w:val="16"/>
          <w:szCs w:val="16"/>
          <w:color w:val="auto"/>
        </w:rPr>
        <w:t>(PCAOB General Auditing Standards 1300,</w:t>
      </w:r>
      <w:r>
        <w:rPr>
          <w:rFonts w:ascii="Arial" w:cs="Arial" w:eastAsia="Arial" w:hAnsi="Arial"/>
          <w:sz w:val="16"/>
          <w:szCs w:val="16"/>
          <w:i w:val="1"/>
          <w:iCs w:val="1"/>
          <w:color w:val="auto"/>
        </w:rPr>
        <w:t xml:space="preserve"> Auditor Communications</w:t>
      </w:r>
      <w:r>
        <w:rPr>
          <w:rFonts w:ascii="Arial" w:cs="Arial" w:eastAsia="Arial" w:hAnsi="Arial"/>
          <w:sz w:val="16"/>
          <w:szCs w:val="16"/>
          <w:color w:val="auto"/>
        </w:rPr>
        <w:t>);</w:t>
      </w:r>
    </w:p>
    <w:p>
      <w:pPr>
        <w:spacing w:after="0" w:line="1" w:lineRule="exact"/>
        <w:rPr>
          <w:sz w:val="20"/>
          <w:szCs w:val="20"/>
          <w:color w:val="auto"/>
        </w:rPr>
      </w:pPr>
    </w:p>
    <w:p>
      <w:pPr>
        <w:ind w:left="40" w:right="59" w:firstLine="4"/>
        <w:spacing w:after="0" w:line="253" w:lineRule="auto"/>
        <w:tabs>
          <w:tab w:leader="none" w:pos="2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299" w:firstLine="648"/>
        <w:spacing w:after="0" w:line="220" w:lineRule="exact"/>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2019, for filing with the Securities and Exchange Commission.</w:t>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David J. Johnson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Sara R. Dial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Lisa Graham Keegan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Chevy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2020 for:</w:t>
      </w:r>
    </w:p>
    <w:p>
      <w:pPr>
        <w:spacing w:after="0" w:line="211" w:lineRule="exact"/>
        <w:rPr>
          <w:sz w:val="20"/>
          <w:szCs w:val="20"/>
          <w:color w:val="auto"/>
        </w:rPr>
      </w:pPr>
    </w:p>
    <w:p>
      <w:pPr>
        <w:ind w:left="1340" w:right="859" w:hanging="324"/>
        <w:spacing w:after="0" w:line="277" w:lineRule="auto"/>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70" w:lineRule="exact"/>
        <w:rPr>
          <w:rFonts w:ascii="Arial" w:cs="Arial" w:eastAsia="Arial" w:hAnsi="Arial"/>
          <w:sz w:val="18"/>
          <w:szCs w:val="18"/>
          <w:color w:val="auto"/>
        </w:rPr>
      </w:pPr>
    </w:p>
    <w:p>
      <w:pPr>
        <w:ind w:left="1340" w:hanging="324"/>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1340" w:hanging="324"/>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left="40" w:right="119" w:firstLine="648"/>
        <w:spacing w:after="0" w:line="253" w:lineRule="auto"/>
        <w:rPr>
          <w:sz w:val="20"/>
          <w:szCs w:val="20"/>
          <w:color w:val="auto"/>
        </w:rPr>
      </w:pPr>
      <w:r>
        <w:rPr>
          <w:rFonts w:ascii="Arial" w:cs="Arial" w:eastAsia="Arial" w:hAnsi="Arial"/>
          <w:sz w:val="18"/>
          <w:szCs w:val="18"/>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calculations of beneficial ownership in this table are based on 47,413,330 shares outstanding at March 31,</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r>
        <w:rPr>
          <w:rFonts w:ascii="Arial" w:cs="Arial" w:eastAsia="Arial" w:hAnsi="Arial"/>
          <w:sz w:val="18"/>
          <w:szCs w:val="18"/>
          <w:b w:val="1"/>
          <w:bCs w:val="1"/>
          <w:color w:val="auto"/>
        </w:rPr>
        <w: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02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6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Amount and Nature of</w:t>
            </w: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Percent of Class</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Beneficial Ownership</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Capital World Investors</w:t>
            </w:r>
            <w:r>
              <w:rPr>
                <w:rFonts w:ascii="Arial" w:cs="Arial" w:eastAsia="Arial" w:hAnsi="Arial"/>
                <w:sz w:val="8"/>
                <w:szCs w:val="8"/>
                <w:color w:val="auto"/>
              </w:rPr>
              <w:t>(2)</w:t>
            </w:r>
          </w:p>
        </w:tc>
        <w:tc>
          <w:tcPr>
            <w:tcW w:w="1420" w:type="dxa"/>
            <w:vAlign w:val="bottom"/>
          </w:tcPr>
          <w:p>
            <w:pPr>
              <w:jc w:val="right"/>
              <w:spacing w:after="0"/>
              <w:rPr>
                <w:sz w:val="20"/>
                <w:szCs w:val="20"/>
                <w:color w:val="auto"/>
              </w:rPr>
            </w:pPr>
            <w:r>
              <w:rPr>
                <w:rFonts w:ascii="Arial" w:cs="Arial" w:eastAsia="Arial" w:hAnsi="Arial"/>
                <w:sz w:val="18"/>
                <w:szCs w:val="18"/>
                <w:color w:val="auto"/>
              </w:rPr>
              <w:t>4,711,399</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9.9 %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 – 23-1945930</w:t>
            </w:r>
            <w:r>
              <w:rPr>
                <w:rFonts w:ascii="Arial" w:cs="Arial" w:eastAsia="Arial" w:hAnsi="Arial"/>
                <w:sz w:val="8"/>
                <w:szCs w:val="8"/>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4,392,031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9.3 %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8"/>
                <w:szCs w:val="8"/>
                <w:color w:val="auto"/>
              </w:rPr>
              <w:t>(4)</w:t>
            </w:r>
          </w:p>
        </w:tc>
        <w:tc>
          <w:tcPr>
            <w:tcW w:w="1420" w:type="dxa"/>
            <w:vAlign w:val="bottom"/>
          </w:tcPr>
          <w:p>
            <w:pPr>
              <w:jc w:val="right"/>
              <w:spacing w:after="0"/>
              <w:rPr>
                <w:sz w:val="20"/>
                <w:szCs w:val="20"/>
                <w:color w:val="auto"/>
              </w:rPr>
            </w:pPr>
            <w:r>
              <w:rPr>
                <w:rFonts w:ascii="Arial" w:cs="Arial" w:eastAsia="Arial" w:hAnsi="Arial"/>
                <w:sz w:val="18"/>
                <w:szCs w:val="18"/>
                <w:color w:val="auto"/>
              </w:rPr>
              <w:t>4,245,375</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9.0 %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William Blain Investment Management, LLC</w:t>
            </w:r>
            <w:r>
              <w:rPr>
                <w:rFonts w:ascii="Arial" w:cs="Arial" w:eastAsia="Arial" w:hAnsi="Arial"/>
                <w:sz w:val="8"/>
                <w:szCs w:val="8"/>
                <w:color w:val="auto"/>
              </w:rPr>
              <w:t>(5)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2,867,187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6.0 %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Brian E. Mueller </w:t>
            </w:r>
            <w:r>
              <w:rPr>
                <w:rFonts w:ascii="Arial" w:cs="Arial" w:eastAsia="Arial" w:hAnsi="Arial"/>
                <w:sz w:val="8"/>
                <w:szCs w:val="8"/>
                <w:color w:val="auto"/>
              </w:rPr>
              <w:t>(6)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396,227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0.8 %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 xml:space="preserve">Dr. W. Stan Meyer </w:t>
            </w:r>
            <w:r>
              <w:rPr>
                <w:rFonts w:ascii="Arial" w:cs="Arial" w:eastAsia="Arial" w:hAnsi="Arial"/>
                <w:sz w:val="8"/>
                <w:szCs w:val="8"/>
                <w:color w:val="auto"/>
              </w:rPr>
              <w:t>(7)</w:t>
            </w:r>
          </w:p>
        </w:tc>
        <w:tc>
          <w:tcPr>
            <w:tcW w:w="1420" w:type="dxa"/>
            <w:vAlign w:val="bottom"/>
          </w:tcPr>
          <w:p>
            <w:pPr>
              <w:jc w:val="right"/>
              <w:spacing w:after="0"/>
              <w:rPr>
                <w:sz w:val="20"/>
                <w:szCs w:val="20"/>
                <w:color w:val="auto"/>
              </w:rPr>
            </w:pPr>
            <w:r>
              <w:rPr>
                <w:rFonts w:ascii="Arial" w:cs="Arial" w:eastAsia="Arial" w:hAnsi="Arial"/>
                <w:sz w:val="18"/>
                <w:szCs w:val="18"/>
                <w:color w:val="auto"/>
              </w:rPr>
              <w:t>151,212</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0.3 %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Daniel E. Bachus </w:t>
            </w:r>
            <w:r>
              <w:rPr>
                <w:rFonts w:ascii="Arial" w:cs="Arial" w:eastAsia="Arial" w:hAnsi="Arial"/>
                <w:sz w:val="8"/>
                <w:szCs w:val="8"/>
                <w:color w:val="auto"/>
              </w:rPr>
              <w:t>(8)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157,874</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11"/>
              <w:spacing w:after="0"/>
              <w:rPr>
                <w:sz w:val="20"/>
                <w:szCs w:val="20"/>
                <w:color w:val="auto"/>
              </w:rPr>
            </w:pPr>
            <w:r>
              <w:rPr>
                <w:rFonts w:ascii="Arial" w:cs="Arial" w:eastAsia="Arial" w:hAnsi="Arial"/>
                <w:sz w:val="18"/>
                <w:szCs w:val="18"/>
                <w:color w:val="auto"/>
                <w:w w:val="91"/>
              </w:rPr>
              <w:t>0.3 %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 xml:space="preserve">Joseph N. Mildenhall </w:t>
            </w:r>
            <w:r>
              <w:rPr>
                <w:rFonts w:ascii="Arial" w:cs="Arial" w:eastAsia="Arial" w:hAnsi="Arial"/>
                <w:sz w:val="8"/>
                <w:szCs w:val="8"/>
                <w:color w:val="auto"/>
              </w:rPr>
              <w:t>(9)</w:t>
            </w:r>
          </w:p>
        </w:tc>
        <w:tc>
          <w:tcPr>
            <w:tcW w:w="1420" w:type="dxa"/>
            <w:vAlign w:val="bottom"/>
          </w:tcPr>
          <w:p>
            <w:pPr>
              <w:jc w:val="right"/>
              <w:spacing w:after="0"/>
              <w:rPr>
                <w:sz w:val="20"/>
                <w:szCs w:val="20"/>
                <w:color w:val="auto"/>
              </w:rPr>
            </w:pPr>
            <w:r>
              <w:rPr>
                <w:rFonts w:ascii="Arial" w:cs="Arial" w:eastAsia="Arial" w:hAnsi="Arial"/>
                <w:sz w:val="18"/>
                <w:szCs w:val="18"/>
                <w:color w:val="auto"/>
              </w:rPr>
              <w:t>53,829</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Daniel J. Briggs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Dilek Marsh</w:t>
            </w:r>
          </w:p>
        </w:tc>
        <w:tc>
          <w:tcPr>
            <w:tcW w:w="1420" w:type="dxa"/>
            <w:vAlign w:val="bottom"/>
          </w:tcPr>
          <w:p>
            <w:pPr>
              <w:jc w:val="right"/>
              <w:spacing w:after="0"/>
              <w:rPr>
                <w:sz w:val="20"/>
                <w:szCs w:val="20"/>
                <w:color w:val="auto"/>
              </w:rPr>
            </w:pPr>
            <w:r>
              <w:rPr>
                <w:rFonts w:ascii="Arial" w:cs="Arial" w:eastAsia="Arial" w:hAnsi="Arial"/>
                <w:sz w:val="18"/>
                <w:szCs w:val="18"/>
                <w:color w:val="auto"/>
              </w:rPr>
              <w:t>27,792</w:t>
            </w:r>
          </w:p>
        </w:tc>
        <w:tc>
          <w:tcPr>
            <w:tcW w:w="200" w:type="dxa"/>
            <w:vAlign w:val="bottom"/>
          </w:tcPr>
          <w:p>
            <w:pPr>
              <w:spacing w:after="0"/>
              <w:rPr>
                <w:sz w:val="18"/>
                <w:szCs w:val="18"/>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Sara R. Dial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Jack A. Henry</w:t>
            </w:r>
          </w:p>
        </w:tc>
        <w:tc>
          <w:tcPr>
            <w:tcW w:w="1420" w:type="dxa"/>
            <w:vAlign w:val="bottom"/>
          </w:tcPr>
          <w:p>
            <w:pPr>
              <w:jc w:val="right"/>
              <w:spacing w:after="0"/>
              <w:rPr>
                <w:sz w:val="20"/>
                <w:szCs w:val="20"/>
                <w:color w:val="auto"/>
              </w:rPr>
            </w:pPr>
            <w:r>
              <w:rPr>
                <w:rFonts w:ascii="Arial" w:cs="Arial" w:eastAsia="Arial" w:hAnsi="Arial"/>
                <w:sz w:val="18"/>
                <w:szCs w:val="18"/>
                <w:color w:val="auto"/>
              </w:rPr>
              <w:t>17,870</w:t>
            </w:r>
          </w:p>
        </w:tc>
        <w:tc>
          <w:tcPr>
            <w:tcW w:w="200" w:type="dxa"/>
            <w:vAlign w:val="bottom"/>
          </w:tcPr>
          <w:p>
            <w:pPr>
              <w:spacing w:after="0"/>
              <w:rPr>
                <w:sz w:val="18"/>
                <w:szCs w:val="18"/>
                <w:color w:val="auto"/>
              </w:rPr>
            </w:pPr>
          </w:p>
        </w:tc>
        <w:tc>
          <w:tcPr>
            <w:tcW w:w="1560" w:type="dxa"/>
            <w:vAlign w:val="bottom"/>
            <w:gridSpan w:val="2"/>
          </w:tcPr>
          <w:p>
            <w:pPr>
              <w:jc w:val="center"/>
              <w:ind w:left="10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Graham Keegan</w:t>
            </w:r>
          </w:p>
        </w:tc>
        <w:tc>
          <w:tcPr>
            <w:tcW w:w="142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560" w:type="dxa"/>
            <w:vAlign w:val="bottom"/>
            <w:gridSpan w:val="2"/>
          </w:tcPr>
          <w:p>
            <w:pPr>
              <w:jc w:val="center"/>
              <w:ind w:left="10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Chevy Humphrey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10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All directors and executive officers as a group (11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840,169</w:t>
            </w:r>
          </w:p>
        </w:tc>
        <w:tc>
          <w:tcPr>
            <w:tcW w:w="200" w:type="dxa"/>
            <w:vAlign w:val="bottom"/>
          </w:tcPr>
          <w:p>
            <w:pPr>
              <w:spacing w:after="0"/>
              <w:rPr>
                <w:sz w:val="20"/>
                <w:szCs w:val="20"/>
                <w:color w:val="auto"/>
              </w:rPr>
            </w:pPr>
          </w:p>
        </w:tc>
        <w:tc>
          <w:tcPr>
            <w:tcW w:w="1560" w:type="dxa"/>
            <w:vAlign w:val="bottom"/>
            <w:gridSpan w:val="2"/>
          </w:tcPr>
          <w:p>
            <w:pPr>
              <w:jc w:val="center"/>
              <w:ind w:left="1011"/>
              <w:spacing w:after="0"/>
              <w:rPr>
                <w:sz w:val="20"/>
                <w:szCs w:val="20"/>
                <w:color w:val="auto"/>
              </w:rPr>
            </w:pPr>
            <w:r>
              <w:rPr>
                <w:rFonts w:ascii="Arial" w:cs="Arial" w:eastAsia="Arial" w:hAnsi="Arial"/>
                <w:sz w:val="18"/>
                <w:szCs w:val="18"/>
                <w:color w:val="auto"/>
                <w:w w:val="91"/>
              </w:rPr>
              <w:t>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Represents beneficial ownership of less than 0.1%</w:t>
      </w:r>
    </w:p>
    <w:p>
      <w:pPr>
        <w:spacing w:after="0" w:line="225" w:lineRule="exact"/>
        <w:rPr>
          <w:sz w:val="20"/>
          <w:szCs w:val="20"/>
          <w:color w:val="auto"/>
        </w:rPr>
      </w:pPr>
    </w:p>
    <w:p>
      <w:pPr>
        <w:ind w:left="360" w:right="139" w:hanging="316"/>
        <w:spacing w:after="0" w:line="342" w:lineRule="auto"/>
        <w:tabs>
          <w:tab w:leader="none" w:pos="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percentage of beneficial ownership as to any person as of a particular date is calculated by dividing the number of shares beneficially owned by such person, which includes the number of shares as to which such person has the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360" w:right="659"/>
        <w:spacing w:after="0" w:line="279" w:lineRule="auto"/>
        <w:rPr>
          <w:sz w:val="20"/>
          <w:szCs w:val="20"/>
          <w:color w:val="auto"/>
        </w:rPr>
      </w:pPr>
      <w:r>
        <w:rPr>
          <w:rFonts w:ascii="Arial" w:cs="Arial" w:eastAsia="Arial" w:hAnsi="Arial"/>
          <w:sz w:val="17"/>
          <w:szCs w:val="17"/>
          <w:color w:val="auto"/>
        </w:rPr>
        <w:t>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71" w:lineRule="exact"/>
        <w:rPr>
          <w:sz w:val="20"/>
          <w:szCs w:val="20"/>
          <w:color w:val="auto"/>
        </w:rPr>
      </w:pPr>
    </w:p>
    <w:p>
      <w:pPr>
        <w:ind w:left="360" w:right="399" w:hanging="316"/>
        <w:spacing w:after="0" w:line="259"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information for Capital World Investors (“CWI”) is based on a Schedule 13G/A filed with the Securities and Exchange Commission on February 14, 2020. The address for CWI is 333 South Hope Street, Los Angeles, CA 90071. CWI reported that had sole voting power over 4,711,399 and sole dispositive power over all of its reported shares.</w:t>
      </w:r>
    </w:p>
    <w:p>
      <w:pPr>
        <w:spacing w:after="0" w:line="186" w:lineRule="exact"/>
        <w:rPr>
          <w:rFonts w:ascii="Arial" w:cs="Arial" w:eastAsia="Arial" w:hAnsi="Arial"/>
          <w:sz w:val="18"/>
          <w:szCs w:val="18"/>
          <w:color w:val="auto"/>
        </w:rPr>
      </w:pPr>
    </w:p>
    <w:p>
      <w:pPr>
        <w:ind w:left="360" w:right="359" w:hanging="316"/>
        <w:spacing w:after="0" w:line="220" w:lineRule="exact"/>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information for the Vanguard Group – 23</w:t>
      </w:r>
      <w:r>
        <w:rPr>
          <w:rFonts w:ascii="MS PGothic" w:cs="MS PGothic" w:eastAsia="MS PGothic" w:hAnsi="MS PGothic"/>
          <w:sz w:val="16"/>
          <w:szCs w:val="16"/>
          <w:color w:val="auto"/>
        </w:rPr>
        <w:t>‑</w:t>
      </w:r>
      <w:r>
        <w:rPr>
          <w:rFonts w:ascii="Arial" w:cs="Arial" w:eastAsia="Arial" w:hAnsi="Arial"/>
          <w:sz w:val="16"/>
          <w:szCs w:val="16"/>
          <w:color w:val="auto"/>
        </w:rPr>
        <w:t>1945930 (“Vanguard”) is based on a Schedule 13G/A filed with the Securities and Exchange Commission on February 12, 2020. The address for Vanguard is 100 Vanguard Blvd., Malvern, PA 19355. Vanguard reported that it had sole voting power over 25,201 shares, shared voting power over 9,318 shares, sole dispositive power over 4,363,717 shares, and shared dispositive power over 28,314.</w:t>
      </w:r>
    </w:p>
    <w:p>
      <w:pPr>
        <w:spacing w:after="0" w:line="203" w:lineRule="exact"/>
        <w:rPr>
          <w:rFonts w:ascii="Arial" w:cs="Arial" w:eastAsia="Arial" w:hAnsi="Arial"/>
          <w:sz w:val="16"/>
          <w:szCs w:val="16"/>
          <w:color w:val="auto"/>
        </w:rPr>
      </w:pPr>
    </w:p>
    <w:p>
      <w:pPr>
        <w:ind w:left="360" w:right="679" w:hanging="316"/>
        <w:spacing w:after="0" w:line="291" w:lineRule="auto"/>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information for BlackRock, Inc. (“BlackRock”) is based on a Schedule 13G filed with the Securities and Exchange Commission on February 7, 2020. The address for BlackRock is 55 East 52</w:t>
      </w:r>
      <w:r>
        <w:rPr>
          <w:rFonts w:ascii="Arial" w:cs="Arial" w:eastAsia="Arial" w:hAnsi="Arial"/>
          <w:sz w:val="7"/>
          <w:szCs w:val="7"/>
          <w:color w:val="auto"/>
        </w:rPr>
        <w:t>nd</w:t>
      </w:r>
      <w:r>
        <w:rPr>
          <w:rFonts w:ascii="Arial" w:cs="Arial" w:eastAsia="Arial" w:hAnsi="Arial"/>
          <w:sz w:val="16"/>
          <w:szCs w:val="16"/>
          <w:color w:val="auto"/>
        </w:rPr>
        <w:t xml:space="preserve"> Street, New York, NY</w:t>
      </w:r>
    </w:p>
    <w:p>
      <w:pPr>
        <w:ind w:left="360" w:right="559"/>
        <w:spacing w:after="0" w:line="260" w:lineRule="auto"/>
        <w:rPr>
          <w:rFonts w:ascii="Arial" w:cs="Arial" w:eastAsia="Arial" w:hAnsi="Arial"/>
          <w:sz w:val="16"/>
          <w:szCs w:val="16"/>
          <w:color w:val="auto"/>
        </w:rPr>
      </w:pPr>
      <w:r>
        <w:rPr>
          <w:rFonts w:ascii="Arial" w:cs="Arial" w:eastAsia="Arial" w:hAnsi="Arial"/>
          <w:sz w:val="18"/>
          <w:szCs w:val="18"/>
          <w:color w:val="auto"/>
        </w:rPr>
        <w:t>10055. BlackRock reported that it had sole voting power over 4,062,464 shares and sold dispositive power over 4,245,375 shares.</w:t>
      </w:r>
    </w:p>
    <w:p>
      <w:pPr>
        <w:spacing w:after="0" w:line="185" w:lineRule="exact"/>
        <w:rPr>
          <w:rFonts w:ascii="Arial" w:cs="Arial" w:eastAsia="Arial" w:hAnsi="Arial"/>
          <w:sz w:val="16"/>
          <w:szCs w:val="16"/>
          <w:color w:val="auto"/>
        </w:rPr>
      </w:pPr>
    </w:p>
    <w:p>
      <w:pPr>
        <w:ind w:left="360" w:right="139" w:hanging="316"/>
        <w:spacing w:after="0" w:line="259"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information for William Blair Investment Management, LLC (“WBIM”) is based on a Schedule 13G filed with the Securities and Exchange Commission on February 10, 2020. The address for WBIM is 150 North Riverside Plaza, Chicago, IL 60606. WBIM reported that it had sole voting power over 2,590,091 shares and sole dispositive power over 2,867,187 shares.</w:t>
      </w:r>
    </w:p>
    <w:p>
      <w:pPr>
        <w:spacing w:after="0" w:line="186" w:lineRule="exact"/>
        <w:rPr>
          <w:rFonts w:ascii="Arial" w:cs="Arial" w:eastAsia="Arial" w:hAnsi="Arial"/>
          <w:sz w:val="18"/>
          <w:szCs w:val="18"/>
          <w:color w:val="auto"/>
        </w:rPr>
      </w:pPr>
    </w:p>
    <w:p>
      <w:pPr>
        <w:ind w:left="360" w:right="199" w:hanging="316"/>
        <w:spacing w:after="0" w:line="27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286,227 shares owned by Mr. Mueller and 110,000 shares issuable upon the exercise of stock options that are currently exercisable by Mr. Mueller.</w:t>
      </w:r>
    </w:p>
    <w:p>
      <w:pPr>
        <w:spacing w:after="0" w:line="170" w:lineRule="exact"/>
        <w:rPr>
          <w:rFonts w:ascii="Arial" w:cs="Arial" w:eastAsia="Arial" w:hAnsi="Arial"/>
          <w:sz w:val="18"/>
          <w:szCs w:val="18"/>
          <w:color w:val="auto"/>
        </w:rPr>
      </w:pPr>
    </w:p>
    <w:p>
      <w:pPr>
        <w:ind w:left="360" w:right="139" w:hanging="316"/>
        <w:spacing w:after="0" w:line="27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101,212 shares owned by Dr. Meyer and 50,000 shares issuable upon the exercise of stock options that are currently exercisable by Dr. Meyer.</w:t>
      </w:r>
    </w:p>
    <w:p>
      <w:pPr>
        <w:spacing w:after="0" w:line="170" w:lineRule="exact"/>
        <w:rPr>
          <w:rFonts w:ascii="Arial" w:cs="Arial" w:eastAsia="Arial" w:hAnsi="Arial"/>
          <w:sz w:val="18"/>
          <w:szCs w:val="18"/>
          <w:color w:val="auto"/>
        </w:rPr>
      </w:pPr>
    </w:p>
    <w:p>
      <w:pPr>
        <w:ind w:left="360" w:right="319" w:hanging="316"/>
        <w:spacing w:after="0" w:line="27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107,874 shares owned by Mr. Bachus and 50,000 shares issuable upon the exercise of stock options that are currently exercisable by Mr. Bachus.</w:t>
      </w:r>
    </w:p>
    <w:p>
      <w:pPr>
        <w:spacing w:after="0" w:line="170" w:lineRule="exact"/>
        <w:rPr>
          <w:rFonts w:ascii="Arial" w:cs="Arial" w:eastAsia="Arial" w:hAnsi="Arial"/>
          <w:sz w:val="18"/>
          <w:szCs w:val="18"/>
          <w:color w:val="auto"/>
        </w:rPr>
      </w:pPr>
    </w:p>
    <w:p>
      <w:pPr>
        <w:jc w:val="both"/>
        <w:ind w:left="360" w:right="179" w:hanging="316"/>
        <w:spacing w:after="0" w:line="263"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24,302 shares owned directly by Mr. Mildenhall and 29,527 shares owned indirectly in the J and M Trust. Certain shares, reflecting unvested shares of restricted stock held by Mr. Mildenhall, are held directly while unvested and then, upon vesting, are held indirectly through the J and M Trust.</w:t>
      </w:r>
    </w:p>
    <w:p>
      <w:pPr>
        <w:spacing w:after="0" w:line="18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359"/>
        <w:spacing w:after="0" w:line="263" w:lineRule="auto"/>
        <w:rPr>
          <w:sz w:val="20"/>
          <w:szCs w:val="20"/>
          <w:color w:val="auto"/>
        </w:rPr>
      </w:pPr>
      <w:r>
        <w:rPr>
          <w:rFonts w:ascii="Arial" w:cs="Arial" w:eastAsia="Arial" w:hAnsi="Arial"/>
          <w:sz w:val="18"/>
          <w:szCs w:val="18"/>
          <w:color w:val="auto"/>
        </w:rPr>
        <w:t>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84" w:lineRule="exact"/>
        <w:rPr>
          <w:sz w:val="20"/>
          <w:szCs w:val="20"/>
          <w:color w:val="auto"/>
        </w:rPr>
      </w:pPr>
    </w:p>
    <w:p>
      <w:pPr>
        <w:ind w:left="40" w:right="139" w:firstLine="648"/>
        <w:spacing w:after="0" w:line="268" w:lineRule="auto"/>
        <w:rPr>
          <w:sz w:val="20"/>
          <w:szCs w:val="20"/>
          <w:color w:val="auto"/>
        </w:rPr>
      </w:pPr>
      <w:r>
        <w:rPr>
          <w:rFonts w:ascii="Arial" w:cs="Arial" w:eastAsia="Arial" w:hAnsi="Arial"/>
          <w:sz w:val="17"/>
          <w:szCs w:val="17"/>
          <w:color w:val="auto"/>
        </w:rPr>
        <w:t>Mr. Brian E. Mueller has served as the Chief Executive Officer of the Company since 2008 and the Chairman of the Board of the Company since 2017 and has also served as the President of GCU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Transaction,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the Company and GCU relating to, the Master Services Agreement. Aside from Mr. Mueller, no other employee of GCU or GCE has a dual role in both organizations. Beginning July 1, 2018, the base salary under Mr. Mueller’s employment agreement with the Company was decreased by 50% to $321,000, reflecting his dual employment by GCE and GCU.</w:t>
      </w:r>
    </w:p>
    <w:p>
      <w:pPr>
        <w:spacing w:after="0" w:line="186"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GCU’s relationship with the Company, and (iii) prohibits any trustee from having any financial interest in, or role with, the Company. In addition, an operational structure has been put in place that prevents Mr. Mueller from participating in operational matters involving the Company and GCU. Accordingly, the Company’s relationship with GCU, both pursuant to the master services agreement between the two companies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Certain Transactions</w:t>
      </w:r>
    </w:p>
    <w:p>
      <w:pPr>
        <w:spacing w:after="0" w:line="229"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There were no reportable transactions since January 1, 2019,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Section 16(a) of the Exchange Act requires that our Company’s directors and executive officers and beneficial</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owners of more than 10% of the Company’s common stock file initial reports of ownership and reports of changes 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ownership with the SEC. Directors and executive officers are required to furnish the Company with copies of all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Section 16(a) forms they file. Based solely on a review of the copies of such forms furnished to the Company and written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representations from our Company’s directors and executive officers, all reports required by Section 16(a) were filed on a</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timely basis for the fiscal year ended December 31, 2019.</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40" w:right="259" w:firstLine="648"/>
        <w:spacing w:after="0" w:line="296"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u w:val="single" w:color="auto"/>
          <w:color w:val="0563C1"/>
        </w:rPr>
        <w:t>Table of Contents</w:t>
      </w:r>
    </w:p>
    <w:p>
      <w:pPr>
        <w:spacing w:after="0" w:line="200" w:lineRule="exact"/>
        <w:rPr>
          <w:sz w:val="20"/>
          <w:szCs w:val="20"/>
          <w:color w:val="auto"/>
        </w:rPr>
      </w:pPr>
    </w:p>
    <w:p>
      <w:pPr>
        <w:spacing w:after="0" w:line="349" w:lineRule="exact"/>
        <w:rPr>
          <w:sz w:val="20"/>
          <w:szCs w:val="20"/>
          <w:color w:val="auto"/>
        </w:rPr>
      </w:pPr>
    </w:p>
    <w:p>
      <w:pPr>
        <w:ind w:left="40" w:right="259"/>
        <w:spacing w:after="0" w:line="218" w:lineRule="exact"/>
        <w:rPr>
          <w:sz w:val="20"/>
          <w:szCs w:val="20"/>
          <w:color w:val="auto"/>
        </w:rPr>
      </w:pPr>
      <w:r>
        <w:rPr>
          <w:rFonts w:ascii="Arial" w:cs="Arial" w:eastAsia="Arial" w:hAnsi="Arial"/>
          <w:sz w:val="17"/>
          <w:szCs w:val="17"/>
          <w:color w:val="auto"/>
        </w:rPr>
        <w:t>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w:t>
      </w:r>
      <w:r>
        <w:rPr>
          <w:rFonts w:ascii="MS PGothic" w:cs="MS PGothic" w:eastAsia="MS PGothic" w:hAnsi="MS PGothic"/>
          <w:sz w:val="17"/>
          <w:szCs w:val="17"/>
          <w:color w:val="auto"/>
        </w:rPr>
        <w:t>‑</w:t>
      </w:r>
      <w:r>
        <w:rPr>
          <w:rFonts w:ascii="Arial" w:cs="Arial" w:eastAsia="Arial" w:hAnsi="Arial"/>
          <w:sz w:val="17"/>
          <w:szCs w:val="17"/>
          <w:color w:val="auto"/>
        </w:rPr>
        <w:t>4400.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color w:val="auto"/>
        </w:rPr>
        <w:t>Our 2019 annual report and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for fiscal year 2019, including financial statements, are available electronically along with our proxy statement to all stockholders of record as of April 17, 2020,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 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for</w:t>
      </w:r>
      <w:r>
        <w:rPr>
          <w:rFonts w:ascii="Arial" w:cs="Arial" w:eastAsia="Arial" w:hAnsi="Arial"/>
          <w:sz w:val="16"/>
          <w:szCs w:val="16"/>
          <w:color w:val="auto"/>
        </w:rPr>
        <w:t xml:space="preserve"> </w:t>
      </w:r>
      <w:r>
        <w:rPr>
          <w:rFonts w:ascii="Arial" w:cs="Arial" w:eastAsia="Arial" w:hAnsi="Arial"/>
          <w:sz w:val="16"/>
          <w:szCs w:val="16"/>
          <w:b w:val="1"/>
          <w:bCs w:val="1"/>
          <w:color w:val="auto"/>
        </w:rPr>
        <w:t>the fiscal year ended December 31, 2019, and our proxy statement may do so without charge by writing to Investor Relations, Grand Canyon Education, Inc., 2600 W. Camelback Road, Phoenix, Arizona 85017.</w:t>
      </w:r>
    </w:p>
    <w:p>
      <w:pPr>
        <w:spacing w:after="0" w:line="206"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7"/>
          <w:szCs w:val="17"/>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April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398145</wp:posOffset>
            </wp:positionV>
            <wp:extent cx="6497955" cy="81870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97955" cy="8187055"/>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8841740</wp:posOffset>
            </wp:positionV>
            <wp:extent cx="649795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398145</wp:posOffset>
            </wp:positionV>
            <wp:extent cx="5820410" cy="7543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0410" cy="7543800"/>
                    </a:xfrm>
                    <a:prstGeom prst="rect">
                      <a:avLst/>
                    </a:prstGeom>
                    <a:noFill/>
                  </pic:spPr>
                </pic:pic>
              </a:graphicData>
            </a:graphic>
          </wp:anchor>
        </w:drawing>
      </w:r>
    </w:p>
    <w:sectPr>
      <w:pgSz w:w="11900" w:h="16838" w:orient="portrait"/>
      <w:cols w:equalWidth="0" w:num="1">
        <w:col w:w="9639"/>
      </w:cols>
      <w:pgMar w:left="8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lvl w:ilvl="1">
      <w:lvlJc w:val="left"/>
      <w:lvlText w:val="(%2)"/>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bullet"/>
      <w:start w:val="1"/>
    </w:lvl>
  </w:abstractNum>
  <w:abstractNum w:abstractNumId="5">
    <w:nsid w:val="440BADFC"/>
    <w:multiLevelType w:val="hybridMultilevel"/>
    <w:lvl w:ilvl="0">
      <w:lvlJc w:val="left"/>
      <w:lvlText w:val="3"/>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2"/>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0"/>
    </w:lvl>
  </w:abstractNum>
  <w:abstractNum w:abstractNumId="20">
    <w:nsid w:val="2A487CB0"/>
    <w:multiLevelType w:val="hybridMultilevel"/>
    <w:lvl w:ilvl="0">
      <w:lvlJc w:val="left"/>
      <w:lvlText w:val="(%1)"/>
      <w:numFmt w:val="decimal"/>
      <w:start w:val="3"/>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lvl w:ilvl="1">
      <w:lvlJc w:val="left"/>
      <w:lvlText w:val="(%2)"/>
      <w:numFmt w:val="decimal"/>
      <w:start w:val="1"/>
    </w:lvl>
  </w:abstractNum>
  <w:abstractNum w:abstractNumId="25">
    <w:nsid w:val="7A6D8D3C"/>
    <w:multiLevelType w:val="hybridMultilevel"/>
    <w:lvl w:ilvl="0">
      <w:lvlJc w:val="left"/>
      <w:lvlText w:val="(%1)"/>
      <w:numFmt w:val="decimal"/>
      <w:start w:val="2"/>
    </w:lvl>
    <w:lvl w:ilvl="1">
      <w:lvlJc w:val="left"/>
      <w:lvlText w:val="%2"/>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lvl w:ilvl="1">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lowerLetter"/>
      <w:start w:val="4"/>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lowerRoman"/>
      <w:start w:val="1"/>
    </w:lvl>
  </w:abstractNum>
  <w:abstractNum w:abstractNumId="56">
    <w:nsid w:val="10233C99"/>
    <w:multiLevelType w:val="hybridMultilevel"/>
    <w:lvl w:ilvl="0">
      <w:lvlJc w:val="left"/>
      <w:lvlText w:val="(%1)"/>
      <w:numFmt w:val="lowerLetter"/>
      <w:start w:val="2"/>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lowerLetter"/>
      <w:start w:val="3"/>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2020-04-24T08:07:11Z</dcterms:created>
  <dcterms:modified xsi:type="dcterms:W3CDTF">2020-04-24T08:07:11Z</dcterms:modified>
</cp:coreProperties>
</file>