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Exchange Act of 1934 (Amendment No. __)</w:t>
      </w:r>
    </w:p>
    <w:p>
      <w:pPr>
        <w:spacing w:after="0" w:line="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Grand Canyon Education, Inc.</w:t>
      </w:r>
    </w:p>
    <w:p>
      <w:pPr>
        <w:spacing w:after="0" w:line="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5925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4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right="1119" w:hanging="352"/>
        <w:spacing w:after="0" w:line="277" w:lineRule="auto"/>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500" w:right="699" w:hanging="168"/>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60" w:hanging="352"/>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-5113020</wp:posOffset>
            </wp:positionV>
            <wp:extent cx="5591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-4546600</wp:posOffset>
            </wp:positionV>
            <wp:extent cx="5591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-3843655</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-3277870</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-2711450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-1459230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-893445</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-327660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238125</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424"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4656455" cy="866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5645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(602) 639-7500</w:t>
      </w:r>
    </w:p>
    <w:p>
      <w:pPr>
        <w:spacing w:after="0" w:line="17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April 10, 2009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jc w:val="both"/>
        <w:ind w:left="340" w:right="919" w:firstLine="373"/>
        <w:spacing w:after="0" w:line="312" w:lineRule="auto"/>
        <w:rPr>
          <w:sz w:val="20"/>
          <w:szCs w:val="20"/>
          <w:color w:val="auto"/>
        </w:rPr>
      </w:pPr>
      <w:r>
        <w:rPr>
          <w:rFonts w:ascii="Arial" w:cs="Arial" w:eastAsia="Arial" w:hAnsi="Arial"/>
          <w:sz w:val="16"/>
          <w:szCs w:val="16"/>
          <w:color w:val="auto"/>
        </w:rPr>
        <w:t>You are cordially invited to attend the 2009 Annual Meeting of Stockholders (the “Annual Meeting”) of Grand Canyon Education, Inc. (the “Company”) to be held at the Ethington Theatre on the campus of Grand Canyon University at 3300 W. Camelback Road, Phoenix, Arizona 85017, commencing at 10:00 a.m. local time on Tuesday, May 19, 2009.</w:t>
      </w:r>
    </w:p>
    <w:p>
      <w:pPr>
        <w:spacing w:after="0" w:line="106"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color w:val="auto"/>
        </w:rPr>
        <w:t>The notice of annual meeting and the proxy statement that follow describe the matters to come before the Annual Meeting. Each holder of record of shares of the Company’s common stock (NasdaqGM: LOPE) at the close of business on April 3, 2009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14" w:lineRule="exact"/>
        <w:rPr>
          <w:sz w:val="20"/>
          <w:szCs w:val="20"/>
          <w:color w:val="auto"/>
        </w:rPr>
      </w:pPr>
    </w:p>
    <w:p>
      <w:pPr>
        <w:ind w:left="340" w:right="599" w:firstLine="373"/>
        <w:spacing w:after="0" w:line="302" w:lineRule="auto"/>
        <w:rPr>
          <w:sz w:val="20"/>
          <w:szCs w:val="20"/>
          <w:color w:val="auto"/>
        </w:rPr>
      </w:pPr>
      <w:r>
        <w:rPr>
          <w:rFonts w:ascii="Arial" w:cs="Arial" w:eastAsia="Arial" w:hAnsi="Arial"/>
          <w:sz w:val="16"/>
          <w:szCs w:val="16"/>
          <w:color w:val="auto"/>
        </w:rPr>
        <w:t>We hope that you will be able to attend the Annual Meeting in person and we look forward to seeing you. Please mark, date and sign the enclosed proxy and return it in the accompanying envelope, or submit the enclosed proxy by telephone or through the Internet in accordance with the instructions set forth on the enclosed proxy card, as quickly as possible, even if you plan to attend the Annual Meeting. You may revoke the proxy and vote in person at the Annual Meeting if you so desire.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139763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6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VOTING METHODS</w:t>
      </w:r>
    </w:p>
    <w:p>
      <w:pPr>
        <w:spacing w:after="0" w:line="202"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128"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88" w:lineRule="exact"/>
        <w:rPr>
          <w:rFonts w:ascii="Arial" w:cs="Arial" w:eastAsia="Arial" w:hAnsi="Arial"/>
          <w:sz w:val="18"/>
          <w:szCs w:val="18"/>
          <w:color w:val="auto"/>
        </w:rPr>
      </w:pPr>
    </w:p>
    <w:p>
      <w:pPr>
        <w:ind w:left="1420" w:right="679" w:hanging="345"/>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a touch-tone telephone, call toll-free 1-800-652-8683, 24 hours a day, seven days a week, through 11:59 p.m. (PT) on May 18, 2009.</w:t>
      </w:r>
    </w:p>
    <w:p>
      <w:pPr>
        <w:spacing w:after="0" w:line="102" w:lineRule="exact"/>
        <w:rPr>
          <w:rFonts w:ascii="Arial" w:cs="Arial" w:eastAsia="Arial" w:hAnsi="Arial"/>
          <w:sz w:val="18"/>
          <w:szCs w:val="18"/>
          <w:color w:val="auto"/>
        </w:rPr>
      </w:pPr>
    </w:p>
    <w:p>
      <w:pPr>
        <w:ind w:left="1420" w:hanging="345"/>
        <w:spacing w:after="0"/>
        <w:tabs>
          <w:tab w:leader="none" w:pos="14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Please have your proxy card and the last four digits of your Social Security Number or Tax Identification Number.</w:t>
      </w:r>
    </w:p>
    <w:p>
      <w:pPr>
        <w:spacing w:after="0" w:line="180" w:lineRule="exact"/>
        <w:rPr>
          <w:rFonts w:ascii="Arial" w:cs="Arial" w:eastAsia="Arial" w:hAnsi="Arial"/>
          <w:sz w:val="16"/>
          <w:szCs w:val="16"/>
          <w:color w:val="auto"/>
        </w:rPr>
      </w:pPr>
    </w:p>
    <w:p>
      <w:pPr>
        <w:ind w:left="1420" w:hanging="345"/>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94" w:lineRule="exact"/>
        <w:rPr>
          <w:rFonts w:ascii="Arial" w:cs="Arial" w:eastAsia="Arial" w:hAnsi="Arial"/>
          <w:sz w:val="18"/>
          <w:szCs w:val="18"/>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88" w:lineRule="exact"/>
        <w:rPr>
          <w:rFonts w:ascii="Arial" w:cs="Arial" w:eastAsia="Arial" w:hAnsi="Arial"/>
          <w:sz w:val="18"/>
          <w:szCs w:val="18"/>
          <w:color w:val="auto"/>
        </w:rPr>
      </w:pPr>
    </w:p>
    <w:p>
      <w:pPr>
        <w:ind w:left="1420" w:right="1079" w:hanging="345"/>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Go to the web site at www.investorvote.com/LOPE, 24 hours a day, seven days a week, through 11:59 p.m. (PT) on May 18, 2009.</w:t>
      </w:r>
    </w:p>
    <w:p>
      <w:pPr>
        <w:spacing w:after="0" w:line="102" w:lineRule="exact"/>
        <w:rPr>
          <w:rFonts w:ascii="Arial" w:cs="Arial" w:eastAsia="Arial" w:hAnsi="Arial"/>
          <w:sz w:val="18"/>
          <w:szCs w:val="18"/>
          <w:color w:val="auto"/>
        </w:rPr>
      </w:pPr>
    </w:p>
    <w:p>
      <w:pPr>
        <w:ind w:left="1420" w:right="599" w:hanging="345"/>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Please have your proxy card and the last four digits of your Social Security Number or Tax Identification Number and create an electronic ballot.</w:t>
      </w:r>
    </w:p>
    <w:p>
      <w:pPr>
        <w:spacing w:after="0" w:line="102" w:lineRule="exact"/>
        <w:rPr>
          <w:rFonts w:ascii="Arial" w:cs="Arial" w:eastAsia="Arial" w:hAnsi="Arial"/>
          <w:sz w:val="18"/>
          <w:szCs w:val="18"/>
          <w:color w:val="auto"/>
        </w:rPr>
      </w:pPr>
    </w:p>
    <w:p>
      <w:pPr>
        <w:ind w:left="1420" w:hanging="345"/>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80" w:lineRule="exact"/>
        <w:rPr>
          <w:rFonts w:ascii="Arial" w:cs="Arial" w:eastAsia="Arial" w:hAnsi="Arial"/>
          <w:sz w:val="18"/>
          <w:szCs w:val="18"/>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202" w:lineRule="exact"/>
        <w:rPr>
          <w:rFonts w:ascii="Arial" w:cs="Arial" w:eastAsia="Arial" w:hAnsi="Arial"/>
          <w:sz w:val="18"/>
          <w:szCs w:val="18"/>
          <w:color w:val="auto"/>
        </w:rPr>
      </w:pPr>
    </w:p>
    <w:p>
      <w:pPr>
        <w:ind w:left="1420" w:hanging="345"/>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57" w:lineRule="exact"/>
        <w:rPr>
          <w:rFonts w:ascii="Arial" w:cs="Arial" w:eastAsia="Arial" w:hAnsi="Arial"/>
          <w:sz w:val="18"/>
          <w:szCs w:val="18"/>
          <w:color w:val="auto"/>
        </w:rPr>
      </w:pPr>
    </w:p>
    <w:p>
      <w:pPr>
        <w:ind w:left="1420" w:hanging="345"/>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185" w:lineRule="exact"/>
        <w:rPr>
          <w:sz w:val="20"/>
          <w:szCs w:val="20"/>
          <w:color w:val="auto"/>
        </w:rPr>
      </w:pPr>
    </w:p>
    <w:p>
      <w:pPr>
        <w:jc w:val="both"/>
        <w:ind w:left="340" w:right="579" w:firstLine="373"/>
        <w:spacing w:after="0" w:line="264"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our proxy statement and our 2008 annual report, which includes our audited financial statements, from the organization holding your account and you must follow the instructions provided by such organization to submit your proxy.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Your vote is important. Thank you for submitting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on May 19, 2009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7"/>
          <w:szCs w:val="17"/>
          <w:color w:val="auto"/>
        </w:rPr>
        <w:t>The 2009 Annual Meeting of Stockholders (the “Annual Meeting”) of Grand Canyon Education, Inc. (the “Company”), will be held at the Ethington Theatre on the campus of Grand Canyon University at 3300 W. Camelback Road, Phoenix, Arizona 85017, commencing at 10:00 a.m. local time on Tuesday, May 19, 2009, for the following purposes:</w:t>
      </w:r>
    </w:p>
    <w:p>
      <w:pPr>
        <w:spacing w:after="0" w:line="125" w:lineRule="exact"/>
        <w:rPr>
          <w:sz w:val="20"/>
          <w:szCs w:val="20"/>
          <w:color w:val="auto"/>
        </w:rPr>
      </w:pPr>
    </w:p>
    <w:p>
      <w:pPr>
        <w:ind w:left="1040" w:right="859" w:hanging="343"/>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a Board of Directors of seven directors, each to serve until the next annual meeting of stockholders or until their successors have been duly elected and qualified or until their earlier resignation or removal;</w:t>
      </w:r>
    </w:p>
    <w:p>
      <w:pPr>
        <w:spacing w:after="0" w:line="79" w:lineRule="exact"/>
        <w:rPr>
          <w:rFonts w:ascii="Arial" w:cs="Arial" w:eastAsia="Arial" w:hAnsi="Arial"/>
          <w:sz w:val="17"/>
          <w:szCs w:val="17"/>
          <w:color w:val="auto"/>
        </w:rPr>
      </w:pPr>
    </w:p>
    <w:p>
      <w:pPr>
        <w:ind w:left="1040" w:right="859" w:hanging="343"/>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2009; and</w:t>
      </w:r>
    </w:p>
    <w:p>
      <w:pPr>
        <w:spacing w:after="0" w:line="102" w:lineRule="exact"/>
        <w:rPr>
          <w:rFonts w:ascii="Arial" w:cs="Arial" w:eastAsia="Arial" w:hAnsi="Arial"/>
          <w:sz w:val="18"/>
          <w:szCs w:val="18"/>
          <w:color w:val="auto"/>
        </w:rPr>
      </w:pPr>
    </w:p>
    <w:p>
      <w:pPr>
        <w:ind w:left="1040" w:right="819" w:hanging="343"/>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143" w:lineRule="exact"/>
        <w:rPr>
          <w:sz w:val="20"/>
          <w:szCs w:val="20"/>
          <w:color w:val="auto"/>
        </w:rPr>
      </w:pPr>
    </w:p>
    <w:p>
      <w:pPr>
        <w:ind w:left="340" w:right="619" w:firstLine="373"/>
        <w:spacing w:after="0" w:line="276" w:lineRule="auto"/>
        <w:rPr>
          <w:sz w:val="20"/>
          <w:szCs w:val="20"/>
          <w:color w:val="auto"/>
        </w:rPr>
      </w:pPr>
      <w:r>
        <w:rPr>
          <w:rFonts w:ascii="Arial" w:cs="Arial" w:eastAsia="Arial" w:hAnsi="Arial"/>
          <w:sz w:val="17"/>
          <w:szCs w:val="17"/>
          <w:color w:val="auto"/>
        </w:rPr>
        <w:t>Our Board of Directors has fixed April 3, 2009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General Counsel, 3300 W. Camelback Road, Phoenix, Arizona 85017 between the hours of 8:30 A.M. and 5:00 P.M., local time, each weekday. Such list will also be available at the Annual Meeting.</w:t>
      </w:r>
    </w:p>
    <w:p>
      <w:pPr>
        <w:spacing w:after="0" w:line="128" w:lineRule="exact"/>
        <w:rPr>
          <w:sz w:val="20"/>
          <w:szCs w:val="20"/>
          <w:color w:val="auto"/>
        </w:rPr>
      </w:pPr>
    </w:p>
    <w:p>
      <w:pPr>
        <w:ind w:left="340" w:right="559" w:firstLine="373"/>
        <w:spacing w:after="0" w:line="295"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 you received a paper copy of the proxy card by mail, you may also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date, sign and mail the proxy card in the postage-paid envelope that is 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15" w:lineRule="exact"/>
        <w:rPr>
          <w:sz w:val="20"/>
          <w:szCs w:val="20"/>
          <w:color w:val="auto"/>
        </w:rPr>
      </w:pPr>
    </w:p>
    <w:p>
      <w:pPr>
        <w:ind w:left="340" w:right="659" w:firstLine="373"/>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19, 2009. This proxy statement and our 2008 annual report for the year ended December 31, 2008, are also available at http://materials.proxyvote.com/38526M.</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15608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83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Christopher C. Richardson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91"/>
        </w:trPr>
        <w:tc>
          <w:tcPr>
            <w:tcW w:w="21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GENERAL INFORMATION</w:t>
              </w:r>
            </w:hyperlink>
          </w:p>
        </w:tc>
        <w:tc>
          <w:tcPr>
            <w:tcW w:w="6380" w:type="dxa"/>
            <w:vAlign w:val="bottom"/>
            <w:gridSpan w:val="2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00" w:type="dxa"/>
            <w:vAlign w:val="bottom"/>
          </w:tcPr>
          <w:p>
            <w:pPr>
              <w:spacing w:after="0"/>
              <w:rPr>
                <w:sz w:val="24"/>
                <w:szCs w:val="24"/>
                <w:color w:val="auto"/>
              </w:rPr>
            </w:pPr>
          </w:p>
        </w:tc>
        <w:tc>
          <w:tcPr>
            <w:tcW w:w="22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Availability of Proxy Materials</w:t>
              </w:r>
            </w:hyperlink>
          </w:p>
        </w:tc>
        <w:tc>
          <w:tcPr>
            <w:tcW w:w="606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0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Record Date and Quorum</w:t>
              </w:r>
            </w:hyperlink>
          </w:p>
        </w:tc>
        <w:tc>
          <w:tcPr>
            <w:tcW w:w="6440" w:type="dxa"/>
            <w:vAlign w:val="bottom"/>
            <w:gridSpan w:val="2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0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Submission of Proxies</w:t>
              </w:r>
            </w:hyperlink>
          </w:p>
        </w:tc>
        <w:tc>
          <w:tcPr>
            <w:tcW w:w="6660" w:type="dxa"/>
            <w:vAlign w:val="bottom"/>
            <w:gridSpan w:val="2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00" w:type="dxa"/>
            <w:vAlign w:val="bottom"/>
          </w:tcPr>
          <w:p>
            <w:pPr>
              <w:spacing w:after="0"/>
              <w:rPr>
                <w:sz w:val="24"/>
                <w:szCs w:val="24"/>
                <w:color w:val="auto"/>
              </w:rPr>
            </w:pPr>
          </w:p>
        </w:tc>
        <w:tc>
          <w:tcPr>
            <w:tcW w:w="16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Stockholder Proposals</w:t>
              </w:r>
            </w:hyperlink>
          </w:p>
        </w:tc>
        <w:tc>
          <w:tcPr>
            <w:tcW w:w="6680" w:type="dxa"/>
            <w:vAlign w:val="bottom"/>
            <w:gridSpan w:val="2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0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Quorum</w:t>
              </w:r>
            </w:hyperlink>
          </w:p>
        </w:tc>
        <w:tc>
          <w:tcPr>
            <w:tcW w:w="7700" w:type="dxa"/>
            <w:vAlign w:val="bottom"/>
            <w:gridSpan w:val="3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200" w:type="dxa"/>
            <w:vAlign w:val="bottom"/>
          </w:tcPr>
          <w:p>
            <w:pPr>
              <w:spacing w:after="0"/>
              <w:rPr>
                <w:sz w:val="24"/>
                <w:szCs w:val="24"/>
                <w:color w:val="auto"/>
              </w:rPr>
            </w:pPr>
          </w:p>
        </w:tc>
        <w:tc>
          <w:tcPr>
            <w:tcW w:w="830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Vote Required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3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Adjournment or Postponement of Meeting</w:t>
              </w:r>
            </w:hyperlink>
          </w:p>
        </w:tc>
        <w:tc>
          <w:tcPr>
            <w:tcW w:w="524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200" w:type="dxa"/>
            <w:vAlign w:val="bottom"/>
          </w:tcPr>
          <w:p>
            <w:pPr>
              <w:spacing w:after="0"/>
              <w:rPr>
                <w:sz w:val="24"/>
                <w:szCs w:val="24"/>
                <w:color w:val="auto"/>
              </w:rPr>
            </w:pPr>
          </w:p>
        </w:tc>
        <w:tc>
          <w:tcPr>
            <w:tcW w:w="22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Expenses of Soliciting Proxies</w:t>
              </w:r>
            </w:hyperlink>
          </w:p>
        </w:tc>
        <w:tc>
          <w:tcPr>
            <w:tcW w:w="60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500" w:type="dxa"/>
            <w:vAlign w:val="bottom"/>
            <w:gridSpan w:val="3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NO. 1 ELECTION OF DIRECTORS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00" w:type="dxa"/>
            <w:vAlign w:val="bottom"/>
            <w:tcBorders>
              <w:top w:val="single" w:sz="8" w:color="0000EE"/>
            </w:tcBorders>
          </w:tcPr>
          <w:p>
            <w:pPr>
              <w:spacing w:after="0"/>
              <w:rPr>
                <w:sz w:val="24"/>
                <w:szCs w:val="24"/>
                <w:color w:val="auto"/>
              </w:rPr>
            </w:pPr>
          </w:p>
        </w:tc>
        <w:tc>
          <w:tcPr>
            <w:tcW w:w="3440" w:type="dxa"/>
            <w:vAlign w:val="bottom"/>
            <w:tcBorders>
              <w:top w:val="single" w:sz="8" w:color="0000EE"/>
            </w:tcBorders>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Composition of our Board of Directors</w:t>
              </w:r>
            </w:hyperlink>
          </w:p>
        </w:tc>
        <w:tc>
          <w:tcPr>
            <w:tcW w:w="48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0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Directors and Director Nominees</w:t>
              </w:r>
            </w:hyperlink>
          </w:p>
        </w:tc>
        <w:tc>
          <w:tcPr>
            <w:tcW w:w="400" w:type="dxa"/>
            <w:vAlign w:val="bottom"/>
            <w:tcBorders>
              <w:top w:val="single" w:sz="8" w:color="0000EE"/>
            </w:tcBorders>
            <w:gridSpan w:val="3"/>
          </w:tcPr>
          <w:p>
            <w:pPr>
              <w:spacing w:after="0"/>
              <w:rPr>
                <w:sz w:val="24"/>
                <w:szCs w:val="24"/>
                <w:color w:val="auto"/>
              </w:rPr>
            </w:pPr>
          </w:p>
        </w:tc>
        <w:tc>
          <w:tcPr>
            <w:tcW w:w="550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00" w:type="dxa"/>
            <w:vAlign w:val="bottom"/>
          </w:tcPr>
          <w:p>
            <w:pPr>
              <w:spacing w:after="0"/>
              <w:rPr>
                <w:sz w:val="24"/>
                <w:szCs w:val="24"/>
                <w:color w:val="auto"/>
              </w:rPr>
            </w:pPr>
          </w:p>
        </w:tc>
        <w:tc>
          <w:tcPr>
            <w:tcW w:w="830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of Directors Meetings and Attendance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00" w:type="dxa"/>
            <w:vAlign w:val="bottom"/>
          </w:tcPr>
          <w:p>
            <w:pPr>
              <w:spacing w:after="0"/>
              <w:rPr>
                <w:sz w:val="24"/>
                <w:szCs w:val="24"/>
                <w:color w:val="auto"/>
              </w:rPr>
            </w:pPr>
          </w:p>
        </w:tc>
        <w:tc>
          <w:tcPr>
            <w:tcW w:w="3220" w:type="dxa"/>
            <w:vAlign w:val="bottom"/>
            <w:tcBorders>
              <w:top w:val="single" w:sz="8" w:color="0000EE"/>
            </w:tcBorders>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 Independence</w:t>
              </w:r>
            </w:hyperlink>
          </w:p>
        </w:tc>
        <w:tc>
          <w:tcPr>
            <w:tcW w:w="508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830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Committees of Our Board of Directors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00" w:type="dxa"/>
            <w:vAlign w:val="bottom"/>
          </w:tcPr>
          <w:p>
            <w:pPr>
              <w:spacing w:after="0"/>
              <w:rPr>
                <w:sz w:val="24"/>
                <w:szCs w:val="24"/>
                <w:color w:val="auto"/>
              </w:rPr>
            </w:pPr>
          </w:p>
        </w:tc>
        <w:tc>
          <w:tcPr>
            <w:tcW w:w="2780" w:type="dxa"/>
            <w:vAlign w:val="bottom"/>
            <w:tcBorders>
              <w:top w:val="single" w:sz="8" w:color="0000EE"/>
            </w:tcBorders>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Code of Conduct</w:t>
              </w:r>
            </w:hyperlink>
          </w:p>
        </w:tc>
        <w:tc>
          <w:tcPr>
            <w:tcW w:w="552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21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Director Nomination Process</w:t>
              </w:r>
            </w:hyperlink>
          </w:p>
        </w:tc>
        <w:tc>
          <w:tcPr>
            <w:tcW w:w="6200" w:type="dxa"/>
            <w:vAlign w:val="bottom"/>
            <w:gridSpan w:val="2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200" w:type="dxa"/>
            <w:vAlign w:val="bottom"/>
          </w:tcPr>
          <w:p>
            <w:pPr>
              <w:spacing w:after="0"/>
              <w:rPr>
                <w:sz w:val="24"/>
                <w:szCs w:val="24"/>
                <w:color w:val="auto"/>
              </w:rPr>
            </w:pPr>
          </w:p>
        </w:tc>
        <w:tc>
          <w:tcPr>
            <w:tcW w:w="446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Compensation Committee Interlocks and Insider Participation</w:t>
              </w:r>
            </w:hyperlink>
          </w:p>
        </w:tc>
        <w:tc>
          <w:tcPr>
            <w:tcW w:w="38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200" w:type="dxa"/>
            <w:vAlign w:val="bottom"/>
          </w:tcPr>
          <w:p>
            <w:pPr>
              <w:spacing w:after="0"/>
              <w:rPr>
                <w:sz w:val="24"/>
                <w:szCs w:val="24"/>
                <w:color w:val="auto"/>
              </w:rPr>
            </w:pPr>
          </w:p>
        </w:tc>
        <w:tc>
          <w:tcPr>
            <w:tcW w:w="830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Stockholder Communications with the Board of Directors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8500" w:type="dxa"/>
            <w:vAlign w:val="bottom"/>
            <w:gridSpan w:val="3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PROPOSAL NO. 2 RATIFICATION OF INDEPENDENT REGISTERED PUBLIC ACCOUNTING FIRM</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200" w:type="dxa"/>
            <w:vAlign w:val="bottom"/>
            <w:tcBorders>
              <w:top w:val="single" w:sz="8" w:color="0000EE"/>
            </w:tcBorders>
          </w:tcPr>
          <w:p>
            <w:pPr>
              <w:spacing w:after="0"/>
              <w:rPr>
                <w:sz w:val="24"/>
                <w:szCs w:val="24"/>
                <w:color w:val="auto"/>
              </w:rPr>
            </w:pPr>
          </w:p>
        </w:tc>
        <w:tc>
          <w:tcPr>
            <w:tcW w:w="7580" w:type="dxa"/>
            <w:vAlign w:val="bottom"/>
            <w:tcBorders>
              <w:top w:val="single" w:sz="8" w:color="0000EE"/>
            </w:tcBorders>
            <w:gridSpan w:val="3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Fees</w:t>
              </w:r>
            </w:hyperlink>
          </w:p>
        </w:tc>
        <w:tc>
          <w:tcPr>
            <w:tcW w:w="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574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Approval of Independent Registered Public Accounting Firm Services and Fees</w:t>
              </w:r>
            </w:hyperlink>
          </w:p>
        </w:tc>
        <w:tc>
          <w:tcPr>
            <w:tcW w:w="256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240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AUDIT COMMITTEE REPORT</w:t>
              </w:r>
            </w:hyperlink>
          </w:p>
        </w:tc>
        <w:tc>
          <w:tcPr>
            <w:tcW w:w="6100" w:type="dxa"/>
            <w:vAlign w:val="bottom"/>
            <w:gridSpan w:val="2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850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OFFICERS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80" w:type="dxa"/>
            <w:vAlign w:val="bottom"/>
            <w:gridSpan w:val="8"/>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24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EXECUTIVE COMPENSATION</w:t>
              </w:r>
            </w:hyperlink>
          </w:p>
        </w:tc>
        <w:tc>
          <w:tcPr>
            <w:tcW w:w="606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200" w:type="dxa"/>
            <w:vAlign w:val="bottom"/>
          </w:tcPr>
          <w:p>
            <w:pPr>
              <w:spacing w:after="0"/>
              <w:rPr>
                <w:sz w:val="24"/>
                <w:szCs w:val="24"/>
                <w:color w:val="auto"/>
              </w:rPr>
            </w:pPr>
          </w:p>
        </w:tc>
        <w:tc>
          <w:tcPr>
            <w:tcW w:w="28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Compensation Discussion and Analysis</w:t>
              </w:r>
            </w:hyperlink>
          </w:p>
        </w:tc>
        <w:tc>
          <w:tcPr>
            <w:tcW w:w="544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200" w:type="dxa"/>
            <w:vAlign w:val="bottom"/>
          </w:tcPr>
          <w:p>
            <w:pPr>
              <w:spacing w:after="0"/>
              <w:rPr>
                <w:sz w:val="24"/>
                <w:szCs w:val="24"/>
                <w:color w:val="auto"/>
              </w:rPr>
            </w:pPr>
          </w:p>
        </w:tc>
        <w:tc>
          <w:tcPr>
            <w:tcW w:w="32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Compensation of Named Executive Officers</w:t>
              </w:r>
            </w:hyperlink>
          </w:p>
        </w:tc>
        <w:tc>
          <w:tcPr>
            <w:tcW w:w="51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200" w:type="dxa"/>
            <w:vAlign w:val="bottom"/>
          </w:tcPr>
          <w:p>
            <w:pPr>
              <w:spacing w:after="0"/>
              <w:rPr>
                <w:sz w:val="24"/>
                <w:szCs w:val="24"/>
                <w:color w:val="auto"/>
              </w:rPr>
            </w:pPr>
          </w:p>
        </w:tc>
        <w:tc>
          <w:tcPr>
            <w:tcW w:w="42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Potential Payments upon Termination or Change in Control</w:t>
              </w:r>
            </w:hyperlink>
          </w:p>
        </w:tc>
        <w:tc>
          <w:tcPr>
            <w:tcW w:w="402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00" w:type="dxa"/>
            <w:vAlign w:val="bottom"/>
          </w:tcPr>
          <w:p>
            <w:pPr>
              <w:spacing w:after="0"/>
              <w:rPr>
                <w:sz w:val="24"/>
                <w:szCs w:val="24"/>
                <w:color w:val="auto"/>
              </w:rPr>
            </w:pPr>
          </w:p>
        </w:tc>
        <w:tc>
          <w:tcPr>
            <w:tcW w:w="23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2008 Compensation of Directors</w:t>
              </w:r>
            </w:hyperlink>
          </w:p>
        </w:tc>
        <w:tc>
          <w:tcPr>
            <w:tcW w:w="5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200" w:type="dxa"/>
            <w:vAlign w:val="bottom"/>
          </w:tcPr>
          <w:p>
            <w:pPr>
              <w:spacing w:after="0"/>
              <w:rPr>
                <w:sz w:val="24"/>
                <w:szCs w:val="24"/>
                <w:color w:val="auto"/>
              </w:rPr>
            </w:pPr>
          </w:p>
        </w:tc>
        <w:tc>
          <w:tcPr>
            <w:tcW w:w="2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Compensation Committee Report</w:t>
              </w:r>
            </w:hyperlink>
          </w:p>
        </w:tc>
        <w:tc>
          <w:tcPr>
            <w:tcW w:w="588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8500" w:type="dxa"/>
            <w:vAlign w:val="bottom"/>
            <w:gridSpan w:val="3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BENEFICIAL OWNERSHIP OF COMMON STOCK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400" w:type="dxa"/>
            <w:vAlign w:val="bottom"/>
            <w:gridSpan w:val="12"/>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486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CERTAIN RELATIONSHIPS AND RELATED TRANSACTIONS</w:t>
              </w:r>
            </w:hyperlink>
          </w:p>
        </w:tc>
        <w:tc>
          <w:tcPr>
            <w:tcW w:w="36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39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EQUITY COMPENSATION PLAN INFORMATION</w:t>
              </w:r>
            </w:hyperlink>
          </w:p>
        </w:tc>
        <w:tc>
          <w:tcPr>
            <w:tcW w:w="458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5680" w:type="dxa"/>
            <w:vAlign w:val="bottom"/>
            <w:tcBorders>
              <w:bottom w:val="single" w:sz="8" w:color="0000EE"/>
            </w:tcBorders>
            <w:gridSpan w:val="30"/>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SECTION 16(A) BENEFICIAL OWNERSHIP REPORTING COMPLIANCE</w:t>
              </w:r>
            </w:hyperlink>
          </w:p>
        </w:tc>
        <w:tc>
          <w:tcPr>
            <w:tcW w:w="282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340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HOUSEHOLDING OF PROXY MATERIALS</w:t>
              </w:r>
            </w:hyperlink>
          </w:p>
        </w:tc>
        <w:tc>
          <w:tcPr>
            <w:tcW w:w="51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2420" w:type="dxa"/>
            <w:vAlign w:val="bottom"/>
            <w:tcBorders>
              <w:bottom w:val="single" w:sz="8" w:color="0000EE"/>
            </w:tcBorders>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ADDITIONAL INFORMATION</w:t>
              </w:r>
            </w:hyperlink>
          </w:p>
        </w:tc>
        <w:tc>
          <w:tcPr>
            <w:tcW w:w="60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Phoenix, Arizona 85017</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jc w:val="both"/>
        <w:ind w:left="340" w:right="739" w:firstLine="373"/>
        <w:spacing w:after="0" w:line="286" w:lineRule="auto"/>
        <w:rPr>
          <w:sz w:val="20"/>
          <w:szCs w:val="20"/>
          <w:color w:val="auto"/>
        </w:rPr>
      </w:pPr>
      <w:r>
        <w:rPr>
          <w:rFonts w:ascii="Arial" w:cs="Arial" w:eastAsia="Arial" w:hAnsi="Arial"/>
          <w:sz w:val="17"/>
          <w:szCs w:val="17"/>
          <w:color w:val="auto"/>
        </w:rPr>
        <w:t>The enclosed proxy is being solicited by our Board of Directors for use in connection with the Annual Meeting to be held on Tuesday, May 19, 2009, at the Ethington Theatre on the Company’s campus at 3300 W. Camelback Road, Phoenix, Arizona 85017, commencing at 10:00 a.m. local time, and at any adjournment or postponement thereof.</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Availability of Proxy Materials</w:t>
      </w:r>
    </w:p>
    <w:p>
      <w:pPr>
        <w:spacing w:after="0" w:line="189" w:lineRule="exact"/>
        <w:rPr>
          <w:sz w:val="20"/>
          <w:szCs w:val="20"/>
          <w:color w:val="auto"/>
        </w:rPr>
      </w:pPr>
    </w:p>
    <w:p>
      <w:pPr>
        <w:ind w:left="340" w:right="719" w:firstLine="373"/>
        <w:spacing w:after="0" w:line="276" w:lineRule="auto"/>
        <w:rPr>
          <w:sz w:val="20"/>
          <w:szCs w:val="20"/>
          <w:color w:val="auto"/>
        </w:rPr>
      </w:pPr>
      <w:r>
        <w:rPr>
          <w:rFonts w:ascii="Arial" w:cs="Arial" w:eastAsia="Arial" w:hAnsi="Arial"/>
          <w:sz w:val="17"/>
          <w:szCs w:val="17"/>
          <w:color w:val="auto"/>
        </w:rPr>
        <w:t>This proxy statement, and our Board of Directors’ form of proxy to stockholders, was mailed or made available to our stockholders on or about April 10, 2009. Any stockholder of record whose shares are registered in the stockholder’s name with our transfer agent, Computershare, will receive a printed copy of the proxy materials by mail. Any stockholder of record who holds shares of our common stock in an account at a brokerage firm, bank or similar organization will receive a printed copy of the proxy materials by mail from the organization holding the stockholder’s account.</w:t>
      </w:r>
    </w:p>
    <w:p>
      <w:pPr>
        <w:spacing w:after="0" w:line="132" w:lineRule="exact"/>
        <w:rPr>
          <w:sz w:val="20"/>
          <w:szCs w:val="20"/>
          <w:color w:val="auto"/>
        </w:rPr>
      </w:pPr>
    </w:p>
    <w:p>
      <w:pPr>
        <w:ind w:left="340" w:right="959" w:firstLine="373"/>
        <w:spacing w:after="0" w:line="308" w:lineRule="auto"/>
        <w:rPr>
          <w:sz w:val="20"/>
          <w:szCs w:val="20"/>
          <w:color w:val="auto"/>
        </w:rPr>
      </w:pPr>
      <w:r>
        <w:rPr>
          <w:rFonts w:ascii="Arial" w:cs="Arial" w:eastAsia="Arial" w:hAnsi="Arial"/>
          <w:sz w:val="17"/>
          <w:szCs w:val="17"/>
          <w:color w:val="auto"/>
        </w:rPr>
        <w:t>In addition, we are also making our proxy materials, which include our notice of Annual Meeting, proxy statement and 2008 annual report, available to our stockholders over the Internet at http://materials.proxyvote.com/38526M.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Record Date and Quorum</w:t>
      </w:r>
    </w:p>
    <w:p>
      <w:pPr>
        <w:spacing w:after="0" w:line="189" w:lineRule="exact"/>
        <w:rPr>
          <w:sz w:val="20"/>
          <w:szCs w:val="20"/>
          <w:color w:val="auto"/>
        </w:rPr>
      </w:pPr>
    </w:p>
    <w:p>
      <w:pPr>
        <w:jc w:val="both"/>
        <w:ind w:left="340" w:right="639" w:firstLine="373"/>
        <w:spacing w:after="0" w:line="302" w:lineRule="auto"/>
        <w:rPr>
          <w:sz w:val="20"/>
          <w:szCs w:val="20"/>
          <w:color w:val="auto"/>
        </w:rPr>
      </w:pPr>
      <w:r>
        <w:rPr>
          <w:rFonts w:ascii="Arial" w:cs="Arial" w:eastAsia="Arial" w:hAnsi="Arial"/>
          <w:sz w:val="16"/>
          <w:szCs w:val="16"/>
          <w:color w:val="auto"/>
        </w:rPr>
        <w:t>Only stockholders of record at the close of business on April 3, 2009, will be entitled to notice of and to vote at the Annual Meeting and any adjournment or postponement thereof. At the close of business on the record date, we had 45,485,765 shares of our common stock outstanding and entitled to vote. A majority of the shares outstanding on the record date, present in person or represented by proxy, will constitute a quorum for the transaction of business at the meeting.</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Submission of Proxies</w:t>
      </w:r>
    </w:p>
    <w:p>
      <w:pPr>
        <w:spacing w:after="0" w:line="202"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Shares represented by proxies submitted by telephone or through the Internet in accordance with the instructions set forth in this proxy statement, or submitted on the enclosed proxy card that are properly signed and duly returned to us, and not revoked, will be voted in the manner specified. You may revoke your proxy at any time before it is exercised by submitting to our Secretary a written notice of revocation or a properly executed proxy bearing a later date, or by attending the Annual Meeting and voting in person.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Proposals</w:t>
      </w:r>
    </w:p>
    <w:p>
      <w:pPr>
        <w:spacing w:after="0" w:line="189"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For a stockholder proposal to be included in our proxy materials for our 2010 Annual Meeting of Stockholders, the proposal must be received at our principal executive offices, addressed to our Secretary, not later than December 26, 2009. Subject to certain exceptions, stockholder business that is not intended for inclusion in our proxy materials may be brought before an annual meeting so long as we receive notice of the proposal as specified by our bylaws, addressed to our Secretary at our principal executive offices, not earlier than the close of business on the 120th day, nor later than the close of business on the 90th day, prior to the first anniversary of the date of the preceding year’s annual meeting. For our 2010 Annual Meeting of Stockholders, proper notice of business that is not intended for inclusion in our proxy statement must be received not earlier than the close of business on January 20, 2010, nor later than the close of business on February 19, 2010.</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w:t>
      </w:r>
    </w:p>
    <w:p>
      <w:pPr>
        <w:spacing w:after="0" w:line="46" w:lineRule="exact"/>
        <w:rPr>
          <w:sz w:val="20"/>
          <w:szCs w:val="20"/>
          <w:color w:val="auto"/>
        </w:rPr>
      </w:pPr>
    </w:p>
    <w:p>
      <w:pPr>
        <w:ind w:left="340" w:right="559" w:hanging="8"/>
        <w:spacing w:after="0" w:line="281" w:lineRule="auto"/>
        <w:tabs>
          <w:tab w:leader="none" w:pos="5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such other beneficial owner in such business, (v) the class and number of shares of the Company that are owned beneficially and of record by the stockholder and such other beneficial owner, (vi)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or such beneficial owner, and</w:t>
      </w:r>
    </w:p>
    <w:p>
      <w:pPr>
        <w:spacing w:after="0" w:line="7" w:lineRule="exact"/>
        <w:rPr>
          <w:rFonts w:ascii="Arial" w:cs="Arial" w:eastAsia="Arial" w:hAnsi="Arial"/>
          <w:sz w:val="16"/>
          <w:szCs w:val="16"/>
          <w:color w:val="auto"/>
        </w:rPr>
      </w:pPr>
    </w:p>
    <w:p>
      <w:pPr>
        <w:ind w:left="340" w:right="559" w:hanging="8"/>
        <w:spacing w:after="0" w:line="255"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material interest of the stockholder and such other beneficial owner, the effect or intent of which is to mitigate loss to, manage risk or benefit of share price changes for, or increase or decrease the voting power of, such stockholder or such beneficial owner, with respect to shares of stock of the Company in such business.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Quorum</w:t>
      </w:r>
    </w:p>
    <w:p>
      <w:pPr>
        <w:spacing w:after="0" w:line="189" w:lineRule="exact"/>
        <w:rPr>
          <w:sz w:val="20"/>
          <w:szCs w:val="20"/>
          <w:color w:val="auto"/>
        </w:rPr>
      </w:pPr>
    </w:p>
    <w:p>
      <w:pPr>
        <w:ind w:left="340" w:right="719" w:firstLine="373"/>
        <w:spacing w:after="0" w:line="293"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The affirmative vote of a plurality of the shares of common stock present in person or by proxy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and entitled to vote is 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4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committee’s appointment of Ernst &amp; Young LLP as our independent registered public accounting firm for the fiscal year ending December 31, 2009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202" w:lineRule="exact"/>
        <w:rPr>
          <w:sz w:val="20"/>
          <w:szCs w:val="20"/>
          <w:color w:val="auto"/>
        </w:rPr>
      </w:pPr>
    </w:p>
    <w:p>
      <w:pPr>
        <w:ind w:left="340" w:right="919" w:firstLine="373"/>
        <w:spacing w:after="0" w:line="279" w:lineRule="auto"/>
        <w:rPr>
          <w:sz w:val="20"/>
          <w:szCs w:val="20"/>
          <w:color w:val="auto"/>
        </w:rPr>
      </w:pPr>
      <w:r>
        <w:rPr>
          <w:rFonts w:ascii="Arial" w:cs="Arial" w:eastAsia="Arial" w:hAnsi="Arial"/>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Expenses of Soliciting Proxies</w:t>
      </w:r>
    </w:p>
    <w:p>
      <w:pPr>
        <w:spacing w:after="0" w:line="189" w:lineRule="exact"/>
        <w:rPr>
          <w:sz w:val="20"/>
          <w:szCs w:val="20"/>
          <w:color w:val="auto"/>
        </w:rPr>
      </w:pPr>
    </w:p>
    <w:p>
      <w:pPr>
        <w:jc w:val="both"/>
        <w:ind w:left="340" w:right="1019" w:firstLine="373"/>
        <w:spacing w:after="0" w:line="264" w:lineRule="auto"/>
        <w:rPr>
          <w:sz w:val="20"/>
          <w:szCs w:val="20"/>
          <w:color w:val="auto"/>
        </w:rPr>
      </w:pPr>
      <w:r>
        <w:rPr>
          <w:rFonts w:ascii="Arial" w:cs="Arial" w:eastAsia="Arial" w:hAnsi="Arial"/>
          <w:sz w:val="18"/>
          <w:szCs w:val="18"/>
          <w:color w:val="auto"/>
        </w:rPr>
        <w:t>We will bear the cost of soliciting proxies. In addition to solicitation by the use of mail, certain directors, officers and regular employees may solicit proxies by telephone or personal interview. None of such persons will receive any additional compensation for their services.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89"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 and Director Nominees</w:t>
      </w:r>
    </w:p>
    <w:p>
      <w:pPr>
        <w:spacing w:after="0" w:line="202"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60" w:type="dxa"/>
            <w:vAlign w:val="bottom"/>
          </w:tcPr>
          <w:p>
            <w:pPr>
              <w:spacing w:after="0"/>
              <w:rPr>
                <w:sz w:val="20"/>
                <w:szCs w:val="20"/>
                <w:color w:val="auto"/>
              </w:rPr>
            </w:pPr>
          </w:p>
        </w:tc>
        <w:tc>
          <w:tcPr>
            <w:tcW w:w="288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Position</w:t>
            </w:r>
          </w:p>
        </w:tc>
        <w:tc>
          <w:tcPr>
            <w:tcW w:w="180" w:type="dxa"/>
            <w:vAlign w:val="bottom"/>
          </w:tcPr>
          <w:p>
            <w:pPr>
              <w:spacing w:after="0"/>
              <w:rPr>
                <w:sz w:val="20"/>
                <w:szCs w:val="20"/>
                <w:color w:val="auto"/>
              </w:rPr>
            </w:pPr>
          </w:p>
        </w:tc>
        <w:tc>
          <w:tcPr>
            <w:tcW w:w="29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Committee Membership*</w:t>
            </w: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8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46</w:t>
            </w:r>
          </w:p>
        </w:tc>
        <w:tc>
          <w:tcPr>
            <w:tcW w:w="1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1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Brian E. Mueller</w:t>
            </w:r>
          </w:p>
        </w:tc>
        <w:tc>
          <w:tcPr>
            <w:tcW w:w="8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55</w:t>
            </w:r>
          </w:p>
        </w:tc>
        <w:tc>
          <w:tcPr>
            <w:tcW w:w="1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9"/>
              </w:rPr>
              <w:t>Chief Executive Officer and Director</w:t>
            </w:r>
          </w:p>
        </w:tc>
        <w:tc>
          <w:tcPr>
            <w:tcW w:w="1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8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37</w:t>
            </w:r>
          </w:p>
        </w:tc>
        <w:tc>
          <w:tcPr>
            <w:tcW w:w="1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Director</w:t>
            </w:r>
          </w:p>
        </w:tc>
        <w:tc>
          <w:tcPr>
            <w:tcW w:w="1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Chad N. Heath</w:t>
            </w:r>
          </w:p>
        </w:tc>
        <w:tc>
          <w:tcPr>
            <w:tcW w:w="82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Compensation, Nominating and</w:t>
            </w:r>
          </w:p>
        </w:tc>
      </w:tr>
      <w:tr>
        <w:trPr>
          <w:trHeight w:val="230"/>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Corporate Governance (chair)</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 Mark Dorman</w:t>
            </w:r>
          </w:p>
        </w:tc>
        <w:tc>
          <w:tcPr>
            <w:tcW w:w="820" w:type="dxa"/>
            <w:vAlign w:val="bottom"/>
            <w:gridSpan w:val="2"/>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89"/>
              </w:rPr>
              <w:t>48</w:t>
            </w:r>
          </w:p>
        </w:tc>
        <w:tc>
          <w:tcPr>
            <w:tcW w:w="1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1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Nominating and</w:t>
            </w:r>
          </w:p>
        </w:tc>
      </w:tr>
      <w:tr>
        <w:trPr>
          <w:trHeight w:val="230"/>
        </w:trPr>
        <w:tc>
          <w:tcPr>
            <w:tcW w:w="2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David J. Johnson</w:t>
            </w:r>
          </w:p>
        </w:tc>
        <w:tc>
          <w:tcPr>
            <w:tcW w:w="8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Audit, Compensation (chair)</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8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65</w:t>
            </w:r>
          </w:p>
        </w:tc>
        <w:tc>
          <w:tcPr>
            <w:tcW w:w="1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Audit (chair)</w:t>
            </w:r>
          </w:p>
        </w:tc>
      </w:tr>
    </w:tbl>
    <w:p>
      <w:pPr>
        <w:spacing w:after="0" w:line="107" w:lineRule="exact"/>
        <w:rPr>
          <w:sz w:val="20"/>
          <w:szCs w:val="20"/>
          <w:color w:val="auto"/>
        </w:rPr>
      </w:pPr>
    </w:p>
    <w:p>
      <w:pPr>
        <w:ind w:left="680" w:right="579" w:hanging="348"/>
        <w:spacing w:after="0" w:line="25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we currently satisfy the Nasdaq Stock Market requirement that a majority of our directors be independent, we are relying on the phase-in provisions of the Nasdaq Marketplace Rules that permit us to have an audit committee comprised of fewer than three members for up to one year after the date of our listing on the Nasdaq Global Market. Our Board of Directors expects to appoint an additional new independent director to the board and audit committee prior to November 19, 2009.</w:t>
      </w:r>
    </w:p>
    <w:p>
      <w:pPr>
        <w:spacing w:after="0" w:line="148"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Executive Chairman since July 1, 2008. Mr. Richardson previously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Chief Executive Officer and 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 Mr. Richardson received a Bachelor of Science degree in Finance from Eastern Illinois University.</w:t>
      </w:r>
    </w:p>
    <w:p>
      <w:pPr>
        <w:spacing w:after="0" w:line="140"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 and as a director since March 2009.</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1987 to 2008, Mr. Mueller was employed by Apollo Group, Inc., a for-profit, 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received a Bachelor of Arts degree in Education and a Master of Arts in Education degree from Concordia University.</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i w:val="1"/>
          <w:iCs w:val="1"/>
          <w:color w:val="auto"/>
        </w:rPr>
        <w:t xml:space="preserve">Christopher C. Richardson </w:t>
      </w:r>
      <w:r>
        <w:rPr>
          <w:rFonts w:ascii="Arial" w:cs="Arial" w:eastAsia="Arial" w:hAnsi="Arial"/>
          <w:sz w:val="18"/>
          <w:szCs w:val="18"/>
          <w:color w:val="auto"/>
        </w:rPr>
        <w:t>has been serving as our General Counsel since 2007 and as a director since 2004. From 2004 to</w:t>
      </w:r>
      <w:r>
        <w:rPr>
          <w:rFonts w:ascii="Arial" w:cs="Arial" w:eastAsia="Arial" w:hAnsi="Arial"/>
          <w:sz w:val="18"/>
          <w:szCs w:val="18"/>
          <w:i w:val="1"/>
          <w:iCs w:val="1"/>
          <w:color w:val="auto"/>
        </w:rPr>
        <w:t xml:space="preserve"> </w:t>
      </w:r>
      <w:r>
        <w:rPr>
          <w:rFonts w:ascii="Arial" w:cs="Arial" w:eastAsia="Arial" w:hAnsi="Arial"/>
          <w:sz w:val="18"/>
          <w:szCs w:val="18"/>
          <w:color w:val="auto"/>
        </w:rPr>
        <w:t>2007, Mr. Richardson served as 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received a Bachelor of Arts degree in Political Science from Brigham Young University, and a Juris Doctorate from the University of Arizona College of Law, where he graduated summa cum laude.</w:t>
      </w:r>
    </w:p>
    <w:p>
      <w:pPr>
        <w:spacing w:after="0" w:line="166" w:lineRule="exact"/>
        <w:rPr>
          <w:sz w:val="20"/>
          <w:szCs w:val="20"/>
          <w:color w:val="auto"/>
        </w:rPr>
      </w:pPr>
    </w:p>
    <w:p>
      <w:pPr>
        <w:jc w:val="both"/>
        <w:ind w:left="340" w:right="659" w:firstLine="373"/>
        <w:spacing w:after="0" w:line="286" w:lineRule="auto"/>
        <w:rPr>
          <w:sz w:val="20"/>
          <w:szCs w:val="20"/>
          <w:color w:val="auto"/>
        </w:rPr>
      </w:pPr>
      <w:r>
        <w:rPr>
          <w:rFonts w:ascii="Arial" w:cs="Arial" w:eastAsia="Arial" w:hAnsi="Arial"/>
          <w:sz w:val="16"/>
          <w:szCs w:val="16"/>
          <w:i w:val="1"/>
          <w:iCs w:val="1"/>
          <w:color w:val="auto"/>
        </w:rPr>
        <w:t xml:space="preserve">Chad N. Heath </w:t>
      </w:r>
      <w:r>
        <w:rPr>
          <w:rFonts w:ascii="Arial" w:cs="Arial" w:eastAsia="Arial" w:hAnsi="Arial"/>
          <w:sz w:val="16"/>
          <w:szCs w:val="16"/>
          <w:color w:val="auto"/>
        </w:rPr>
        <w:t>has been serving as a member of our Board of Directors since 2005. Mr. Heath joined Endeavour Capital,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equity firm based in Portland, Oregon that currently manages over $925 million in equity capital, in 2001 and has served as one of its managing directors since 2006. Prior to joining Endeavour Capital, Mr. Heath served as a principal at Charterhouse Group International, a New York-based private equity firm focused on middle-market transactions. Prior to Charterhouse,</w:t>
      </w:r>
    </w:p>
    <w:p>
      <w:pPr>
        <w:spacing w:after="0" w:line="2" w:lineRule="exact"/>
        <w:rPr>
          <w:sz w:val="20"/>
          <w:szCs w:val="20"/>
          <w:color w:val="auto"/>
        </w:rPr>
      </w:pPr>
    </w:p>
    <w:p>
      <w:pPr>
        <w:jc w:val="both"/>
        <w:ind w:left="340" w:right="839"/>
        <w:spacing w:after="0" w:line="254" w:lineRule="auto"/>
        <w:rPr>
          <w:sz w:val="20"/>
          <w:szCs w:val="20"/>
          <w:color w:val="auto"/>
        </w:rPr>
      </w:pPr>
      <w:r>
        <w:rPr>
          <w:rFonts w:ascii="Arial" w:cs="Arial" w:eastAsia="Arial" w:hAnsi="Arial"/>
          <w:sz w:val="18"/>
          <w:szCs w:val="18"/>
          <w:color w:val="auto"/>
        </w:rPr>
        <w:t>Mr. Heath worked in the investment banking division of Merrill Lynch. Mr. Heath currently sits on the boards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149"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D. Mark Dorman </w:t>
      </w:r>
      <w:r>
        <w:rPr>
          <w:rFonts w:ascii="Arial" w:cs="Arial" w:eastAsia="Arial" w:hAnsi="Arial"/>
          <w:sz w:val="17"/>
          <w:szCs w:val="17"/>
          <w:color w:val="auto"/>
        </w:rPr>
        <w:t>has been serving as a member of our Board of Directors since 2005. Mr. Dorman joined Endeavour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1998 and has served as one of its managing directors since 2006. Prior to joining Endeavour Capital, Mr. Dorman served as an investment banker at Green Manning &amp; Bunch, a Denver-based investment banking firm focused on merger and acquisition transactions and advisory work for middle-market clients across the western United States. He also served in the investment banking groups of Boettcher &amp; Company and Morgan Stanley. Mr. Dorman currently sits on the boards of directors of PSI Services Holding Inc. (dba: Policy Studies); Skagit Northwest 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138" w:lineRule="exact"/>
        <w:rPr>
          <w:sz w:val="20"/>
          <w:szCs w:val="20"/>
          <w:color w:val="auto"/>
        </w:rPr>
      </w:pPr>
    </w:p>
    <w:p>
      <w:pPr>
        <w:ind w:left="340" w:right="719" w:firstLine="373"/>
        <w:spacing w:after="0" w:line="270" w:lineRule="auto"/>
        <w:rPr>
          <w:sz w:val="20"/>
          <w:szCs w:val="20"/>
          <w:color w:val="auto"/>
        </w:rPr>
      </w:pPr>
      <w:r>
        <w:rPr>
          <w:rFonts w:ascii="Arial" w:cs="Arial" w:eastAsia="Arial" w:hAnsi="Arial"/>
          <w:sz w:val="17"/>
          <w:szCs w:val="17"/>
          <w:i w:val="1"/>
          <w:iCs w:val="1"/>
          <w:color w:val="auto"/>
        </w:rPr>
        <w:t xml:space="preserve">David J. Johnson </w:t>
      </w:r>
      <w:r>
        <w:rPr>
          <w:rFonts w:ascii="Arial" w:cs="Arial" w:eastAsia="Arial" w:hAnsi="Arial"/>
          <w:sz w:val="17"/>
          <w:szCs w:val="17"/>
          <w:color w:val="auto"/>
        </w:rPr>
        <w:t>has been serving as a member of our Board of Directors since November 2008. From 1997 to 2006,</w:t>
      </w:r>
      <w:r>
        <w:rPr>
          <w:rFonts w:ascii="Arial" w:cs="Arial" w:eastAsia="Arial" w:hAnsi="Arial"/>
          <w:sz w:val="17"/>
          <w:szCs w:val="17"/>
          <w:i w:val="1"/>
          <w:iCs w:val="1"/>
          <w:color w:val="auto"/>
        </w:rPr>
        <w:t xml:space="preserve"> </w:t>
      </w:r>
      <w:r>
        <w:rPr>
          <w:rFonts w:ascii="Arial" w:cs="Arial" w:eastAsia="Arial" w:hAnsi="Arial"/>
          <w:sz w:val="17"/>
          <w:szCs w:val="17"/>
          <w:color w:val="auto"/>
        </w:rPr>
        <w:t>Mr. Johnson 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 University of Southern California.</w:t>
      </w:r>
    </w:p>
    <w:p>
      <w:pPr>
        <w:spacing w:after="0" w:line="151"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of White Electronic Designs Corporation, a Nasdaq-listed provider of semiconductor packages, memory devices, and electromechanical assemblies to the aerospace and defense industries, as well as several other private companies. Mr. Henry currently serves as President of the Arizona Chapter of the National Association of Corporate Directors. Mr. Henry received a Bachelor of Business Administration degree and a Master of Business Administration degree from the University of Michigan.</w:t>
      </w:r>
    </w:p>
    <w:p>
      <w:pPr>
        <w:spacing w:after="0" w:line="126"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Other than Brent D. Richardson and Christopher C. Richardson, who are brothers, there are no family relationships among any of our directors or executive officers.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02"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During our 2008 fiscal year following our initial public offering in November 2008, our Board of Directors and compensation committee each held one meeting, each of which were attended by all Board and committee members, respectively. During our 2008 fiscal year prior to our initial public offering, our Board of Directors held seven meetings and acted by written consent one time. With respect to those seven meetings, each director, other than Mr. Dorman, attended more than 75% of such meetings that were held during each director’s time of service, and each of our directors attended at least 75% of the aggregate number of the meetings of the board committees on which such director serves. We do not have a formal policy regarding attendance of our directors at annual meetings of our stockholders, but we do encourage each of our directors to attend annual meetings of our stockholders.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Our Board of Directors reviews at least annually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In March 2009, our Board of Directors conducted its annual review and has affirmatively determined that each director other than Brent D. Richardson, who is our Executive Chairman, and Christopher C. Richardson, who is our General Counsel, is “independent,” as defined by the Marketplace Rules of the Nasdaq Stock Market. Brian E. Mueller, who was appointed to our Board of Directors subsequent to the annual review, is not independent because he is our Chief Executive Officer.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56"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With respect to Messrs. Heath and Dorman, our Board of Directors considered their roles as managing directors of Endeavour Capital IV, LLC, which is the general partner of certain affiliated investment funds (the “Endeavour Entities”), and the fact that the Endeavour Entities own a significant, although non-controlling, number of shares of our capital stock. See “Beneficial Ownership of Common Stock.” In addition, the Board of Directors considered the fact that we were previously a party to a professional services agreement with Endeavour Capital IV, LLC, which terminated by its terms upon the closing of our initial public offering, pursuant to which Endeavour Capital IV, LLC served as a consultant to our Board of Directors on business and financial matters in exchange for a consulting fee. See “Certain Relationships and Related Transactions — Endeavour Professional Services Agreement.” The Board of Directors also considered the fact that we were a party to a stockholders agreement with the Endeavour Entities, which terminated by its terms upon the closing of our initial public offering, and an investor rights agreement with the Endeavour Entities, among others, in connection with their ownership of our capital stock, portions of which continue in effect. See “Certain Relationships and Related Transactions — Stockholders Agreement” and “— Investor Rights Agreement.” With respect to Mr. Dorman, our Board of Directors also reviewed the fact that his sister-in-law received education scholarships from Grand Canyon University during 2008 valued at less than $20,000. After reviewing these relationships between us, the Endeavour Entities, and Messrs. Heath and Dorman, and considering that the affiliation between Messrs. Heath and Dorman and the Endeavour Entities will positively align their interests with those of our public stockholders, our Board of Directors has affirmatively determined (with Messrs. Heath and Dorman abstaining) that, in its judgment, Messrs. Heath and Dorman meet the applicable independence standards established by the Nasdaq Stock Market and that these relationships do not interfere with the exercise of independent judgment by these directors.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89"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6"/>
          <w:szCs w:val="16"/>
          <w:i w:val="1"/>
          <w:iCs w:val="1"/>
          <w:color w:val="auto"/>
        </w:rPr>
        <w:t>www.gcu.edu.</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7"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Our current audit committee was formed upon consummation of our initial public offering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2008 and consists of Messrs. Henry (chair) and Johnson. During fiscal 2008, our audit committee met three times, with all meetings occurring prior to our initial public offering.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committee is also responsible for discussing the effectiveness of the internal controls over financial reporting with the firm and relevant financial management. Our Board of Directors has determined that each of Messrs. Henry and Johnson is “independent,” as defined under and required by the rules of the Nasdaq Stock Market and the federal securities laws, and has also determined that each of Messrs. Henry and Johnson qualifies as an “audit committee financial expert,” as defined under the rules of the federal securities laws. For information regarding the qualifications of each member of the audit committee, please see the biographical information set forth above.</w:t>
      </w:r>
    </w:p>
    <w:p>
      <w:pPr>
        <w:spacing w:after="0" w:line="146"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Our current compensation committee was formed upon the consummation of our initial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in November 2008 and consists of Messrs. Johnson (chair), Heath, and Dorman. During fiscal 2008, our compensation committee met one time to approve equity grants made in connection with our initial public offering. The compensation committee is responsible for, among other things, supervising and reviewing our affairs as they relate to the compensation and benefits of our executive officers.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has determined that each of Messrs. Johnson, Heath, and Dorman is “independent,” as defined under and required by the rules of the Nasdaq Stock Market.</w:t>
      </w:r>
    </w:p>
    <w:p>
      <w:pPr>
        <w:spacing w:after="0" w:line="138"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Our nominating and corporate governance committee was formed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consummation of our initial public offering in November 2008 and consists of Messrs. Heath (chair) and Dorman. Prior to our initial public offering, we did not have a standing nominating and corporate governance committee, and such committee did not meet in fiscal 2008. The nominating and corporate governance committee is responsible for, among other things, identifying individuals qualified to become board members; recommending to the Board of Directors director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 The Board of Directors has determined that each of Messrs. Heath and Dorman is “independent,” as defined under and required by the rules of the Nasdaq Stock Market.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Conduct</w:t>
      </w:r>
    </w:p>
    <w:p>
      <w:pPr>
        <w:spacing w:after="0" w:line="202"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 xml:space="preserve">We have adopted our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Nomination Process</w:t>
      </w:r>
    </w:p>
    <w:p>
      <w:pPr>
        <w:spacing w:after="0" w:line="202"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130" w:lineRule="exact"/>
        <w:rPr>
          <w:sz w:val="20"/>
          <w:szCs w:val="20"/>
          <w:color w:val="auto"/>
        </w:rPr>
      </w:pPr>
    </w:p>
    <w:p>
      <w:pPr>
        <w:ind w:left="1040" w:right="679" w:hanging="343"/>
        <w:spacing w:after="0" w:line="264" w:lineRule="auto"/>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113" w:lineRule="exact"/>
        <w:rPr>
          <w:rFonts w:ascii="Arial" w:cs="Arial" w:eastAsia="Arial" w:hAnsi="Arial"/>
          <w:sz w:val="18"/>
          <w:szCs w:val="18"/>
          <w:b w:val="1"/>
          <w:bCs w:val="1"/>
          <w:color w:val="auto"/>
        </w:rPr>
      </w:pPr>
    </w:p>
    <w:p>
      <w:pPr>
        <w:ind w:left="1040" w:right="699" w:hanging="343"/>
        <w:spacing w:after="0" w:line="277" w:lineRule="auto"/>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review of the candidates’ qualifications by our nominating and corporate governance committee to determine which candidates best meet our Board of Directors’ required and desired criteria;</w:t>
      </w:r>
    </w:p>
    <w:p>
      <w:pPr>
        <w:spacing w:after="0" w:line="102" w:lineRule="exact"/>
        <w:rPr>
          <w:rFonts w:ascii="Arial" w:cs="Arial" w:eastAsia="Arial" w:hAnsi="Arial"/>
          <w:sz w:val="18"/>
          <w:szCs w:val="18"/>
          <w:b w:val="1"/>
          <w:bCs w:val="1"/>
          <w:color w:val="auto"/>
        </w:rPr>
      </w:pPr>
    </w:p>
    <w:p>
      <w:pPr>
        <w:ind w:left="1040" w:right="1379" w:hanging="343"/>
        <w:spacing w:after="0" w:line="308" w:lineRule="auto"/>
        <w:tabs>
          <w:tab w:leader="none" w:pos="104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interviews of interested candidates who best meet these criteria by the chair of the nominating and corporate governance committee, the chair of our Board of Directors, and/or certain other directors;</w:t>
      </w:r>
    </w:p>
    <w:p>
      <w:pPr>
        <w:spacing w:after="0" w:line="79" w:lineRule="exact"/>
        <w:rPr>
          <w:rFonts w:ascii="Arial" w:cs="Arial" w:eastAsia="Arial" w:hAnsi="Arial"/>
          <w:sz w:val="17"/>
          <w:szCs w:val="17"/>
          <w:b w:val="1"/>
          <w:bCs w:val="1"/>
          <w:color w:val="auto"/>
        </w:rPr>
      </w:pPr>
    </w:p>
    <w:p>
      <w:pPr>
        <w:ind w:left="1040" w:right="699" w:hanging="343"/>
        <w:spacing w:after="0" w:line="264" w:lineRule="auto"/>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11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formal nomination by our Board of Directors.</w:t>
      </w:r>
    </w:p>
    <w:p>
      <w:pPr>
        <w:spacing w:after="0" w:line="185" w:lineRule="exact"/>
        <w:rPr>
          <w:sz w:val="20"/>
          <w:szCs w:val="20"/>
          <w:color w:val="auto"/>
        </w:rPr>
      </w:pPr>
    </w:p>
    <w:p>
      <w:pPr>
        <w:ind w:left="340" w:right="759" w:firstLine="373"/>
        <w:spacing w:after="0" w:line="272" w:lineRule="auto"/>
        <w:rPr>
          <w:sz w:val="20"/>
          <w:szCs w:val="20"/>
          <w:color w:val="auto"/>
        </w:rPr>
      </w:pPr>
      <w:r>
        <w:rPr>
          <w:rFonts w:ascii="Arial" w:cs="Arial" w:eastAsia="Arial" w:hAnsi="Arial"/>
          <w:sz w:val="17"/>
          <w:szCs w:val="17"/>
          <w:color w:val="auto"/>
        </w:rPr>
        <w:t>Although our nominating and corporate governance committee will review each candidate’s qualifications to determine whether each candidate is appropriate for our Board of Directors, candidates need not possess any minimum qualifications or specific qualities or skills. Our nominating and corporate governance committee will reassess the qualifications of a director, including the director’s performance on our board to date, the director’s current employment, the director’s service on other boards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51"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2010 Annual Meeting of Stockholders, stockholder nominations must be received by December 26, 2009.</w:t>
      </w:r>
    </w:p>
    <w:p>
      <w:pPr>
        <w:spacing w:after="0" w:line="137"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a description of all arrangements or understandings between the stockholder or such beneficial owner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(v) the consent of each nominee to serve as a director of the Company if so elected; and (vi) the class, if applicable, and number of shares of the Company that are owned beneficially and of record by such stockholder and such beneficial owner.</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2" w:lineRule="exact"/>
        <w:rPr>
          <w:sz w:val="20"/>
          <w:szCs w:val="20"/>
          <w:color w:val="auto"/>
        </w:rPr>
      </w:pPr>
    </w:p>
    <w:p>
      <w:pPr>
        <w:ind w:left="340" w:right="639" w:firstLine="373"/>
        <w:spacing w:after="0" w:line="286" w:lineRule="auto"/>
        <w:rPr>
          <w:sz w:val="20"/>
          <w:szCs w:val="20"/>
          <w:color w:val="auto"/>
        </w:rPr>
      </w:pPr>
      <w:r>
        <w:rPr>
          <w:rFonts w:ascii="Arial" w:cs="Arial" w:eastAsia="Arial" w:hAnsi="Arial"/>
          <w:sz w:val="17"/>
          <w:szCs w:val="17"/>
          <w:color w:val="auto"/>
        </w:rPr>
        <w:t>During 2008, Messrs. Johnson, Heath and Dorman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2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For information regarding transactions between us and Endeavour Capital, the private equity firm with which Messrs. Heath and Dorman are managing directors, see “Certain Relationships and Related Transactions.”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02"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Stockholders may communicate with any of our directors, including our lead outside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23" w:lineRule="exact"/>
        <w:rPr>
          <w:sz w:val="20"/>
          <w:szCs w:val="20"/>
          <w:color w:val="auto"/>
        </w:rPr>
      </w:pPr>
    </w:p>
    <w:p>
      <w:pPr>
        <w:ind w:left="340" w:right="719" w:firstLine="373"/>
        <w:spacing w:after="0" w:line="266" w:lineRule="auto"/>
        <w:rPr>
          <w:sz w:val="20"/>
          <w:szCs w:val="20"/>
          <w:color w:val="auto"/>
        </w:rPr>
      </w:pPr>
      <w:r>
        <w:rPr>
          <w:rFonts w:ascii="Arial" w:cs="Arial" w:eastAsia="Arial" w:hAnsi="Arial"/>
          <w:sz w:val="18"/>
          <w:szCs w:val="18"/>
          <w:b w:val="1"/>
          <w:bCs w:val="1"/>
          <w:color w:val="auto"/>
        </w:rPr>
        <w:t>OUR BOARD OF DIRECTORS UNANIMOUSLY RECOMMENDS THAT THE STOCKHOLDERS VOTE FOR THE ELECTION OF EACH OF THE SEVEN NOMINEES LISTED ABOVE TO CONSTITUTE OUR BOARD OF DIRECTORS.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84"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The firm of Ernst &amp; Young LLP (“Ernst &amp; Young”) has been our independent registered public accounting firm since 2008. Our audit committee has selected Ernst &amp; Young to serve as our independent registered public accounting firm for the fiscal year ending December 31, 2009. While it is not required to do so, our audit committee is submitting the selection of that firm for ratification in order to ascertain the view of our stockholders. In the event the stockholders fail to ratify the selection, the adverse vote will be considered a direction to the audit committee to consider other auditors for next year. Even if the selection is ratified, the audit committee, in its discretion, may direct the appointment of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Ernst &amp; Young as our independent registered public accounting firm for the fiscal year ending December 31, 2009.</w:t>
      </w:r>
    </w:p>
    <w:p>
      <w:pPr>
        <w:spacing w:after="0" w:line="126" w:lineRule="exact"/>
        <w:rPr>
          <w:sz w:val="20"/>
          <w:szCs w:val="20"/>
          <w:color w:val="auto"/>
        </w:rPr>
      </w:pPr>
    </w:p>
    <w:p>
      <w:pPr>
        <w:ind w:left="340" w:right="599" w:firstLine="373"/>
        <w:spacing w:after="0" w:line="308" w:lineRule="auto"/>
        <w:rPr>
          <w:sz w:val="20"/>
          <w:szCs w:val="20"/>
          <w:color w:val="auto"/>
        </w:rPr>
      </w:pPr>
      <w:r>
        <w:rPr>
          <w:rFonts w:ascii="Arial" w:cs="Arial" w:eastAsia="Arial" w:hAnsi="Arial"/>
          <w:sz w:val="17"/>
          <w:szCs w:val="17"/>
          <w:color w:val="auto"/>
        </w:rPr>
        <w:t>A representative of Ernst &amp; Young will be present at the meeting, will be afforded an opportunity to make a statement if the representative so desires, and will be available to respond to appropriate questions during the meeting.</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Fees</w:t>
      </w:r>
    </w:p>
    <w:p>
      <w:pPr>
        <w:spacing w:after="0" w:line="202" w:lineRule="exact"/>
        <w:rPr>
          <w:sz w:val="20"/>
          <w:szCs w:val="20"/>
          <w:color w:val="auto"/>
        </w:rPr>
      </w:pPr>
    </w:p>
    <w:p>
      <w:pPr>
        <w:ind w:left="340" w:right="1019" w:firstLine="373"/>
        <w:spacing w:after="0" w:line="277" w:lineRule="auto"/>
        <w:rPr>
          <w:sz w:val="20"/>
          <w:szCs w:val="20"/>
          <w:color w:val="auto"/>
        </w:rPr>
      </w:pPr>
      <w:r>
        <w:rPr>
          <w:rFonts w:ascii="Arial" w:cs="Arial" w:eastAsia="Arial" w:hAnsi="Arial"/>
          <w:sz w:val="18"/>
          <w:szCs w:val="18"/>
          <w:color w:val="auto"/>
        </w:rPr>
        <w:t>For the year ended December 31, 2008, Ernst &amp; Young billed us the amounts set forth below for professional services rendered in connection with audit, audit-related, tax and other professional services.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Services Rendered</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r>
              <w:rPr>
                <w:rFonts w:ascii="Arial" w:cs="Arial" w:eastAsia="Arial" w:hAnsi="Arial"/>
                <w:sz w:val="15"/>
                <w:szCs w:val="15"/>
                <w:color w:val="auto"/>
                <w:w w:val="99"/>
              </w:rPr>
              <w:t>(1)</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2,962,247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3,060,594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680" w:right="779" w:hanging="348"/>
        <w:spacing w:after="0" w:line="306"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connection with our initial public offering in 2008, we engaged Ernst &amp; Young to audit our financial statements for the years ended December 31, 2005, 2006, and 2007. All fees for such services were billed and paid in 2008.</w:t>
      </w:r>
    </w:p>
    <w:p>
      <w:pPr>
        <w:spacing w:after="0" w:line="1" w:lineRule="exact"/>
        <w:rPr>
          <w:rFonts w:ascii="Arial" w:cs="Arial" w:eastAsia="Arial" w:hAnsi="Arial"/>
          <w:sz w:val="17"/>
          <w:szCs w:val="17"/>
          <w:color w:val="auto"/>
        </w:rPr>
      </w:pPr>
    </w:p>
    <w:p>
      <w:pPr>
        <w:ind w:left="680" w:right="579" w:hanging="348"/>
        <w:spacing w:after="0" w:line="293"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Audit Fees relate to assurance and related services for the audits of the annual financial statements for fiscal years 2005, 2006, 2007, and 2008, for the review of quarterly financial statements, and for services that are normally provided by the auditor in connection with statutory and regulatory filings or engagements. In 2008, $553,584 of the Audit Fees related to audit services expensed in 2008, and $2,408,663 of the Audit Fees related to services provided in connection with our initial public offering, including the filing of our Registration Statement on Form S-1, the audit of our 2005, 2006, and 2007 financial statements, and the review of quarterly financial statements during the pendency of the initial public offering.</w:t>
      </w:r>
    </w:p>
    <w:p>
      <w:pPr>
        <w:spacing w:after="0" w:line="16" w:lineRule="exact"/>
        <w:rPr>
          <w:rFonts w:ascii="Arial" w:cs="Arial" w:eastAsia="Arial" w:hAnsi="Arial"/>
          <w:sz w:val="16"/>
          <w:szCs w:val="16"/>
          <w:color w:val="auto"/>
        </w:rPr>
      </w:pPr>
    </w:p>
    <w:p>
      <w:pPr>
        <w:ind w:left="680" w:right="1279"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2008, Tax Fees consisted of $20,599 for tax advisory services, $32,421 for tax return services, and $45,327 for assistance with IRS examinations.</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had no Audit-Related Fees or Other Fees in 2008.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89"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61" w:lineRule="exact"/>
        <w:rPr>
          <w:sz w:val="20"/>
          <w:szCs w:val="20"/>
          <w:color w:val="auto"/>
        </w:rPr>
      </w:pPr>
    </w:p>
    <w:p>
      <w:pPr>
        <w:ind w:left="340" w:right="699" w:firstLine="373"/>
        <w:spacing w:after="0" w:line="342" w:lineRule="auto"/>
        <w:rPr>
          <w:sz w:val="20"/>
          <w:szCs w:val="20"/>
          <w:color w:val="auto"/>
        </w:rPr>
      </w:pPr>
      <w:r>
        <w:rPr>
          <w:rFonts w:ascii="Arial" w:cs="Arial" w:eastAsia="Arial" w:hAnsi="Arial"/>
          <w:sz w:val="16"/>
          <w:szCs w:val="16"/>
          <w:color w:val="auto"/>
        </w:rPr>
        <w:t>On a regular basis, management provides written updates to the audit committee regarding the amount of audit and non-audit service fees incurred to date. All of the services described above for fiscal 2008 were approved by our Board of Directors.</w:t>
      </w:r>
    </w:p>
    <w:p>
      <w:pPr>
        <w:spacing w:after="0" w:line="79" w:lineRule="exact"/>
        <w:rPr>
          <w:sz w:val="20"/>
          <w:szCs w:val="20"/>
          <w:color w:val="auto"/>
        </w:rPr>
      </w:pPr>
    </w:p>
    <w:p>
      <w:pPr>
        <w:ind w:left="340" w:right="719" w:firstLine="373"/>
        <w:spacing w:after="0" w:line="266" w:lineRule="auto"/>
        <w:rPr>
          <w:sz w:val="20"/>
          <w:szCs w:val="20"/>
          <w:color w:val="auto"/>
        </w:rPr>
      </w:pPr>
      <w:r>
        <w:rPr>
          <w:rFonts w:ascii="Arial" w:cs="Arial" w:eastAsia="Arial" w:hAnsi="Arial"/>
          <w:sz w:val="18"/>
          <w:szCs w:val="18"/>
          <w:b w:val="1"/>
          <w:bCs w:val="1"/>
          <w:color w:val="auto"/>
        </w:rPr>
        <w:t>OUR BOARD OF DIRECTORS UNANIMOUSLY RECOMMENDS THAT THE STOCKHOLDERS VOTE FOR THE RATIFICATION OF THE APPOINTMENT OF ERNST &amp; YOUNG LLP AS OUR INDEPENDENT REGISTERED PUBLIC ACCOUNTING FIRM FOR THE FISCAL YEAR ENDING DECEMBER 31, 2009.</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ind w:left="340" w:right="619" w:firstLine="373"/>
        <w:spacing w:after="0" w:line="279" w:lineRule="auto"/>
        <w:rPr>
          <w:sz w:val="20"/>
          <w:szCs w:val="20"/>
          <w:color w:val="auto"/>
        </w:rPr>
      </w:pPr>
      <w:r>
        <w:rPr>
          <w:rFonts w:ascii="Arial" w:cs="Arial" w:eastAsia="Arial" w:hAnsi="Arial"/>
          <w:sz w:val="17"/>
          <w:szCs w:val="17"/>
          <w:color w:val="auto"/>
        </w:rPr>
        <w:t>The role of our audit committee, which is composed of two independent, non-employee directors, is one of oversight of our Company’s management and independent registered public accounting firm in regard to our Company’s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31"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2008, with management; (b) discussed with our Company’s independent registered public accounting firm the matters required to be discussed by Statement on Auditing Standards No. 61, as amended, regarding communication with audit committees (Codification of Statements on Auditing Standards, AU § 380); (c)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27"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Based on the review and discussions with management and our Company’s independent registered public accounting firm referred to above, we recommended to our Company’s Board of Directors that the audited financial statements be included in our Company’s Annual Report on Form 10-K for the fiscal year ended December 31, 2008, for filing with the Securities and Exchange Commission.</w:t>
      </w:r>
    </w:p>
    <w:p>
      <w:pPr>
        <w:spacing w:after="0" w:line="18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David J. Johnson</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OFFICERS</w:t>
      </w:r>
    </w:p>
    <w:p>
      <w:pPr>
        <w:spacing w:after="0" w:line="202"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Executive Chairman, Brian E. Mueller, our Chief Executive Officer and a director, and Christopher C. Richardson, our General Counsel and a director,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80" w:type="dxa"/>
            <w:vAlign w:val="bottom"/>
          </w:tcPr>
          <w:p>
            <w:pPr>
              <w:spacing w:after="0"/>
              <w:rPr>
                <w:sz w:val="20"/>
                <w:szCs w:val="20"/>
                <w:color w:val="auto"/>
              </w:rPr>
            </w:pPr>
          </w:p>
        </w:tc>
        <w:tc>
          <w:tcPr>
            <w:tcW w:w="496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6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38</w:t>
            </w: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Dr. W. Stan Meyer</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48</w:t>
            </w:r>
          </w:p>
        </w:tc>
        <w:tc>
          <w:tcPr>
            <w:tcW w:w="28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6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45</w:t>
            </w: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Grand Canyon University President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Michael S. Lacrosse</w:t>
            </w:r>
          </w:p>
        </w:tc>
        <w:tc>
          <w:tcPr>
            <w:tcW w:w="6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53</w:t>
            </w:r>
          </w:p>
        </w:tc>
        <w:tc>
          <w:tcPr>
            <w:tcW w:w="28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Information Officer</w:t>
            </w:r>
          </w:p>
        </w:tc>
      </w:tr>
    </w:tbl>
    <w:p>
      <w:pPr>
        <w:spacing w:after="0" w:line="161"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i w:val="1"/>
          <w:iCs w:val="1"/>
          <w:color w:val="auto"/>
        </w:rPr>
        <w:t xml:space="preserve">Daniel E. Bachus </w:t>
      </w:r>
      <w:r>
        <w:rPr>
          <w:rFonts w:ascii="Arial" w:cs="Arial" w:eastAsia="Arial" w:hAnsi="Arial"/>
          <w:sz w:val="18"/>
          <w:szCs w:val="18"/>
          <w:color w:val="auto"/>
        </w:rPr>
        <w:t>has been serving as our Chief Financial Officer since July 1, 2008. From January 2007 until June 2008,</w:t>
      </w:r>
      <w:r>
        <w:rPr>
          <w:rFonts w:ascii="Arial" w:cs="Arial" w:eastAsia="Arial" w:hAnsi="Arial"/>
          <w:sz w:val="18"/>
          <w:szCs w:val="18"/>
          <w:i w:val="1"/>
          <w:iCs w:val="1"/>
          <w:color w:val="auto"/>
        </w:rPr>
        <w:t xml:space="preserve"> </w:t>
      </w:r>
      <w:r>
        <w:rPr>
          <w:rFonts w:ascii="Arial" w:cs="Arial" w:eastAsia="Arial" w:hAnsi="Arial"/>
          <w:sz w:val="18"/>
          <w:szCs w:val="18"/>
          <w:color w:val="auto"/>
        </w:rPr>
        <w:t>Mr. 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in Business Administration degree from the University of Phoenix. Mr. Bachus is also a certified public accountant.</w:t>
      </w:r>
    </w:p>
    <w:p>
      <w:pPr>
        <w:spacing w:after="0" w:line="149"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Executive Vice President since July 1, 2008. From August 2002 to June 2008,</w:t>
      </w:r>
      <w:r>
        <w:rPr>
          <w:rFonts w:ascii="Arial" w:cs="Arial" w:eastAsia="Arial" w:hAnsi="Arial"/>
          <w:sz w:val="16"/>
          <w:szCs w:val="16"/>
          <w:i w:val="1"/>
          <w:iCs w:val="1"/>
          <w:color w:val="auto"/>
        </w:rPr>
        <w:t xml:space="preserve"> </w:t>
      </w:r>
      <w:r>
        <w:rPr>
          <w:rFonts w:ascii="Arial" w:cs="Arial" w:eastAsia="Arial" w:hAnsi="Arial"/>
          <w:sz w:val="16"/>
          <w:szCs w:val="16"/>
          <w:color w:val="auto"/>
        </w:rPr>
        <w:t>Dr. Meyer was employed by Apollo Group, Inc., a for-profit, postsecondary education company and the parent company of the University of Phoenix, serving since June 2006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39" w:lineRule="exact"/>
        <w:rPr>
          <w:sz w:val="20"/>
          <w:szCs w:val="20"/>
          <w:color w:val="auto"/>
        </w:rPr>
      </w:pPr>
    </w:p>
    <w:p>
      <w:pPr>
        <w:ind w:left="340" w:right="639" w:firstLine="373"/>
        <w:spacing w:after="0" w:line="293" w:lineRule="auto"/>
        <w:rPr>
          <w:sz w:val="20"/>
          <w:szCs w:val="20"/>
          <w:color w:val="auto"/>
        </w:rPr>
      </w:pPr>
      <w:r>
        <w:rPr>
          <w:rFonts w:ascii="Arial" w:cs="Arial" w:eastAsia="Arial" w:hAnsi="Arial"/>
          <w:sz w:val="16"/>
          <w:szCs w:val="16"/>
          <w:i w:val="1"/>
          <w:iCs w:val="1"/>
          <w:color w:val="auto"/>
        </w:rPr>
        <w:t xml:space="preserve">Dr. Kathy Player </w:t>
      </w:r>
      <w:r>
        <w:rPr>
          <w:rFonts w:ascii="Arial" w:cs="Arial" w:eastAsia="Arial" w:hAnsi="Arial"/>
          <w:sz w:val="16"/>
          <w:szCs w:val="16"/>
          <w:color w:val="auto"/>
        </w:rPr>
        <w:t>has been serving as Grand Canyon University President since July 31, 2008. From 2007 to July 2008, she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Provost and Chief Academic Officer. From 1998 to 2007, Dr. Player served in several other leadership roles at Grand Canyon University, including most recently as Dean of the Ken Blanchard College of Business. Dr. Player received a Bachelor of Science degree in Nursing from St. Joseph’s College, a Master of Business Administration degree and a Master of Science degree in Nursing Leadership from Grand Canyon University, a Master of Science degree in Counseling from Nova Southeastern University, and a Doctorate of Education degree in Counseling Psychology from the University of Sarasota.</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Michael S. Lacrosse </w:t>
      </w:r>
      <w:r>
        <w:rPr>
          <w:rFonts w:ascii="Arial" w:cs="Arial" w:eastAsia="Arial" w:hAnsi="Arial"/>
          <w:sz w:val="17"/>
          <w:szCs w:val="17"/>
          <w:color w:val="auto"/>
        </w:rPr>
        <w:t>has been serving as our Chief Information Officer since August 2006. From February 2001 to</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August 2006, Mr. Lacrosse served as chief information officer of Trax Technology, a global transportation management firm,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21st Century Learning, an educational technology company which provides supplemental curricula to K-12 students,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development opportunities for teachers and administrators, and educational programs for parents.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left="340" w:right="839" w:firstLine="373"/>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 who consist of our principal executive officer and former principal executive officer, our principal financial officer and former principal financial officer, and our four other most highly compensated executive officers whose total compensation for the fiscal year ended December 31, 2008, was in excess of $100,000 and who were serving as executive officers at the end of that fiscal year, all as set forth in the Summary Compensation Table set forth below.</w:t>
      </w:r>
    </w:p>
    <w:p>
      <w:pPr>
        <w:spacing w:after="0" w:line="153" w:lineRule="exact"/>
        <w:rPr>
          <w:sz w:val="20"/>
          <w:szCs w:val="20"/>
          <w:color w:val="auto"/>
        </w:rPr>
      </w:pPr>
    </w:p>
    <w:p>
      <w:pPr>
        <w:ind w:left="340" w:right="799" w:firstLine="373"/>
        <w:spacing w:after="0" w:line="286" w:lineRule="auto"/>
        <w:rPr>
          <w:sz w:val="20"/>
          <w:szCs w:val="20"/>
          <w:color w:val="auto"/>
        </w:rPr>
      </w:pPr>
      <w:r>
        <w:rPr>
          <w:rFonts w:ascii="Arial" w:cs="Arial" w:eastAsia="Arial" w:hAnsi="Arial"/>
          <w:sz w:val="17"/>
          <w:szCs w:val="17"/>
          <w:color w:val="auto"/>
        </w:rPr>
        <w:t>This compensation discussion and analysis addresses and explains the compensation practices we followed in 2008, the numerical and related information contained in the summary compensation and related tables presented below, and actions we have taken regarding executive compensation since the end of our 2008 fiscal year.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98" w:lineRule="exact"/>
        <w:rPr>
          <w:sz w:val="20"/>
          <w:szCs w:val="20"/>
          <w:color w:val="auto"/>
        </w:rPr>
      </w:pPr>
    </w:p>
    <w:p>
      <w:pPr>
        <w:ind w:left="340" w:right="699" w:firstLine="373"/>
        <w:spacing w:after="0" w:line="270" w:lineRule="auto"/>
        <w:rPr>
          <w:sz w:val="20"/>
          <w:szCs w:val="20"/>
          <w:color w:val="auto"/>
        </w:rPr>
      </w:pPr>
      <w:r>
        <w:rPr>
          <w:rFonts w:ascii="Arial" w:cs="Arial" w:eastAsia="Arial" w:hAnsi="Arial"/>
          <w:sz w:val="17"/>
          <w:szCs w:val="17"/>
          <w:color w:val="auto"/>
        </w:rPr>
        <w:t>Prior to our initial public offering in November 2008, we were a privately-held company with a relatively small number of stockholders, including our lead outside investor, Endeavour Capital, and we had not been subject to exchange listing requirements requiring us to have a majority independent board or to exchange or SEC rules relating to the formation and functioning of board committees. As such, most, if not all, of our compensation policies, and determinations applicable to our named executive officers, have historically been the product of negotiation between our named executive officers and two representatives of Endeavour Capital who serve as our outside directors. In addition, all of our named executive officers who appear in the Summary Compensation Table, other than Messrs. Lacrosse and Fischer, are parties to employment agreements, and the level of salary to be in effect for those officers over the term of their employment agreements was determined as part of the negotiation process relating to such agreements.</w:t>
      </w:r>
    </w:p>
    <w:p>
      <w:pPr>
        <w:spacing w:after="0" w:line="141"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The charter that was adopted by our compensation committee in connection with our initial public offering empowers our compensation committee to set all executive compensation, including, but not limited to, salary, bonus, incentive compensation, equity awards, benefits and perquisites. Our compensation committee will make such determinations with respect to our chief executive officer and, for all other executives, will make such determinations in consultation with our chief executive officer. For additional information regarding the compensation committee, please see “Proposal No. 1 — Election of Directors — Committees of Our Board of Directors — Compensation Committee.”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98" w:lineRule="exact"/>
        <w:rPr>
          <w:sz w:val="20"/>
          <w:szCs w:val="20"/>
          <w:color w:val="auto"/>
        </w:rPr>
      </w:pPr>
    </w:p>
    <w:p>
      <w:pPr>
        <w:ind w:left="340" w:right="859" w:firstLine="373"/>
        <w:spacing w:after="0" w:line="302" w:lineRule="auto"/>
        <w:rPr>
          <w:sz w:val="20"/>
          <w:szCs w:val="20"/>
          <w:color w:val="auto"/>
        </w:rPr>
      </w:pPr>
      <w:r>
        <w:rPr>
          <w:rFonts w:ascii="Arial" w:cs="Arial" w:eastAsia="Arial" w:hAnsi="Arial"/>
          <w:sz w:val="16"/>
          <w:szCs w:val="16"/>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w:t>
      </w:r>
    </w:p>
    <w:p>
      <w:pPr>
        <w:spacing w:after="0" w:line="114"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overall performance and with the particular named executive officer’s personal performance and contribution to our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Compensation objectives. </w:t>
      </w:r>
      <w:r>
        <w:rPr>
          <w:rFonts w:ascii="Arial" w:cs="Arial" w:eastAsia="Arial" w:hAnsi="Arial"/>
          <w:sz w:val="16"/>
          <w:szCs w:val="16"/>
          <w:color w:val="auto"/>
        </w:rPr>
        <w:t>We believe that the compensation program we follow helps us achieve the following objectives:</w:t>
      </w:r>
    </w:p>
    <w:p>
      <w:pPr>
        <w:spacing w:after="0" w:line="221" w:lineRule="exact"/>
        <w:rPr>
          <w:sz w:val="20"/>
          <w:szCs w:val="20"/>
          <w:color w:val="auto"/>
        </w:rPr>
      </w:pPr>
    </w:p>
    <w:p>
      <w:pPr>
        <w:ind w:left="1040" w:right="559" w:hanging="343"/>
        <w:spacing w:after="0" w:line="259"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Compensation should be related to performance. </w:t>
      </w:r>
      <w:r>
        <w:rPr>
          <w:rFonts w:ascii="Arial" w:cs="Arial" w:eastAsia="Arial" w:hAnsi="Arial"/>
          <w:sz w:val="18"/>
          <w:szCs w:val="18"/>
          <w:color w:val="auto"/>
        </w:rPr>
        <w:t>We believe that the performance-based portion of an individual’s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should increase as the individual’s business responsibilities increase. Thus, a material portion of executive compensation is linked to our and the individual’s performance, which also serves to align the named executive officers’ interests with those of our investors.</w:t>
      </w:r>
    </w:p>
    <w:p>
      <w:pPr>
        <w:spacing w:after="0" w:line="119" w:lineRule="exact"/>
        <w:rPr>
          <w:rFonts w:ascii="Arial" w:cs="Arial" w:eastAsia="Arial" w:hAnsi="Arial"/>
          <w:sz w:val="18"/>
          <w:szCs w:val="18"/>
          <w:b w:val="1"/>
          <w:bCs w:val="1"/>
          <w:color w:val="auto"/>
        </w:rPr>
      </w:pPr>
    </w:p>
    <w:p>
      <w:pPr>
        <w:ind w:left="1040" w:right="699" w:hanging="343"/>
        <w:spacing w:after="0" w:line="276" w:lineRule="auto"/>
        <w:tabs>
          <w:tab w:leader="none" w:pos="104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Compensation should be competitive and cost effective. </w:t>
      </w:r>
      <w:r>
        <w:rPr>
          <w:rFonts w:ascii="Arial" w:cs="Arial" w:eastAsia="Arial" w:hAnsi="Arial"/>
          <w:sz w:val="17"/>
          <w:szCs w:val="17"/>
          <w:color w:val="auto"/>
        </w:rPr>
        <w:t>We believe that our compensation programs should foster an</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innovative, high integrity, and performance-oriented culture that serves to attract, motivate, and retain executives and other key employees with the appropriate skill sets to lead us through expected future growth in a dynamic and competitive environment. Accordingly, we seek to provide compensation in amounts necessary to achieve these goals and which is of fair value relative to other positions at the Company.</w:t>
      </w:r>
    </w:p>
    <w:p>
      <w:pPr>
        <w:spacing w:after="0" w:line="132" w:lineRule="exact"/>
        <w:rPr>
          <w:sz w:val="20"/>
          <w:szCs w:val="20"/>
          <w:color w:val="auto"/>
        </w:rPr>
      </w:pPr>
    </w:p>
    <w:p>
      <w:pPr>
        <w:ind w:left="340" w:right="859" w:firstLine="373"/>
        <w:spacing w:after="0" w:line="286" w:lineRule="auto"/>
        <w:rPr>
          <w:sz w:val="20"/>
          <w:szCs w:val="20"/>
          <w:color w:val="auto"/>
        </w:rPr>
      </w:pPr>
      <w:r>
        <w:rPr>
          <w:rFonts w:ascii="Arial" w:cs="Arial" w:eastAsia="Arial" w:hAnsi="Arial"/>
          <w:sz w:val="17"/>
          <w:szCs w:val="17"/>
          <w:i w:val="1"/>
          <w:iCs w:val="1"/>
          <w:color w:val="auto"/>
        </w:rPr>
        <w:t xml:space="preserve">Company compensation policies. </w:t>
      </w:r>
      <w:r>
        <w:rPr>
          <w:rFonts w:ascii="Arial" w:cs="Arial" w:eastAsia="Arial" w:hAnsi="Arial"/>
          <w:sz w:val="17"/>
          <w:szCs w:val="17"/>
          <w:color w:val="auto"/>
        </w:rPr>
        <w:t>During 2008, our named executive officers’ total in-service compensation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salaries, cash bonuses, share-based compensation, limited perquisites, and other benefits generally available to all employees. With regard to these components, we adhere to the following compensation policies:</w:t>
      </w:r>
    </w:p>
    <w:p>
      <w:pPr>
        <w:spacing w:after="0" w:line="125" w:lineRule="exact"/>
        <w:rPr>
          <w:sz w:val="20"/>
          <w:szCs w:val="20"/>
          <w:color w:val="auto"/>
        </w:rPr>
      </w:pPr>
    </w:p>
    <w:p>
      <w:pPr>
        <w:ind w:left="1040" w:right="659" w:hanging="343"/>
        <w:spacing w:after="0" w:line="276" w:lineRule="auto"/>
        <w:tabs>
          <w:tab w:leader="none" w:pos="104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Founders with significant equity stakes require limited cash or equity incentives. </w:t>
      </w:r>
      <w:r>
        <w:rPr>
          <w:rFonts w:ascii="Arial" w:cs="Arial" w:eastAsia="Arial" w:hAnsi="Arial"/>
          <w:sz w:val="17"/>
          <w:szCs w:val="17"/>
          <w:color w:val="auto"/>
        </w:rPr>
        <w:t>As founders of our Company, Brent</w:t>
      </w:r>
      <w:r>
        <w:rPr>
          <w:rFonts w:ascii="Arial" w:cs="Arial" w:eastAsia="Arial" w:hAnsi="Arial"/>
          <w:sz w:val="17"/>
          <w:szCs w:val="17"/>
          <w:i w:val="1"/>
          <w:iCs w:val="1"/>
          <w:color w:val="auto"/>
        </w:rPr>
        <w:t xml:space="preserve"> </w:t>
      </w:r>
      <w:r>
        <w:rPr>
          <w:rFonts w:ascii="Arial" w:cs="Arial" w:eastAsia="Arial" w:hAnsi="Arial"/>
          <w:sz w:val="17"/>
          <w:szCs w:val="17"/>
          <w:color w:val="auto"/>
        </w:rPr>
        <w:t>D. Richardson and Christopher C. Richardson have significant equity ownership in the Company. We believe that the Richardsons’ ownership stake provides a level of motivation that would not be appreciably enhanced through material cash bonus opportunities or the grant of further equity incentives. Accordingly, in 2008, the Richardsons were compensated solely through base salary and a limited bonus and perquisites.</w:t>
      </w:r>
    </w:p>
    <w:p>
      <w:pPr>
        <w:spacing w:after="0" w:line="105" w:lineRule="exact"/>
        <w:rPr>
          <w:rFonts w:ascii="Arial" w:cs="Arial" w:eastAsia="Arial" w:hAnsi="Arial"/>
          <w:sz w:val="17"/>
          <w:szCs w:val="17"/>
          <w:b w:val="1"/>
          <w:bCs w:val="1"/>
          <w:color w:val="auto"/>
        </w:rPr>
      </w:pPr>
    </w:p>
    <w:p>
      <w:pPr>
        <w:ind w:left="1040" w:right="619" w:hanging="343"/>
        <w:spacing w:after="0" w:line="269" w:lineRule="auto"/>
        <w:tabs>
          <w:tab w:leader="none" w:pos="104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Cash should be the principal component of compensation. </w:t>
      </w:r>
      <w:r>
        <w:rPr>
          <w:rFonts w:ascii="Arial" w:cs="Arial" w:eastAsia="Arial" w:hAnsi="Arial"/>
          <w:sz w:val="17"/>
          <w:szCs w:val="17"/>
          <w:color w:val="auto"/>
        </w:rPr>
        <w:t>Prior to our initial public offering, we did not utilize equity-based incentives and instead focused on providing the opportunity for our named executive officers to earn total cash compensation at levels that enabled us to achieve the motivation and retention goals described above. In connection with the initial public offering, we made significant equity grants to certain of our named executive officers. These grants, in the case of Mr. Mueller, Dr. Meyer, and Mr. Bachus, were negotiated as part of their employment agreements, while the grants made to our other named executive officers were approved by the compensation committee in consultation with management and were intended to compensate them for past services to the Company and to reflect the fact that the Company had not previously provided equity incentives to its employees. Notwithstanding those grants, the Company’s compensation policy focuses most heavily on providing the opportunity for its named executive officers to earn total cash compensation at levels that enable the Company to achieve the motivation and retention goals described above, and to provide equity incentives as a reward for superior performance rather than as a substitute for cash compensation.</w:t>
      </w:r>
    </w:p>
    <w:p>
      <w:pPr>
        <w:spacing w:after="0" w:line="112" w:lineRule="exact"/>
        <w:rPr>
          <w:rFonts w:ascii="Arial" w:cs="Arial" w:eastAsia="Arial" w:hAnsi="Arial"/>
          <w:sz w:val="17"/>
          <w:szCs w:val="17"/>
          <w:b w:val="1"/>
          <w:bCs w:val="1"/>
          <w:color w:val="auto"/>
        </w:rPr>
      </w:pPr>
    </w:p>
    <w:p>
      <w:pPr>
        <w:ind w:left="1040" w:right="719" w:hanging="343"/>
        <w:spacing w:after="0" w:line="279" w:lineRule="auto"/>
        <w:tabs>
          <w:tab w:leader="none" w:pos="104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Base salaries should be the largest component of cash compensation</w:t>
      </w:r>
      <w:r>
        <w:rPr>
          <w:rFonts w:ascii="Arial" w:cs="Arial" w:eastAsia="Arial" w:hAnsi="Arial"/>
          <w:sz w:val="17"/>
          <w:szCs w:val="17"/>
          <w:color w:val="auto"/>
        </w:rPr>
        <w:t>. Our compensation programs should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reflect base salaries as being compensation for the named executive officers to perform the essential elements of their respective jobs, and cash bonuses as a reward for superior Company and individual performance. In this regard, base salary should generally be the largest component of cash compensation.</w:t>
      </w:r>
    </w:p>
    <w:p>
      <w:pPr>
        <w:spacing w:after="0" w:line="103" w:lineRule="exact"/>
        <w:rPr>
          <w:rFonts w:ascii="Arial" w:cs="Arial" w:eastAsia="Arial" w:hAnsi="Arial"/>
          <w:sz w:val="17"/>
          <w:szCs w:val="17"/>
          <w:b w:val="1"/>
          <w:bCs w:val="1"/>
          <w:color w:val="auto"/>
        </w:rPr>
      </w:pPr>
    </w:p>
    <w:p>
      <w:pPr>
        <w:ind w:left="1040" w:right="999" w:hanging="343"/>
        <w:spacing w:after="0" w:line="302" w:lineRule="auto"/>
        <w:tabs>
          <w:tab w:leader="none" w:pos="1040" w:val="left"/>
        </w:tabs>
        <w:numPr>
          <w:ilvl w:val="0"/>
          <w:numId w:val="1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Cash incentives should be linked to performance. </w:t>
      </w:r>
      <w:r>
        <w:rPr>
          <w:rFonts w:ascii="Arial" w:cs="Arial" w:eastAsia="Arial" w:hAnsi="Arial"/>
          <w:sz w:val="16"/>
          <w:szCs w:val="16"/>
          <w:color w:val="auto"/>
        </w:rPr>
        <w:t>The bonuses paid to our named executive officers in 2008 were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fixed amounts agreed upon as part of their employment agreement negotiations. In 2009, we adopted a formal cash bonus plan pursuant to which our executive officers will be judged against overall Company and individual performance. See “- Actions Taken in Current Fiscal Year” below for a description of this plan.</w:t>
      </w:r>
    </w:p>
    <w:p>
      <w:pPr>
        <w:spacing w:after="0" w:line="127" w:lineRule="exact"/>
        <w:rPr>
          <w:sz w:val="20"/>
          <w:szCs w:val="20"/>
          <w:color w:val="auto"/>
        </w:rPr>
      </w:pPr>
    </w:p>
    <w:p>
      <w:pPr>
        <w:ind w:left="340" w:right="1139" w:firstLine="373"/>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98"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41"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2008 fiscal year, our executive compensation mix included base salary, cash</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share-based compensation, limited perquisites, and other benefits generally available to all employees. We generally determine the nature and amount of each element of compensation as follows:</w:t>
      </w:r>
    </w:p>
    <w:p>
      <w:pPr>
        <w:spacing w:after="0" w:line="141" w:lineRule="exact"/>
        <w:rPr>
          <w:sz w:val="20"/>
          <w:szCs w:val="20"/>
          <w:color w:val="auto"/>
        </w:rPr>
      </w:pPr>
    </w:p>
    <w:p>
      <w:pPr>
        <w:ind w:left="1040" w:right="619" w:hanging="343"/>
        <w:spacing w:after="0" w:line="270" w:lineRule="auto"/>
        <w:tabs>
          <w:tab w:leader="none" w:pos="1040" w:val="left"/>
        </w:tabs>
        <w:numPr>
          <w:ilvl w:val="0"/>
          <w:numId w:val="1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typically agree upon a base salary with a named executive officer at the time of initial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which may or may not be reflected in an employment agreement.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other than Messrs. Lacrosse and Fischer, are set by their respective employment agreements, as described below, we review executive salaries annually and may increase them based on an evaluation of the Company’s performance for the year and the performance of the functional areas under an executive’s scope of responsibility. We also consider qualitative criteria, such as education and experience requirements, complexity, and scope or impact of the position compared to other executive positions internally.</w:t>
      </w:r>
    </w:p>
    <w:p>
      <w:pPr>
        <w:spacing w:after="0" w:line="150" w:lineRule="exact"/>
        <w:rPr>
          <w:rFonts w:ascii="Arial" w:cs="Arial" w:eastAsia="Arial" w:hAnsi="Arial"/>
          <w:sz w:val="17"/>
          <w:szCs w:val="17"/>
          <w:b w:val="1"/>
          <w:bCs w:val="1"/>
          <w:color w:val="auto"/>
        </w:rPr>
      </w:pPr>
    </w:p>
    <w:p>
      <w:pPr>
        <w:ind w:left="1040" w:right="719" w:hanging="343"/>
        <w:spacing w:after="0" w:line="285" w:lineRule="auto"/>
        <w:tabs>
          <w:tab w:leader="none" w:pos="104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Bonuses. </w:t>
      </w:r>
      <w:r>
        <w:rPr>
          <w:rFonts w:ascii="Arial" w:cs="Arial" w:eastAsia="Arial" w:hAnsi="Arial"/>
          <w:sz w:val="16"/>
          <w:szCs w:val="16"/>
          <w:color w:val="auto"/>
        </w:rPr>
        <w:t>We provide cash bonuses, which typically are at-risk, to recognize and reward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our success in a given year. In the past, we have primarily awarded bonuses on a discretionary basis. For 2008, we awarded fixed, non-performance-related bonuses to Mr. Mueller ($250,000), Dr. Meyer ($75,000) and Mr. Bachus and Dr. Player ($68,750 each) that were negotiated in connection with the employment agreements we entered into with them prior to our initial public offering, while we awarded discretionary bonuses to</w:t>
      </w:r>
    </w:p>
    <w:p>
      <w:pPr>
        <w:spacing w:after="0" w:line="2" w:lineRule="exact"/>
        <w:rPr>
          <w:rFonts w:ascii="Arial" w:cs="Arial" w:eastAsia="Arial" w:hAnsi="Arial"/>
          <w:sz w:val="16"/>
          <w:szCs w:val="16"/>
          <w:b w:val="1"/>
          <w:bCs w:val="1"/>
          <w:color w:val="auto"/>
        </w:rPr>
      </w:pPr>
    </w:p>
    <w:p>
      <w:pPr>
        <w:ind w:left="1040" w:right="599"/>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Messrs. Richardson and Richardson ($18,000 each), Messrs. Lacrosse and Fischer ($45,000 each) and Dr. Player (to the extent of an additional $6,250) that were primarily intended to reward them for their exceptional efforts expended during 2008 in performing their respective duties while also contributing to our successful initial public offering effort. In 2009, we adopted a formal cash bonus plan pursuant to which our executive officers will be judged against overall Company and individual performance. See “- Actions Taken in Current Fiscal Year” below for a description of this plan.</w:t>
      </w:r>
    </w:p>
    <w:p>
      <w:pPr>
        <w:spacing w:after="0" w:line="153" w:lineRule="exact"/>
        <w:rPr>
          <w:rFonts w:ascii="Arial" w:cs="Arial" w:eastAsia="Arial" w:hAnsi="Arial"/>
          <w:sz w:val="16"/>
          <w:szCs w:val="16"/>
          <w:b w:val="1"/>
          <w:bCs w:val="1"/>
          <w:color w:val="auto"/>
        </w:rPr>
      </w:pPr>
    </w:p>
    <w:p>
      <w:pPr>
        <w:ind w:left="1040" w:right="599" w:hanging="343"/>
        <w:spacing w:after="0" w:line="271" w:lineRule="auto"/>
        <w:tabs>
          <w:tab w:leader="none" w:pos="1040" w:val="left"/>
        </w:tabs>
        <w:numPr>
          <w:ilvl w:val="0"/>
          <w:numId w:val="13"/>
        </w:numPr>
        <w:rPr>
          <w:rFonts w:ascii="Arial" w:cs="Arial" w:eastAsia="Arial" w:hAnsi="Arial"/>
          <w:sz w:val="17"/>
          <w:szCs w:val="17"/>
          <w:b w:val="1"/>
          <w:bCs w:val="1"/>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In connection with our initial public offering, we adopted our 2008 Equity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“Incentive Plan”) and authorized 4,199,937 shares of common stock for grants thereunder. Under the terms of this plan, the number of shares authorized for grants thereunder automatically increased on January 1, 2009 by 2.5% of the number of shares of our common stock issued and outstanding on December 31, 2008, to 5,336,566 shares. We have not made any grants under this plan to our named executive officers other than the grants made in connection with our initial public offering. See “2008 Grants of Plan-Based Awards” for additional detail. In 2009, the Company intends to develop an equity grant program, consistent with the equity incentive policy described below, which will govern future grants of equity incentives.</w:t>
      </w:r>
    </w:p>
    <w:p>
      <w:pPr>
        <w:spacing w:after="0" w:line="138" w:lineRule="exact"/>
        <w:rPr>
          <w:rFonts w:ascii="Arial" w:cs="Arial" w:eastAsia="Arial" w:hAnsi="Arial"/>
          <w:sz w:val="17"/>
          <w:szCs w:val="17"/>
          <w:b w:val="1"/>
          <w:bCs w:val="1"/>
          <w:color w:val="auto"/>
        </w:rPr>
      </w:pPr>
    </w:p>
    <w:p>
      <w:pPr>
        <w:ind w:left="1040" w:right="739" w:hanging="343"/>
        <w:spacing w:after="0" w:line="259" w:lineRule="auto"/>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and enable each individual officer to provide for his or her own needs. Accordingly, in 2008, we provided limited perquisites to our named executive officers. See “Compensation of Executive Officers — Summary Compensation Table” for additional detail.</w:t>
      </w:r>
    </w:p>
    <w:p>
      <w:pPr>
        <w:spacing w:after="0" w:line="159" w:lineRule="exact"/>
        <w:rPr>
          <w:rFonts w:ascii="Arial" w:cs="Arial" w:eastAsia="Arial" w:hAnsi="Arial"/>
          <w:sz w:val="18"/>
          <w:szCs w:val="18"/>
          <w:b w:val="1"/>
          <w:bCs w:val="1"/>
          <w:color w:val="auto"/>
        </w:rPr>
      </w:pPr>
    </w:p>
    <w:p>
      <w:pPr>
        <w:ind w:left="1040" w:right="639" w:hanging="343"/>
        <w:spacing w:after="0" w:line="291" w:lineRule="auto"/>
        <w:tabs>
          <w:tab w:leader="none" w:pos="104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key executives for the purpose of meeting current and future health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that we entered into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named executive officers, other than Messrs. Lacrosse and Fischer, 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2008 pursuant to the written employment agreements consisted of the following:</w:t>
      </w:r>
    </w:p>
    <w:p>
      <w:pPr>
        <w:spacing w:after="0" w:line="137" w:lineRule="exact"/>
        <w:rPr>
          <w:sz w:val="20"/>
          <w:szCs w:val="20"/>
          <w:color w:val="auto"/>
        </w:rPr>
      </w:pPr>
    </w:p>
    <w:p>
      <w:pPr>
        <w:ind w:left="1040" w:right="1319" w:hanging="343"/>
        <w:spacing w:after="0" w:line="277"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12 months following any qualifying termination of employment.</w:t>
      </w:r>
    </w:p>
    <w:p>
      <w:pPr>
        <w:spacing w:after="0" w:line="129"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 -paid premiums for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group health benefits under COBRA during the 12-month salary continuation period.</w:t>
      </w:r>
    </w:p>
    <w:p>
      <w:pPr>
        <w:spacing w:after="0" w:line="143" w:lineRule="exact"/>
        <w:rPr>
          <w:rFonts w:ascii="Arial" w:cs="Arial" w:eastAsia="Arial" w:hAnsi="Arial"/>
          <w:sz w:val="18"/>
          <w:szCs w:val="18"/>
          <w:b w:val="1"/>
          <w:bCs w:val="1"/>
          <w:color w:val="auto"/>
        </w:rPr>
      </w:pPr>
    </w:p>
    <w:p>
      <w:pPr>
        <w:ind w:left="1040" w:right="579" w:hanging="343"/>
        <w:spacing w:after="0" w:line="264"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Partially accelerated vesting of stock options</w:t>
      </w:r>
      <w:r>
        <w:rPr>
          <w:rFonts w:ascii="Arial" w:cs="Arial" w:eastAsia="Arial" w:hAnsi="Arial"/>
          <w:sz w:val="18"/>
          <w:szCs w:val="18"/>
          <w:color w:val="auto"/>
        </w:rPr>
        <w:t>. Mr. Mueller, Dr. Meyer, and Mr. Bachus would receive partial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the vesting of their stock options to the next vesting date immediately following the date of termination, in the event of a termination by us without Cause or by the executive for Good Reason</w:t>
      </w:r>
    </w:p>
    <w:p>
      <w:pPr>
        <w:spacing w:after="0" w:line="140" w:lineRule="exact"/>
        <w:rPr>
          <w:rFonts w:ascii="Arial" w:cs="Arial" w:eastAsia="Arial" w:hAnsi="Arial"/>
          <w:sz w:val="18"/>
          <w:szCs w:val="18"/>
          <w:b w:val="1"/>
          <w:bCs w:val="1"/>
          <w:color w:val="auto"/>
        </w:rPr>
      </w:pPr>
    </w:p>
    <w:p>
      <w:pPr>
        <w:ind w:left="1040" w:right="859" w:hanging="343"/>
        <w:spacing w:after="0" w:line="264"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 Reason within 12 months following a Change in Control, each named executive officer would receive full acceleration of the vesting of their stock options.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“Potential Payments Upon Termination or Change in Control” for additional detail.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85" w:lineRule="exact"/>
        <w:rPr>
          <w:sz w:val="20"/>
          <w:szCs w:val="20"/>
          <w:color w:val="auto"/>
        </w:rPr>
      </w:pPr>
    </w:p>
    <w:p>
      <w:pPr>
        <w:ind w:left="340" w:right="1119" w:firstLine="373"/>
        <w:spacing w:after="0" w:line="277" w:lineRule="auto"/>
        <w:rPr>
          <w:sz w:val="20"/>
          <w:szCs w:val="20"/>
          <w:color w:val="auto"/>
        </w:rPr>
      </w:pPr>
      <w:r>
        <w:rPr>
          <w:rFonts w:ascii="Arial" w:cs="Arial" w:eastAsia="Arial" w:hAnsi="Arial"/>
          <w:sz w:val="18"/>
          <w:szCs w:val="18"/>
          <w:color w:val="auto"/>
        </w:rPr>
        <w:t>In the past, we have reviewed overall Company and individual performance in connection with our review of named executive officer compensation.</w:t>
      </w:r>
    </w:p>
    <w:p>
      <w:pPr>
        <w:spacing w:after="0" w:line="130" w:lineRule="exact"/>
        <w:rPr>
          <w:sz w:val="20"/>
          <w:szCs w:val="20"/>
          <w:color w:val="auto"/>
        </w:rPr>
      </w:pPr>
    </w:p>
    <w:p>
      <w:pPr>
        <w:ind w:left="340" w:right="619" w:firstLine="373"/>
        <w:spacing w:after="0" w:line="269" w:lineRule="auto"/>
        <w:rPr>
          <w:sz w:val="20"/>
          <w:szCs w:val="20"/>
          <w:color w:val="auto"/>
        </w:rPr>
      </w:pPr>
      <w:r>
        <w:rPr>
          <w:rFonts w:ascii="Arial" w:cs="Arial" w:eastAsia="Arial" w:hAnsi="Arial"/>
          <w:sz w:val="17"/>
          <w:szCs w:val="17"/>
          <w:i w:val="1"/>
          <w:iCs w:val="1"/>
          <w:color w:val="auto"/>
        </w:rPr>
        <w:t xml:space="preserve">Company performance. </w:t>
      </w:r>
      <w:r>
        <w:rPr>
          <w:rFonts w:ascii="Arial" w:cs="Arial" w:eastAsia="Arial" w:hAnsi="Arial"/>
          <w:sz w:val="17"/>
          <w:szCs w:val="17"/>
          <w:color w:val="auto"/>
        </w:rPr>
        <w:t>In reviewing our performance, we focus principally on the achievement of net revenue and</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EBITDA levels, and on maintaining regulatory 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(ii) management fees and expenses that are no longer paid, (iii) contributions made to Arizona school tuition organizations in lieu of the payment of state income taxes, and (iv) share-based compensation.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in our Annual Report on Form 10-K for further information. As such, we believe it is fair and reasonable to our executives to assess their individual performance on the same basis as our performance is assessed by our Board of Directors and investors.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In reviewing individual performance, we also look at an executive’s achievement of non-financial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that, with respect to a given named executive officer, may include achieving objectives related to some or all of the following:</w:t>
      </w:r>
    </w:p>
    <w:p>
      <w:pPr>
        <w:spacing w:after="0" w:line="154" w:lineRule="exact"/>
        <w:rPr>
          <w:sz w:val="20"/>
          <w:szCs w:val="20"/>
          <w:color w:val="auto"/>
        </w:rPr>
      </w:pPr>
    </w:p>
    <w:p>
      <w:pPr>
        <w:ind w:left="1040" w:hanging="343"/>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program development and expansion;</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regulatory compliance; and</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enrollment growth.</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85"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color w:val="auto"/>
        </w:rPr>
        <w:t>In 2008, our Board of Directors and stockholders adopted our 2008 Equity Incentive Plan (the “Incentive Plan”) and authorized and reserved a total of 4,199,937 shares of our common stock for issuance thereunder. This reserve automatically increased on January 1, 2009 by 2.5% of the number of shares of common stock issued and outstanding on December 31, 2008, to 5,336,566 shares, and will increase on each subsequent January 1 through 2018 by an amount equal to the smaller of (a) 2.5% of the number of shares of common stock issued and outstanding on the immediately preceding December 31, or (b) a lesser amount determined by our Board of Directors. Shares subject to awards that expire or are cancelled or forfeited will again become available for 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137"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27"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Incentive Plan. The Board of Directors, based on the recommendation of the nominating and corporate governance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32"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43" w:lineRule="exact"/>
        <w:rPr>
          <w:sz w:val="20"/>
          <w:szCs w:val="20"/>
          <w:color w:val="auto"/>
        </w:rPr>
      </w:pPr>
    </w:p>
    <w:p>
      <w:pPr>
        <w:ind w:left="1040" w:right="639" w:hanging="343"/>
        <w:spacing w:after="0" w:line="277" w:lineRule="auto"/>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all stock-based grants must be approved at formal meetings (including telephonic)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040" w:right="1079" w:hanging="343"/>
        <w:spacing w:after="0" w:line="312" w:lineRule="auto"/>
        <w:tabs>
          <w:tab w:leader="none" w:pos="10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06" w:lineRule="exact"/>
        <w:rPr>
          <w:rFonts w:ascii="Arial" w:cs="Arial" w:eastAsia="Arial" w:hAnsi="Arial"/>
          <w:sz w:val="16"/>
          <w:szCs w:val="16"/>
          <w:b w:val="1"/>
          <w:bCs w:val="1"/>
          <w:color w:val="auto"/>
        </w:rPr>
      </w:pPr>
    </w:p>
    <w:p>
      <w:pPr>
        <w:ind w:left="1040" w:right="739" w:hanging="343"/>
        <w:spacing w:after="0" w:line="264"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40" w:lineRule="exact"/>
        <w:rPr>
          <w:rFonts w:ascii="Arial" w:cs="Arial" w:eastAsia="Arial" w:hAnsi="Arial"/>
          <w:sz w:val="18"/>
          <w:szCs w:val="18"/>
          <w:b w:val="1"/>
          <w:bCs w:val="1"/>
          <w:color w:val="auto"/>
        </w:rPr>
      </w:pPr>
    </w:p>
    <w:p>
      <w:pPr>
        <w:ind w:left="1040" w:right="659" w:hanging="343"/>
        <w:spacing w:after="0" w:line="277"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Conclusion</w:t>
      </w:r>
    </w:p>
    <w:p>
      <w:pPr>
        <w:spacing w:after="0" w:line="185"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2008 were reasonable and appropriate and in our best interests.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Actions Taken in Current Fiscal Year</w:t>
      </w:r>
    </w:p>
    <w:p>
      <w:pPr>
        <w:spacing w:after="0" w:line="198" w:lineRule="exact"/>
        <w:rPr>
          <w:sz w:val="20"/>
          <w:szCs w:val="20"/>
          <w:color w:val="auto"/>
        </w:rPr>
      </w:pPr>
    </w:p>
    <w:p>
      <w:pPr>
        <w:ind w:left="340" w:right="1099" w:firstLine="373"/>
        <w:spacing w:after="0" w:line="277" w:lineRule="auto"/>
        <w:rPr>
          <w:sz w:val="20"/>
          <w:szCs w:val="20"/>
          <w:color w:val="auto"/>
        </w:rPr>
      </w:pPr>
      <w:r>
        <w:rPr>
          <w:rFonts w:ascii="Arial" w:cs="Arial" w:eastAsia="Arial" w:hAnsi="Arial"/>
          <w:sz w:val="18"/>
          <w:szCs w:val="18"/>
          <w:color w:val="auto"/>
        </w:rPr>
        <w:t>In March 2009, our compensation committee adopted a performance-based cash bonus plan for our named executive officers and other eligible senior management team members for the 2009 fiscal year.</w:t>
      </w:r>
    </w:p>
    <w:p>
      <w:pPr>
        <w:spacing w:after="0" w:line="130" w:lineRule="exact"/>
        <w:rPr>
          <w:sz w:val="20"/>
          <w:szCs w:val="20"/>
          <w:color w:val="auto"/>
        </w:rPr>
      </w:pPr>
    </w:p>
    <w:p>
      <w:pPr>
        <w:ind w:left="340" w:right="599" w:firstLine="373"/>
        <w:spacing w:after="0" w:line="284" w:lineRule="auto"/>
        <w:rPr>
          <w:sz w:val="20"/>
          <w:szCs w:val="20"/>
          <w:color w:val="auto"/>
        </w:rPr>
      </w:pPr>
      <w:r>
        <w:rPr>
          <w:rFonts w:ascii="Arial" w:cs="Arial" w:eastAsia="Arial" w:hAnsi="Arial"/>
          <w:sz w:val="16"/>
          <w:szCs w:val="16"/>
          <w:color w:val="auto"/>
        </w:rPr>
        <w:t>Under the new bonus plan, a participant’s bonus will be based on the Company’s achievement of revenue and Adjusted EBITDA targets, as well as the participant’s achievement of individual performance goals. Depending on a participant’s level, the financial metrics will account for between 60% and 80% of the target bonus and the specific individual performance goals will account for between 20% and 40% of the target bonus. For purposes of the plan, Adjusted EBITDA is defined as net income plus interest expense net of interest income, plus income tax expense, and plus depreciation and amortization (EBITDA), as adjusted for (i) royalty payments incurred pursuant to an agreement with our former owner that has been terminated as of</w:t>
      </w:r>
    </w:p>
    <w:p>
      <w:pPr>
        <w:spacing w:after="0" w:line="5" w:lineRule="exact"/>
        <w:rPr>
          <w:sz w:val="20"/>
          <w:szCs w:val="20"/>
          <w:color w:val="auto"/>
        </w:rPr>
      </w:pPr>
    </w:p>
    <w:p>
      <w:pPr>
        <w:ind w:left="340" w:right="559"/>
        <w:spacing w:after="0" w:line="271" w:lineRule="auto"/>
        <w:rPr>
          <w:sz w:val="20"/>
          <w:szCs w:val="20"/>
          <w:color w:val="auto"/>
        </w:rPr>
      </w:pPr>
      <w:r>
        <w:rPr>
          <w:rFonts w:ascii="Arial" w:cs="Arial" w:eastAsia="Arial" w:hAnsi="Arial"/>
          <w:sz w:val="17"/>
          <w:szCs w:val="17"/>
          <w:color w:val="auto"/>
        </w:rPr>
        <w:t>April 15, 2008; (ii) share-based compensation accrued pursuant to Statement of Financial Accounting Standards No. 123 (revised 2004), “Share Based Payment” (“SFAS 123(R)”), and any other GAAP expense related to equity compensation awards for the 2009 fiscal year; (iii) any extraordinary, nonrecurring items as determined in accordance with APB Opinion No. 30; and (iv) all amounts (including settlement payments, legal fees, costs and other litigation and/or settlement expenses) expensed during the 2009 fiscal year in connection with the settlement of litigation matters.</w:t>
      </w:r>
    </w:p>
    <w:p>
      <w:pPr>
        <w:spacing w:after="0" w:line="138"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Under the plan, the compensation committee has established a target bonus for each of the named executive officers and eligible senior management. The target bonus has been set at 100% of base salary for Mr. Mueller and 50% of base salary for Dr. Meyer, Mr. Bachus and Dr. Player. For each of these named executive officers, the financial metrics will account for 80% of the target bonus, with the revenue target and the Adjusted EBITDA target accounting for 37.5% and 62.5% of such 80%, respectively, and the specific individual performance goals will account for 20% of the target bonus. The actual percentage is determined on the basis of the Company’s achievement of the revenue and Adjusted EBITDA targets that the compensation committee established for the 2009 fiscal year. With respect to these targets, the threshold goal was set using the Company’s budget for the 2009 fiscal year. For participants to earn any payout under the plan, the company must achieve a threshold of 95% of budgeted revenue and Adjusted EBITDA. Assuming these thresholds are achieved, payouts will be made based on a minimum of 95% of budgeted revenue and Adjusted EBITDA (resulting in a bonus of 50% of the target bonus allocable to the financial metrics) and a maximum of 105% of budgeted revenue and 107% of Adjusted EBITDA (resulting in a bonus of 150% of the target bonus allocable to the financial metrics). Performance between minimum and maximum levels result in prorated payments to plan participants using straight-line interpolation.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920" w:type="dxa"/>
            <w:vAlign w:val="bottom"/>
            <w:gridSpan w:val="2"/>
          </w:tcPr>
          <w:p>
            <w:pPr>
              <w:ind w:left="360"/>
              <w:spacing w:after="0"/>
              <w:rPr>
                <w:sz w:val="20"/>
                <w:szCs w:val="20"/>
                <w:color w:val="auto"/>
              </w:rPr>
            </w:pPr>
            <w:r>
              <w:rPr>
                <w:rFonts w:ascii="Arial" w:cs="Arial" w:eastAsia="Arial" w:hAnsi="Arial"/>
                <w:sz w:val="18"/>
                <w:szCs w:val="18"/>
                <w:color w:val="auto"/>
              </w:rPr>
              <w:t>Shown below is a summary of the matrix:</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Goal</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3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3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Goal (37.5% of financial metric)</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95% of budget</w:t>
            </w:r>
          </w:p>
        </w:tc>
        <w:tc>
          <w:tcPr>
            <w:tcW w:w="15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100% of budget</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105% of budget</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2"/>
              </w:rPr>
              <w:t>95% of</w:t>
            </w:r>
          </w:p>
        </w:tc>
        <w:tc>
          <w:tcPr>
            <w:tcW w:w="15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3"/>
              </w:rPr>
              <w:t>100% of</w:t>
            </w:r>
          </w:p>
        </w:tc>
        <w:tc>
          <w:tcPr>
            <w:tcW w:w="12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3"/>
              </w:rPr>
              <w:t>107% of</w:t>
            </w:r>
          </w:p>
        </w:tc>
      </w:tr>
      <w:tr>
        <w:trPr>
          <w:trHeight w:val="230"/>
        </w:trPr>
        <w:tc>
          <w:tcPr>
            <w:tcW w:w="3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Adjusted EBITDA (62.5% of financial metric)</w:t>
            </w:r>
          </w:p>
        </w:tc>
        <w:tc>
          <w:tcPr>
            <w:tcW w:w="28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budget</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budget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budget</w:t>
            </w:r>
          </w:p>
        </w:tc>
      </w:tr>
      <w:tr>
        <w:trPr>
          <w:trHeight w:val="216"/>
        </w:trPr>
        <w:tc>
          <w:tcPr>
            <w:tcW w:w="3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Pay-Out as % of Target Bonus</w:t>
            </w:r>
          </w:p>
        </w:tc>
        <w:tc>
          <w:tcPr>
            <w:tcW w:w="13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100%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150%</w:t>
            </w:r>
          </w:p>
        </w:tc>
        <w:tc>
          <w:tcPr>
            <w:tcW w:w="8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Under the plan, the actual bonus that each of these named executive officers could earn for the 2009 fiscal year ranges from 0% to a maximum of 140% of his or her annual target bonus (with such maximum achieved by obtaining the maximum payout for achieving the financial metrics (80% * 150%, or 120%) and achieving the individual goals (an additional 20%). To illustrate how the 2009 fiscal year plan functions, assume that a named executive officer’s base salary for 2009 is $300,000 and that the target bonus is 50% of base salary. Of this target bonus of $150,000, $45,000 (or 37.5% of the 80% subject to achievement of the financial metrics) would be based upon the Company’s achievement of the revenue target, $75,000 (or 62.5% of the 80% subject to the achievement of the financial metrics) would be based on the Company’s achievement of the Adjusted EBITDA target, and $30,000 (20%) would be based on the participant’s achievement of his or her individual performance goals. If the revenue target is achieved at the threshold level (so only 50% of the revenue component is payable at that level), the Adjusted EBITDA target is achieved at the maximum level (so that 150% of the Adjusted EBITDA component is payable at that level), and the specific individual performance goals are met, the participant would be entitled to a potential bonus of $165,000 (calculated as $22,500 plus $112,500 plus $30,000).</w:t>
      </w:r>
    </w:p>
    <w:p>
      <w:pPr>
        <w:spacing w:after="0" w:line="139" w:lineRule="exact"/>
        <w:rPr>
          <w:sz w:val="20"/>
          <w:szCs w:val="20"/>
          <w:color w:val="auto"/>
        </w:rPr>
      </w:pPr>
    </w:p>
    <w:p>
      <w:pPr>
        <w:ind w:left="340" w:right="699" w:firstLine="373"/>
        <w:spacing w:after="0" w:line="279" w:lineRule="auto"/>
        <w:rPr>
          <w:sz w:val="20"/>
          <w:szCs w:val="20"/>
          <w:color w:val="auto"/>
        </w:rPr>
      </w:pPr>
      <w:r>
        <w:rPr>
          <w:rFonts w:ascii="Arial" w:cs="Arial" w:eastAsia="Arial" w:hAnsi="Arial"/>
          <w:sz w:val="17"/>
          <w:szCs w:val="17"/>
          <w:color w:val="auto"/>
        </w:rPr>
        <w:t>The plan for eligible senior management other than the named executive officers is similar to the above, except that, for participant’s below the named executive officer level, the bonus will be calculated based on two six-month cycles, such that the determination of the bonus payable for the first half of fiscal 2009 will be determined on the basis of the achievement of the revenue, Adjusted EBITDA and individual performance targets established for each period.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85"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Section 162(m) of the Code generally imposes a $1 million limit on the amount that a public company may deduct for compensation paid to a company’s chief executive officer or, based upon recent guidance from the IRS, any of the company’s three other most highly compensated executive officers (other than the chief financial officer)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that is established by a committee that consists only of “outside directors” as defined for purposes of Section 162(m). For 2008, we did not consider Section 162(m) because most of our compensation awards were made prior to the time we became a public company. However, all members of the compensation committee qualify as “outside directors,” and we intend to consider the potential long-term impact of Section 162(m) when establishing compensation, and we currently expect to qualify our compensation programs as performance-based compensation within the meaning of the Code to the extent that doing so remains consistent with our compensation philosophy and objectives.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98"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are currently operating such plans in compliance with Section 409A.</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Standards</w:t>
      </w:r>
    </w:p>
    <w:p>
      <w:pPr>
        <w:spacing w:after="0" w:line="198"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SFAS 123(R) requires us to recognize an expense for the fair value of equity-based compensation awards. Grants of stock options and restricted under the Incentive Plan are accounted for under SFAS 123(R). The compensation committee regularly considers the accounting implications of significant compensation decisions, including in connection with decisions that relate to the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98" w:lineRule="exact"/>
        <w:rPr>
          <w:sz w:val="20"/>
          <w:szCs w:val="20"/>
          <w:color w:val="auto"/>
        </w:rPr>
      </w:pPr>
    </w:p>
    <w:p>
      <w:pPr>
        <w:ind w:left="340" w:right="619" w:firstLine="373"/>
        <w:spacing w:after="0" w:line="257" w:lineRule="auto"/>
        <w:rPr>
          <w:sz w:val="20"/>
          <w:szCs w:val="20"/>
          <w:color w:val="auto"/>
        </w:rPr>
      </w:pPr>
      <w:r>
        <w:rPr>
          <w:rFonts w:ascii="Arial" w:cs="Arial" w:eastAsia="Arial" w:hAnsi="Arial"/>
          <w:sz w:val="18"/>
          <w:szCs w:val="18"/>
          <w:color w:val="auto"/>
        </w:rPr>
        <w:t>The following table sets forth the total compensation earned for services rendered by our principal executive officer, our former principal executive officer, our principal financial officer, our former principal financial officer, and our four other most highly compensated executive officers whose total compensation for the fiscal year ended December 31, 2008 was in excess of $100,000 and who were serving as executive officers at the end of that fiscal year. The listed individuals are referred to herein as the “named executive officers.”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Bonus</w:t>
            </w: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8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Year</w:t>
            </w: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100" w:type="dxa"/>
            <w:vAlign w:val="bottom"/>
          </w:tcPr>
          <w:p>
            <w:pPr>
              <w:spacing w:after="0"/>
              <w:rPr>
                <w:sz w:val="20"/>
                <w:szCs w:val="20"/>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$297,500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345,038</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Chairman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283,395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374,654</w:t>
            </w:r>
          </w:p>
        </w:tc>
      </w:tr>
      <w:tr>
        <w:trPr>
          <w:trHeight w:val="202"/>
        </w:trPr>
        <w:tc>
          <w:tcPr>
            <w:tcW w:w="2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(Former Principal Executive Officer)</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Brian E. Mueller</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246,154</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250,000</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1,311,948</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149,181</w:t>
            </w:r>
          </w:p>
        </w:tc>
        <w:tc>
          <w:tcPr>
            <w:tcW w:w="1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1,965,023</w:t>
            </w: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(Principal Executive Officer) (5)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147,692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282,365</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 xml:space="preserve">Executive Vice President </w:t>
            </w: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Daniel E. Bachus</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132,212</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68,750</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53,705</w:t>
            </w:r>
          </w:p>
        </w:tc>
        <w:tc>
          <w:tcPr>
            <w:tcW w:w="1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254,667</w:t>
            </w: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(Principal Financial Officer) (5)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323,250</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General Counsel</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282,251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357,823</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Dr. Kathy Player</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142,764</w:t>
            </w:r>
          </w:p>
        </w:tc>
        <w:tc>
          <w:tcPr>
            <w:tcW w:w="1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455,514</w:t>
            </w: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i w:val="1"/>
                <w:iCs w:val="1"/>
                <w:color w:val="auto"/>
                <w:w w:val="96"/>
              </w:rPr>
              <w:t>Grand Canyon University President</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152,025</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210,062</w:t>
            </w:r>
          </w:p>
        </w:tc>
      </w:tr>
      <w:tr>
        <w:trPr>
          <w:trHeight w:val="216"/>
        </w:trPr>
        <w:tc>
          <w:tcPr>
            <w:tcW w:w="29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Michael S. Lacrosse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140,974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372,724</w:t>
            </w:r>
          </w:p>
        </w:tc>
      </w:tr>
      <w:tr>
        <w:trPr>
          <w:trHeight w:val="216"/>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Information Officer</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164,834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215,396</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Timothy R. Fischer</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138,288</w:t>
            </w:r>
          </w:p>
        </w:tc>
        <w:tc>
          <w:tcPr>
            <w:tcW w:w="1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395,814</w:t>
            </w: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i w:val="1"/>
                <w:iCs w:val="1"/>
                <w:color w:val="auto"/>
              </w:rPr>
              <w:t>Former Chief Financial Officer</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201,678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259,229</w:t>
            </w:r>
          </w:p>
        </w:tc>
      </w:tr>
      <w:tr>
        <w:trPr>
          <w:trHeight w:val="216"/>
        </w:trPr>
        <w:tc>
          <w:tcPr>
            <w:tcW w:w="2940" w:type="dxa"/>
            <w:vAlign w:val="bottom"/>
          </w:tcPr>
          <w:p>
            <w:pPr>
              <w:ind w:left="200"/>
              <w:spacing w:after="0"/>
              <w:rPr>
                <w:sz w:val="20"/>
                <w:szCs w:val="20"/>
                <w:color w:val="auto"/>
              </w:rPr>
            </w:pPr>
            <w:r>
              <w:rPr>
                <w:rFonts w:ascii="Arial" w:cs="Arial" w:eastAsia="Arial" w:hAnsi="Arial"/>
                <w:sz w:val="18"/>
                <w:szCs w:val="18"/>
                <w:color w:val="auto"/>
                <w:w w:val="97"/>
              </w:rPr>
              <w:t>(Former Principal Financial Officer)</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940" w:type="dxa"/>
            <w:vAlign w:val="bottom"/>
          </w:tcPr>
          <w:p>
            <w:pPr>
              <w:ind w:left="4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left="680" w:right="559" w:hanging="348"/>
        <w:spacing w:after="0" w:line="255"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Mr. Mueller, Dr. Meyer, and Mr. Bachus, the amounts in this column reflect non-performance-related bonuses that were negotiated in connection with the employment agreements we entered into with them prior to our initial public offering. For Dr. Player, the amount in this column reflects a non-performance-related bonus of $68,750 that was negotiated in connection with the employment agreement we entered into with her prior to our initial public offering, as well as an additional discretionary bonus of $6,250. For Messrs. Richardson, Richardson, Lacrosse, and Fischer, the amounts in this column reflect discretionary bonuses.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599" w:hanging="348"/>
        <w:spacing w:after="0" w:line="25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unrestricted stock granted to Mr. Mueller in 2008 recognized in fiscal year 2008 for financial statement reporting purposes in accordance with SFAS 123(R). The compensation costs are based on the SFAS 123(R) grant date fair value for the shares of common stock granted. Such grant date fair value has been calculated on the basis of the fair market value of our common stock on the grant date. No shares of stock were granted in any year prior to 2008.</w:t>
      </w:r>
    </w:p>
    <w:p>
      <w:pPr>
        <w:spacing w:after="0" w:line="39" w:lineRule="exact"/>
        <w:rPr>
          <w:rFonts w:ascii="Arial" w:cs="Arial" w:eastAsia="Arial" w:hAnsi="Arial"/>
          <w:sz w:val="18"/>
          <w:szCs w:val="18"/>
          <w:color w:val="auto"/>
        </w:rPr>
      </w:pPr>
    </w:p>
    <w:p>
      <w:pPr>
        <w:ind w:left="680" w:right="619" w:hanging="348"/>
        <w:spacing w:after="0" w:line="255"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shown in this column reflect the SFAS 123(R) compensation costs recognized in fiscal year 2008 attributable to the stock options granted to the named executive officers in 2008. The SFAS 123(R) compensation costs are based on the SFAS 123(R) grant date fair value of each stock option and do not take into account any estimated forfeitures related to service-based vesting conditions, if any. Assumptions used in the calculation of the SFAS 123(R) grant date fair value of each option granted during the 2008 fiscal year are set forth in Notes 2 and 14 to our financial statements for the fiscal year ended December 31, 2008 included in our 2008 Annual Report on Form 10-K. No options were granted in any year prior to 2008.</w:t>
      </w:r>
    </w:p>
    <w:p>
      <w:pPr>
        <w:spacing w:after="0" w:line="40" w:lineRule="exact"/>
        <w:rPr>
          <w:rFonts w:ascii="Arial" w:cs="Arial" w:eastAsia="Arial" w:hAnsi="Arial"/>
          <w:sz w:val="18"/>
          <w:szCs w:val="18"/>
          <w:color w:val="auto"/>
        </w:rPr>
      </w:pPr>
    </w:p>
    <w:p>
      <w:pPr>
        <w:ind w:left="680" w:right="619" w:hanging="348"/>
        <w:spacing w:after="0" w:line="285"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Mr. Brent D. Richardson, the amounts in this column include the value of payments made by us on a Company-owned vehicle used by Mr. Richardson and, for 2007 only, the amount of an employee-receivable forgiven by the Company and personal tax preparation fees paid for by the Company. For Mr. Mueller, the amount in this column reflects the value of tuition-free enrollment for an additional child at Grand Canyon University (beyond the single spouse or child tuition benefit available to all full-time Company employees). For Messrs. Christopher D. Richardson, Lacrosse, and Fischer and</w:t>
      </w:r>
    </w:p>
    <w:p>
      <w:pPr>
        <w:spacing w:after="0" w:line="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Dr. Player, the amounts in this column reflect matching payments made by the Company under our 401(k) plan.</w:t>
      </w:r>
    </w:p>
    <w:p>
      <w:pPr>
        <w:spacing w:after="0" w:line="62" w:lineRule="exact"/>
        <w:rPr>
          <w:rFonts w:ascii="Arial" w:cs="Arial" w:eastAsia="Arial" w:hAnsi="Arial"/>
          <w:sz w:val="16"/>
          <w:szCs w:val="16"/>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Mueller, Dr. Meyer, and Mr. Bachus commenced employment with us on July 1, 2008.</w:t>
      </w:r>
    </w:p>
    <w:p>
      <w:pPr>
        <w:spacing w:after="0" w:line="76" w:lineRule="exact"/>
        <w:rPr>
          <w:rFonts w:ascii="Arial" w:cs="Arial" w:eastAsia="Arial" w:hAnsi="Arial"/>
          <w:sz w:val="18"/>
          <w:szCs w:val="18"/>
          <w:color w:val="auto"/>
        </w:rPr>
      </w:pPr>
    </w:p>
    <w:p>
      <w:pPr>
        <w:ind w:left="680" w:right="799" w:hanging="348"/>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Fischer was appointed our Chief Administrative Officer effective July 1, 2008. From 2007 through June 30, 2008, he served as our Chief Financial Officer.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Mr. Richardson served as our Chief Executive Officer from 2004 through June 30, 2008.</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2008 Grants of Plan-Based Awards</w:t>
      </w:r>
    </w:p>
    <w:p>
      <w:pPr>
        <w:spacing w:after="0" w:line="185" w:lineRule="exact"/>
        <w:rPr>
          <w:sz w:val="20"/>
          <w:szCs w:val="20"/>
          <w:color w:val="auto"/>
        </w:rPr>
      </w:pPr>
    </w:p>
    <w:p>
      <w:pPr>
        <w:jc w:val="both"/>
        <w:ind w:left="340" w:right="739" w:firstLine="373"/>
        <w:spacing w:after="0" w:line="312" w:lineRule="auto"/>
        <w:rPr>
          <w:sz w:val="20"/>
          <w:szCs w:val="20"/>
          <w:color w:val="auto"/>
        </w:rPr>
      </w:pPr>
      <w:r>
        <w:rPr>
          <w:rFonts w:ascii="Arial" w:cs="Arial" w:eastAsia="Arial" w:hAnsi="Arial"/>
          <w:sz w:val="16"/>
          <w:szCs w:val="16"/>
          <w:color w:val="auto"/>
        </w:rPr>
        <w:t>The following table provides certain summary information concerning each grant of an award made to a named executive officer in fiscal year 2008 under an equity compensation plan. Messrs. Brent D. Richardson and Christopher C. Richardson did not receive any such awards during 2008. For 2008, we did not have in effect any non-equity compensation plans.</w:t>
      </w: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All Other Stock</w:t>
            </w: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All Other Option</w:t>
            </w: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 or Base</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 Option</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1"/>
        </w:trPr>
        <w:tc>
          <w:tcPr>
            <w:tcW w:w="1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 of Stock (#)</w:t>
            </w: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Underlying Options (#)</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Awards ($/Sh)</w:t>
            </w: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 ($)(1)</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E. Mueller</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November 19, 2008</w:t>
            </w:r>
          </w:p>
        </w:tc>
        <w:tc>
          <w:tcPr>
            <w:tcW w:w="1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109,329(2)</w:t>
            </w:r>
          </w:p>
        </w:tc>
        <w:tc>
          <w:tcPr>
            <w:tcW w:w="1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1,093,288(3)</w:t>
            </w:r>
          </w:p>
        </w:tc>
        <w:tc>
          <w:tcPr>
            <w:tcW w:w="14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7,845,437</w:t>
            </w:r>
          </w:p>
        </w:tc>
        <w:tc>
          <w:tcPr>
            <w:tcW w:w="0" w:type="dxa"/>
            <w:vAlign w:val="bottom"/>
          </w:tcPr>
          <w:p>
            <w:pPr>
              <w:spacing w:after="0"/>
              <w:rPr>
                <w:sz w:val="1"/>
                <w:szCs w:val="1"/>
                <w:color w:val="auto"/>
              </w:rPr>
            </w:pPr>
          </w:p>
        </w:tc>
      </w:tr>
      <w:tr>
        <w:trPr>
          <w:trHeight w:val="312"/>
        </w:trPr>
        <w:tc>
          <w:tcPr>
            <w:tcW w:w="1620" w:type="dxa"/>
            <w:vAlign w:val="bottom"/>
          </w:tcPr>
          <w:p>
            <w:pPr>
              <w:spacing w:after="0"/>
              <w:rPr>
                <w:sz w:val="20"/>
                <w:szCs w:val="20"/>
                <w:color w:val="auto"/>
              </w:rPr>
            </w:pPr>
            <w:r>
              <w:rPr>
                <w:rFonts w:ascii="Arial" w:cs="Arial" w:eastAsia="Arial" w:hAnsi="Arial"/>
                <w:sz w:val="14"/>
                <w:szCs w:val="14"/>
                <w:color w:val="auto"/>
              </w:rPr>
              <w:t>Dr. W. Stan Meyer</w:t>
            </w:r>
          </w:p>
        </w:tc>
        <w:tc>
          <w:tcPr>
            <w:tcW w:w="2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November 19, 2008</w:t>
            </w: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437,315(3)</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2,613,394</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November 19,</w:t>
            </w:r>
          </w:p>
        </w:tc>
        <w:tc>
          <w:tcPr>
            <w:tcW w:w="1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Daniel E. Bachus</w:t>
            </w:r>
          </w:p>
        </w:tc>
        <w:tc>
          <w:tcPr>
            <w:tcW w:w="138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2008</w:t>
            </w:r>
          </w:p>
        </w:tc>
        <w:tc>
          <w:tcPr>
            <w:tcW w:w="3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393,584(3)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2,352,058</w:t>
            </w:r>
          </w:p>
        </w:tc>
        <w:tc>
          <w:tcPr>
            <w:tcW w:w="0" w:type="dxa"/>
            <w:vAlign w:val="bottom"/>
          </w:tcPr>
          <w:p>
            <w:pPr>
              <w:spacing w:after="0"/>
              <w:rPr>
                <w:sz w:val="1"/>
                <w:szCs w:val="1"/>
                <w:color w:val="auto"/>
              </w:rPr>
            </w:pPr>
          </w:p>
        </w:tc>
      </w:tr>
      <w:tr>
        <w:trPr>
          <w:trHeight w:val="278"/>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November 19,</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Dr. Kathy Player</w:t>
            </w:r>
          </w:p>
        </w:tc>
        <w:tc>
          <w:tcPr>
            <w:tcW w:w="138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89"/>
              </w:rPr>
              <w:t>2008</w:t>
            </w:r>
          </w:p>
        </w:tc>
        <w:tc>
          <w:tcPr>
            <w:tcW w:w="300" w:type="dxa"/>
            <w:vAlign w:val="bottom"/>
          </w:tcPr>
          <w:p>
            <w:pPr>
              <w:spacing w:after="0"/>
              <w:rPr>
                <w:sz w:val="12"/>
                <w:szCs w:val="12"/>
                <w:color w:val="auto"/>
              </w:rPr>
            </w:pPr>
          </w:p>
        </w:tc>
        <w:tc>
          <w:tcPr>
            <w:tcW w:w="16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43,732(3)</w:t>
            </w:r>
          </w:p>
        </w:tc>
        <w:tc>
          <w:tcPr>
            <w:tcW w:w="1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261,342</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November 19,</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38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2008</w:t>
            </w:r>
          </w:p>
        </w:tc>
        <w:tc>
          <w:tcPr>
            <w:tcW w:w="300" w:type="dxa"/>
            <w:vAlign w:val="bottom"/>
          </w:tcPr>
          <w:p>
            <w:pPr>
              <w:spacing w:after="0"/>
              <w:rPr>
                <w:sz w:val="15"/>
                <w:szCs w:val="15"/>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29,463(5)</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November 19,</w:t>
            </w:r>
          </w:p>
        </w:tc>
        <w:tc>
          <w:tcPr>
            <w:tcW w:w="1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S. Lacrosse</w:t>
            </w:r>
          </w:p>
        </w:tc>
        <w:tc>
          <w:tcPr>
            <w:tcW w:w="1380" w:type="dxa"/>
            <w:vAlign w:val="bottom"/>
            <w:gridSpan w:val="2"/>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89"/>
              </w:rPr>
              <w:t>2008</w:t>
            </w:r>
          </w:p>
        </w:tc>
        <w:tc>
          <w:tcPr>
            <w:tcW w:w="3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30,612(4)</w:t>
            </w:r>
          </w:p>
        </w:tc>
        <w:tc>
          <w:tcPr>
            <w:tcW w:w="14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182,937</w:t>
            </w: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3"/>
              </w:rPr>
              <w:t>November 19,</w:t>
            </w:r>
          </w:p>
        </w:tc>
        <w:tc>
          <w:tcPr>
            <w:tcW w:w="1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2008</w:t>
            </w:r>
          </w:p>
        </w:tc>
        <w:tc>
          <w:tcPr>
            <w:tcW w:w="3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29,463(5)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November 19,</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Timothy R. Fischer</w:t>
            </w:r>
          </w:p>
        </w:tc>
        <w:tc>
          <w:tcPr>
            <w:tcW w:w="138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89"/>
              </w:rPr>
              <w:t>2008</w:t>
            </w:r>
          </w:p>
        </w:tc>
        <w:tc>
          <w:tcPr>
            <w:tcW w:w="300" w:type="dxa"/>
            <w:vAlign w:val="bottom"/>
          </w:tcPr>
          <w:p>
            <w:pPr>
              <w:spacing w:after="0"/>
              <w:rPr>
                <w:sz w:val="12"/>
                <w:szCs w:val="12"/>
                <w:color w:val="auto"/>
              </w:rPr>
            </w:pPr>
          </w:p>
        </w:tc>
        <w:tc>
          <w:tcPr>
            <w:tcW w:w="16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10,933(4)</w:t>
            </w:r>
          </w:p>
        </w:tc>
        <w:tc>
          <w:tcPr>
            <w:tcW w:w="1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65,335</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November 19,</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38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2008</w:t>
            </w:r>
          </w:p>
        </w:tc>
        <w:tc>
          <w:tcPr>
            <w:tcW w:w="300" w:type="dxa"/>
            <w:vAlign w:val="bottom"/>
          </w:tcPr>
          <w:p>
            <w:pPr>
              <w:spacing w:after="0"/>
              <w:rPr>
                <w:sz w:val="15"/>
                <w:szCs w:val="15"/>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29,463(5)</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80" w:right="619" w:hanging="348"/>
        <w:spacing w:after="0" w:line="255"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dollar value reported in this column with respect to option awards represents the grant date fair value of each option award determined in accordance with the provisions of SFAS 123(R). A discussion of the valuation assumptions used in the SFAS 123(R) calculation of grant date fair value is set forth in Notes 2 and 14 to our financial statements for the fiscal year ended December 31, 2008, included in our 2008 Annual Report on Form 10-K. The dollar value reported in this column with respect to stock awards represents the grant date fair value of each such award based on the fair market value of the shares of our common stock on the grant date.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an unrestricted stock grant that was fully vested upon grant.</w:t>
      </w:r>
    </w:p>
    <w:p>
      <w:pPr>
        <w:spacing w:after="0" w:line="76" w:lineRule="exact"/>
        <w:rPr>
          <w:rFonts w:ascii="Arial" w:cs="Arial" w:eastAsia="Arial" w:hAnsi="Arial"/>
          <w:sz w:val="18"/>
          <w:szCs w:val="18"/>
          <w:color w:val="auto"/>
        </w:rPr>
      </w:pPr>
    </w:p>
    <w:p>
      <w:pPr>
        <w:ind w:left="680" w:right="719" w:hanging="348"/>
        <w:spacing w:after="0" w:line="286" w:lineRule="auto"/>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covered by the options granted to Mr. Mueller, Dr. Meyer, Mr. Bachus and Dr. Player vest in five successive equal annual installments upon the completion of each year of service with us over the five year period measured from the November 19, 2008 grant date, subject to fully accelerated vesting in the event of a termination of employment by us without cause or by the executive for good reason within 12 months following a change in control of the Company.</w:t>
      </w:r>
    </w:p>
    <w:p>
      <w:pPr>
        <w:spacing w:after="0" w:line="1" w:lineRule="exact"/>
        <w:rPr>
          <w:rFonts w:ascii="Arial" w:cs="Arial" w:eastAsia="Arial" w:hAnsi="Arial"/>
          <w:sz w:val="16"/>
          <w:szCs w:val="16"/>
          <w:color w:val="auto"/>
        </w:rPr>
      </w:pPr>
    </w:p>
    <w:p>
      <w:pPr>
        <w:ind w:left="680" w:right="579"/>
        <w:spacing w:after="0" w:line="255" w:lineRule="auto"/>
        <w:rPr>
          <w:rFonts w:ascii="Arial" w:cs="Arial" w:eastAsia="Arial" w:hAnsi="Arial"/>
          <w:sz w:val="16"/>
          <w:szCs w:val="16"/>
          <w:color w:val="auto"/>
        </w:rPr>
      </w:pPr>
      <w:r>
        <w:rPr>
          <w:rFonts w:ascii="Arial" w:cs="Arial" w:eastAsia="Arial" w:hAnsi="Arial"/>
          <w:sz w:val="18"/>
          <w:szCs w:val="18"/>
          <w:color w:val="auto"/>
        </w:rPr>
        <w:t>Mr. Mueller, Dr. Meyer, and Mr. Bachus also receive partially accelerated vesting through the next vesting date immediately following the date of termination, upon the termination of employment by us without cause or by the executive for good reason.</w:t>
      </w:r>
    </w:p>
    <w:p>
      <w:pPr>
        <w:spacing w:after="0" w:line="41" w:lineRule="exact"/>
        <w:rPr>
          <w:rFonts w:ascii="Arial" w:cs="Arial" w:eastAsia="Arial" w:hAnsi="Arial"/>
          <w:sz w:val="16"/>
          <w:szCs w:val="16"/>
          <w:color w:val="auto"/>
        </w:rPr>
      </w:pPr>
    </w:p>
    <w:p>
      <w:pPr>
        <w:ind w:left="680" w:right="939" w:hanging="348"/>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covered by this option vest in five successive equal annual installments upon the completion of each year of service with us over the five year period measured from the November 19, 2008 grant date.</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covered by this option were fully vested upon grant.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Relating to Summary Compensation Table and Grants of Plan-Based Awards Table</w:t>
      </w:r>
    </w:p>
    <w:p>
      <w:pPr>
        <w:spacing w:after="0" w:line="185"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Effective July 1, 2008, we entered into employment agreements with Mr. Mueller, Dr. Meyer, and Mr. Bachus that govern the terms of their service as our Chief Executive Officer, Executive Vice President, and Chief Financial Officer, respectively. Effective September 1, 2008, we entered into an employment agreement with Dr. Kathy Player that governs the terms of her service as the President of Grand Canyon University. Effective September 10, 2008, we entered into amended and restated employment agreements with each of Brent D. Richardson and Christopher C. Richardson that govern the terms of their service as Executive Chairman and General Counsel, respectively.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141" w:lineRule="exact"/>
        <w:rPr>
          <w:sz w:val="20"/>
          <w:szCs w:val="20"/>
          <w:color w:val="auto"/>
        </w:rPr>
      </w:pPr>
    </w:p>
    <w:p>
      <w:pPr>
        <w:ind w:left="1040" w:hanging="343"/>
        <w:spacing w:after="0"/>
        <w:tabs>
          <w:tab w:leader="none" w:pos="104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 agreements with each of Brent D. Richardson and Christopher C. Richardson provide for a base salary of</w:t>
      </w:r>
    </w:p>
    <w:p>
      <w:pPr>
        <w:spacing w:after="0" w:line="34" w:lineRule="exact"/>
        <w:rPr>
          <w:rFonts w:ascii="Arial" w:cs="Arial" w:eastAsia="Arial" w:hAnsi="Arial"/>
          <w:sz w:val="17"/>
          <w:szCs w:val="17"/>
          <w:b w:val="1"/>
          <w:bCs w:val="1"/>
          <w:color w:val="auto"/>
        </w:rPr>
      </w:pPr>
    </w:p>
    <w:p>
      <w:pPr>
        <w:ind w:left="1040" w:right="559"/>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$297,500, subject to annual review by the compensation committee, and entitle each to receive performance bonuses as determined by the compensation committee based upon the Company’s achievement of performance, budgetary, and other objectives, as set in advance by the compensation committee. The agreements do not set a target performance bonus amount and, as discussed elsewhere in this proxy statement, although Messrs. Richardson and Richardson are eligible to participate in the Incentive Plan, we do not anticipate granting any material awards under the Incentive Plan to them and their agreements do not provide for any such awards.</w:t>
      </w:r>
    </w:p>
    <w:p>
      <w:pPr>
        <w:spacing w:after="0" w:line="151" w:lineRule="exact"/>
        <w:rPr>
          <w:rFonts w:ascii="Arial" w:cs="Arial" w:eastAsia="Arial" w:hAnsi="Arial"/>
          <w:sz w:val="17"/>
          <w:szCs w:val="17"/>
          <w:b w:val="1"/>
          <w:bCs w:val="1"/>
          <w:color w:val="auto"/>
        </w:rPr>
      </w:pPr>
    </w:p>
    <w:p>
      <w:pPr>
        <w:ind w:left="1040" w:right="579" w:hanging="343"/>
        <w:spacing w:after="0" w:line="289" w:lineRule="auto"/>
        <w:tabs>
          <w:tab w:leader="none" w:pos="104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agreements with each of Mr. Mueller, Dr. Meyer, Mr. Bachus and Dr. Player provide for a base salary of $500,000, $300,000, $275,000, and $275,000 per year, respectively, subject to annual review by the compensation committee, and, for 2008, also provided for a fixed bonus of $250,000, $75,000, $68,750, and $68,750, respectively. Dr. Player was awarded an additional $6,250 discretionary bonus primarily intended to reward her for her exceptional efforts expended in 2008 in performing her duties, while also contributing to our successful initial public offering effort. The agreements entitle each of Mr. Mueller, Dr. Meyer, Mr. Bachus and Dr. Player to earn incentive compensation for 2009 and future years targeted at 100%, 50%, 50%, and 50% of his or her base salary, respectively, subject to the satisfaction of criteria to be established by our compensation committee. Mr. Mueller, Dr. Meyer, Mr. Bachus and Dr. Player are also eligible to receive equity incentive awards under our Incentive Plan.</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040" w:right="639" w:hanging="343"/>
        <w:spacing w:after="0" w:line="291" w:lineRule="auto"/>
        <w:tabs>
          <w:tab w:leader="none" w:pos="104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Pursuant to their agreements, Mr. Mueller, Dr. Meyer, and Mr. Bachus received equity grants upon the effectiveness of our initial public offering at the initial public offering price of $12.00 per share. Mr. Mueller, Dr. Meyer, and</w:t>
      </w:r>
    </w:p>
    <w:p>
      <w:pPr>
        <w:ind w:left="1040" w:right="619"/>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Mr. Bachus each received a grant of an option to purchase 1,093,288 shares of common stock, 437,315 shares of common stock and 393,584 shares of common stock, respectively, which vests ratably, on an annual basis, over a five-year period beginning on the date of grant. These options are subject to (i) accelerated vesting through the next vesting date immediately following the date of termination in the event of a termination of employment by us without cause or by the executive for good reason, and (ii) fully accelerated vesting in the event of a termination of employment by us without cause or by the executive for good reason within 12 months following a change in control of the Company. Mr. Mueller also received a grant of 109,329 shares of our common stock, which shares were fully vested on the date of grant.</w:t>
      </w:r>
    </w:p>
    <w:p>
      <w:pPr>
        <w:spacing w:after="0" w:line="151" w:lineRule="exact"/>
        <w:rPr>
          <w:rFonts w:ascii="Arial" w:cs="Arial" w:eastAsia="Arial" w:hAnsi="Arial"/>
          <w:sz w:val="16"/>
          <w:szCs w:val="16"/>
          <w:b w:val="1"/>
          <w:bCs w:val="1"/>
          <w:color w:val="auto"/>
        </w:rPr>
      </w:pPr>
    </w:p>
    <w:p>
      <w:pPr>
        <w:ind w:left="1040" w:right="719" w:hanging="343"/>
        <w:spacing w:after="0" w:line="277"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129" w:lineRule="exact"/>
        <w:rPr>
          <w:rFonts w:ascii="Arial" w:cs="Arial" w:eastAsia="Arial" w:hAnsi="Arial"/>
          <w:sz w:val="18"/>
          <w:szCs w:val="18"/>
          <w:b w:val="1"/>
          <w:bCs w:val="1"/>
          <w:color w:val="auto"/>
        </w:rPr>
      </w:pPr>
    </w:p>
    <w:p>
      <w:pPr>
        <w:ind w:left="1040" w:right="819" w:hanging="343"/>
        <w:spacing w:after="0" w:line="277"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43"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146"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Upon the effectiveness of our initial public offering, reflecting her long period of service to the Company, Dr. Player received a discretionary grant of (i) an option to purchase 43,732 shares of common stock at the initial public offering price of $12.00 per share, which vests ratably, on an annual basis, over a five-year period beginning on the date of grant, and which is subject to fully accelerated vesting in the event of a termination of employment by us without cause or by the executive for good reason within 12 months following a change in control of the Company, and (ii) an option to purchase 29,463 shares of common stock at the initial public offering price of $12.00 per share, which was fully vested upon grant. Upon the effectiveness of our initial public offering, reflecting their long period of service to the Company, Messrs. LaCrosse and Fischer each received a discretionary grant of (i) an option to purchase 30,612 shares of common stock and 10,933 shares of common stock, respectively, at the initial public offering price of $12.00 per share, which vests in five successive equal annual installments upon the completion of each year of service with us over the five year period beginning on the date of grant, and (ii) an option to purchase 29,463 shares of common stock at the initial public offering price of $12.00 per share, which was fully vested upon grant.</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2008 Outstanding Equity Awards at Fiscal Year-End</w:t>
      </w:r>
    </w:p>
    <w:p>
      <w:pPr>
        <w:spacing w:after="0" w:line="198" w:lineRule="exact"/>
        <w:rPr>
          <w:sz w:val="20"/>
          <w:szCs w:val="20"/>
          <w:color w:val="auto"/>
        </w:rPr>
      </w:pPr>
    </w:p>
    <w:p>
      <w:pPr>
        <w:ind w:left="340" w:right="1139" w:firstLine="373"/>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2008.</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7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ind w:left="640"/>
              <w:spacing w:after="0"/>
              <w:rPr>
                <w:sz w:val="20"/>
                <w:szCs w:val="20"/>
                <w:color w:val="auto"/>
              </w:rPr>
            </w:pPr>
            <w:r>
              <w:rPr>
                <w:rFonts w:ascii="Arial" w:cs="Arial" w:eastAsia="Arial" w:hAnsi="Arial"/>
                <w:sz w:val="14"/>
                <w:szCs w:val="14"/>
                <w:b w:val="1"/>
                <w:bCs w:val="1"/>
                <w:color w:val="auto"/>
              </w:rPr>
              <w:t>Stock Awards(1)</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13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Market Value of</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 (#)</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71"/>
        </w:trPr>
        <w:tc>
          <w:tcPr>
            <w:tcW w:w="16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(3)(4)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Vested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Brian E. Mueller</w:t>
            </w: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1,093,288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14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November 19, 2018</w:t>
            </w: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2"/>
        </w:trPr>
        <w:tc>
          <w:tcPr>
            <w:tcW w:w="1680" w:type="dxa"/>
            <w:vAlign w:val="bottom"/>
            <w:gridSpan w:val="2"/>
          </w:tcPr>
          <w:p>
            <w:pPr>
              <w:spacing w:after="0"/>
              <w:rPr>
                <w:sz w:val="20"/>
                <w:szCs w:val="20"/>
                <w:color w:val="auto"/>
              </w:rPr>
            </w:pPr>
            <w:r>
              <w:rPr>
                <w:rFonts w:ascii="Arial" w:cs="Arial" w:eastAsia="Arial" w:hAnsi="Arial"/>
                <w:sz w:val="14"/>
                <w:szCs w:val="14"/>
                <w:color w:val="auto"/>
              </w:rPr>
              <w:t>Dr. W. Stan Meyer</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437,315</w:t>
            </w: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November 19, 2018</w:t>
            </w: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E. Bachus</w:t>
            </w: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393,584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1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November 19, 2018</w:t>
            </w: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2"/>
        </w:trPr>
        <w:tc>
          <w:tcPr>
            <w:tcW w:w="1680" w:type="dxa"/>
            <w:vAlign w:val="bottom"/>
            <w:gridSpan w:val="2"/>
          </w:tcPr>
          <w:p>
            <w:pPr>
              <w:spacing w:after="0"/>
              <w:rPr>
                <w:sz w:val="20"/>
                <w:szCs w:val="20"/>
                <w:color w:val="auto"/>
              </w:rPr>
            </w:pPr>
            <w:r>
              <w:rPr>
                <w:rFonts w:ascii="Arial" w:cs="Arial" w:eastAsia="Arial" w:hAnsi="Arial"/>
                <w:sz w:val="14"/>
                <w:szCs w:val="14"/>
                <w:color w:val="auto"/>
              </w:rPr>
              <w:t>Dr. Kathy Player</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29,463</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43,732</w:t>
            </w: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November 19, 2018</w:t>
            </w: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S. Lacrosse</w:t>
            </w: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29,463</w:t>
            </w: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30,612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1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November 19, 2018</w:t>
            </w:r>
          </w:p>
        </w:tc>
        <w:tc>
          <w:tcPr>
            <w:tcW w:w="128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2"/>
        </w:trPr>
        <w:tc>
          <w:tcPr>
            <w:tcW w:w="1680" w:type="dxa"/>
            <w:vAlign w:val="bottom"/>
            <w:gridSpan w:val="2"/>
          </w:tcPr>
          <w:p>
            <w:pPr>
              <w:spacing w:after="0"/>
              <w:rPr>
                <w:sz w:val="20"/>
                <w:szCs w:val="20"/>
                <w:color w:val="auto"/>
              </w:rPr>
            </w:pPr>
            <w:r>
              <w:rPr>
                <w:rFonts w:ascii="Arial" w:cs="Arial" w:eastAsia="Arial" w:hAnsi="Arial"/>
                <w:sz w:val="14"/>
                <w:szCs w:val="14"/>
                <w:color w:val="auto"/>
              </w:rPr>
              <w:t>Timothy R. Fischer</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29,463</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10,933</w:t>
            </w: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November 19, 2018</w:t>
            </w: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20" w:right="959" w:hanging="288"/>
        <w:spacing w:after="0" w:line="30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Mueller received a stock award of 109,329 shares of common stock on November 19, 2008, which was the date our registration statement for our initial public offering became effective, that was fully vested upon grant.</w:t>
      </w:r>
    </w:p>
    <w:p>
      <w:pPr>
        <w:spacing w:after="0" w:line="1" w:lineRule="exact"/>
        <w:rPr>
          <w:rFonts w:ascii="Arial" w:cs="Arial" w:eastAsia="Arial" w:hAnsi="Arial"/>
          <w:sz w:val="17"/>
          <w:szCs w:val="17"/>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covered by these options were fully vested upon grant.</w:t>
      </w:r>
    </w:p>
    <w:p>
      <w:pPr>
        <w:spacing w:after="0" w:line="76" w:lineRule="exact"/>
        <w:rPr>
          <w:rFonts w:ascii="Arial" w:cs="Arial" w:eastAsia="Arial" w:hAnsi="Arial"/>
          <w:sz w:val="18"/>
          <w:szCs w:val="18"/>
          <w:color w:val="auto"/>
        </w:rPr>
      </w:pPr>
    </w:p>
    <w:p>
      <w:pPr>
        <w:ind w:left="620" w:right="559" w:hanging="288"/>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shares covered by the options granted to Mr. Mueller, Dr. Meyer, Mr. Bachus and Dr. Player vest in five successive equal annual installments upon the completion of each year of service with us over the five year period measured from the November 19, 2008 grant date, subject to fully accelerated vesting in the event of a termination of employment by us without cause or by the executive for good reason within 12 months following a change in control of the Company. Mr. Mueller, Dr. Meyer, and Mr. Bachus also receive partially accelerated vesting through the next vesting date immediately following the date of termination, upon the termination of employment by us without cause or by the executive for good reason.</w:t>
      </w:r>
    </w:p>
    <w:p>
      <w:pPr>
        <w:spacing w:after="0" w:line="16" w:lineRule="exact"/>
        <w:rPr>
          <w:rFonts w:ascii="Arial" w:cs="Arial" w:eastAsia="Arial" w:hAnsi="Arial"/>
          <w:sz w:val="16"/>
          <w:szCs w:val="16"/>
          <w:color w:val="auto"/>
        </w:rPr>
      </w:pPr>
    </w:p>
    <w:p>
      <w:pPr>
        <w:ind w:left="620" w:right="679" w:hanging="288"/>
        <w:spacing w:after="0" w:line="26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covered by the options granted to Messrs. Lacrosse and Fischer vest in five successive equal annual installments upon the completion of each year of service with us over the five year period measured from the November 19, 2008 grant date.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None of our named executive officers exercised any stock options during the fiscal year ended December 31, 2008.</w:t>
      </w:r>
    </w:p>
    <w:p>
      <w:pPr>
        <w:spacing w:after="0" w:line="35" w:lineRule="exact"/>
        <w:rPr>
          <w:sz w:val="20"/>
          <w:szCs w:val="20"/>
          <w:color w:val="auto"/>
        </w:rPr>
      </w:pPr>
    </w:p>
    <w:p>
      <w:pPr>
        <w:ind w:left="340" w:right="639"/>
        <w:spacing w:after="0" w:line="273" w:lineRule="auto"/>
        <w:rPr>
          <w:sz w:val="20"/>
          <w:szCs w:val="20"/>
          <w:color w:val="auto"/>
        </w:rPr>
      </w:pPr>
      <w:r>
        <w:rPr>
          <w:rFonts w:ascii="Arial" w:cs="Arial" w:eastAsia="Arial" w:hAnsi="Arial"/>
          <w:sz w:val="17"/>
          <w:szCs w:val="17"/>
          <w:color w:val="auto"/>
        </w:rPr>
        <w:t>Mr. Brian E. Mueller, our Chief Executive Officer and Director, received a stock award of 109,329 shares of common stock on November 19, 2008, which was the date our registration statement for our initial public offering became effective, that was fully vested upon grant. The value of such grant was $1,311,948, which was determined by multiplying the number of shares of stock granted by $12.00, which was the initial public offering price of our common stock.</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9" w:lineRule="exact"/>
        <w:rPr>
          <w:sz w:val="20"/>
          <w:szCs w:val="20"/>
          <w:color w:val="auto"/>
        </w:rPr>
      </w:pPr>
    </w:p>
    <w:p>
      <w:pPr>
        <w:ind w:left="340" w:right="559" w:firstLine="373"/>
        <w:spacing w:after="0" w:line="342" w:lineRule="auto"/>
        <w:rPr>
          <w:sz w:val="20"/>
          <w:szCs w:val="20"/>
          <w:color w:val="auto"/>
        </w:rPr>
      </w:pPr>
      <w:r>
        <w:rPr>
          <w:rFonts w:ascii="Arial" w:cs="Arial" w:eastAsia="Arial" w:hAnsi="Arial"/>
          <w:sz w:val="16"/>
          <w:szCs w:val="16"/>
          <w:color w:val="auto"/>
        </w:rPr>
        <w:t>We have employment agreements with our named executive officers (other than Messrs. Lacrosse and Fischer) that entitle them to certain severance payments and other benefits in the event of certain types of terminations, which are summarized below.</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98" w:lineRule="exact"/>
        <w:rPr>
          <w:sz w:val="20"/>
          <w:szCs w:val="20"/>
          <w:color w:val="auto"/>
        </w:rPr>
      </w:pPr>
    </w:p>
    <w:p>
      <w:pPr>
        <w:ind w:left="340" w:right="559" w:firstLine="373"/>
        <w:spacing w:after="0" w:line="283"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 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w:t>
      </w:r>
    </w:p>
    <w:p>
      <w:pPr>
        <w:spacing w:after="0" w:line="7" w:lineRule="exact"/>
        <w:rPr>
          <w:sz w:val="20"/>
          <w:szCs w:val="20"/>
          <w:color w:val="auto"/>
        </w:rPr>
      </w:pPr>
    </w:p>
    <w:p>
      <w:pPr>
        <w:ind w:left="340" w:right="579" w:hanging="8"/>
        <w:spacing w:after="0" w:line="295" w:lineRule="auto"/>
        <w:tabs>
          <w:tab w:leader="none" w:pos="5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85" w:lineRule="exact"/>
        <w:rPr>
          <w:sz w:val="20"/>
          <w:szCs w:val="20"/>
          <w:color w:val="auto"/>
        </w:rPr>
      </w:pPr>
    </w:p>
    <w:p>
      <w:pPr>
        <w:jc w:val="both"/>
        <w:ind w:left="340" w:right="619" w:firstLine="373"/>
        <w:spacing w:after="0" w:line="286" w:lineRule="auto"/>
        <w:rPr>
          <w:sz w:val="20"/>
          <w:szCs w:val="20"/>
          <w:color w:val="auto"/>
        </w:rPr>
      </w:pPr>
      <w:r>
        <w:rPr>
          <w:rFonts w:ascii="Arial" w:cs="Arial" w:eastAsia="Arial" w:hAnsi="Arial"/>
          <w:sz w:val="17"/>
          <w:szCs w:val="17"/>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 rated to the date of termination, as well as a severance package consisting of the following:</w:t>
      </w:r>
    </w:p>
    <w:p>
      <w:pPr>
        <w:spacing w:after="0" w:line="139" w:lineRule="exact"/>
        <w:rPr>
          <w:sz w:val="20"/>
          <w:szCs w:val="20"/>
          <w:color w:val="auto"/>
        </w:rPr>
      </w:pPr>
    </w:p>
    <w:p>
      <w:pPr>
        <w:jc w:val="both"/>
        <w:ind w:left="1040" w:right="739" w:hanging="343"/>
        <w:spacing w:after="0" w:line="286" w:lineRule="auto"/>
        <w:tabs>
          <w:tab w:leader="none" w:pos="104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a severance payment equivalent to 12 months of the executive’s base salary then in effect on the date of termination, payable in accordance with the Company’s regular payroll cycle commencing with the first payroll date occurring on or after the 60th day following the date of the executive’s termination of employment;</w:t>
      </w:r>
    </w:p>
    <w:p>
      <w:pPr>
        <w:spacing w:after="0" w:line="125" w:lineRule="exact"/>
        <w:rPr>
          <w:rFonts w:ascii="Arial" w:cs="Arial" w:eastAsia="Arial" w:hAnsi="Arial"/>
          <w:sz w:val="17"/>
          <w:szCs w:val="17"/>
          <w:b w:val="1"/>
          <w:bCs w:val="1"/>
          <w:color w:val="auto"/>
        </w:rPr>
      </w:pPr>
    </w:p>
    <w:p>
      <w:pPr>
        <w:ind w:left="1040" w:hanging="343"/>
        <w:spacing w:after="0"/>
        <w:tabs>
          <w:tab w:leader="none" w:pos="104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payment by us of the premiums required to continue the executive’s group health care coverage for a period of</w:t>
      </w:r>
    </w:p>
    <w:p>
      <w:pPr>
        <w:spacing w:after="0" w:line="34" w:lineRule="exact"/>
        <w:rPr>
          <w:rFonts w:ascii="Arial" w:cs="Arial" w:eastAsia="Arial" w:hAnsi="Arial"/>
          <w:sz w:val="17"/>
          <w:szCs w:val="17"/>
          <w:b w:val="1"/>
          <w:bCs w:val="1"/>
          <w:color w:val="auto"/>
        </w:rPr>
      </w:pPr>
    </w:p>
    <w:p>
      <w:pPr>
        <w:ind w:left="1040" w:right="559"/>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49" w:lineRule="exact"/>
        <w:rPr>
          <w:rFonts w:ascii="Arial" w:cs="Arial" w:eastAsia="Arial" w:hAnsi="Arial"/>
          <w:sz w:val="17"/>
          <w:szCs w:val="17"/>
          <w:b w:val="1"/>
          <w:bCs w:val="1"/>
          <w:color w:val="auto"/>
        </w:rPr>
      </w:pPr>
    </w:p>
    <w:p>
      <w:pPr>
        <w:ind w:left="1040" w:right="599" w:hanging="343"/>
        <w:spacing w:after="0" w:line="264" w:lineRule="auto"/>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with respect to Mr. Mueller, Dr. Meyer, and Mr. Bachus, acceleration of the vesting of the next annual installment of the options granted to them in November 2008 that would otherwise have vested on the next vesting date following the termination of the executive’s employment.</w:t>
      </w:r>
    </w:p>
    <w:p>
      <w:pPr>
        <w:spacing w:after="0" w:line="154"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18"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30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98" w:lineRule="exact"/>
        <w:rPr>
          <w:sz w:val="20"/>
          <w:szCs w:val="20"/>
          <w:color w:val="auto"/>
        </w:rPr>
      </w:pPr>
    </w:p>
    <w:p>
      <w:pPr>
        <w:ind w:left="340" w:right="619" w:firstLine="373"/>
        <w:spacing w:after="0" w:line="284"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 rated to the date of termination, and the severance package described above, the named executive officer will also be entitled to acceleration of the vesting of all stock options held by such executive that have not yet vested as of the date of such termination. For purposes of each of the employment agreements, “Change in Control” is defined as any one of the following occurrences: (a) any “person” (as such term is used in Sections 13(d) and 14(d) of the Securities Exchange Act of 1934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85" w:lineRule="exact"/>
        <w:rPr>
          <w:sz w:val="20"/>
          <w:szCs w:val="20"/>
          <w:color w:val="auto"/>
        </w:rPr>
      </w:pPr>
    </w:p>
    <w:p>
      <w:pPr>
        <w:ind w:left="340" w:right="579" w:firstLine="373"/>
        <w:spacing w:after="0" w:line="284" w:lineRule="auto"/>
        <w:rPr>
          <w:sz w:val="20"/>
          <w:szCs w:val="20"/>
          <w:color w:val="auto"/>
        </w:rPr>
      </w:pPr>
      <w:r>
        <w:rPr>
          <w:rFonts w:ascii="Arial" w:cs="Arial" w:eastAsia="Arial" w:hAnsi="Arial"/>
          <w:sz w:val="16"/>
          <w:szCs w:val="16"/>
          <w:color w:val="auto"/>
        </w:rPr>
        <w:t>Each of the agreements prohibits the executives from engaging in any work that creates an actual conflict of interest with us, and includes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w:t>
      </w:r>
    </w:p>
    <w:p>
      <w:pPr>
        <w:spacing w:after="0" w:line="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soliciting our current or prospective students to be students for any other for-profit, postsecondary education institution;</w:t>
      </w:r>
    </w:p>
    <w:p>
      <w:pPr>
        <w:spacing w:after="0" w:line="20" w:lineRule="exact"/>
        <w:rPr>
          <w:rFonts w:ascii="Arial" w:cs="Arial" w:eastAsia="Arial" w:hAnsi="Arial"/>
          <w:sz w:val="17"/>
          <w:szCs w:val="17"/>
          <w:color w:val="auto"/>
        </w:rPr>
      </w:pPr>
    </w:p>
    <w:p>
      <w:pPr>
        <w:ind w:left="340" w:right="679" w:hanging="8"/>
        <w:spacing w:after="0" w:line="271" w:lineRule="auto"/>
        <w:tabs>
          <w:tab w:leader="none" w:pos="6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2008.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7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8"/>
          </w:tcPr>
          <w:p>
            <w:pPr>
              <w:ind w:left="420"/>
              <w:spacing w:after="0"/>
              <w:rPr>
                <w:sz w:val="20"/>
                <w:szCs w:val="20"/>
                <w:color w:val="auto"/>
              </w:rPr>
            </w:pPr>
            <w:r>
              <w:rPr>
                <w:rFonts w:ascii="Arial" w:cs="Arial" w:eastAsia="Arial" w:hAnsi="Arial"/>
                <w:sz w:val="13"/>
                <w:szCs w:val="13"/>
                <w:b w:val="1"/>
                <w:bCs w:val="1"/>
                <w:color w:val="auto"/>
              </w:rPr>
              <w:t>Termination without Cause or for Good Reason</w:t>
            </w:r>
          </w:p>
        </w:tc>
      </w:tr>
      <w:tr>
        <w:trPr>
          <w:trHeight w:val="153"/>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8"/>
          </w:tcPr>
          <w:p>
            <w:pPr>
              <w:ind w:left="380"/>
              <w:spacing w:after="0"/>
              <w:rPr>
                <w:sz w:val="20"/>
                <w:szCs w:val="20"/>
                <w:color w:val="auto"/>
              </w:rPr>
            </w:pPr>
            <w:r>
              <w:rPr>
                <w:rFonts w:ascii="Arial" w:cs="Arial" w:eastAsia="Arial" w:hAnsi="Arial"/>
                <w:sz w:val="13"/>
                <w:szCs w:val="13"/>
                <w:b w:val="1"/>
                <w:bCs w:val="1"/>
                <w:color w:val="auto"/>
              </w:rPr>
              <w:t>Termination without Cause or for Good Reason</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5"/>
          </w:tcPr>
          <w:p>
            <w:pPr>
              <w:jc w:val="right"/>
              <w:spacing w:after="0"/>
              <w:rPr>
                <w:sz w:val="20"/>
                <w:szCs w:val="20"/>
                <w:color w:val="auto"/>
              </w:rPr>
            </w:pPr>
            <w:r>
              <w:rPr>
                <w:rFonts w:ascii="Arial" w:cs="Arial" w:eastAsia="Arial" w:hAnsi="Arial"/>
                <w:sz w:val="13"/>
                <w:szCs w:val="13"/>
                <w:b w:val="1"/>
                <w:bCs w:val="1"/>
                <w:color w:val="auto"/>
                <w:w w:val="87"/>
              </w:rPr>
              <w:t>following a Change in Control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9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31"/>
              <w:spacing w:after="0" w:line="110" w:lineRule="exact"/>
              <w:rPr>
                <w:sz w:val="20"/>
                <w:szCs w:val="20"/>
                <w:color w:val="auto"/>
              </w:rPr>
            </w:pPr>
            <w:r>
              <w:rPr>
                <w:rFonts w:ascii="Arial" w:cs="Arial" w:eastAsia="Arial" w:hAnsi="Arial"/>
                <w:sz w:val="12"/>
                <w:szCs w:val="12"/>
                <w:b w:val="1"/>
                <w:bCs w:val="1"/>
                <w:color w:val="auto"/>
                <w:w w:val="94"/>
              </w:rPr>
              <w:t>Acceleration of</w:t>
            </w: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31"/>
              <w:spacing w:after="0" w:line="110" w:lineRule="exact"/>
              <w:rPr>
                <w:sz w:val="20"/>
                <w:szCs w:val="20"/>
                <w:color w:val="auto"/>
              </w:rPr>
            </w:pPr>
            <w:r>
              <w:rPr>
                <w:rFonts w:ascii="Arial" w:cs="Arial" w:eastAsia="Arial" w:hAnsi="Arial"/>
                <w:sz w:val="12"/>
                <w:szCs w:val="12"/>
                <w:b w:val="1"/>
                <w:bCs w:val="1"/>
                <w:color w:val="auto"/>
                <w:w w:val="94"/>
              </w:rPr>
              <w:t>Acceleration of</w:t>
            </w:r>
          </w:p>
        </w:tc>
        <w:tc>
          <w:tcPr>
            <w:tcW w:w="100" w:type="dxa"/>
            <w:vAlign w:val="bottom"/>
          </w:tcPr>
          <w:p>
            <w:pPr>
              <w:spacing w:after="0"/>
              <w:rPr>
                <w:sz w:val="9"/>
                <w:szCs w:val="9"/>
                <w:color w:val="auto"/>
              </w:rPr>
            </w:pPr>
          </w:p>
        </w:tc>
      </w:tr>
      <w:tr>
        <w:trPr>
          <w:trHeight w:val="135"/>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Cash Payment</w:t>
            </w:r>
          </w:p>
        </w:tc>
        <w:tc>
          <w:tcPr>
            <w:tcW w:w="160" w:type="dxa"/>
            <w:vAlign w:val="bottom"/>
          </w:tcPr>
          <w:p>
            <w:pPr>
              <w:spacing w:after="0"/>
              <w:rPr>
                <w:sz w:val="11"/>
                <w:szCs w:val="11"/>
                <w:color w:val="auto"/>
              </w:rPr>
            </w:pPr>
          </w:p>
        </w:tc>
        <w:tc>
          <w:tcPr>
            <w:tcW w:w="10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Benefits</w:t>
            </w:r>
          </w:p>
        </w:tc>
        <w:tc>
          <w:tcPr>
            <w:tcW w:w="13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Vesting of Options</w:t>
            </w:r>
          </w:p>
        </w:tc>
        <w:tc>
          <w:tcPr>
            <w:tcW w:w="80" w:type="dxa"/>
            <w:vAlign w:val="bottom"/>
          </w:tcPr>
          <w:p>
            <w:pPr>
              <w:spacing w:after="0"/>
              <w:rPr>
                <w:sz w:val="11"/>
                <w:szCs w:val="11"/>
                <w:color w:val="auto"/>
              </w:rPr>
            </w:pPr>
          </w:p>
        </w:tc>
        <w:tc>
          <w:tcPr>
            <w:tcW w:w="880" w:type="dxa"/>
            <w:vAlign w:val="bottom"/>
          </w:tcPr>
          <w:p>
            <w:pPr>
              <w:spacing w:after="0" w:line="135" w:lineRule="exact"/>
              <w:rPr>
                <w:sz w:val="20"/>
                <w:szCs w:val="20"/>
                <w:color w:val="auto"/>
              </w:rPr>
            </w:pPr>
            <w:r>
              <w:rPr>
                <w:rFonts w:ascii="Arial" w:cs="Arial" w:eastAsia="Arial" w:hAnsi="Arial"/>
                <w:sz w:val="13"/>
                <w:szCs w:val="13"/>
                <w:b w:val="1"/>
                <w:bCs w:val="1"/>
                <w:color w:val="auto"/>
                <w:w w:val="95"/>
              </w:rPr>
              <w:t>Cash Payment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1"/>
              </w:rPr>
              <w:t>Benefits</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Vesting of Options</w:t>
            </w:r>
          </w:p>
        </w:tc>
      </w:tr>
      <w:tr>
        <w:trPr>
          <w:trHeight w:val="153"/>
        </w:trPr>
        <w:tc>
          <w:tcPr>
            <w:tcW w:w="1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($)(1)</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4"/>
              </w:rPr>
              <w:t>($)(3)</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($)(1)</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4"/>
              </w:rPr>
              <w:t>($)(3)</w:t>
            </w:r>
          </w:p>
        </w:tc>
        <w:tc>
          <w:tcPr>
            <w:tcW w:w="100" w:type="dxa"/>
            <w:vAlign w:val="bottom"/>
          </w:tcPr>
          <w:p>
            <w:pPr>
              <w:spacing w:after="0"/>
              <w:rPr>
                <w:sz w:val="13"/>
                <w:szCs w:val="13"/>
                <w:color w:val="auto"/>
              </w:rPr>
            </w:pPr>
          </w:p>
        </w:tc>
      </w:tr>
      <w:tr>
        <w:trPr>
          <w:trHeight w:val="142"/>
        </w:trPr>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Brent D. Richardson</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297,500</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18,298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w w:val="86"/>
              </w:rPr>
              <w:t>297,500</w:t>
            </w:r>
          </w:p>
        </w:tc>
        <w:tc>
          <w:tcPr>
            <w:tcW w:w="4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18,298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r>
      <w:tr>
        <w:trPr>
          <w:trHeight w:val="312"/>
        </w:trPr>
        <w:tc>
          <w:tcPr>
            <w:tcW w:w="1920" w:type="dxa"/>
            <w:vAlign w:val="bottom"/>
          </w:tcPr>
          <w:p>
            <w:pPr>
              <w:spacing w:after="0"/>
              <w:rPr>
                <w:sz w:val="20"/>
                <w:szCs w:val="20"/>
                <w:color w:val="auto"/>
              </w:rPr>
            </w:pPr>
            <w:r>
              <w:rPr>
                <w:rFonts w:ascii="Arial" w:cs="Arial" w:eastAsia="Arial" w:hAnsi="Arial"/>
                <w:sz w:val="14"/>
                <w:szCs w:val="14"/>
                <w:color w:val="auto"/>
              </w:rPr>
              <w:t>Brian E. Mueller</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18,298</w:t>
            </w:r>
          </w:p>
        </w:tc>
        <w:tc>
          <w:tcPr>
            <w:tcW w:w="8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1,482,499</w:t>
            </w:r>
          </w:p>
        </w:tc>
        <w:tc>
          <w:tcPr>
            <w:tcW w:w="8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4"/>
                <w:szCs w:val="14"/>
                <w:color w:val="auto"/>
                <w:w w:val="86"/>
              </w:rPr>
              <w:t>500,000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18,298</w:t>
            </w: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7,412,493</w:t>
            </w:r>
          </w:p>
        </w:tc>
      </w:tr>
      <w:tr>
        <w:trPr>
          <w:trHeight w:val="134"/>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W. Stan Meyer</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18,298</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592,999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6"/>
              </w:rPr>
              <w:t>300,000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18,298</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2,964,996</w:t>
            </w:r>
          </w:p>
        </w:tc>
      </w:tr>
      <w:tr>
        <w:trPr>
          <w:trHeight w:val="312"/>
        </w:trPr>
        <w:tc>
          <w:tcPr>
            <w:tcW w:w="1920" w:type="dxa"/>
            <w:vAlign w:val="bottom"/>
          </w:tcPr>
          <w:p>
            <w:pPr>
              <w:spacing w:after="0"/>
              <w:rPr>
                <w:sz w:val="20"/>
                <w:szCs w:val="20"/>
                <w:color w:val="auto"/>
              </w:rPr>
            </w:pPr>
            <w:r>
              <w:rPr>
                <w:rFonts w:ascii="Arial" w:cs="Arial" w:eastAsia="Arial" w:hAnsi="Arial"/>
                <w:sz w:val="14"/>
                <w:szCs w:val="14"/>
                <w:color w:val="auto"/>
              </w:rPr>
              <w:t>Daniel E. Bachus</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275,000</w:t>
            </w:r>
          </w:p>
        </w:tc>
        <w:tc>
          <w:tcPr>
            <w:tcW w:w="1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18,298</w:t>
            </w:r>
          </w:p>
        </w:tc>
        <w:tc>
          <w:tcPr>
            <w:tcW w:w="8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533,700</w:t>
            </w:r>
          </w:p>
        </w:tc>
        <w:tc>
          <w:tcPr>
            <w:tcW w:w="8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4"/>
                <w:szCs w:val="14"/>
                <w:color w:val="auto"/>
                <w:w w:val="86"/>
              </w:rPr>
              <w:t>275,000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18,298</w:t>
            </w: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2,668,500</w:t>
            </w:r>
          </w:p>
        </w:tc>
      </w:tr>
      <w:tr>
        <w:trPr>
          <w:trHeight w:val="134"/>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Richardson</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297,500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18,298</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6"/>
              </w:rPr>
              <w:t>297,500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18,298</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312"/>
        </w:trPr>
        <w:tc>
          <w:tcPr>
            <w:tcW w:w="1920" w:type="dxa"/>
            <w:vAlign w:val="bottom"/>
          </w:tcPr>
          <w:p>
            <w:pPr>
              <w:spacing w:after="0"/>
              <w:rPr>
                <w:sz w:val="20"/>
                <w:szCs w:val="20"/>
                <w:color w:val="auto"/>
              </w:rPr>
            </w:pPr>
            <w:r>
              <w:rPr>
                <w:rFonts w:ascii="Arial" w:cs="Arial" w:eastAsia="Arial" w:hAnsi="Arial"/>
                <w:sz w:val="14"/>
                <w:szCs w:val="14"/>
                <w:color w:val="auto"/>
              </w:rPr>
              <w:t>Dr. Kathy Player</w:t>
            </w: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275,000</w:t>
            </w:r>
          </w:p>
        </w:tc>
        <w:tc>
          <w:tcPr>
            <w:tcW w:w="1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4"/>
                <w:szCs w:val="14"/>
                <w:color w:val="auto"/>
                <w:w w:val="86"/>
              </w:rPr>
              <w:t>275,000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296,503</w:t>
            </w:r>
          </w:p>
        </w:tc>
      </w:tr>
    </w:tbl>
    <w:p>
      <w:pPr>
        <w:spacing w:after="0" w:line="92"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a termination date of December 31, 2008, and is based on the executive’s salary in effect at such date.</w:t>
      </w:r>
    </w:p>
    <w:p>
      <w:pPr>
        <w:spacing w:after="0" w:line="76" w:lineRule="exact"/>
        <w:rPr>
          <w:rFonts w:ascii="Arial" w:cs="Arial" w:eastAsia="Arial" w:hAnsi="Arial"/>
          <w:sz w:val="18"/>
          <w:szCs w:val="18"/>
          <w:color w:val="auto"/>
        </w:rPr>
      </w:pPr>
    </w:p>
    <w:p>
      <w:pPr>
        <w:ind w:left="620" w:right="919" w:hanging="288"/>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heath benefits for the period specified. Dr. Player does not currently receive Company-paid benefits.</w:t>
      </w:r>
    </w:p>
    <w:p>
      <w:pPr>
        <w:spacing w:after="0" w:line="21" w:lineRule="exact"/>
        <w:rPr>
          <w:rFonts w:ascii="Arial" w:cs="Arial" w:eastAsia="Arial" w:hAnsi="Arial"/>
          <w:sz w:val="18"/>
          <w:szCs w:val="18"/>
          <w:color w:val="auto"/>
        </w:rPr>
      </w:pPr>
    </w:p>
    <w:p>
      <w:pPr>
        <w:ind w:left="620" w:right="559" w:hanging="288"/>
        <w:spacing w:after="0" w:line="342"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based on an assumed termination date of December 31, 2008 and the closing market price of our common stock on the Nasdaq Global Market on such date, less the applicable exercise price for each option for which vesting is accelerated.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2008 Compensation of Directors</w:t>
      </w:r>
    </w:p>
    <w:p>
      <w:pPr>
        <w:spacing w:after="0" w:line="189" w:lineRule="exact"/>
        <w:rPr>
          <w:sz w:val="20"/>
          <w:szCs w:val="20"/>
          <w:color w:val="auto"/>
        </w:rPr>
      </w:pPr>
    </w:p>
    <w:p>
      <w:pPr>
        <w:ind w:left="340" w:right="579" w:firstLine="373"/>
        <w:spacing w:after="0" w:line="312" w:lineRule="auto"/>
        <w:rPr>
          <w:sz w:val="20"/>
          <w:szCs w:val="20"/>
          <w:color w:val="auto"/>
        </w:rPr>
      </w:pPr>
      <w:r>
        <w:rPr>
          <w:rFonts w:ascii="Arial" w:cs="Arial" w:eastAsia="Arial" w:hAnsi="Arial"/>
          <w:sz w:val="16"/>
          <w:szCs w:val="16"/>
          <w:color w:val="auto"/>
        </w:rPr>
        <w:t>We did not pay our directors any compensation for their services in that capacity prior to our initial public offering, but did pay them for attending the one meeting that occurred following the consummation of our initial public offering. We also reimbursed our non-employee directors for all reasonable expenses incurred by them in attending board and committee meetings.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2009, we adopted a directors’ compensation policy for our non-employee directors which slightly modifies the policy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that had previously been adopted by our Board of Directors prior to our initial public offering with respect to the form of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annual retainer to be paid to each director and with respect to the provision of equity grants to newly appointed or elected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directors. Like the prior policy, the new compensation policy utilizes annual retainers, per meeting fees, and restricted stock</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grants. For joining our board, Messrs. Johnson and Henry and any new non-employee directors will receive an award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restricted stock under our Incentive Plan valued at $20,000, which will vest on the one year anniversary of the date of grant,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accelerated vesting in the event of a change in control. For serving on the Board of Directors, our non-employee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directors will receive an annual retainer of $60,000 in cash or, at their election, an annual retainer consisting of $30,000 in cash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an award of restricted stock under our Incentive Plan valued at $35,000. The restricted stock grants to our non-employee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directors will be made after our annual meeting of stockholders each year and will vest on the earlier of the one year anniversary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the date of grant or immediately prior to the next year’s annual meeting of stockholders, subject to acceleration in the event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change in control. In addition, our lead outside director will receive an annual cash retainer of $33,333, each non-employee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 will receive an annual cash retainer for service on a board committee of $5,000, and each committee chair will receive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additional annual retainer of $2,500, except for the chair of the audit committee, whose additional annual retainer will be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$5,000. Each of the annual retainers will be payable in quarterly installments. We will also pay our non-employee directors a fee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$2,000 per meeting for each meeting of the Board of Directors attended. We will reimburse all of our directors for reasonable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incurred to attend our board and committee meetings.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to our non-employee directors in 2008 following our initial public offering in November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Fees Earned or</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Equity-Based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Name(1)</w:t>
            </w:r>
          </w:p>
        </w:tc>
        <w:tc>
          <w:tcPr>
            <w:tcW w:w="260" w:type="dxa"/>
            <w:vAlign w:val="bottom"/>
          </w:tcPr>
          <w:p>
            <w:pPr>
              <w:spacing w:after="0"/>
              <w:rPr>
                <w:sz w:val="20"/>
                <w:szCs w:val="20"/>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 xml:space="preserve">Paid in Cash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Total ($)</w:t>
            </w:r>
          </w:p>
        </w:tc>
      </w:tr>
      <w:tr>
        <w:trPr>
          <w:trHeight w:val="210"/>
        </w:trPr>
        <w:tc>
          <w:tcPr>
            <w:tcW w:w="5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Chad N. Heath</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D. Mark Dorman</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r>
      <w:tr>
        <w:trPr>
          <w:trHeight w:val="216"/>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34,464</w:t>
            </w: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Jack A. Henry</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r>
    </w:tbl>
    <w:p>
      <w:pPr>
        <w:spacing w:after="0" w:line="107" w:lineRule="exact"/>
        <w:rPr>
          <w:sz w:val="20"/>
          <w:szCs w:val="20"/>
          <w:color w:val="auto"/>
        </w:rPr>
      </w:pPr>
    </w:p>
    <w:p>
      <w:pPr>
        <w:ind w:left="680" w:right="879" w:hanging="348"/>
        <w:spacing w:after="0" w:line="26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Directors who are Company employees receive no additional compensation for serving on the Board of Directors. Compensation for Brent D. Richardson and Christopher C. Richardson is reflected in the Summary Compensation Table above.</w:t>
      </w:r>
    </w:p>
    <w:p>
      <w:pPr>
        <w:spacing w:after="0" w:line="32" w:lineRule="exact"/>
        <w:rPr>
          <w:rFonts w:ascii="Arial" w:cs="Arial" w:eastAsia="Arial" w:hAnsi="Arial"/>
          <w:sz w:val="18"/>
          <w:szCs w:val="18"/>
          <w:color w:val="auto"/>
        </w:rPr>
      </w:pPr>
    </w:p>
    <w:p>
      <w:pPr>
        <w:ind w:left="680" w:right="599" w:hanging="348"/>
        <w:spacing w:after="0" w:line="270"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agreeing to serve as our lead independent director, Mr. Johnson received, upon the effectiveness of our initial public offering, a grant of an option to purchase 145,772 shares of our common stock, at an exercise price of $12.00 per, which was the initial public offering price of our common stock, which vests ratably, on an annual basis, over a three-year period. The amount shown in this column reflects the SFAS 123(R) compensation costs recognized in fiscal year 2008 attributable to the stock options granted to Mr. Johnson. The SFAS 123(R) compensation cost is based on the SFAS 123(R) grant date fair value of such stock options and does not take into account any estimated forfeitures related to service-based vesting conditions, if any. Assumptions used in the calculation of the SFAS 123(R) grant date fair value of such options granted during the 2008 fiscal year are set forth in Notes 2 and 14 to our financial statements for the fiscal year ended December 31, 2008 included in our 2008 Annual Report on Form 10-K.</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Compensation Committee:</w:t>
      </w:r>
    </w:p>
    <w:p>
      <w:pPr>
        <w:spacing w:after="0" w:line="198"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Chad N. Heath</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D. Mark Dorman</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information regarding the beneficial ownership of our common stock as of February 28, 2009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t>
      </w:r>
    </w:p>
    <w:p>
      <w:pPr>
        <w:spacing w:after="0" w:line="170" w:lineRule="exact"/>
        <w:rPr>
          <w:sz w:val="20"/>
          <w:szCs w:val="20"/>
          <w:color w:val="auto"/>
        </w:rPr>
      </w:pPr>
    </w:p>
    <w:p>
      <w:pPr>
        <w:ind w:left="1040" w:right="799" w:hanging="343"/>
        <w:spacing w:after="0" w:line="277" w:lineRule="auto"/>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each of our directors;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each of our named executive officers; and</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all of our directors and named executive officers as a group.</w:t>
      </w:r>
    </w:p>
    <w:p>
      <w:pPr>
        <w:spacing w:after="0" w:line="185" w:lineRule="exact"/>
        <w:rPr>
          <w:sz w:val="20"/>
          <w:szCs w:val="20"/>
          <w:color w:val="auto"/>
        </w:rPr>
      </w:pPr>
    </w:p>
    <w:p>
      <w:pPr>
        <w:ind w:left="340" w:right="719" w:firstLine="373"/>
        <w:spacing w:after="0" w:line="270"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55"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The calculations of beneficial ownership in this table are based on 45,485,765 shares outstanding at February 28, 2009 and give effect to the voting agreement described below under “Certain Relationships and Related Transactions — Voting Agreement.”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70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Common Stock</w:t>
            </w:r>
          </w:p>
        </w:tc>
      </w:tr>
      <w:tr>
        <w:trPr>
          <w:trHeight w:val="191"/>
        </w:trPr>
        <w:tc>
          <w:tcPr>
            <w:tcW w:w="5620" w:type="dxa"/>
            <w:vAlign w:val="bottom"/>
          </w:tcPr>
          <w:p>
            <w:pPr>
              <w:spacing w:after="0"/>
              <w:rPr>
                <w:sz w:val="16"/>
                <w:szCs w:val="16"/>
                <w:color w:val="auto"/>
              </w:rPr>
            </w:pPr>
          </w:p>
        </w:tc>
        <w:tc>
          <w:tcPr>
            <w:tcW w:w="208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0"/>
              </w:rPr>
              <w:t>Amount and Nature of</w:t>
            </w:r>
          </w:p>
        </w:tc>
        <w:tc>
          <w:tcPr>
            <w:tcW w:w="1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Beneficial Ownership</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Percent of Class</w:t>
            </w:r>
            <w:r>
              <w:rPr>
                <w:rFonts w:ascii="Arial" w:cs="Arial" w:eastAsia="Arial" w:hAnsi="Arial"/>
                <w:sz w:val="15"/>
                <w:szCs w:val="15"/>
                <w:color w:val="auto"/>
                <w:w w:val="89"/>
              </w:rPr>
              <w:t>(1)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1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(2)</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10,012,138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Staci L. Buse</w:t>
            </w:r>
            <w:r>
              <w:rPr>
                <w:rFonts w:ascii="Arial" w:cs="Arial" w:eastAsia="Arial" w:hAnsi="Arial"/>
                <w:sz w:val="15"/>
                <w:szCs w:val="15"/>
                <w:color w:val="auto"/>
              </w:rPr>
              <w:t>(3)</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3,503,171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Significant Ventures, LLC</w:t>
            </w:r>
            <w:r>
              <w:rPr>
                <w:rFonts w:ascii="Arial" w:cs="Arial" w:eastAsia="Arial" w:hAnsi="Arial"/>
                <w:sz w:val="15"/>
                <w:szCs w:val="15"/>
                <w:color w:val="auto"/>
              </w:rPr>
              <w:t>(4)</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2,971,144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(5)</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19,516,242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109,329</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5"/>
                <w:szCs w:val="15"/>
                <w:color w:val="auto"/>
              </w:rPr>
              <w:t>(5)</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19,516,242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Dr. W. Stan Meyer</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1,500</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Michael S. Lacrosse</w:t>
            </w:r>
            <w:r>
              <w:rPr>
                <w:rFonts w:ascii="Arial" w:cs="Arial" w:eastAsia="Arial" w:hAnsi="Arial"/>
                <w:sz w:val="15"/>
                <w:szCs w:val="15"/>
                <w:color w:val="auto"/>
              </w:rPr>
              <w:t>(6)</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30,483</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Dr. Kathy Player</w:t>
            </w:r>
            <w:r>
              <w:rPr>
                <w:rFonts w:ascii="Arial" w:cs="Arial" w:eastAsia="Arial" w:hAnsi="Arial"/>
                <w:sz w:val="15"/>
                <w:szCs w:val="15"/>
                <w:color w:val="auto"/>
              </w:rPr>
              <w:t>(6)</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30,463</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(7)</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10,012,138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(7)</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10,012,138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Jack A. Henry</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2,950</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29,718,625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hanging="348"/>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7" w:lineRule="exact"/>
        <w:rPr>
          <w:sz w:val="20"/>
          <w:szCs w:val="20"/>
          <w:color w:val="auto"/>
        </w:rPr>
      </w:pPr>
    </w:p>
    <w:p>
      <w:pPr>
        <w:ind w:left="680" w:right="879" w:hanging="348"/>
        <w:spacing w:after="0" w:line="286"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w:t>
      </w:r>
    </w:p>
    <w:p>
      <w:pPr>
        <w:spacing w:after="0" w:line="1" w:lineRule="exact"/>
        <w:rPr>
          <w:rFonts w:ascii="Arial" w:cs="Arial" w:eastAsia="Arial" w:hAnsi="Arial"/>
          <w:sz w:val="16"/>
          <w:szCs w:val="16"/>
          <w:color w:val="auto"/>
        </w:rPr>
      </w:pPr>
    </w:p>
    <w:p>
      <w:pPr>
        <w:ind w:left="680" w:right="779"/>
        <w:spacing w:after="0" w:line="261" w:lineRule="auto"/>
        <w:rPr>
          <w:rFonts w:ascii="Arial" w:cs="Arial" w:eastAsia="Arial" w:hAnsi="Arial"/>
          <w:sz w:val="16"/>
          <w:szCs w:val="16"/>
          <w:color w:val="auto"/>
        </w:rPr>
      </w:pPr>
      <w:r>
        <w:rPr>
          <w:rFonts w:ascii="Arial" w:cs="Arial" w:eastAsia="Arial" w:hAnsi="Arial"/>
          <w:sz w:val="18"/>
          <w:szCs w:val="18"/>
          <w:color w:val="auto"/>
        </w:rPr>
        <w:t>60 days after such date. Consequently, the denominator for calculating beneficial ownership percentages may be different for each beneficial owner.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839" w:hanging="348"/>
        <w:spacing w:after="0" w:line="25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w:t>
      </w:r>
    </w:p>
    <w:p>
      <w:pPr>
        <w:spacing w:after="0" w:line="39" w:lineRule="exact"/>
        <w:rPr>
          <w:rFonts w:ascii="Arial" w:cs="Arial" w:eastAsia="Arial" w:hAnsi="Arial"/>
          <w:sz w:val="18"/>
          <w:szCs w:val="18"/>
          <w:color w:val="auto"/>
        </w:rPr>
      </w:pPr>
    </w:p>
    <w:p>
      <w:pPr>
        <w:ind w:left="680" w:right="779" w:hanging="348"/>
        <w:spacing w:after="0" w:line="297"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shares of common stock held of record by Rich Crow Enterprises, LLC and Masters Online, LLC which are attributable to, and beneficially owned by, Ms. Staci L. Buse, who is the sister of Brent D. Richardson and Christopher C. Richardson. Pursuant to a proxy and voting agreement, Messrs. Brent D. Richardson and Christopher C. Richardson have voting power over the shares beneficially owned by Ms. Buse. Each of Messrs. Brent D. Richardson and Christopher C. Richardson disclaims beneficial ownership of such shares, except to the extent of such voting interest.</w:t>
      </w:r>
    </w:p>
    <w:p>
      <w:pPr>
        <w:spacing w:after="0" w:line="9" w:lineRule="exact"/>
        <w:rPr>
          <w:rFonts w:ascii="Arial" w:cs="Arial" w:eastAsia="Arial" w:hAnsi="Arial"/>
          <w:sz w:val="16"/>
          <w:szCs w:val="16"/>
          <w:color w:val="auto"/>
        </w:rPr>
      </w:pPr>
    </w:p>
    <w:p>
      <w:pPr>
        <w:ind w:left="680" w:right="639" w:hanging="348"/>
        <w:spacing w:after="0" w:line="297"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Michael Clifford is the managing director of and has dispositive power with respect to the shares held by Significant Ventures, LLC. The address for Significant Ventures, LLC is 243 North Highway 101, Suite 11, Solana Beach, California 92075. Pursuant to a proxy and voting agreement, Messrs. Brent D. Richardson and Christopher C. Richardson have voting power over the shares beneficially owned by Significant Ventures, LLC. Each of Messrs. Brent D. Richardson and Christopher C. Richardson disclaim beneficial ownership of such shares, except to the extent of such voting interest.</w:t>
      </w:r>
    </w:p>
    <w:p>
      <w:pPr>
        <w:spacing w:after="0" w:line="9" w:lineRule="exact"/>
        <w:rPr>
          <w:rFonts w:ascii="Arial" w:cs="Arial" w:eastAsia="Arial" w:hAnsi="Arial"/>
          <w:sz w:val="16"/>
          <w:szCs w:val="16"/>
          <w:color w:val="auto"/>
        </w:rPr>
      </w:pPr>
    </w:p>
    <w:p>
      <w:pPr>
        <w:ind w:left="680" w:hanging="348"/>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for Messrs. Brent D. Richardson and Christopher C. Richardson consists of:</w:t>
      </w:r>
    </w:p>
    <w:p>
      <w:pPr>
        <w:spacing w:after="0" w:line="198" w:lineRule="exact"/>
        <w:rPr>
          <w:rFonts w:ascii="Arial" w:cs="Arial" w:eastAsia="Arial" w:hAnsi="Arial"/>
          <w:sz w:val="18"/>
          <w:szCs w:val="18"/>
          <w:color w:val="auto"/>
        </w:rPr>
      </w:pPr>
    </w:p>
    <w:p>
      <w:pPr>
        <w:ind w:left="1040" w:right="639" w:hanging="343"/>
        <w:spacing w:after="0" w:line="277" w:lineRule="auto"/>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3,503,171 shares of common stock held of record by Rich Crow Enterprises, LLC and Masters Online, LLC which are attributable to, and beneficially owned by, Mr. Brent D. Richardson;</w:t>
      </w:r>
    </w:p>
    <w:p>
      <w:pPr>
        <w:spacing w:after="0" w:line="129" w:lineRule="exact"/>
        <w:rPr>
          <w:rFonts w:ascii="Arial" w:cs="Arial" w:eastAsia="Arial" w:hAnsi="Arial"/>
          <w:sz w:val="18"/>
          <w:szCs w:val="18"/>
          <w:b w:val="1"/>
          <w:bCs w:val="1"/>
          <w:color w:val="auto"/>
        </w:rPr>
      </w:pPr>
    </w:p>
    <w:p>
      <w:pPr>
        <w:ind w:left="1040" w:right="639" w:hanging="343"/>
        <w:spacing w:after="0" w:line="277" w:lineRule="auto"/>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3,504,036 shares of common stock held of record by Rich Crow Enterprises, LLC and Masters Online, LLC which are attributable to, and beneficially owned by, Mr. Christopher C. Richardson;</w:t>
      </w:r>
    </w:p>
    <w:p>
      <w:pPr>
        <w:spacing w:after="0" w:line="129" w:lineRule="exact"/>
        <w:rPr>
          <w:rFonts w:ascii="Arial" w:cs="Arial" w:eastAsia="Arial" w:hAnsi="Arial"/>
          <w:sz w:val="18"/>
          <w:szCs w:val="18"/>
          <w:b w:val="1"/>
          <w:bCs w:val="1"/>
          <w:color w:val="auto"/>
        </w:rPr>
      </w:pPr>
    </w:p>
    <w:p>
      <w:pPr>
        <w:jc w:val="both"/>
        <w:ind w:left="1040" w:right="639" w:hanging="343"/>
        <w:spacing w:after="0" w:line="264" w:lineRule="auto"/>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3,503,171 shares of common stock held of record by Rich Crow Enterprises, LLC and Masters Online, LLC which are attributable to, and beneficially owned by, the sister of Messrs. Brent D. Richardson and Christopher C. Richardson as described in Note (3) above;</w:t>
      </w:r>
    </w:p>
    <w:p>
      <w:pPr>
        <w:spacing w:after="0" w:line="154" w:lineRule="exact"/>
        <w:rPr>
          <w:rFonts w:ascii="Arial" w:cs="Arial" w:eastAsia="Arial" w:hAnsi="Arial"/>
          <w:sz w:val="18"/>
          <w:szCs w:val="18"/>
          <w:b w:val="1"/>
          <w:bCs w:val="1"/>
          <w:color w:val="auto"/>
        </w:rPr>
      </w:pPr>
    </w:p>
    <w:p>
      <w:pPr>
        <w:ind w:left="1040" w:right="1419" w:hanging="343"/>
        <w:spacing w:after="0" w:line="277" w:lineRule="auto"/>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401,900 shares of common stock held of record by Rich Crow Enterprises, LLC that are attributable to, and beneficially owned by, another member thereof;</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The shares held by Significant Ventures, as described in Note (4) above; and</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5,632,820 shares of common stock held of record by other stockholders.</w:t>
      </w:r>
    </w:p>
    <w:p>
      <w:pPr>
        <w:spacing w:after="0" w:line="198" w:lineRule="exact"/>
        <w:rPr>
          <w:sz w:val="20"/>
          <w:szCs w:val="20"/>
          <w:color w:val="auto"/>
        </w:rPr>
      </w:pPr>
    </w:p>
    <w:p>
      <w:pPr>
        <w:ind w:left="700" w:right="619"/>
        <w:spacing w:after="0" w:line="302" w:lineRule="auto"/>
        <w:rPr>
          <w:sz w:val="20"/>
          <w:szCs w:val="20"/>
          <w:color w:val="auto"/>
        </w:rPr>
      </w:pPr>
      <w:r>
        <w:rPr>
          <w:rFonts w:ascii="Arial" w:cs="Arial" w:eastAsia="Arial" w:hAnsi="Arial"/>
          <w:sz w:val="16"/>
          <w:szCs w:val="16"/>
          <w:color w:val="auto"/>
        </w:rPr>
        <w:t>Pursuant to a proxy and voting agreement, Messrs. Brent D. Richardson and Christopher C. Richardson have voting power over the shares beneficially owned by their sister and by the other member of Rich Crow Enterprises, LLC, as well as those covered by Significant Ventures, and certain other stockholders. Each of Messrs. Brent D. Richardson and Christopher C. Richardson disclaims beneficial ownership of such shares, except to the extent of such voting interest.</w:t>
      </w:r>
    </w:p>
    <w:p>
      <w:pPr>
        <w:spacing w:after="0" w:line="6" w:lineRule="exact"/>
        <w:rPr>
          <w:sz w:val="20"/>
          <w:szCs w:val="20"/>
          <w:color w:val="auto"/>
        </w:rPr>
      </w:pPr>
    </w:p>
    <w:p>
      <w:pPr>
        <w:ind w:left="680" w:hanging="348"/>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29,463 shares of common stock issuable upon exercise of vested stock options.</w:t>
      </w:r>
    </w:p>
    <w:p>
      <w:pPr>
        <w:spacing w:after="0" w:line="76" w:lineRule="exact"/>
        <w:rPr>
          <w:rFonts w:ascii="Arial" w:cs="Arial" w:eastAsia="Arial" w:hAnsi="Arial"/>
          <w:sz w:val="18"/>
          <w:szCs w:val="18"/>
          <w:color w:val="auto"/>
        </w:rPr>
      </w:pPr>
    </w:p>
    <w:p>
      <w:pPr>
        <w:ind w:left="680" w:right="579" w:hanging="348"/>
        <w:spacing w:after="0" w:line="259"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10,012,138 shares of common stock held of record by the Endeavour Entities (see note (2) above). Messrs. Chad N. Heath and D. Mark Dorman, each of whom is a managing member of Endeavour Capital IV, LLC, the general partner of the Endeavour Entities, and serves on our Board of Directors, disclaim beneficial ownership of these shares except to the extent of their respective pecuniary interests.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89"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person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person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person transactions that have not been pre-approved, the audit committee will be notified and will determine the appropriate action, including ratification, rescission or amendment of the transaction.</w:t>
      </w:r>
    </w:p>
    <w:p>
      <w:pPr>
        <w:spacing w:after="0" w:line="132" w:lineRule="exact"/>
        <w:rPr>
          <w:sz w:val="20"/>
          <w:szCs w:val="20"/>
          <w:color w:val="auto"/>
        </w:rPr>
      </w:pPr>
    </w:p>
    <w:p>
      <w:pPr>
        <w:ind w:left="340" w:right="759" w:firstLine="373"/>
        <w:spacing w:after="0" w:line="312" w:lineRule="auto"/>
        <w:rPr>
          <w:sz w:val="20"/>
          <w:szCs w:val="20"/>
          <w:color w:val="auto"/>
        </w:rPr>
      </w:pPr>
      <w:r>
        <w:rPr>
          <w:rFonts w:ascii="Arial" w:cs="Arial" w:eastAsia="Arial" w:hAnsi="Arial"/>
          <w:sz w:val="16"/>
          <w:szCs w:val="16"/>
          <w:color w:val="auto"/>
        </w:rPr>
        <w:t>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20" w:lineRule="exact"/>
        <w:rPr>
          <w:sz w:val="20"/>
          <w:szCs w:val="20"/>
          <w:color w:val="auto"/>
        </w:rPr>
      </w:pPr>
    </w:p>
    <w:p>
      <w:pPr>
        <w:ind w:left="340" w:right="739" w:firstLine="373"/>
        <w:spacing w:after="0" w:line="259" w:lineRule="auto"/>
        <w:rPr>
          <w:sz w:val="20"/>
          <w:szCs w:val="20"/>
          <w:color w:val="auto"/>
        </w:rPr>
      </w:pPr>
      <w:r>
        <w:rPr>
          <w:rFonts w:ascii="Arial" w:cs="Arial" w:eastAsia="Arial" w:hAnsi="Arial"/>
          <w:sz w:val="18"/>
          <w:szCs w:val="18"/>
          <w:color w:val="auto"/>
        </w:rPr>
        <w:t>Set forth below is a summary of certain transactions since January 1, 2008, in which the Company was or is to be a participant and involving our directors, our executive officers, beneficial owners of more than 5% of our common stock, and some of the entities with which the foregoing persons are affiliated or associated, and in which the amount involved exceeds or will exceed $120,000.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Investor Rights Agreement</w:t>
      </w:r>
    </w:p>
    <w:p>
      <w:pPr>
        <w:spacing w:after="0" w:line="189"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In connection with our conversion from a limited liability company to a corporation and the related investment in us by the Endeavour Entities, and certain other investors on August 24, 2005, we entered into an investor rights agreement with the Endeavour Entities, and certain other named parties. The investor rights agreement, as currently in effect, contains agreements among the parties with respect to registration rights.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Voting Agreement</w:t>
      </w:r>
    </w:p>
    <w:p>
      <w:pPr>
        <w:spacing w:after="0" w:line="189" w:lineRule="exact"/>
        <w:rPr>
          <w:sz w:val="20"/>
          <w:szCs w:val="20"/>
          <w:color w:val="auto"/>
        </w:rPr>
      </w:pPr>
    </w:p>
    <w:p>
      <w:pPr>
        <w:ind w:left="340" w:right="839" w:firstLine="373"/>
        <w:spacing w:after="0" w:line="271" w:lineRule="auto"/>
        <w:rPr>
          <w:sz w:val="20"/>
          <w:szCs w:val="20"/>
          <w:color w:val="auto"/>
        </w:rPr>
      </w:pPr>
      <w:r>
        <w:rPr>
          <w:rFonts w:ascii="Arial" w:cs="Arial" w:eastAsia="Arial" w:hAnsi="Arial"/>
          <w:sz w:val="17"/>
          <w:szCs w:val="17"/>
          <w:color w:val="auto"/>
        </w:rPr>
        <w:t>As discussed in our Annual Report on Form 10-K, the Department of Education and many states and accrediting commissions require institutions of higher education to report or obtain approval of certain changes in control and changes in other aspects of institutional organization or control. In connection with our initial public offering, certain of our stockholders entered into a proxy and voting agreement, pursuant to which such persons granted to Brent D. Richardson, our Executive Chairman, and Christopher C. Richardson, our General Counsel and director, a five-year irrevocable proxy to exercise voting authority with respect to certain shares of our common stock held by such persons. As a result of the agreement, as of February 28, 2009, the Richardsons have voting authority with respect to approximately 42.9% of our outstanding shares of capital stock. See “Beneficial Ownership of Common Stock.”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Special Distribution</w:t>
      </w:r>
    </w:p>
    <w:p>
      <w:pPr>
        <w:spacing w:after="0" w:line="202"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We declared a special distribution that was paid promptly after the completion of our initial public offering in November 2008 to our stockholders who owned shares of record immediately prior to the consummation of our initial public offering. The aggregate amount of the special distribution was equal to 75% of the gross proceeds from the sale of common stock in our initial public offering, including 75% of the gross proceeds received by us from the underwriters’ exercise of their over-allotment option. The aggregate amount of the special distribution was $108.7 million, or approximately $3.27 per common share on an as if converted basis.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639" w:firstLine="373"/>
        <w:spacing w:after="0" w:line="264" w:lineRule="auto"/>
        <w:rPr>
          <w:sz w:val="20"/>
          <w:szCs w:val="20"/>
          <w:color w:val="auto"/>
        </w:rPr>
      </w:pPr>
      <w:r>
        <w:rPr>
          <w:rFonts w:ascii="Arial" w:cs="Arial" w:eastAsia="Arial" w:hAnsi="Arial"/>
          <w:sz w:val="18"/>
          <w:szCs w:val="18"/>
          <w:color w:val="auto"/>
        </w:rPr>
        <w:t>The following table sets forth the amount of cash paid as a result of the special distribution in respect of outstanding shares of our capital stock as to which each of our 5% stockholders, executive officers and directors was deemed to have sole or shared voting or investment power as of the date of the special distribution.</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Shares Beneficially</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4"/>
              </w:rPr>
              <w:t>Original Acquisition</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Owned and</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89"/>
              </w:rPr>
              <w:t>Cost of Shares to</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Outstanding as of</w:t>
            </w:r>
          </w:p>
        </w:tc>
        <w:tc>
          <w:tcPr>
            <w:tcW w:w="1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which Special</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9"/>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November 18,</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3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Amount for Shares</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2008</w:t>
            </w:r>
            <w:r>
              <w:rPr>
                <w:rFonts w:ascii="Arial" w:cs="Arial" w:eastAsia="Arial" w:hAnsi="Arial"/>
                <w:sz w:val="12"/>
                <w:szCs w:val="12"/>
                <w:color w:val="auto"/>
                <w:w w:val="95"/>
              </w:rPr>
              <w:t>(1)</w:t>
            </w:r>
          </w:p>
        </w:tc>
        <w:tc>
          <w:tcPr>
            <w:tcW w:w="3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Related</w:t>
            </w:r>
            <w:r>
              <w:rPr>
                <w:rFonts w:ascii="Arial" w:cs="Arial" w:eastAsia="Arial" w:hAnsi="Arial"/>
                <w:sz w:val="12"/>
                <w:szCs w:val="12"/>
                <w:color w:val="auto"/>
                <w:w w:val="91"/>
              </w:rPr>
              <w:t>(2)</w:t>
            </w:r>
          </w:p>
        </w:tc>
        <w:tc>
          <w:tcPr>
            <w:tcW w:w="280" w:type="dxa"/>
            <w:vAlign w:val="bottom"/>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(dollars in</w:t>
            </w:r>
          </w:p>
        </w:tc>
        <w:tc>
          <w:tcPr>
            <w:tcW w:w="1560" w:type="dxa"/>
            <w:vAlign w:val="bottom"/>
            <w:gridSpan w:val="3"/>
          </w:tcPr>
          <w:p>
            <w:pPr>
              <w:jc w:val="right"/>
              <w:ind w:right="828"/>
              <w:spacing w:after="0" w:line="142" w:lineRule="exact"/>
              <w:rPr>
                <w:sz w:val="20"/>
                <w:szCs w:val="20"/>
                <w:color w:val="auto"/>
              </w:rPr>
            </w:pPr>
            <w:r>
              <w:rPr>
                <w:rFonts w:ascii="Arial" w:cs="Arial" w:eastAsia="Arial" w:hAnsi="Arial"/>
                <w:sz w:val="14"/>
                <w:szCs w:val="14"/>
                <w:color w:val="auto"/>
                <w:w w:val="92"/>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5% Stockholders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Endeavour Capital Fund IV and affiliates</w:t>
            </w:r>
            <w:r>
              <w:rPr>
                <w:rFonts w:ascii="Arial" w:cs="Arial" w:eastAsia="Arial" w:hAnsi="Arial"/>
                <w:sz w:val="12"/>
                <w:szCs w:val="12"/>
                <w:color w:val="auto"/>
              </w:rPr>
              <w:t>(3)</w:t>
            </w:r>
          </w:p>
        </w:tc>
        <w:tc>
          <w:tcPr>
            <w:tcW w:w="1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9,035,048</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August 24, 2005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16,000</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29,547</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977,090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5,863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10,012,138</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21,863</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 GCU, L.P. and affiliates</w:t>
            </w:r>
            <w:r>
              <w:rPr>
                <w:rFonts w:ascii="Arial" w:cs="Arial" w:eastAsia="Arial" w:hAnsi="Arial"/>
                <w:sz w:val="12"/>
                <w:szCs w:val="12"/>
                <w:color w:val="auto"/>
              </w:rPr>
              <w:t>(4)</w:t>
            </w: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4,756,328</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February 2, 2004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3,042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15,554</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1,835,130</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August 24, 2005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3,250</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6,001</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545,218</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3,271</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7,136,676</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9,563</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Staci L. Buse</w:t>
            </w:r>
            <w:r>
              <w:rPr>
                <w:rFonts w:ascii="Arial" w:cs="Arial" w:eastAsia="Arial" w:hAnsi="Arial"/>
                <w:sz w:val="12"/>
                <w:szCs w:val="12"/>
                <w:color w:val="auto"/>
              </w:rPr>
              <w:t>(5)</w:t>
            </w: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3,347,452</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February 2, 2004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1,443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155,719</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934</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3,503,171</w:t>
            </w: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2,377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4"/>
                <w:szCs w:val="14"/>
                <w:color w:val="auto"/>
              </w:rPr>
              <w:t>Significant Ventures, LLC</w:t>
            </w:r>
          </w:p>
        </w:tc>
        <w:tc>
          <w:tcPr>
            <w:tcW w:w="1780" w:type="dxa"/>
            <w:vAlign w:val="bottom"/>
            <w:gridSpan w:val="3"/>
          </w:tcPr>
          <w:p>
            <w:pPr>
              <w:jc w:val="right"/>
              <w:ind w:right="280"/>
              <w:spacing w:after="0"/>
              <w:rPr>
                <w:sz w:val="20"/>
                <w:szCs w:val="20"/>
                <w:color w:val="auto"/>
              </w:rPr>
            </w:pPr>
            <w:r>
              <w:rPr>
                <w:rFonts w:ascii="Arial" w:cs="Arial" w:eastAsia="Arial" w:hAnsi="Arial"/>
                <w:sz w:val="14"/>
                <w:szCs w:val="14"/>
                <w:color w:val="auto"/>
              </w:rPr>
              <w:t>2,767,321</w:t>
            </w:r>
          </w:p>
        </w:tc>
        <w:tc>
          <w:tcPr>
            <w:tcW w:w="1300" w:type="dxa"/>
            <w:vAlign w:val="bottom"/>
          </w:tcPr>
          <w:p>
            <w:pPr>
              <w:spacing w:after="0"/>
              <w:rPr>
                <w:sz w:val="20"/>
                <w:szCs w:val="20"/>
                <w:color w:val="auto"/>
              </w:rPr>
            </w:pPr>
            <w:r>
              <w:rPr>
                <w:rFonts w:ascii="Arial" w:cs="Arial" w:eastAsia="Arial" w:hAnsi="Arial"/>
                <w:sz w:val="14"/>
                <w:szCs w:val="14"/>
                <w:color w:val="auto"/>
              </w:rPr>
              <w:t>February 2, 2004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9,050</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203,823</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1,223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2,971,144</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1,259</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Directors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Chad N. Heath</w:t>
            </w:r>
            <w:r>
              <w:rPr>
                <w:rFonts w:ascii="Arial" w:cs="Arial" w:eastAsia="Arial" w:hAnsi="Arial"/>
                <w:sz w:val="12"/>
                <w:szCs w:val="12"/>
                <w:color w:val="auto"/>
              </w:rPr>
              <w:t>(3)</w:t>
            </w:r>
          </w:p>
        </w:tc>
        <w:tc>
          <w:tcPr>
            <w:tcW w:w="1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9,035,048</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August 24, 2005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16,000</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29,547</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977,090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5,863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10,012,138</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21,863</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 Mark Dorman</w:t>
            </w:r>
            <w:r>
              <w:rPr>
                <w:rFonts w:ascii="Arial" w:cs="Arial" w:eastAsia="Arial" w:hAnsi="Arial"/>
                <w:sz w:val="12"/>
                <w:szCs w:val="12"/>
                <w:color w:val="auto"/>
              </w:rPr>
              <w:t>(3)</w:t>
            </w: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9,035,048</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24, 2005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29,547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977,090</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5,863</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10,012,138</w:t>
            </w: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21,863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32,742</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4"/>
                <w:szCs w:val="14"/>
                <w:b w:val="1"/>
                <w:bCs w:val="1"/>
                <w:i w:val="1"/>
                <w:iCs w:val="1"/>
                <w:color w:val="auto"/>
              </w:rPr>
              <w:t>Executive Officers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Brent D. Richardson</w:t>
            </w:r>
            <w:r>
              <w:rPr>
                <w:rFonts w:ascii="Arial" w:cs="Arial" w:eastAsia="Arial" w:hAnsi="Arial"/>
                <w:sz w:val="12"/>
                <w:szCs w:val="12"/>
                <w:color w:val="auto"/>
              </w:rPr>
              <w:t>(5)</w:t>
            </w: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3,347,452</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February 2, 2004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1,443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155,719</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934</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3,503,171</w:t>
            </w: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2,377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4"/>
                <w:szCs w:val="14"/>
                <w:color w:val="auto"/>
              </w:rPr>
              <w:t>John E. Crowley</w:t>
            </w:r>
            <w:r>
              <w:rPr>
                <w:rFonts w:ascii="Arial" w:cs="Arial" w:eastAsia="Arial" w:hAnsi="Arial"/>
                <w:sz w:val="12"/>
                <w:szCs w:val="12"/>
                <w:color w:val="auto"/>
              </w:rPr>
              <w:t>(6)</w:t>
            </w:r>
          </w:p>
        </w:tc>
        <w:tc>
          <w:tcPr>
            <w:tcW w:w="1780" w:type="dxa"/>
            <w:vAlign w:val="bottom"/>
            <w:gridSpan w:val="3"/>
          </w:tcPr>
          <w:p>
            <w:pPr>
              <w:jc w:val="right"/>
              <w:ind w:right="280"/>
              <w:spacing w:after="0"/>
              <w:rPr>
                <w:sz w:val="20"/>
                <w:szCs w:val="20"/>
                <w:color w:val="auto"/>
              </w:rPr>
            </w:pPr>
            <w:r>
              <w:rPr>
                <w:rFonts w:ascii="Arial" w:cs="Arial" w:eastAsia="Arial" w:hAnsi="Arial"/>
                <w:sz w:val="14"/>
                <w:szCs w:val="14"/>
                <w:color w:val="auto"/>
              </w:rPr>
              <w:t>382,435</w:t>
            </w:r>
          </w:p>
        </w:tc>
        <w:tc>
          <w:tcPr>
            <w:tcW w:w="1300" w:type="dxa"/>
            <w:vAlign w:val="bottom"/>
          </w:tcPr>
          <w:p>
            <w:pPr>
              <w:spacing w:after="0"/>
              <w:rPr>
                <w:sz w:val="20"/>
                <w:szCs w:val="20"/>
                <w:color w:val="auto"/>
              </w:rPr>
            </w:pPr>
            <w:r>
              <w:rPr>
                <w:rFonts w:ascii="Arial" w:cs="Arial" w:eastAsia="Arial" w:hAnsi="Arial"/>
                <w:sz w:val="14"/>
                <w:szCs w:val="14"/>
                <w:color w:val="auto"/>
              </w:rPr>
              <w:t>February 2, 2004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19,465</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401,900</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Richardson</w:t>
            </w:r>
            <w:r>
              <w:rPr>
                <w:rFonts w:ascii="Arial" w:cs="Arial" w:eastAsia="Arial" w:hAnsi="Arial"/>
                <w:sz w:val="12"/>
                <w:szCs w:val="12"/>
                <w:color w:val="auto"/>
              </w:rPr>
              <w:t>(5)</w:t>
            </w: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3,348,317</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February 2, 2004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1,443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10,950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155,719</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934</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3,504,036</w:t>
            </w: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2,377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11,459</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4"/>
                <w:szCs w:val="14"/>
                <w:b w:val="1"/>
                <w:bCs w:val="1"/>
                <w:i w:val="1"/>
                <w:iCs w:val="1"/>
                <w:color w:val="auto"/>
                <w:w w:val="96"/>
              </w:rPr>
              <w:t>All directors and executive officers as a group</w:t>
            </w:r>
          </w:p>
        </w:tc>
        <w:tc>
          <w:tcPr>
            <w:tcW w:w="1780" w:type="dxa"/>
            <w:vAlign w:val="bottom"/>
            <w:gridSpan w:val="3"/>
          </w:tcPr>
          <w:p>
            <w:pPr>
              <w:jc w:val="right"/>
              <w:ind w:right="280"/>
              <w:spacing w:after="0"/>
              <w:rPr>
                <w:sz w:val="20"/>
                <w:szCs w:val="20"/>
                <w:color w:val="auto"/>
              </w:rPr>
            </w:pPr>
            <w:r>
              <w:rPr>
                <w:rFonts w:ascii="Arial" w:cs="Arial" w:eastAsia="Arial" w:hAnsi="Arial"/>
                <w:sz w:val="14"/>
                <w:szCs w:val="14"/>
                <w:color w:val="auto"/>
              </w:rPr>
              <w:t>7,078,204</w:t>
            </w:r>
          </w:p>
        </w:tc>
        <w:tc>
          <w:tcPr>
            <w:tcW w:w="1300" w:type="dxa"/>
            <w:vAlign w:val="bottom"/>
          </w:tcPr>
          <w:p>
            <w:pPr>
              <w:spacing w:after="0"/>
              <w:rPr>
                <w:sz w:val="20"/>
                <w:szCs w:val="20"/>
                <w:color w:val="auto"/>
              </w:rPr>
            </w:pPr>
            <w:r>
              <w:rPr>
                <w:rFonts w:ascii="Arial" w:cs="Arial" w:eastAsia="Arial" w:hAnsi="Arial"/>
                <w:sz w:val="14"/>
                <w:szCs w:val="14"/>
                <w:color w:val="auto"/>
              </w:rPr>
              <w:t>February 2, 2004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color w:val="auto"/>
              </w:rPr>
              <w:t>3,050</w:t>
            </w:r>
          </w:p>
        </w:tc>
        <w:tc>
          <w:tcPr>
            <w:tcW w:w="1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23,148</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9,035,048</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24, 2005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29,547</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1,307,993</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December 18, 2007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7,848</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17,421,245</w:t>
            </w:r>
          </w:p>
        </w:tc>
        <w:tc>
          <w:tcPr>
            <w:tcW w:w="1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26,898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56,972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719" w:hanging="348"/>
        <w:spacing w:after="0" w:line="290"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purpose of calculating shares beneficially owned and outstanding as of November 18, 2008, which was the date immediately prior to our initial public offering and the record date for purposes of determining the stockholders entitled to receive the special distribution, the number of shares of common stock deemed outstanding includes all shares of common stock issuable upon the conversion of all outstanding shares of our Series A and Series C preferred stock. Beneficial ownership is determined in accordance with the rules of the SEC that generally attribute beneficial ownership of securities to persons that possess sole or shared voting power and/or investment power with respect to those securities. The persons identified in this table have sole voting and investment power with respect to all shares shown as beneficially owned by them, except as set forth in the footnotes to the table included in “Beneficial Ownership of Common Stock.”</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699" w:hanging="348"/>
        <w:spacing w:after="0" w:line="259"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38" w:lineRule="exact"/>
        <w:rPr>
          <w:rFonts w:ascii="Arial" w:cs="Arial" w:eastAsia="Arial" w:hAnsi="Arial"/>
          <w:sz w:val="18"/>
          <w:szCs w:val="18"/>
          <w:color w:val="auto"/>
        </w:rPr>
      </w:pPr>
    </w:p>
    <w:p>
      <w:pPr>
        <w:ind w:left="680" w:right="659" w:hanging="348"/>
        <w:spacing w:after="0" w:line="264"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32" w:lineRule="exact"/>
        <w:rPr>
          <w:rFonts w:ascii="Arial" w:cs="Arial" w:eastAsia="Arial" w:hAnsi="Arial"/>
          <w:sz w:val="18"/>
          <w:szCs w:val="18"/>
          <w:color w:val="auto"/>
        </w:rPr>
      </w:pPr>
    </w:p>
    <w:p>
      <w:pPr>
        <w:ind w:left="680" w:right="819" w:hanging="348"/>
        <w:spacing w:after="0" w:line="325"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shares previously held of record by 220 GCU, L.P., 220 Education, L.P., 220-SigEd, L.P., and SV One, L.P., which, prior to our initial public offering, were collectively the beneficial owners of more than 5% of our common stock.</w:t>
      </w:r>
    </w:p>
    <w:p>
      <w:pPr>
        <w:spacing w:after="0" w:line="1" w:lineRule="exact"/>
        <w:rPr>
          <w:rFonts w:ascii="Arial" w:cs="Arial" w:eastAsia="Arial" w:hAnsi="Arial"/>
          <w:sz w:val="16"/>
          <w:szCs w:val="16"/>
          <w:color w:val="auto"/>
        </w:rPr>
      </w:pPr>
    </w:p>
    <w:p>
      <w:pPr>
        <w:ind w:left="680" w:right="619" w:hanging="348"/>
        <w:spacing w:after="0" w:line="286"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shares held of record by Rich Crow Enterprises, LLC, and Masters Online, LLC, of which Brent D. Richardson, Christopher C. Richardson, and Staci L. Buse are members and, in each case, which are attributable to, and beneficially owned by, Brent D. Richardson, Christopher C. Richardson, or Staci L. Buse, as applicable.</w:t>
      </w:r>
    </w:p>
    <w:p>
      <w:pPr>
        <w:spacing w:after="0" w:line="16" w:lineRule="exact"/>
        <w:rPr>
          <w:rFonts w:ascii="Arial" w:cs="Arial" w:eastAsia="Arial" w:hAnsi="Arial"/>
          <w:sz w:val="17"/>
          <w:szCs w:val="17"/>
          <w:color w:val="auto"/>
        </w:rPr>
      </w:pPr>
    </w:p>
    <w:p>
      <w:pPr>
        <w:ind w:left="680" w:right="899" w:hanging="348"/>
        <w:spacing w:after="0" w:line="264"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of which John E. Crowley, our former chief operating officer, is a member, which are attributable to, and beneficially owned by, John E. Crowley. Mr. Crowley resigned his position as chief operating officer on February 17, 2009.</w:t>
      </w:r>
    </w:p>
    <w:p>
      <w:pPr>
        <w:spacing w:after="0" w:line="154" w:lineRule="exact"/>
        <w:rPr>
          <w:sz w:val="20"/>
          <w:szCs w:val="20"/>
          <w:color w:val="auto"/>
        </w:rPr>
      </w:pPr>
    </w:p>
    <w:p>
      <w:pPr>
        <w:ind w:left="340" w:right="2139" w:firstLine="373"/>
        <w:spacing w:after="0" w:line="454" w:lineRule="auto"/>
        <w:rPr>
          <w:sz w:val="20"/>
          <w:szCs w:val="20"/>
          <w:color w:val="auto"/>
        </w:rPr>
      </w:pPr>
      <w:r>
        <w:rPr>
          <w:rFonts w:ascii="Arial" w:cs="Arial" w:eastAsia="Arial" w:hAnsi="Arial"/>
          <w:sz w:val="18"/>
          <w:szCs w:val="18"/>
          <w:color w:val="auto"/>
        </w:rPr>
        <w:t xml:space="preserve">For additional information regarding share ownership, see “Beneficial Ownership of Common Stock.” </w:t>
      </w:r>
      <w:r>
        <w:rPr>
          <w:rFonts w:ascii="Arial" w:cs="Arial" w:eastAsia="Arial" w:hAnsi="Arial"/>
          <w:sz w:val="18"/>
          <w:szCs w:val="18"/>
          <w:b w:val="1"/>
          <w:bCs w:val="1"/>
          <w:color w:val="auto"/>
        </w:rPr>
        <w:t>Arrangement with Mind Streams</w:t>
      </w:r>
    </w:p>
    <w:p>
      <w:pPr>
        <w:ind w:left="340" w:right="679" w:firstLine="373"/>
        <w:spacing w:after="0" w:line="254" w:lineRule="auto"/>
        <w:rPr>
          <w:sz w:val="20"/>
          <w:szCs w:val="20"/>
          <w:color w:val="auto"/>
        </w:rPr>
      </w:pPr>
      <w:r>
        <w:rPr>
          <w:rFonts w:ascii="Arial" w:cs="Arial" w:eastAsia="Arial" w:hAnsi="Arial"/>
          <w:sz w:val="18"/>
          <w:szCs w:val="18"/>
          <w:color w:val="auto"/>
        </w:rPr>
        <w:t>We are a party to an agreement with Mind Streams, LLC, which is owned and operated, in part, by Gail Richardson, father to Brent D. Richardson, our Executive Chairman, and Christopher C. Richardson, our General Counsel and a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For the year ended December 31, 2008, we paid Mind Streams $5.9 million pursuant to this arrangement for students enrolled and expenses reimbursed.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Arrangement with Vergo Marketing</w:t>
      </w:r>
    </w:p>
    <w:p>
      <w:pPr>
        <w:spacing w:after="0" w:line="189"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From time to time we obtain marketing services from Vergo Marketing, Inc., of which the sister-in-law of Brent D. Richardson, our Executive Chairman, is a significant stockholder and chief executive officer. For the year ended December 31, 2008, we paid Vergo Marketing, Inc. $0.4 million for such services.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Endeavour Professional Services Agreement</w:t>
      </w:r>
    </w:p>
    <w:p>
      <w:pPr>
        <w:spacing w:after="0" w:line="202" w:lineRule="exact"/>
        <w:rPr>
          <w:sz w:val="20"/>
          <w:szCs w:val="20"/>
          <w:color w:val="auto"/>
        </w:rPr>
      </w:pPr>
    </w:p>
    <w:p>
      <w:pPr>
        <w:ind w:left="340" w:right="599" w:firstLine="373"/>
        <w:spacing w:after="0" w:line="287" w:lineRule="auto"/>
        <w:rPr>
          <w:sz w:val="20"/>
          <w:szCs w:val="20"/>
          <w:color w:val="auto"/>
        </w:rPr>
      </w:pPr>
      <w:r>
        <w:rPr>
          <w:rFonts w:ascii="Arial" w:cs="Arial" w:eastAsia="Arial" w:hAnsi="Arial"/>
          <w:sz w:val="16"/>
          <w:szCs w:val="16"/>
          <w:color w:val="auto"/>
        </w:rPr>
        <w:t>In connection with the investment by the Endeavour Entities, among others, on August 24, 2005,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For the year ended December 31, 2008, we paid fees to Endeavour Capital IV, LLC in the amount of $0.4 million, which amount constituted less than 5% of Endeavour Capital IV, LLC’s consolidated gross revenues for such year. The professional services agreement terminated by its terms upon the closing of our initial public offering.</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color w:val="auto"/>
        </w:rPr>
        <w:t>The following table provides information as of December 31, 2008, with respect to shares of our common stock that may be issued under our existing equity compensation plans: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securities to be</w:t>
            </w:r>
          </w:p>
        </w:tc>
        <w:tc>
          <w:tcPr>
            <w:tcW w:w="10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Weighted-average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issued upon exercise of</w:t>
            </w:r>
          </w:p>
        </w:tc>
        <w:tc>
          <w:tcPr>
            <w:tcW w:w="10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 of</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outstanding options,</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under equity</w:t>
            </w:r>
          </w:p>
        </w:tc>
      </w:t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60" w:type="dxa"/>
            <w:vAlign w:val="bottom"/>
          </w:tcPr>
          <w:p>
            <w:pPr>
              <w:spacing w:after="0"/>
              <w:rPr>
                <w:sz w:val="20"/>
                <w:szCs w:val="20"/>
                <w:color w:val="auto"/>
              </w:rPr>
            </w:pPr>
          </w:p>
        </w:tc>
        <w:tc>
          <w:tcPr>
            <w:tcW w:w="2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warrants and rights</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 plans</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Equity Compensation Plans Approved</w:t>
            </w:r>
          </w:p>
        </w:tc>
        <w:tc>
          <w:tcPr>
            <w:tcW w:w="160" w:type="dxa"/>
            <w:vAlign w:val="bottom"/>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0"/>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Securityholders</w:t>
            </w:r>
          </w:p>
        </w:tc>
        <w:tc>
          <w:tcPr>
            <w:tcW w:w="2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3,247,936</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902,679</w:t>
            </w:r>
            <w:r>
              <w:rPr>
                <w:rFonts w:ascii="Arial" w:cs="Arial" w:eastAsia="Arial" w:hAnsi="Arial"/>
                <w:sz w:val="15"/>
                <w:szCs w:val="15"/>
                <w:color w:val="auto"/>
              </w:rPr>
              <w:t>(2)</w:t>
            </w: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880" w:type="dxa"/>
            <w:vAlign w:val="bottom"/>
          </w:tcPr>
          <w:p>
            <w:pPr>
              <w:ind w:left="200"/>
              <w:spacing w:after="0"/>
              <w:rPr>
                <w:sz w:val="20"/>
                <w:szCs w:val="20"/>
                <w:color w:val="auto"/>
              </w:rPr>
            </w:pPr>
            <w:r>
              <w:rPr>
                <w:rFonts w:ascii="Arial" w:cs="Arial" w:eastAsia="Arial" w:hAnsi="Arial"/>
                <w:sz w:val="18"/>
                <w:szCs w:val="18"/>
                <w:color w:val="auto"/>
              </w:rPr>
              <w:t>Approved by Securityholders</w:t>
            </w:r>
          </w:p>
        </w:tc>
        <w:tc>
          <w:tcPr>
            <w:tcW w:w="160" w:type="dxa"/>
            <w:vAlign w:val="bottom"/>
          </w:tcPr>
          <w:p>
            <w:pPr>
              <w:spacing w:after="0"/>
              <w:rPr>
                <w:sz w:val="20"/>
                <w:szCs w:val="20"/>
                <w:color w:val="auto"/>
              </w:rPr>
            </w:pPr>
          </w:p>
        </w:tc>
        <w:tc>
          <w:tcPr>
            <w:tcW w:w="236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r>
      <w:tr>
        <w:trPr>
          <w:trHeight w:val="223"/>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3,247,936</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902,679</w:t>
            </w:r>
            <w:r>
              <w:rPr>
                <w:rFonts w:ascii="Arial" w:cs="Arial" w:eastAsia="Arial" w:hAnsi="Arial"/>
                <w:sz w:val="15"/>
                <w:szCs w:val="15"/>
                <w:color w:val="auto"/>
              </w:rPr>
              <w:t>(2)</w:t>
            </w: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the 2008 Equity Incentive Plan.</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shares available for future issuances under the 2008 Equity Incentive Plan.</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Section 16(a) of the Exchange Act requires that our Company’s directors and executive officers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2008.</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189" w:lineRule="exact"/>
        <w:rPr>
          <w:sz w:val="20"/>
          <w:szCs w:val="20"/>
          <w:color w:val="auto"/>
        </w:rPr>
      </w:pPr>
    </w:p>
    <w:p>
      <w:pPr>
        <w:ind w:left="340" w:right="639" w:firstLine="373"/>
        <w:spacing w:after="0" w:line="287"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Notices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INFORMATION</w:t>
      </w:r>
    </w:p>
    <w:p>
      <w:pPr>
        <w:spacing w:after="0" w:line="202" w:lineRule="exact"/>
        <w:rPr>
          <w:sz w:val="20"/>
          <w:szCs w:val="20"/>
          <w:color w:val="auto"/>
        </w:rPr>
      </w:pPr>
    </w:p>
    <w:p>
      <w:pPr>
        <w:jc w:val="both"/>
        <w:ind w:left="340" w:right="599" w:firstLine="373"/>
        <w:spacing w:after="0" w:line="312" w:lineRule="auto"/>
        <w:rPr>
          <w:sz w:val="20"/>
          <w:szCs w:val="20"/>
          <w:color w:val="auto"/>
        </w:rPr>
      </w:pPr>
      <w:r>
        <w:rPr>
          <w:rFonts w:ascii="Arial" w:cs="Arial" w:eastAsia="Arial" w:hAnsi="Arial"/>
          <w:sz w:val="16"/>
          <w:szCs w:val="16"/>
          <w:color w:val="auto"/>
        </w:rPr>
        <w:t>Our 2008 annual report and our Annual Report on Form 10-K for fiscal year 2008, including financial statements, are being mailed with this proxy statement to all stockholders of record as of April 3, 2009, including those stockholders whose shares are held in a brokerage, bank or similar account, who will receive the same mailing from the organization holding the account.</w:t>
      </w:r>
    </w:p>
    <w:p>
      <w:pPr>
        <w:spacing w:after="0" w:line="106" w:lineRule="exact"/>
        <w:rPr>
          <w:sz w:val="20"/>
          <w:szCs w:val="20"/>
          <w:color w:val="auto"/>
        </w:rPr>
      </w:pPr>
    </w:p>
    <w:p>
      <w:pPr>
        <w:ind w:left="340" w:right="679" w:firstLine="373"/>
        <w:spacing w:after="0" w:line="279" w:lineRule="auto"/>
        <w:rPr>
          <w:sz w:val="20"/>
          <w:szCs w:val="20"/>
          <w:color w:val="auto"/>
        </w:rPr>
      </w:pPr>
      <w:r>
        <w:rPr>
          <w:rFonts w:ascii="Arial" w:cs="Arial" w:eastAsia="Arial" w:hAnsi="Arial"/>
          <w:sz w:val="17"/>
          <w:szCs w:val="17"/>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27" w:lineRule="exact"/>
        <w:rPr>
          <w:sz w:val="20"/>
          <w:szCs w:val="20"/>
          <w:color w:val="auto"/>
        </w:rPr>
      </w:pPr>
    </w:p>
    <w:p>
      <w:pPr>
        <w:jc w:val="both"/>
        <w:ind w:left="340" w:right="719" w:firstLine="373"/>
        <w:spacing w:after="0" w:line="266" w:lineRule="auto"/>
        <w:rPr>
          <w:sz w:val="20"/>
          <w:szCs w:val="20"/>
          <w:color w:val="auto"/>
        </w:rPr>
      </w:pPr>
      <w:r>
        <w:rPr>
          <w:rFonts w:ascii="Arial" w:cs="Arial" w:eastAsia="Arial" w:hAnsi="Arial"/>
          <w:sz w:val="18"/>
          <w:szCs w:val="18"/>
          <w:b w:val="1"/>
          <w:bCs w:val="1"/>
          <w:color w:val="auto"/>
        </w:rPr>
        <w:t>Stockholders who wish to obtain an additional copy of our Annual Report on Form 10-K, for the fiscal year ended December 31, 2008, may do so without charge by writing to Investor Relations, Grand Canyon Education, Inc., 3300 W. Camelback Road, Phoenix, Arizona 85017.</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156083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83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Christopher C. Richardson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April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986155" cy="737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6155" cy="73723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1" w:lineRule="exact"/>
        <w:rPr>
          <w:sz w:val="20"/>
          <w:szCs w:val="20"/>
          <w:color w:val="auto"/>
        </w:rPr>
      </w:pPr>
    </w:p>
    <w:p>
      <w:pPr>
        <w:ind w:left="5200" w:right="699"/>
        <w:spacing w:after="0" w:line="241"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VALIDATION DETAILS ARE LOCATED BELOW IN THE TITLE BAR.</w:t>
      </w:r>
    </w:p>
    <w:p>
      <w:pPr>
        <w:spacing w:after="0" w:line="1" w:lineRule="exact"/>
        <w:rPr>
          <w:sz w:val="20"/>
          <w:szCs w:val="20"/>
          <w:color w:val="auto"/>
        </w:rPr>
      </w:pPr>
    </w:p>
    <w:p>
      <w:pPr>
        <w:ind w:left="5200" w:right="619"/>
        <w:spacing w:after="0" w:line="237" w:lineRule="auto"/>
        <w:rPr>
          <w:sz w:val="20"/>
          <w:szCs w:val="20"/>
          <w:color w:val="auto"/>
        </w:rPr>
      </w:pPr>
      <w:r>
        <w:rPr>
          <w:rFonts w:ascii="Arial" w:cs="Arial" w:eastAsia="Arial" w:hAnsi="Arial"/>
          <w:sz w:val="14"/>
          <w:szCs w:val="14"/>
          <w:b w:val="1"/>
          <w:bCs w:val="1"/>
          <w:color w:val="auto"/>
        </w:rPr>
        <w:t>Proxies submitted by the Internet or telephone must be received by 11:59 p.m. (PT) on Monday, May 18, 2009.</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Vote by Internet</w:t>
      </w:r>
    </w:p>
    <w:p>
      <w:pPr>
        <w:spacing w:after="0" w:line="1" w:lineRule="exact"/>
        <w:rPr>
          <w:sz w:val="20"/>
          <w:szCs w:val="20"/>
          <w:color w:val="auto"/>
        </w:rPr>
      </w:pPr>
    </w:p>
    <w:p>
      <w:pPr>
        <w:ind w:left="5200"/>
        <w:spacing w:after="0"/>
        <w:tabs>
          <w:tab w:leader="none" w:pos="53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Log on to the Internet and go to</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www.investorvote.com/LOPE</w:t>
      </w:r>
    </w:p>
    <w:p>
      <w:pPr>
        <w:ind w:left="5200"/>
        <w:spacing w:after="0" w:line="234" w:lineRule="auto"/>
        <w:tabs>
          <w:tab w:leader="none" w:pos="53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Follow the steps outlined on the secured website.</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Vote by telephone</w:t>
      </w:r>
    </w:p>
    <w:p>
      <w:pPr>
        <w:spacing w:after="0" w:line="1" w:lineRule="exact"/>
        <w:rPr>
          <w:sz w:val="20"/>
          <w:szCs w:val="20"/>
          <w:color w:val="auto"/>
        </w:rPr>
      </w:pPr>
    </w:p>
    <w:p>
      <w:pPr>
        <w:ind w:left="5200"/>
        <w:spacing w:after="0"/>
        <w:tabs>
          <w:tab w:leader="none" w:pos="53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Call toll free 1-800-652-VOTE (8683) within the United States,</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Canada &amp; Puerto Rico any time on a touch tone telephone. There</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 xml:space="preserve">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spacing w:after="0" w:line="1" w:lineRule="exact"/>
        <w:rPr>
          <w:sz w:val="20"/>
          <w:szCs w:val="20"/>
          <w:color w:val="auto"/>
        </w:rPr>
      </w:pPr>
    </w:p>
    <w:p>
      <w:pPr>
        <w:ind w:left="5200"/>
        <w:spacing w:after="0"/>
        <w:tabs>
          <w:tab w:leader="none" w:pos="53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Follow the instructions provided by the recorded message.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p>
      <w:pPr>
        <w:ind w:left="520"/>
        <w:spacing w:after="0" w:line="281" w:lineRule="exact"/>
        <w:tabs>
          <w:tab w:leader="none" w:pos="4720" w:val="left"/>
        </w:tabs>
        <w:rPr>
          <w:sz w:val="20"/>
          <w:szCs w:val="20"/>
          <w:color w:val="auto"/>
        </w:rPr>
      </w:pPr>
      <w:r>
        <w:rPr>
          <w:rFonts w:ascii="Arial" w:cs="Arial" w:eastAsia="Arial" w:hAnsi="Arial"/>
          <w:sz w:val="14"/>
          <w:szCs w:val="14"/>
          <w:color w:val="auto"/>
        </w:rPr>
        <w:t>this example. Please do not write outside the designated areas.</w:t>
      </w:r>
      <w:r>
        <w:rPr>
          <w:sz w:val="20"/>
          <w:szCs w:val="20"/>
          <w:color w:val="auto"/>
        </w:rPr>
        <w:tab/>
      </w: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173990</wp:posOffset>
            </wp:positionV>
            <wp:extent cx="59258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25820" cy="17145"/>
                    </a:xfrm>
                    <a:prstGeom prst="rect">
                      <a:avLst/>
                    </a:prstGeom>
                    <a:noFill/>
                  </pic:spPr>
                </pic:pic>
              </a:graphicData>
            </a:graphic>
          </wp:anchor>
        </w:drawing>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34290</wp:posOffset>
            </wp:positionV>
            <wp:extent cx="59258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25820" cy="17145"/>
                    </a:xfrm>
                    <a:prstGeom prst="rect">
                      <a:avLst/>
                    </a:prstGeom>
                    <a:noFill/>
                  </pic:spPr>
                </pic:pic>
              </a:graphicData>
            </a:graphic>
          </wp:anchor>
        </w:drawing>
      </w:r>
    </w:p>
    <w:p>
      <w:pPr>
        <w:spacing w:after="0" w:line="214" w:lineRule="exact"/>
        <w:rPr>
          <w:sz w:val="20"/>
          <w:szCs w:val="20"/>
          <w:color w:val="auto"/>
        </w:rPr>
      </w:pPr>
    </w:p>
    <w:p>
      <w:pPr>
        <w:ind w:left="520" w:right="559"/>
        <w:spacing w:after="0" w:line="246" w:lineRule="auto"/>
        <w:rPr>
          <w:sz w:val="20"/>
          <w:szCs w:val="20"/>
          <w:color w:val="auto"/>
        </w:rPr>
      </w:pPr>
      <w:r>
        <w:rPr>
          <w:rFonts w:ascii="Arial" w:cs="Arial" w:eastAsia="Arial" w:hAnsi="Arial"/>
          <w:sz w:val="13"/>
          <w:szCs w:val="13"/>
          <w:b w:val="1"/>
          <w:bCs w:val="1"/>
          <w:color w:val="auto"/>
        </w:rPr>
        <w:t xml:space="preserve">IF YOU HAVE NOT VOTED VIA THE INTERNET </w:t>
      </w:r>
      <w:r>
        <w:rPr>
          <w:rFonts w:ascii="Arial" w:cs="Arial" w:eastAsia="Arial" w:hAnsi="Arial"/>
          <w:sz w:val="13"/>
          <w:szCs w:val="13"/>
          <w:b w:val="1"/>
          <w:bCs w:val="1"/>
          <w:u w:val="single" w:color="auto"/>
          <w:color w:val="auto"/>
        </w:rPr>
        <w:t>OR</w:t>
      </w:r>
      <w:r>
        <w:rPr>
          <w:rFonts w:ascii="Arial" w:cs="Arial" w:eastAsia="Arial" w:hAnsi="Arial"/>
          <w:sz w:val="13"/>
          <w:szCs w:val="13"/>
          <w:b w:val="1"/>
          <w:bCs w:val="1"/>
          <w:color w:val="auto"/>
        </w:rPr>
        <w:t xml:space="preserve"> TELEPHONE, FOLD ALONG THE PERFORATION, DETACH AND RETURN THE BOTTOM PORTION IN THE ENCLOSED ENVELOPE.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A 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2.</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44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560" w:type="dxa"/>
            <w:vAlign w:val="bottom"/>
          </w:tcPr>
          <w:p>
            <w:pPr>
              <w:jc w:val="right"/>
              <w:spacing w:after="0"/>
              <w:rPr>
                <w:sz w:val="20"/>
                <w:szCs w:val="20"/>
                <w:color w:val="auto"/>
              </w:rPr>
            </w:pPr>
            <w:r>
              <w:rPr>
                <w:rFonts w:ascii="Arial" w:cs="Arial" w:eastAsia="Arial" w:hAnsi="Arial"/>
                <w:sz w:val="13"/>
                <w:szCs w:val="13"/>
                <w:color w:val="auto"/>
              </w:rPr>
              <w:t>01</w:t>
            </w:r>
          </w:p>
        </w:tc>
        <w:tc>
          <w:tcPr>
            <w:tcW w:w="1320" w:type="dxa"/>
            <w:vAlign w:val="bottom"/>
          </w:tcPr>
          <w:p>
            <w:pPr>
              <w:ind w:left="20"/>
              <w:spacing w:after="0"/>
              <w:rPr>
                <w:sz w:val="20"/>
                <w:szCs w:val="20"/>
                <w:color w:val="auto"/>
              </w:rPr>
            </w:pPr>
            <w:r>
              <w:rPr>
                <w:rFonts w:ascii="Arial" w:cs="Arial" w:eastAsia="Arial" w:hAnsi="Arial"/>
                <w:sz w:val="13"/>
                <w:szCs w:val="13"/>
                <w:color w:val="auto"/>
              </w:rPr>
              <w:t>- Brent D. Richardson</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2120" w:type="dxa"/>
            <w:vAlign w:val="bottom"/>
            <w:gridSpan w:val="2"/>
          </w:tcPr>
          <w:p>
            <w:pPr>
              <w:ind w:left="40"/>
              <w:spacing w:after="0"/>
              <w:rPr>
                <w:sz w:val="20"/>
                <w:szCs w:val="20"/>
                <w:color w:val="auto"/>
              </w:rPr>
            </w:pPr>
            <w:r>
              <w:rPr>
                <w:rFonts w:ascii="Arial" w:cs="Arial" w:eastAsia="Arial" w:hAnsi="Arial"/>
                <w:sz w:val="13"/>
                <w:szCs w:val="13"/>
                <w:color w:val="auto"/>
              </w:rPr>
              <w:t>- Christopher C. Richardson</w:t>
            </w:r>
          </w:p>
        </w:tc>
        <w:tc>
          <w:tcPr>
            <w:tcW w:w="360" w:type="dxa"/>
            <w:vAlign w:val="bottom"/>
          </w:tcPr>
          <w:p>
            <w:pPr>
              <w:jc w:val="right"/>
              <w:spacing w:after="0"/>
              <w:rPr>
                <w:sz w:val="20"/>
                <w:szCs w:val="20"/>
                <w:color w:val="auto"/>
              </w:rPr>
            </w:pPr>
            <w:r>
              <w:rPr>
                <w:rFonts w:ascii="Arial" w:cs="Arial" w:eastAsia="Arial" w:hAnsi="Arial"/>
                <w:sz w:val="13"/>
                <w:szCs w:val="13"/>
                <w:color w:val="auto"/>
              </w:rPr>
              <w:t>03</w:t>
            </w:r>
          </w:p>
        </w:tc>
        <w:tc>
          <w:tcPr>
            <w:tcW w:w="2280" w:type="dxa"/>
            <w:vAlign w:val="bottom"/>
            <w:gridSpan w:val="3"/>
          </w:tcPr>
          <w:p>
            <w:pPr>
              <w:ind w:left="20"/>
              <w:spacing w:after="0"/>
              <w:rPr>
                <w:sz w:val="20"/>
                <w:szCs w:val="20"/>
                <w:color w:val="auto"/>
              </w:rPr>
            </w:pPr>
            <w:r>
              <w:rPr>
                <w:rFonts w:ascii="Arial" w:cs="Arial" w:eastAsia="Arial" w:hAnsi="Arial"/>
                <w:sz w:val="13"/>
                <w:szCs w:val="13"/>
                <w:color w:val="auto"/>
              </w:rPr>
              <w:t>- Chad N. Heath</w:t>
            </w:r>
          </w:p>
        </w:tc>
      </w:tr>
      <w:tr>
        <w:trPr>
          <w:trHeight w:val="135"/>
        </w:trPr>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 D. Mark Dorman</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05</w:t>
            </w:r>
          </w:p>
        </w:tc>
        <w:tc>
          <w:tcPr>
            <w:tcW w:w="1600" w:type="dxa"/>
            <w:vAlign w:val="bottom"/>
          </w:tcPr>
          <w:p>
            <w:pPr>
              <w:ind w:left="40"/>
              <w:spacing w:after="0" w:line="135" w:lineRule="exact"/>
              <w:rPr>
                <w:sz w:val="20"/>
                <w:szCs w:val="20"/>
                <w:color w:val="auto"/>
              </w:rPr>
            </w:pPr>
            <w:r>
              <w:rPr>
                <w:rFonts w:ascii="Arial" w:cs="Arial" w:eastAsia="Arial" w:hAnsi="Arial"/>
                <w:sz w:val="13"/>
                <w:szCs w:val="13"/>
                <w:color w:val="auto"/>
              </w:rPr>
              <w:t>- David J. Johnson</w:t>
            </w:r>
          </w:p>
        </w:tc>
        <w:tc>
          <w:tcPr>
            <w:tcW w:w="52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22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 Jack A. Henry</w:t>
            </w:r>
          </w:p>
        </w:tc>
      </w:tr>
      <w:tr>
        <w:trPr>
          <w:trHeight w:val="152"/>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07</w:t>
            </w:r>
          </w:p>
        </w:tc>
        <w:tc>
          <w:tcPr>
            <w:tcW w:w="1320" w:type="dxa"/>
            <w:vAlign w:val="bottom"/>
          </w:tcPr>
          <w:p>
            <w:pPr>
              <w:ind w:left="20"/>
              <w:spacing w:after="0"/>
              <w:rPr>
                <w:sz w:val="20"/>
                <w:szCs w:val="20"/>
                <w:color w:val="auto"/>
              </w:rPr>
            </w:pPr>
            <w:r>
              <w:rPr>
                <w:rFonts w:ascii="Arial" w:cs="Arial" w:eastAsia="Arial" w:hAnsi="Arial"/>
                <w:sz w:val="13"/>
                <w:szCs w:val="13"/>
                <w:color w:val="auto"/>
              </w:rPr>
              <w:t>- Brian E. Mueller</w:t>
            </w: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46"/>
        </w:trPr>
        <w:tc>
          <w:tcPr>
            <w:tcW w:w="5600" w:type="dxa"/>
            <w:vAlign w:val="bottom"/>
            <w:gridSpan w:val="6"/>
          </w:tcPr>
          <w:p>
            <w:pPr>
              <w:spacing w:after="0"/>
              <w:rPr>
                <w:sz w:val="20"/>
                <w:szCs w:val="20"/>
                <w:color w:val="auto"/>
              </w:rPr>
            </w:pPr>
            <w:r>
              <w:rPr>
                <w:rFonts w:ascii="Arial" w:cs="Arial" w:eastAsia="Arial" w:hAnsi="Arial"/>
                <w:sz w:val="13"/>
                <w:szCs w:val="13"/>
                <w:color w:val="auto"/>
              </w:rPr>
              <w:t xml:space="preserve">o </w:t>
            </w:r>
            <w:r>
              <w:rPr>
                <w:rFonts w:ascii="Arial" w:cs="Arial" w:eastAsia="Arial" w:hAnsi="Arial"/>
                <w:sz w:val="13"/>
                <w:szCs w:val="13"/>
                <w:b w:val="1"/>
                <w:bCs w:val="1"/>
                <w:color w:val="auto"/>
              </w:rPr>
              <w:t>Mark here to vote FOR all nominees</w:t>
            </w:r>
            <w:r>
              <w:rPr>
                <w:rFonts w:ascii="Arial" w:cs="Arial" w:eastAsia="Arial" w:hAnsi="Arial"/>
                <w:sz w:val="13"/>
                <w:szCs w:val="13"/>
                <w:color w:val="auto"/>
              </w:rPr>
              <w:t xml:space="preserve">   o </w:t>
            </w:r>
            <w:r>
              <w:rPr>
                <w:rFonts w:ascii="Arial" w:cs="Arial" w:eastAsia="Arial" w:hAnsi="Arial"/>
                <w:sz w:val="13"/>
                <w:szCs w:val="13"/>
                <w:b w:val="1"/>
                <w:bCs w:val="1"/>
                <w:color w:val="auto"/>
              </w:rPr>
              <w:t>Mark here to WITHHOLD vote from all nominees</w:t>
            </w:r>
          </w:p>
        </w:tc>
        <w:tc>
          <w:tcPr>
            <w:tcW w:w="3160" w:type="dxa"/>
            <w:vAlign w:val="bottom"/>
            <w:gridSpan w:val="5"/>
          </w:tcPr>
          <w:p>
            <w:pPr>
              <w:spacing w:after="0"/>
              <w:rPr>
                <w:sz w:val="20"/>
                <w:szCs w:val="20"/>
                <w:color w:val="auto"/>
              </w:rPr>
            </w:pPr>
            <w:r>
              <w:rPr>
                <w:rFonts w:ascii="Arial" w:cs="Arial" w:eastAsia="Arial" w:hAnsi="Arial"/>
                <w:sz w:val="13"/>
                <w:szCs w:val="13"/>
                <w:color w:val="auto"/>
                <w:w w:val="96"/>
              </w:rPr>
              <w:t xml:space="preserve">o </w:t>
            </w:r>
            <w:r>
              <w:rPr>
                <w:rFonts w:ascii="Arial" w:cs="Arial" w:eastAsia="Arial" w:hAnsi="Arial"/>
                <w:sz w:val="13"/>
                <w:szCs w:val="13"/>
                <w:b w:val="1"/>
                <w:bCs w:val="1"/>
                <w:color w:val="auto"/>
                <w:w w:val="96"/>
              </w:rPr>
              <w:t>For All EXCEPT -</w:t>
            </w:r>
            <w:r>
              <w:rPr>
                <w:rFonts w:ascii="Arial" w:cs="Arial" w:eastAsia="Arial" w:hAnsi="Arial"/>
                <w:sz w:val="13"/>
                <w:szCs w:val="13"/>
                <w:color w:val="auto"/>
                <w:w w:val="96"/>
              </w:rPr>
              <w:t xml:space="preserve"> To withhold authority to vote for any</w:t>
            </w:r>
          </w:p>
        </w:tc>
      </w:tr>
      <w:tr>
        <w:trPr>
          <w:trHeight w:val="146"/>
        </w:trPr>
        <w:tc>
          <w:tcPr>
            <w:tcW w:w="1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Arial" w:cs="Arial" w:eastAsia="Arial" w:hAnsi="Arial"/>
                <w:sz w:val="13"/>
                <w:szCs w:val="13"/>
                <w:color w:val="auto"/>
                <w:w w:val="72"/>
              </w:rPr>
              <w:t>nominee(s),</w:t>
            </w:r>
          </w:p>
        </w:tc>
        <w:tc>
          <w:tcPr>
            <w:tcW w:w="520" w:type="dxa"/>
            <w:vAlign w:val="bottom"/>
            <w:tcBorders>
              <w:top w:val="single" w:sz="8" w:color="auto"/>
            </w:tcBorders>
            <w:gridSpan w:val="2"/>
          </w:tcPr>
          <w:p>
            <w:pPr>
              <w:ind w:left="180"/>
              <w:spacing w:after="0" w:line="146" w:lineRule="exact"/>
              <w:rPr>
                <w:sz w:val="20"/>
                <w:szCs w:val="20"/>
                <w:color w:val="auto"/>
              </w:rPr>
            </w:pPr>
            <w:r>
              <w:rPr>
                <w:rFonts w:ascii="Arial" w:cs="Arial" w:eastAsia="Arial" w:hAnsi="Arial"/>
                <w:sz w:val="13"/>
                <w:szCs w:val="13"/>
                <w:color w:val="auto"/>
              </w:rPr>
              <w:t>write</w:t>
            </w:r>
          </w:p>
        </w:tc>
        <w:tc>
          <w:tcPr>
            <w:tcW w:w="2120" w:type="dxa"/>
            <w:vAlign w:val="bottom"/>
            <w:gridSpan w:val="2"/>
          </w:tcPr>
          <w:p>
            <w:pPr>
              <w:spacing w:after="0" w:line="140" w:lineRule="exact"/>
              <w:rPr>
                <w:sz w:val="20"/>
                <w:szCs w:val="20"/>
                <w:color w:val="auto"/>
              </w:rPr>
            </w:pPr>
            <w:r>
              <w:rPr>
                <w:rFonts w:ascii="Arial" w:cs="Arial" w:eastAsia="Arial" w:hAnsi="Arial"/>
                <w:sz w:val="13"/>
                <w:szCs w:val="13"/>
                <w:color w:val="auto"/>
                <w:w w:val="93"/>
              </w:rPr>
              <w:t>the name(s) of such nominee(s) below.</w:t>
            </w:r>
          </w:p>
        </w:tc>
      </w:tr>
      <w:tr>
        <w:trPr>
          <w:trHeight w:val="118"/>
        </w:trPr>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840" w:hanging="319"/>
        <w:spacing w:after="0" w:line="247" w:lineRule="auto"/>
        <w:tabs>
          <w:tab w:leader="none" w:pos="820" w:val="left"/>
        </w:tabs>
        <w:rPr>
          <w:sz w:val="20"/>
          <w:szCs w:val="20"/>
          <w:color w:val="auto"/>
        </w:rPr>
      </w:pPr>
      <w:r>
        <w:rPr>
          <w:rFonts w:ascii="Arial" w:cs="Arial" w:eastAsia="Arial" w:hAnsi="Arial"/>
          <w:sz w:val="14"/>
          <w:szCs w:val="14"/>
          <w:color w:val="auto"/>
        </w:rPr>
        <w:t>2.</w:t>
        <w:tab/>
        <w:t>To ratify the appointment of Ernst &amp; Young LLP as the Company’s independent auditors for the fiscal year ending December 31,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tabs>
          <w:tab w:leader="none" w:pos="460" w:val="left"/>
          <w:tab w:leader="none" w:pos="11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tab/>
        <w:t>Abstain</w:t>
      </w:r>
    </w:p>
    <w:p>
      <w:pPr>
        <w:ind w:left="80"/>
        <w:spacing w:after="0"/>
        <w:tabs>
          <w:tab w:leader="none" w:pos="680" w:val="left"/>
          <w:tab w:leader="none" w:pos="13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551" w:lineRule="exact"/>
        <w:rPr>
          <w:sz w:val="20"/>
          <w:szCs w:val="20"/>
          <w:color w:val="auto"/>
        </w:rPr>
      </w:pPr>
    </w:p>
    <w:p>
      <w:pPr>
        <w:sectPr>
          <w:pgSz w:w="11900" w:h="16838" w:orient="portrait"/>
          <w:cols w:equalWidth="0" w:num="2">
            <w:col w:w="3520" w:space="380"/>
            <w:col w:w="6319"/>
          </w:cols>
          <w:pgMar w:left="240" w:top="419" w:right="1440"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Non-Voting Items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Change of Address </w:t>
      </w:r>
      <w:r>
        <w:rPr>
          <w:rFonts w:ascii="Arial" w:cs="Arial" w:eastAsia="Arial" w:hAnsi="Arial"/>
          <w:sz w:val="18"/>
          <w:szCs w:val="18"/>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146685</wp:posOffset>
            </wp:positionV>
            <wp:extent cx="6015990" cy="4502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1599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C Authorized Signatures — This section must be completed for your vote to be counted. — Date and Sign Below</w:t>
      </w:r>
    </w:p>
    <w:p>
      <w:pPr>
        <w:spacing w:after="0" w:line="211" w:lineRule="exact"/>
        <w:rPr>
          <w:sz w:val="20"/>
          <w:szCs w:val="20"/>
          <w:color w:val="auto"/>
        </w:rPr>
      </w:pPr>
    </w:p>
    <w:p>
      <w:pPr>
        <w:jc w:val="both"/>
        <w:ind w:left="520" w:right="559"/>
        <w:spacing w:after="0"/>
        <w:rPr>
          <w:sz w:val="20"/>
          <w:szCs w:val="20"/>
          <w:color w:val="auto"/>
        </w:rPr>
      </w:pPr>
      <w:r>
        <w:rPr>
          <w:rFonts w:ascii="Arial" w:cs="Arial" w:eastAsia="Arial" w:hAnsi="Arial"/>
          <w:sz w:val="18"/>
          <w:szCs w:val="18"/>
          <w:color w:val="auto"/>
        </w:rPr>
        <w:t>Please sign exactly as your name(s) appear on Proxy. If held in joint tenancy, all persons must sign. Trustee, administrators, etc., should include title and authority. Corporations should provide full name of corporation and title of authorized officer signing the proxy.</w:t>
      </w:r>
    </w:p>
    <w:p>
      <w:pPr>
        <w:spacing w:after="0" w:line="117" w:lineRule="exact"/>
        <w:rPr>
          <w:sz w:val="20"/>
          <w:szCs w:val="20"/>
          <w:color w:val="auto"/>
        </w:rPr>
      </w:pPr>
    </w:p>
    <w:p>
      <w:pPr>
        <w:ind w:left="520"/>
        <w:spacing w:after="0"/>
        <w:tabs>
          <w:tab w:leader="none" w:pos="352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 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80645</wp:posOffset>
            </wp:positionV>
            <wp:extent cx="58058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-104775</wp:posOffset>
            </wp:positionV>
            <wp:extent cx="4339590" cy="2718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39590" cy="2718435"/>
                    </a:xfrm>
                    <a:prstGeom prst="rect">
                      <a:avLst/>
                    </a:prstGeom>
                    <a:noFill/>
                  </pic:spPr>
                </pic:pic>
              </a:graphicData>
            </a:graphic>
          </wp:anchor>
        </w:drawing>
      </w:r>
    </w:p>
    <w:p>
      <w:pPr>
        <w:spacing w:after="0" w:line="5"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STOCKHOLDERS</w:t>
      </w:r>
    </w:p>
    <w:p>
      <w:pPr>
        <w:spacing w:after="0" w:line="174"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Tuesday, May 19, 2009</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16"/>
          <w:szCs w:val="16"/>
          <w:b w:val="1"/>
          <w:bCs w:val="1"/>
          <w:color w:val="auto"/>
        </w:rPr>
        <w:t>10:00 a.m.</w:t>
      </w:r>
    </w:p>
    <w:p>
      <w:pPr>
        <w:spacing w:after="0" w:line="174" w:lineRule="exact"/>
        <w:rPr>
          <w:sz w:val="20"/>
          <w:szCs w:val="20"/>
          <w:color w:val="auto"/>
        </w:rPr>
      </w:pPr>
    </w:p>
    <w:p>
      <w:pPr>
        <w:jc w:val="center"/>
        <w:ind w:left="7460" w:right="160"/>
        <w:spacing w:after="0" w:line="266" w:lineRule="auto"/>
        <w:rPr>
          <w:sz w:val="20"/>
          <w:szCs w:val="20"/>
          <w:color w:val="auto"/>
        </w:rPr>
      </w:pPr>
      <w:r>
        <w:rPr>
          <w:rFonts w:ascii="Arial" w:cs="Arial" w:eastAsia="Arial" w:hAnsi="Arial"/>
          <w:sz w:val="16"/>
          <w:szCs w:val="16"/>
          <w:b w:val="1"/>
          <w:bCs w:val="1"/>
          <w:color w:val="auto"/>
        </w:rPr>
        <w:t>Ethington Theatre 3300 W. Camelback Road Phoenix, Arizona 85017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Grand Canyon Education, Inc.</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3300 W. Camelback Road</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Phoenix, Arizona 85017</w:t>
      </w:r>
    </w:p>
    <w:p>
      <w:pPr>
        <w:spacing w:after="0" w:line="174" w:lineRule="exact"/>
        <w:rPr>
          <w:sz w:val="20"/>
          <w:szCs w:val="20"/>
          <w:color w:val="auto"/>
        </w:rPr>
      </w:pPr>
    </w:p>
    <w:p>
      <w:pPr>
        <w:jc w:val="center"/>
        <w:ind w:left="560" w:right="20"/>
        <w:spacing w:after="0" w:line="26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Stockholder Meeting to Be Held on May 19, 2009. This proxy statement and our 2008 annual report for the year ended December 31, 2008, are also available </w:t>
      </w:r>
      <w:r>
        <w:rPr>
          <w:rFonts w:ascii="Arial" w:cs="Arial" w:eastAsia="Arial" w:hAnsi="Arial"/>
          <w:sz w:val="16"/>
          <w:szCs w:val="16"/>
          <w:b w:val="1"/>
          <w:bCs w:val="1"/>
          <w:u w:val="single" w:color="auto"/>
          <w:color w:val="auto"/>
        </w:rPr>
        <w:t>http://materials.proxyvote.com/38526M</w:t>
      </w:r>
      <w:r>
        <w:rPr>
          <w:rFonts w:ascii="Arial" w:cs="Arial" w:eastAsia="Arial" w:hAnsi="Arial"/>
          <w:sz w:val="16"/>
          <w:szCs w:val="16"/>
          <w:b w:val="1"/>
          <w:bCs w:val="1"/>
          <w:color w:val="auto"/>
        </w:rPr>
        <w:t>.</w:t>
      </w:r>
    </w:p>
    <w:p>
      <w:pPr>
        <w:spacing w:after="0" w:line="145" w:lineRule="exact"/>
        <w:rPr>
          <w:sz w:val="20"/>
          <w:szCs w:val="20"/>
          <w:color w:val="auto"/>
        </w:rPr>
      </w:pPr>
    </w:p>
    <w:p>
      <w:pPr>
        <w:jc w:val="center"/>
        <w:ind w:left="560" w:right="200"/>
        <w:spacing w:after="0" w:line="286" w:lineRule="auto"/>
        <w:rPr>
          <w:sz w:val="20"/>
          <w:szCs w:val="20"/>
          <w:color w:val="auto"/>
        </w:rPr>
      </w:pPr>
      <w:r>
        <w:rPr>
          <w:rFonts w:ascii="Arial" w:cs="Arial" w:eastAsia="Arial" w:hAnsi="Arial"/>
          <w:sz w:val="16"/>
          <w:szCs w:val="16"/>
          <w:b w:val="1"/>
          <w:bCs w:val="1"/>
          <w:color w:val="auto"/>
        </w:rPr>
        <w:t xml:space="preserve">IF YOU HAVE NOT VOTED VIA THE INTERNET </w:t>
      </w:r>
      <w:r>
        <w:rPr>
          <w:rFonts w:ascii="Arial" w:cs="Arial" w:eastAsia="Arial" w:hAnsi="Arial"/>
          <w:sz w:val="16"/>
          <w:szCs w:val="16"/>
          <w:b w:val="1"/>
          <w:bCs w:val="1"/>
          <w:u w:val="single" w:color="auto"/>
          <w:color w:val="auto"/>
        </w:rPr>
        <w:t>OR</w:t>
      </w:r>
      <w:r>
        <w:rPr>
          <w:rFonts w:ascii="Arial" w:cs="Arial" w:eastAsia="Arial" w:hAnsi="Arial"/>
          <w:sz w:val="16"/>
          <w:szCs w:val="16"/>
          <w:b w:val="1"/>
          <w:bCs w:val="1"/>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959485</wp:posOffset>
            </wp:positionV>
            <wp:extent cx="59258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93345</wp:posOffset>
            </wp:positionV>
            <wp:extent cx="986155" cy="737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Proxy — 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92075</wp:posOffset>
            </wp:positionV>
            <wp:extent cx="59258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25820" cy="26035"/>
                    </a:xfrm>
                    <a:prstGeom prst="rect">
                      <a:avLst/>
                    </a:prstGeom>
                    <a:noFill/>
                  </pic:spPr>
                </pic:pic>
              </a:graphicData>
            </a:graphic>
          </wp:anchor>
        </w:drawing>
      </w:r>
    </w:p>
    <w:p>
      <w:pPr>
        <w:spacing w:after="0" w:line="33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Notice of 2009 Annual Meeting of Stockholders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Ethington Theatre</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3300 W. Camelback Road</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Phoenix, Arizona 85017</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Proxy Solicited by Board of Directors for Annual Meeting — Tuesday, May 19, 2009</w:t>
      </w:r>
    </w:p>
    <w:p>
      <w:pPr>
        <w:spacing w:after="0" w:line="214" w:lineRule="exact"/>
        <w:rPr>
          <w:sz w:val="20"/>
          <w:szCs w:val="20"/>
          <w:color w:val="auto"/>
        </w:rPr>
      </w:pPr>
    </w:p>
    <w:p>
      <w:pPr>
        <w:jc w:val="both"/>
        <w:ind w:left="520" w:right="739"/>
        <w:spacing w:after="0" w:line="251" w:lineRule="auto"/>
        <w:rPr>
          <w:sz w:val="20"/>
          <w:szCs w:val="20"/>
          <w:color w:val="auto"/>
        </w:rPr>
      </w:pPr>
      <w:r>
        <w:rPr>
          <w:rFonts w:ascii="Arial" w:cs="Arial" w:eastAsia="Arial" w:hAnsi="Arial"/>
          <w:sz w:val="16"/>
          <w:szCs w:val="16"/>
          <w:color w:val="auto"/>
        </w:rPr>
        <w:t>Brian E. Mueller and Daniel E. Bachus,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Tuesday, May 19, 2009 or at any postponement or adjournment thereof.</w:t>
      </w:r>
    </w:p>
    <w:p>
      <w:pPr>
        <w:spacing w:after="0" w:line="156" w:lineRule="exact"/>
        <w:rPr>
          <w:sz w:val="20"/>
          <w:szCs w:val="20"/>
          <w:color w:val="auto"/>
        </w:rPr>
      </w:pPr>
    </w:p>
    <w:p>
      <w:pPr>
        <w:ind w:left="520" w:right="879"/>
        <w:spacing w:after="0" w:line="286" w:lineRule="auto"/>
        <w:rPr>
          <w:sz w:val="20"/>
          <w:szCs w:val="20"/>
          <w:color w:val="auto"/>
        </w:rPr>
      </w:pPr>
      <w:r>
        <w:rPr>
          <w:rFonts w:ascii="Arial" w:cs="Arial" w:eastAsia="Arial" w:hAnsi="Arial"/>
          <w:sz w:val="16"/>
          <w:szCs w:val="16"/>
          <w:b w:val="1"/>
          <w:bCs w:val="1"/>
          <w:color w:val="auto"/>
        </w:rPr>
        <w:t>THIS PROXY WHEN PROPERLY EXECUTED WILL BE VOTED AS DIRECTED OR, IF NO DIRECTION IS GIVEN, WILL BE VOTED FOR ITEMS 1 AND 2.</w:t>
      </w:r>
    </w:p>
    <w:p>
      <w:pPr>
        <w:spacing w:after="0" w:line="129" w:lineRule="exact"/>
        <w:rPr>
          <w:sz w:val="20"/>
          <w:szCs w:val="20"/>
          <w:color w:val="auto"/>
        </w:rPr>
      </w:pPr>
    </w:p>
    <w:p>
      <w:pPr>
        <w:ind w:left="520" w:right="999"/>
        <w:spacing w:after="0" w:line="286" w:lineRule="auto"/>
        <w:rPr>
          <w:sz w:val="20"/>
          <w:szCs w:val="20"/>
          <w:color w:val="auto"/>
        </w:rPr>
      </w:pPr>
      <w:r>
        <w:rPr>
          <w:rFonts w:ascii="Arial" w:cs="Arial" w:eastAsia="Arial" w:hAnsi="Arial"/>
          <w:sz w:val="16"/>
          <w:szCs w:val="16"/>
          <w:b w:val="1"/>
          <w:bCs w:val="1"/>
          <w:color w:val="auto"/>
        </w:rPr>
        <w:t>In their discretion, the Proxies are authorized to vote upon such other business as may properly come before the meeting.</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(Items to be voted appear on reverse side.)</w:t>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o"/>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lvl w:ilvl="1">
      <w:lvlJc w:val="left"/>
      <w:lvlText w:val="%2."/>
      <w:numFmt w:val="lowerLetter"/>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lowerRoman"/>
      <w:start w:val="1"/>
    </w:lvl>
  </w:abstractNum>
  <w:abstractNum w:abstractNumId="6">
    <w:nsid w:val="721DA317"/>
    <w:multiLevelType w:val="hybridMultilevel"/>
    <w:lvl w:ilvl="0">
      <w:lvlJc w:val="left"/>
      <w:lvlText w:val="(%1)"/>
      <w:numFmt w:val="lowerRoman"/>
      <w:start w:val="7"/>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Letter"/>
      <w:start w:val="6"/>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Roman"/>
      <w:start w:val="3"/>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lvl w:ilvl="1">
      <w:lvlJc w:val="left"/>
      <w:lvlText w:val="•"/>
      <w:numFmt w:val="bullet"/>
      <w:start w:val="1"/>
    </w:lvl>
  </w:abstractNum>
  <w:abstractNum w:abstractNumId="33">
    <w:nsid w:val="440BADFC"/>
    <w:multiLevelType w:val="hybridMultilevel"/>
    <w:lvl w:ilvl="0">
      <w:lvlJc w:val="left"/>
      <w:lvlText w:val="(%1)"/>
      <w:numFmt w:val="decimal"/>
      <w:start w:val="6"/>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2019-12-11T06:03:01Z</dcterms:created>
  <dcterms:modified xsi:type="dcterms:W3CDTF">2019-12-11T06:03:01Z</dcterms:modified>
</cp:coreProperties>
</file>