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20-3356009</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including zip code, of principal executive offices)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6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October 29, 2012, was 44,701,963.</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8"/>
        </w:trPr>
        <w:tc>
          <w:tcPr>
            <w:tcW w:w="17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2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0920" w:type="dxa"/>
            <w:vAlign w:val="bottom"/>
            <w:gridSpan w:val="16"/>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9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1100" w:type="dxa"/>
            <w:vAlign w:val="bottom"/>
            <w:tcBorders>
              <w:top w:val="single" w:sz="8" w:color="0000EE"/>
            </w:tcBorders>
            <w:gridSpan w:val="5"/>
          </w:tcPr>
          <w:p>
            <w:pPr>
              <w:spacing w:after="0"/>
              <w:rPr>
                <w:sz w:val="24"/>
                <w:szCs w:val="24"/>
                <w:color w:val="auto"/>
              </w:rPr>
            </w:pPr>
          </w:p>
        </w:tc>
        <w:tc>
          <w:tcPr>
            <w:tcW w:w="78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 Quantitative and Qualitative Disclosures About Market Risk</w:t>
              </w:r>
            </w:hyperlink>
          </w:p>
        </w:tc>
        <w:tc>
          <w:tcPr>
            <w:tcW w:w="2040" w:type="dxa"/>
            <w:vAlign w:val="bottom"/>
            <w:tcBorders>
              <w:top w:val="single" w:sz="8" w:color="0000EE"/>
            </w:tcBorders>
          </w:tcPr>
          <w:p>
            <w:pPr>
              <w:spacing w:after="0"/>
              <w:rPr>
                <w:sz w:val="17"/>
                <w:szCs w:val="17"/>
                <w:color w:val="auto"/>
              </w:rPr>
            </w:pPr>
          </w:p>
        </w:tc>
        <w:tc>
          <w:tcPr>
            <w:tcW w:w="41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Item 4 Controls and Procedures</w:t>
              </w:r>
            </w:hyperlink>
          </w:p>
        </w:tc>
        <w:tc>
          <w:tcPr>
            <w:tcW w:w="86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280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PART II – OTHER INFORMATION</w:t>
              </w:r>
            </w:hyperlink>
          </w:p>
        </w:tc>
        <w:tc>
          <w:tcPr>
            <w:tcW w:w="812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92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17"/>
                <w:szCs w:val="17"/>
                <w:color w:val="auto"/>
              </w:rPr>
            </w:pPr>
          </w:p>
        </w:tc>
        <w:tc>
          <w:tcPr>
            <w:tcW w:w="91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3</w:t>
              </w:r>
            </w:hyperlink>
          </w:p>
        </w:tc>
        <w:tc>
          <w:tcPr>
            <w:tcW w:w="230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61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4</w:t>
              </w:r>
            </w:hyperlink>
          </w:p>
        </w:tc>
        <w:tc>
          <w:tcPr>
            <w:tcW w:w="176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Mine Safety Disclosures</w:t>
              </w:r>
            </w:hyperlink>
          </w:p>
        </w:tc>
        <w:tc>
          <w:tcPr>
            <w:tcW w:w="86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5</w:t>
              </w:r>
            </w:hyperlink>
          </w:p>
        </w:tc>
        <w:tc>
          <w:tcPr>
            <w:tcW w:w="10440" w:type="dxa"/>
            <w:vAlign w:val="bottom"/>
            <w:gridSpan w:val="15"/>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6</w:t>
              </w:r>
            </w:hyperlink>
          </w:p>
        </w:tc>
        <w:tc>
          <w:tcPr>
            <w:tcW w:w="6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91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83"/>
        </w:trPr>
        <w:tc>
          <w:tcPr>
            <w:tcW w:w="4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720" w:type="dxa"/>
            <w:vAlign w:val="bottom"/>
            <w:gridSpan w:val="13"/>
          </w:tcPr>
          <w:p>
            <w:pPr>
              <w:jc w:val="right"/>
              <w:ind w:right="1040"/>
              <w:spacing w:after="0"/>
              <w:rPr>
                <w:sz w:val="20"/>
                <w:szCs w:val="20"/>
                <w:color w:val="auto"/>
              </w:rPr>
            </w:pPr>
            <w:r>
              <w:rPr>
                <w:rFonts w:ascii="Arial" w:cs="Arial" w:eastAsia="Arial" w:hAnsi="Arial"/>
                <w:sz w:val="18"/>
                <w:szCs w:val="18"/>
                <w:color w:val="auto"/>
              </w:rPr>
              <w:t>2</w:t>
            </w: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64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60" w:type="dxa"/>
            <w:vAlign w:val="bottom"/>
          </w:tcPr>
          <w:p>
            <w:pPr>
              <w:jc w:val="center"/>
              <w:ind w:left="1512"/>
              <w:spacing w:after="0"/>
              <w:rPr>
                <w:sz w:val="20"/>
                <w:szCs w:val="20"/>
                <w:color w:val="auto"/>
              </w:rPr>
            </w:pPr>
            <w:r>
              <w:rPr>
                <w:rFonts w:ascii="Arial" w:cs="Arial" w:eastAsia="Arial" w:hAnsi="Arial"/>
                <w:sz w:val="18"/>
                <w:szCs w:val="18"/>
                <w:b w:val="1"/>
                <w:bCs w:val="1"/>
                <w:color w:val="auto"/>
                <w:w w:val="98"/>
              </w:rPr>
              <w:t>GRAND CANYON EDUCATION, INC.</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60" w:type="dxa"/>
            <w:vAlign w:val="bottom"/>
          </w:tcPr>
          <w:p>
            <w:pPr>
              <w:jc w:val="center"/>
              <w:ind w:left="1512"/>
              <w:spacing w:after="0"/>
              <w:rPr>
                <w:sz w:val="20"/>
                <w:szCs w:val="20"/>
                <w:color w:val="auto"/>
              </w:rPr>
            </w:pPr>
            <w:r>
              <w:rPr>
                <w:rFonts w:ascii="Arial" w:cs="Arial" w:eastAsia="Arial" w:hAnsi="Arial"/>
                <w:sz w:val="18"/>
                <w:szCs w:val="18"/>
                <w:b w:val="1"/>
                <w:bCs w:val="1"/>
                <w:color w:val="auto"/>
                <w:w w:val="86"/>
              </w:rPr>
              <w:t>Consolidated Income Statements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60" w:type="dxa"/>
            <w:vAlign w:val="bottom"/>
          </w:tcPr>
          <w:p>
            <w:pPr>
              <w:jc w:val="center"/>
              <w:ind w:left="1512"/>
              <w:spacing w:after="0"/>
              <w:rPr>
                <w:sz w:val="20"/>
                <w:szCs w:val="20"/>
                <w:color w:val="auto"/>
              </w:rPr>
            </w:pPr>
            <w:r>
              <w:rPr>
                <w:rFonts w:ascii="Arial" w:cs="Arial" w:eastAsia="Arial" w:hAnsi="Arial"/>
                <w:sz w:val="18"/>
                <w:szCs w:val="18"/>
                <w:b w:val="1"/>
                <w:bCs w:val="1"/>
                <w:color w:val="auto"/>
                <w:w w:val="89"/>
              </w:rPr>
              <w:t>(Unaudited)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4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44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Net revenue</w:t>
            </w:r>
          </w:p>
        </w:tc>
        <w:tc>
          <w:tcPr>
            <w:tcW w:w="13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133,568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108,909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369,959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161,584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144,162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w w:val="90"/>
              </w:rPr>
              <w:t>Selling and promotional, including $640 and $151 for the three months ended September 30, 2012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80" w:type="dxa"/>
            <w:vAlign w:val="bottom"/>
            <w:gridSpan w:val="3"/>
          </w:tcPr>
          <w:p>
            <w:pPr>
              <w:ind w:left="160"/>
              <w:spacing w:after="0"/>
              <w:rPr>
                <w:sz w:val="20"/>
                <w:szCs w:val="20"/>
                <w:color w:val="auto"/>
              </w:rPr>
            </w:pPr>
            <w:r>
              <w:rPr>
                <w:rFonts w:ascii="Arial" w:cs="Arial" w:eastAsia="Arial" w:hAnsi="Arial"/>
                <w:sz w:val="18"/>
                <w:szCs w:val="18"/>
                <w:color w:val="auto"/>
                <w:w w:val="90"/>
              </w:rPr>
              <w:t>2011, respectively, and $1,681 and $612 for the nine months ended September 30, 2012 and 2011,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380" w:type="dxa"/>
            <w:vAlign w:val="bottom"/>
            <w:gridSpan w:val="3"/>
          </w:tcPr>
          <w:p>
            <w:pPr>
              <w:ind w:left="160"/>
              <w:spacing w:after="0"/>
              <w:rPr>
                <w:sz w:val="20"/>
                <w:szCs w:val="20"/>
                <w:color w:val="auto"/>
              </w:rPr>
            </w:pPr>
            <w:r>
              <w:rPr>
                <w:rFonts w:ascii="Arial" w:cs="Arial" w:eastAsia="Arial" w:hAnsi="Arial"/>
                <w:sz w:val="18"/>
                <w:szCs w:val="18"/>
                <w:color w:val="auto"/>
              </w:rPr>
              <w:t>respectively, to related parties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36,450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31,248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103,764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88,789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Lease termination fee</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102,365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289,154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254,888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31,203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20,661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80,805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58,848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80,418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18,471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35,222</w:t>
            </w:r>
          </w:p>
        </w:tc>
        <w:tc>
          <w:tcPr>
            <w:tcW w:w="0" w:type="dxa"/>
            <w:vAlign w:val="bottom"/>
          </w:tcPr>
          <w:p>
            <w:pPr>
              <w:spacing w:after="0"/>
              <w:rPr>
                <w:sz w:val="1"/>
                <w:szCs w:val="1"/>
                <w:color w:val="auto"/>
              </w:rPr>
            </w:pPr>
          </w:p>
        </w:tc>
      </w:tr>
      <w:tr>
        <w:trPr>
          <w:trHeight w:val="20"/>
        </w:trPr>
        <w:tc>
          <w:tcPr>
            <w:tcW w:w="74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Basic</w:t>
            </w:r>
          </w:p>
        </w:tc>
        <w:tc>
          <w:tcPr>
            <w:tcW w:w="13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vMerge w:val="restart"/>
          </w:tcPr>
          <w:p>
            <w:pPr>
              <w:ind w:left="380"/>
              <w:spacing w:after="0"/>
              <w:rPr>
                <w:sz w:val="20"/>
                <w:szCs w:val="20"/>
                <w:color w:val="auto"/>
              </w:rPr>
            </w:pPr>
            <w:r>
              <w:rPr>
                <w:rFonts w:ascii="Arial" w:cs="Arial" w:eastAsia="Arial" w:hAnsi="Arial"/>
                <w:sz w:val="18"/>
                <w:szCs w:val="18"/>
                <w:b w:val="1"/>
                <w:bCs w:val="1"/>
                <w:color w:val="auto"/>
                <w:w w:val="91"/>
              </w:rPr>
              <w:t>Diluted</w:t>
            </w:r>
          </w:p>
        </w:tc>
        <w:tc>
          <w:tcPr>
            <w:tcW w:w="1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Shares used in computing net income per common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b w:val="1"/>
                <w:bCs w:val="1"/>
                <w:color w:val="auto"/>
              </w:rPr>
              <w:t>Basic</w:t>
            </w:r>
          </w:p>
        </w:tc>
        <w:tc>
          <w:tcPr>
            <w:tcW w:w="13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44,302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44,395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91"/>
              </w:rPr>
              <w:t>Diluted</w:t>
            </w:r>
          </w:p>
        </w:tc>
        <w:tc>
          <w:tcPr>
            <w:tcW w:w="13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44,787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$18,471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$12,868</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$48,538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Unrealized gains (losses) on hedging derivatives, net of taxes of $26 and $41 for the three months ended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September 30, 2012 and 2011, respectively, and $72 and $41 for the nine months ended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September 30, 2012 and 2011, respectively</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gridSpan w:val="3"/>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18,504</w:t>
            </w:r>
          </w:p>
        </w:tc>
        <w:tc>
          <w:tcPr>
            <w:tcW w:w="3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12,814</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48,633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9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69,644</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w w:val="95"/>
              </w:rPr>
              <w:t>Accounts receivable, net of allowance for doubtful accounts of $9,302 and $11,706 at September 30, 2012 and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ind w:left="640"/>
              <w:spacing w:after="0"/>
              <w:rPr>
                <w:sz w:val="20"/>
                <w:szCs w:val="20"/>
                <w:color w:val="auto"/>
              </w:rPr>
            </w:pPr>
            <w:r>
              <w:rPr>
                <w:rFonts w:ascii="Arial" w:cs="Arial" w:eastAsia="Arial" w:hAnsi="Arial"/>
                <w:sz w:val="18"/>
                <w:szCs w:val="18"/>
                <w:color w:val="auto"/>
              </w:rPr>
              <w:t>December 31, 2011, respectively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8,875</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2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154,347</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115,414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256,528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423,089</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70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13,968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11,282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Student deposits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46,679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Due to related parties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notes payable</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2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173,869</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121,505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18,681</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205,861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154,554</w:t>
            </w:r>
          </w:p>
        </w:tc>
        <w:tc>
          <w:tcPr>
            <w:tcW w:w="0" w:type="dxa"/>
            <w:vAlign w:val="bottom"/>
          </w:tcPr>
          <w:p>
            <w:pPr>
              <w:spacing w:after="0"/>
              <w:rPr>
                <w:sz w:val="1"/>
                <w:szCs w:val="1"/>
                <w:color w:val="auto"/>
              </w:rPr>
            </w:pPr>
          </w:p>
        </w:tc>
      </w:tr>
      <w:tr>
        <w:trPr>
          <w:trHeight w:val="221"/>
        </w:trPr>
        <w:tc>
          <w:tcPr>
            <w:tcW w:w="892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2"/>
              </w:rPr>
              <w:t>Preferred stock, $0.01 par value, 10,000 shares authorized; 0 shares issued and outstanding at September 30, 2012 and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2"/>
          </w:tcPr>
          <w:p>
            <w:pPr>
              <w:ind w:left="200"/>
              <w:spacing w:after="0"/>
              <w:rPr>
                <w:sz w:val="20"/>
                <w:szCs w:val="20"/>
                <w:color w:val="auto"/>
              </w:rPr>
            </w:pPr>
            <w:r>
              <w:rPr>
                <w:rFonts w:ascii="Arial" w:cs="Arial" w:eastAsia="Arial" w:hAnsi="Arial"/>
                <w:sz w:val="18"/>
                <w:szCs w:val="18"/>
                <w:color w:val="auto"/>
              </w:rPr>
              <w:t>December 31, 2011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Common stock, $0.01 par value, 100,000 shares authorized; 46,864 and 45,955 shares issued and 44,902 and 44,298 shares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September 30, 2012 and December 31, 2011, respectively</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7"/>
              </w:rPr>
              <w:t>Treasury stock, at cost, 1,962 and 1,657 shares of common stock at September 30, 2012 and December 31, 2011,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(28,819)</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(23,894)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149,905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217,228</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163,293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423,089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Common Stock</w:t>
            </w:r>
          </w:p>
        </w:tc>
        <w:tc>
          <w:tcPr>
            <w:tcW w:w="280" w:type="dxa"/>
            <w:vAlign w:val="bottom"/>
          </w:tcPr>
          <w:p>
            <w:pPr>
              <w:spacing w:after="0"/>
              <w:rPr>
                <w:sz w:val="14"/>
                <w:szCs w:val="14"/>
                <w:color w:val="auto"/>
              </w:rPr>
            </w:pPr>
          </w:p>
        </w:tc>
        <w:tc>
          <w:tcPr>
            <w:tcW w:w="1660" w:type="dxa"/>
            <w:vAlign w:val="bottom"/>
            <w:gridSpan w:val="5"/>
          </w:tcPr>
          <w:p>
            <w:pPr>
              <w:ind w:left="240"/>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Par</w:t>
            </w:r>
          </w:p>
        </w:tc>
        <w:tc>
          <w:tcPr>
            <w:tcW w:w="2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rPr>
              <w:t>Stated</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20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8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Earnings</w:t>
            </w: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45,955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$460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1,657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(23,894)</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$ 85,720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101,367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$163,293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48,538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48,538</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gain on hedging derivative, net of taxes of $72</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ind w:left="480"/>
              <w:spacing w:after="0"/>
              <w:rPr>
                <w:sz w:val="20"/>
                <w:szCs w:val="20"/>
                <w:color w:val="auto"/>
              </w:rPr>
            </w:pPr>
            <w:r>
              <w:rPr>
                <w:rFonts w:ascii="Arial" w:cs="Arial" w:eastAsia="Arial" w:hAnsi="Arial"/>
                <w:sz w:val="18"/>
                <w:szCs w:val="18"/>
                <w:color w:val="auto"/>
              </w:rPr>
              <w:t>298</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(4,925)</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(4,925)</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339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4,336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4,339</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6"/>
              </w:rPr>
              <w:t>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46,864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469</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1,962</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(28,819)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$ 95,938</w:t>
            </w:r>
          </w:p>
        </w:tc>
        <w:tc>
          <w:tcPr>
            <w:tcW w:w="3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149,905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217,228</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62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48,538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Share-based compensation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Amortization of debt issuance costs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Lease termination fee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Exit costs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asset disposal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Changes in assets and liabilities: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(10,552)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Due to/from related parties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Accrued liabilities and employee related liabilities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receivable/payable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Student deposits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9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124,734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(73,619)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Purchase of land and building related to future development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funds held for derivative collateral and legal matter</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(74,257)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1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shares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Debt issuance costs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Net proceeds from exercise of stock options</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(23,820)</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20" w:type="dxa"/>
            <w:vAlign w:val="bottom"/>
            <w:gridSpan w:val="3"/>
            <w:vMerge w:val="continue"/>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69,644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Cash paid for interest</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Purchases of equipment through capital lease obligations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benefit of Spirit warrant intangible</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Shortfall tax expense from share-based compensation</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Grand Canyon Education, Inc. (together with its subsidiaries, the “University”) is a regionally accredited provider of postsecondary education services focused on offering graduate and undergraduate degree programs in its core disciplines of education, healthcare, business, and liberal arts. The University offers courses online, at its approximately 115 acre traditional ground campus in Phoenix, Arizona and onsite at the facilities of employers. The University’s wholly-owned subsidiaries are primarily used to facilitate expansion of the University campus. The University is accredited by The Higher Learning Commission of the North Central Association of Colleges and Schools.</w:t>
      </w:r>
    </w:p>
    <w:p>
      <w:pPr>
        <w:spacing w:after="0" w:line="218" w:lineRule="exact"/>
        <w:rPr>
          <w:sz w:val="20"/>
          <w:szCs w:val="20"/>
          <w:color w:val="auto"/>
        </w:rPr>
      </w:pPr>
    </w:p>
    <w:p>
      <w:pPr>
        <w:ind w:right="79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2011.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2011 from which the December 31, 2011 balance sheet information was derived.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During the second quarter of 2012, the University changed its presentation of changes in restricted cash and cash equivalents related to financial aid program funds to cash flows provided by operating activities on the consolidated statement of cash flows. The University previously presented such changes within cash flows used in investing activities. These restricted funds are a core activity of the University operations and, accordingly, the University believes presentation of changes in such funds as an operating activity more appropriately reflects the nature of the restricted cash. Additionally, the University believes that including both the restricted cash and student deposit changes within operating activities provides better transparency. The University has changed its presentation on the consolidated statements of cash flows for all periods presented. The changes have no other impact on the University’s financial position and results of operations.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University’s consolidated cash flows as previously reported and as changed for the nine months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380"/>
              <w:spacing w:after="0"/>
              <w:rPr>
                <w:sz w:val="20"/>
                <w:szCs w:val="20"/>
                <w:color w:val="auto"/>
              </w:rPr>
            </w:pPr>
            <w:r>
              <w:rPr>
                <w:rFonts w:ascii="Arial" w:cs="Arial" w:eastAsia="Arial" w:hAnsi="Arial"/>
                <w:sz w:val="14"/>
                <w:szCs w:val="14"/>
                <w:b w:val="1"/>
                <w:bCs w:val="1"/>
                <w:color w:val="auto"/>
                <w:w w:val="85"/>
              </w:rPr>
              <w:t>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color w:val="auto"/>
                <w:w w:val="87"/>
              </w:rPr>
              <w:t>As Reported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83"/>
              </w:rPr>
              <w:t>As Changed</w:t>
            </w:r>
          </w:p>
        </w:tc>
        <w:tc>
          <w:tcPr>
            <w:tcW w:w="12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65,292</w:t>
            </w: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Restricted funds held for derivative collateral and legal matters</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(56,309)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(56,110)</w:t>
            </w:r>
          </w:p>
        </w:tc>
      </w:tr>
    </w:tbl>
    <w:p>
      <w:pPr>
        <w:spacing w:after="0" w:line="154"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 xml:space="preserve">In addition, the counterparty to the University’s interest rate swap made a collateral call in 2010 and the pledged collateral is classified as noncurrent restricted cash. The pledged collateral was $375 and $555 as of September 30, 2012 and December 31, 2011, respectively. The University had previously classified the $5,200 that it had agreed to pay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that it settled in 2010 as restricted cash; this amount was paid during the second quarter of 2011 in final payment of all amounts due under the settlement agreement. The University reports changes in restricted cash related to legal matters and derivative collateral as investing cash flows in its consolidated statement of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13"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June 30, 2009, the University entered into an interest rate swap and an interest rate corridor instrument to manage its 30 Day LIBOR interest exposure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related to its variable rate debt, which commenced in April 2009 and matures in March 2016. The fair value of the interest rate swap is a liability of $465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$629 as of September 30, 2012 and December 31, 2011, respectively, which is included in other noncurrent liabilities. The fair value of the interest rate corridor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 as of September 30, 2012 and December 31, 2011 was $1 and $1, respectively, which is included in other assets. The fair values of each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 were determined using a hypothetical derivative transaction, which are considered Level 2 per the fair value hierarchy. These derivative instruments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originally designated as cash flow hedges of variable rate debt obligations. In the fourth quarter of 2011, the University de-designated the corridor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 The adjustment of $95 and $53 in the first nine months of 2012 and 2011, respectively, for the effective portion of the gain/loss on the derivatives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as a component of other comprehensive income, net of taxes.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$9,985 as of September 30, 2012. Under the terms of the agreement, the University receives 30 Day LIBOR and pays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September 30, 2012 and December 31, 2011 in the amount of $375 and $555, respectively.</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interest rate corridor instrument, although de-designated, reduces variable interest rate risk starting July 1, 2009 through April 30, 2014 with a notional amount of $9,985 as of September 30, 2012. The corridor instrument’s terms permit the University to hedge its interest rate risk at several thresholds; the University pays variable interest monthly based on the 30 Day LIBOR rates until that index reaches 4%. If 30 Day LIBOR is equal to 4% through 6%, the University pays 4%. If 30 Day LIBOR exceeds 6%, the University pays actual 30 Day LIBOR less 2%. Subsequent to the de-designation of this instrument in the fourth quarter of 2011, changes in this instrument’s fair value are recorded in interest expense.</w:t>
      </w:r>
    </w:p>
    <w:p>
      <w:pPr>
        <w:spacing w:after="0" w:line="11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As of September 30, 2012 no derivative ineffectiveness was identified for the interest rate swap. Any ineffectiveness in the University’s derivative instrument designated as a hedge is reported in interest expense in the income statement. For the nine months ended September 30, 2012 $3 of credit risk was recorded in interest expense for the interest rate swap. At September 30, 2012, the University does not expected to reclassify gains or losses on derivative instruments from accumulated other comprehensive (loss) income into earnings during the next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September 30, 2012,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approximates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Net revenues consist primarily of tuition and fees derived from courses taught by the University online, at its traditional campus in Phoenix, Arizona, and onsite at the facilities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nine months ended September 30, 2012 and 2011, the University’s revenue was reduced by approximately $65,563 and $51,963,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as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Sales tax collected from students is excluded from net revenues. Collected but unremitted sales tax is included as an accrued liability in our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 chose to receive living expense funds as part of his or her financial aid disbursement, the University is required to return the unearned portion of these funds as well and then collect these amounts from the student.</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and the aging of the accounts receivable and student status. The University applies reserves to its receivables based upon an estimate of the risk presented by the age of the receivables and student status. Historically, the University has written off accounts receivable balances at the earlier of the time the balances were deemed uncollectible, or one year after the revenue is generated. In the third quarter of 2011, the University accelerated the write off of inactive student accounts such that the accounts are written off 150 days after becoming past due, while maintaining its historical write off policy for active student accounts. The University continues to reflect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Instructional costs and services expenses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the royalty payable to a former owner,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University’s facilities in Arizona. Selling and promotional costs are expensed as incurred.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third quarter of 2011, the University entered into a revenue sharing arrangement (the Collaboration Agreement) with Mind Streams, L.L.C. (Mind Streams), a related party, under which the University, in accordance with applicable Department of Education guidance, pays a percentage of net revenue that it receives from applicants recruited by Mind Streams that matriculate at the University. In 2010, the University entered into an agreement with Lifetime Learning, a related party, under which the University purchases leads on prospective students. For the nine months ended September 30, 2012 and 2011, the University expensed approximately $1,681 and $612, respectively, in total pursuant to the agreements with Mind Streams and Lifetime Learning. As of September 30, 2012 and December 31, 2011 $322 and $212, respectively, were due to these related parties.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June 2011, the Financial Accounting Standards Board (“FASB”) issued guidance on the presentation of comprehensive income. The guidance requires all non owner changes in shareholders’ equity to be presented either in a single continuous statement of comprehensive income or in two separate but consecutive statements. The University historically presented this information in two separate but consecutive statements and, therefore, the effectiveness of this guidance on January 1, 2012 did not materially impact the University’s financial condition, results of operations, or disclosures.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September 2011, the FASB issued guidance that simplifies how an entity tests goodwill for impairment. The amendments permit an entity to first assess qualitative factors to determine whether it is necessary to perform the two-step quantitative goodwill impairment test. Accordingly, an entity will no longer be required to calculate the fair value of a reporting unit in the step one test unless the entity determines, based on a qualitative assessment, that it is more likely than not that its fair value is less than its carrying amount. This guidance is effective for annual and interim goodwill impairment tests performed for fiscal years beginning after December 15, 2011, with early adoption permitted. The University believes this will have no material impact on our financial condition, results of operations or disclosures.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University has determined that all other recently issued accounting standards will not have a material impact on its financial statements, or do not apply to its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Three Months Ended</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Basic common shares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44,365</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44,302</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44,395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stock options and restricted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auto"/>
              </w:rPr>
              <w:t>Diluted common shares outstanding</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45,339</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44,787</w:t>
            </w:r>
          </w:p>
        </w:tc>
        <w:tc>
          <w:tcPr>
            <w:tcW w:w="2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45,220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Diluted weighted average shares outstanding exclude the incremental effect of shares that would be issued upon the assumed exercise of stock options. For the nine months ended September 30, 2012 and 2011, approximately 2,009 and 2,878, respectively, of the University’s stock options outstanding were excluded from the calculation of diluted earnings per share as their inclusion would have been anti-dilutive. These options could be dilutive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Valuation and Qualifying Accounts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Balance at</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Beginning</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Charged to</w:t>
            </w:r>
          </w:p>
        </w:tc>
        <w:tc>
          <w:tcPr>
            <w:tcW w:w="13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0"/>
              </w:rPr>
              <w:t>Deductions</w:t>
            </w:r>
            <w:r>
              <w:rPr>
                <w:rFonts w:ascii="Arial" w:cs="Arial" w:eastAsia="Arial" w:hAnsi="Arial"/>
                <w:sz w:val="22"/>
                <w:szCs w:val="22"/>
                <w:color w:val="auto"/>
                <w:w w:val="80"/>
                <w:vertAlign w:val="superscript"/>
              </w:rPr>
              <w:t>(1)</w:t>
            </w:r>
          </w:p>
        </w:tc>
        <w:tc>
          <w:tcPr>
            <w:tcW w:w="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Period</w:t>
            </w: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Expense</w:t>
            </w: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1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Nine months ended September 30, 2012</w:t>
            </w:r>
          </w:p>
        </w:tc>
        <w:tc>
          <w:tcPr>
            <w:tcW w:w="2640" w:type="dxa"/>
            <w:vAlign w:val="bottom"/>
            <w:gridSpan w:val="3"/>
          </w:tcPr>
          <w:p>
            <w:pPr>
              <w:jc w:val="center"/>
              <w:ind w:left="812"/>
              <w:spacing w:after="0"/>
              <w:rPr>
                <w:sz w:val="20"/>
                <w:szCs w:val="20"/>
                <w:color w:val="auto"/>
              </w:rPr>
            </w:pPr>
            <w:r>
              <w:rPr>
                <w:rFonts w:ascii="Arial" w:cs="Arial" w:eastAsia="Arial" w:hAnsi="Arial"/>
                <w:sz w:val="18"/>
                <w:szCs w:val="18"/>
                <w:color w:val="auto"/>
                <w:w w:val="88"/>
              </w:rPr>
              <w:t>$ 11,706</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13,492</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(15,896)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2011</w:t>
            </w:r>
          </w:p>
        </w:tc>
        <w:tc>
          <w:tcPr>
            <w:tcW w:w="2640" w:type="dxa"/>
            <w:vAlign w:val="bottom"/>
            <w:gridSpan w:val="3"/>
            <w:shd w:val="clear" w:color="auto" w:fill="CCEEFF"/>
          </w:tcPr>
          <w:p>
            <w:pPr>
              <w:jc w:val="center"/>
              <w:ind w:left="812"/>
              <w:spacing w:after="0"/>
              <w:rPr>
                <w:sz w:val="20"/>
                <w:szCs w:val="20"/>
                <w:color w:val="auto"/>
              </w:rPr>
            </w:pPr>
            <w:r>
              <w:rPr>
                <w:rFonts w:ascii="Arial" w:cs="Arial" w:eastAsia="Arial" w:hAnsi="Arial"/>
                <w:sz w:val="18"/>
                <w:szCs w:val="18"/>
                <w:color w:val="auto"/>
                <w:w w:val="88"/>
              </w:rPr>
              <w:t>$ 30,112</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27,903</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(43,597)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As of</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620" w:type="dxa"/>
            <w:vAlign w:val="bottom"/>
            <w:gridSpan w:val="4"/>
          </w:tcPr>
          <w:p>
            <w:pPr>
              <w:jc w:val="center"/>
              <w:ind w:left="104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20" w:type="dxa"/>
            <w:vAlign w:val="bottom"/>
            <w:gridSpan w:val="4"/>
          </w:tcPr>
          <w:p>
            <w:pPr>
              <w:jc w:val="center"/>
              <w:ind w:left="12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Land improvements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166,646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Computer equipment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54,136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10,235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312,259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(55,731)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(40,460)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256,528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74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2023. Future minimum lease payments under operating leases due each year are as follows at September 30, 2012:</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2013</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2015</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Thereafter</w:t>
            </w:r>
          </w:p>
        </w:tc>
        <w:tc>
          <w:tcPr>
            <w:tcW w:w="2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22,491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52,404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Total rent expense and related taxes and operating expenses under operating leases for the nine months ended September 30, 2012 and 2011 were $5,759 and $5,338,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September 30, 2012 and December 31, 2011, the University had reserved approximately $49, for tax matters where its ultimate exposure is considered probable and the potential loss can be reasonably estimated.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University’s uncertain tax positions have been fully settled. As of September 30, 2012, the earliest tax year still subject to examination for federal and state purposes is 2009 and 2005, respectively. As of September 30, 2012, the University is not under federal examination. The University recently concluded two state audits with insubstantial findings and is currently not under audit by any other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increases by 2.5% of the number of shares of common stock issued and outstanding on the previous December 31, raising the total number of shares of common stock currently authorized for issuance under the Incentive Plan to 8,729 shares effective January 1, 2012. Although the ESPP has not yet been implemented, a total of 1,050 shares of the University’s common stock has been authorized for sale under the ESPP.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stock options granted under the University’s Incentive Plan since December 31, 2011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4"/>
              </w:rPr>
              <w:t>Summary of Stock Options Outstanding</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Weighted</w:t>
            </w:r>
          </w:p>
        </w:tc>
        <w:tc>
          <w:tcPr>
            <w:tcW w:w="13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Price per</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Share</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Term (Years)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 xml:space="preserve">Value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4,964</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12.80</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17.65</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2012</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4,503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$ 14.51</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September 30, 2012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2,153</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$ 13.76</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September 30, 2012</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2,767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5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September 28, 2012 ($23.53) in excess of the exercise price multiplied by the number of options outstanding or exercisable.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table below outlines share-based compensation expense for the nine months ended September 30, 2012 and 2011 related to restricted stock and stock options granted: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5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Instructional costs and services</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$ 2,807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tcPr>
          <w:p>
            <w:pPr>
              <w:ind w:left="44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5,748</w:t>
            </w: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(2,299)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Share-based compensation expense, net of tax</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$ 3,449</w:t>
            </w: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2011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Fair Value per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5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17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1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7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2012</w:t>
            </w:r>
          </w:p>
        </w:tc>
        <w:tc>
          <w:tcPr>
            <w:tcW w:w="176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Following the Department of Education’s review of the change in control application the University filed in January 2011 in connection the termination of certain voting agreements in January 2011 that had been in place with certain stockholders, the Department of Education provisionally certified the University to participate in Title IV programs through 2013. As of September 30, 2012, management believes the University is in compliance with the applicable regulations in all material respects.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As part of this program review, a Department of Education program review team conducted a site visit on the University’s campus in July 2010 and reviewed, and in some cases requested further information regarding, the University’s records, practices and policies relating to, among other things, financial aid, enrollment, enrollment counselor compensation, program eligibility and other Title IV compliance matters.</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While the University never received a formal exit interview, which it had understood to be the typical step prior to the Department of Education’s issuance of a preliminary program review report, 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address the incentive compensation issue, the gainful employment issue and one additional issue not previously raised with the University, as follows:</w:t>
      </w:r>
    </w:p>
    <w:p>
      <w:pPr>
        <w:spacing w:after="0" w:line="63" w:lineRule="exact"/>
        <w:rPr>
          <w:sz w:val="20"/>
          <w:szCs w:val="20"/>
          <w:color w:val="auto"/>
        </w:rPr>
      </w:pPr>
    </w:p>
    <w:p>
      <w:pPr>
        <w:ind w:left="1480" w:hanging="446"/>
        <w:spacing w:after="0" w:line="287"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the University had in place a compensation plan for its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the University regarding its enrollment counselor compensation practices and policies in effect during the period under review. The University continues to believe that the plan at issue, both as designed and as applied, did not base compensation solely on success in enrolling students in violation of applicable law and will continue to communicate with the Department of Education to resolve this matter.</w:t>
      </w:r>
    </w:p>
    <w:p>
      <w:pPr>
        <w:spacing w:after="0" w:line="41" w:lineRule="exact"/>
        <w:rPr>
          <w:rFonts w:ascii="Arial" w:cs="Arial" w:eastAsia="Arial" w:hAnsi="Arial"/>
          <w:sz w:val="16"/>
          <w:szCs w:val="16"/>
          <w:color w:val="auto"/>
        </w:rPr>
      </w:pPr>
    </w:p>
    <w:p>
      <w:pPr>
        <w:ind w:left="1480" w:right="20" w:hanging="446"/>
        <w:spacing w:after="0" w:line="288"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the University’s</w:t>
      </w:r>
      <w:r>
        <w:rPr>
          <w:rFonts w:ascii="Arial" w:cs="Arial" w:eastAsia="Arial" w:hAnsi="Arial"/>
          <w:sz w:val="16"/>
          <w:szCs w:val="16"/>
          <w:i w:val="1"/>
          <w:iCs w:val="1"/>
          <w:color w:val="auto"/>
        </w:rPr>
        <w:t xml:space="preserve"> </w:t>
      </w:r>
      <w:r>
        <w:rPr>
          <w:rFonts w:ascii="Arial" w:cs="Arial" w:eastAsia="Arial" w:hAnsi="Arial"/>
          <w:sz w:val="16"/>
          <w:szCs w:val="16"/>
          <w:color w:val="auto"/>
        </w:rPr>
        <w:t>Bachelor of 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the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The University believes that its Interdisciplinary Studies program, which it first offered in Fall 2007 in response to a request by one of its employer-partners, was an eligible program under the “gainful employment” standard in effect prior to July 1, 2010 and intends to continue to communicate with the Department of Education to resolve the matter.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1480" w:right="20" w:hanging="446"/>
        <w:spacing w:after="0" w:line="288"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the University converted from a term-based financial aid system to a non-term, borrower-based financial aid system in mid-2010, the University failed to have an accurate system to determine if students with non-passing grades for a term had no documented attendance for the term or should have been treated as unofficial withdrawals for the term, thereby potentially requiring the University to return all or a portion of the Title IV monies previously received with respect to such students. Although the University is confident in the legal sufficiency of its policies that were in place during the period under review, it is currently in discussions with the Department of Education regarding this finding. As part of the process of reviewing and responding to this finding, the Department of Education has requested that the University conduct a further review of student files and provide additional information to the Department of Education following the completion of such review.</w:t>
      </w:r>
    </w:p>
    <w:p>
      <w:pPr>
        <w:spacing w:after="0" w:line="12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University has provided responses on these issues as required by the Department of Education and, with respect to the issue regarding inadequate procedures related to non-passing grades, continues its review of student files for the period from July 1, 2008 to June 30, 2010 in accordance with the Department of Education’s request. Although the University has not completed the file review, the University determined that certain Pell grants received by the University for students that later unofficially withdrew should have been returned. Although the student is obligated to repay the University for these amounts, the University has decided that it will not seek reimbursement from the students once the returns are made. Thus, during the nine months ended September 30, 2012 the University reserved $3,450 related to these refunds. The University is unable, at this time, to determine whether additional refunds will be necessary as a result of the preliminary findings. The University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refunds or penalties. The University’s policies and procedures are planned and implemented to comply with the applicable standards and regulations under Title IV and it is committed to resolving any issues of non-compliance identified in the final program review determination letter and ensuring that it operates in compliance with all Department of Education requirements. If the Department of Education were to make significant findings of non-compliance in the final program review determination letter, then, after exhausting any administrative appeals available to the University, it could be required to pay a fine, return Title IV monies previously received, or be subjected to other administrative sanctions. While it cannot currently predict the final outcome of the Department of Education review, any such final adverse finding could damage the University’s reputation in the industry and have a material adverse effect on its business, results of operations, cash flows and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96" w:lineRule="exact"/>
        <w:rPr>
          <w:sz w:val="20"/>
          <w:szCs w:val="20"/>
          <w:color w:val="auto"/>
        </w:rPr>
      </w:pPr>
    </w:p>
    <w:p>
      <w:pPr>
        <w:jc w:val="both"/>
        <w:ind w:right="140" w:firstLine="456"/>
        <w:spacing w:after="0" w:line="284" w:lineRule="auto"/>
        <w:rPr>
          <w:sz w:val="20"/>
          <w:szCs w:val="20"/>
          <w:color w:val="auto"/>
        </w:rPr>
      </w:pPr>
      <w:r>
        <w:rPr>
          <w:rFonts w:ascii="Arial" w:cs="Arial" w:eastAsia="Arial" w:hAnsi="Arial"/>
          <w:sz w:val="16"/>
          <w:szCs w:val="16"/>
          <w:color w:val="auto"/>
        </w:rPr>
        <w:t>On July 28, 2011, our Board of Directors authorized the University to repurchase up to an additional $25,000 ($50,000 total) of common stock, from time to time, depending on market conditions and other considerations. The original authorization of $25,000 occurred on August 16, 2010 and, on July 26, 2012 the Board of Directors extended the expiration date on the repurchase authorization to September 30, 2013. Repurchases occur at the University’s discretion.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Repurchases may be made in the open market or in privately negotiated transactions, pursuant to the applicable Securities and Exchange Commission rules. The amount and timing of future share repurchases, if any, will be made as market and business conditions warrant. Between the approval of the share repurchase plan and September 30, 2012, the University has purchased 1,955 shares of common stock shares at an aggregate cost of $28,819, which includes 298 shares at an aggregate cost of $4,925 in the nine months ended September 30, 2012. At September 30, 2012, there remained $21,181 available under its current share repurchase authorization.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The following discussion and analysis of our financial condition and historical results of operations and our liquidity and capital resources should be read in conjunction with the consolidated financial statements and related notes that appear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regarding the material adverse effect that regulatory developments or other matters may have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62" w:lineRule="exact"/>
        <w:rPr>
          <w:sz w:val="20"/>
          <w:szCs w:val="20"/>
          <w:color w:val="auto"/>
        </w:rPr>
      </w:pPr>
    </w:p>
    <w:p>
      <w:pPr>
        <w:ind w:left="900" w:right="6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 such as standards applicable to the Higher Learning Commission;</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the ongoing program review being conducted by the Department of Education of our compliance with Title IV program requirements, and possible fines or other administrative sanctions resulting therefrom;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90"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 including, for example, a recent report issued by Sen. Tom Harkin, Chairman of the Health, Education, Labor &amp; Pensions Committee, relating to us and various other proprietary schools;</w:t>
      </w:r>
    </w:p>
    <w:p>
      <w:pPr>
        <w:spacing w:after="0" w:line="62"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potential acquisitions of, or investments in, new businesses, acquisitions of new properties, or the expansion of our campus to new locations;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competitive environment for marketing our programs;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job prospects in our core disciplines.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2011,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are a regionally accredited provider of postsecondary education services focused on offering graduate and undergraduate degree programs in our core disciplines of education, healthcare, business, and liberal arts. We offer online programs as well as ground programs at our approximately 115 acre traditional campus in Phoenix, Arizona and onsite at the facilities of employers.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September 30, 2012, we had approximately 52,300 students, an increase of 17.5% over the approximately 44,500 students we had at September 30, 2011. At September 30, 2012, 85.8% of our students were enrolled in our online programs, and of our online and professional studies students, 42.0% were pursuing master’s or doctoral degrees. In addition, revenue per student increased between periods as we increased tuition prices for most of our students in our online and professional studies programs by 0.0% to 5.9%, depending on the program, with an estimated blended rate increase of 2.5% for our 2012-13 academic year, as compared to tuition price increases for students in our online and professional studies programs of 0.0% to 6.5% for our 2011-12 academic year, depending on the program, with an estimated blended rate increase of 3.2% for the prior academic year. Tuition for our traditional ground programs had no increase for our 2012-13 or 2011-12 academic years.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is a summary of our student enrollment at September 30, 2012 and 2011 (which included less than 765 students pursuing non-degree certificates in each period) by degree type and by instructional delivery method: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color w:val="auto"/>
                <w:vertAlign w:val="superscript"/>
              </w:rPr>
              <w:t>(1)</w:t>
            </w:r>
          </w:p>
        </w:tc>
        <w:tc>
          <w:tcPr>
            <w:tcW w:w="60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color w:val="auto"/>
                <w:vertAlign w:val="superscript"/>
              </w:rPr>
              <w:t>(1)</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74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0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1"/>
                <w:szCs w:val="11"/>
                <w:color w:val="auto"/>
              </w:rPr>
              <w:t>(2)</w:t>
            </w:r>
          </w:p>
        </w:tc>
        <w:tc>
          <w:tcPr>
            <w:tcW w:w="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tcBorders>
              <w:lef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19,439</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17,497</w:t>
            </w:r>
          </w:p>
        </w:tc>
        <w:tc>
          <w:tcPr>
            <w:tcW w:w="600" w:type="dxa"/>
            <w:vAlign w:val="bottom"/>
            <w:tcBorders>
              <w:left w:val="single" w:sz="8" w:color="CCEEFF"/>
            </w:tcBorders>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Undergraduate degree</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32,814</w:t>
            </w:r>
          </w:p>
        </w:tc>
        <w:tc>
          <w:tcPr>
            <w:tcW w:w="6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62.8%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26,989</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Borders>
              <w:lef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52,253</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44,486</w:t>
            </w:r>
          </w:p>
        </w:tc>
        <w:tc>
          <w:tcPr>
            <w:tcW w:w="14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80" w:type="dxa"/>
            <w:vAlign w:val="bottom"/>
            <w:tcBorders>
              <w:bottom w:val="single" w:sz="8" w:color="auto"/>
            </w:tcBorders>
            <w:gridSpan w:val="3"/>
          </w:tcPr>
          <w:p>
            <w:pPr>
              <w:jc w:val="right"/>
              <w:ind w:right="20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color w:val="auto"/>
                <w:vertAlign w:val="superscript"/>
              </w:rPr>
              <w:t>(1)</w:t>
            </w:r>
          </w:p>
        </w:tc>
        <w:tc>
          <w:tcPr>
            <w:tcW w:w="60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color w:val="auto"/>
                <w:vertAlign w:val="superscript"/>
              </w:rPr>
              <w:t>(1)</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8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740" w:type="dxa"/>
            <w:vAlign w:val="bottom"/>
          </w:tcPr>
          <w:p>
            <w:pPr>
              <w:spacing w:after="0"/>
              <w:rPr>
                <w:sz w:val="12"/>
                <w:szCs w:val="12"/>
                <w:color w:val="auto"/>
              </w:rPr>
            </w:pPr>
          </w:p>
        </w:tc>
        <w:tc>
          <w:tcPr>
            <w:tcW w:w="7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78"/>
              </w:rPr>
              <w:t># of Students</w:t>
            </w:r>
          </w:p>
        </w:tc>
        <w:tc>
          <w:tcPr>
            <w:tcW w:w="60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1"/>
                <w:szCs w:val="11"/>
                <w:color w:val="auto"/>
              </w:rPr>
              <w:t>(3)</w:t>
            </w:r>
          </w:p>
        </w:tc>
        <w:tc>
          <w:tcPr>
            <w:tcW w:w="740" w:type="dxa"/>
            <w:vAlign w:val="bottom"/>
            <w:gridSpan w:val="2"/>
            <w:shd w:val="clear" w:color="auto" w:fill="000000"/>
          </w:tcPr>
          <w:p>
            <w:pPr>
              <w:spacing w:after="0" w:line="20" w:lineRule="exact"/>
              <w:rPr>
                <w:sz w:val="1"/>
                <w:szCs w:val="1"/>
                <w:color w:val="auto"/>
              </w:rPr>
            </w:pPr>
          </w:p>
        </w:tc>
        <w:tc>
          <w:tcPr>
            <w:tcW w:w="6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tcBorders>
              <w:lef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44,849</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39,447</w:t>
            </w:r>
          </w:p>
        </w:tc>
        <w:tc>
          <w:tcPr>
            <w:tcW w:w="20" w:type="dxa"/>
            <w:vAlign w:val="bottom"/>
            <w:shd w:val="clear" w:color="auto" w:fill="CCEEFF"/>
          </w:tcPr>
          <w:p>
            <w:pPr>
              <w:spacing w:after="0"/>
              <w:rPr>
                <w:sz w:val="18"/>
                <w:szCs w:val="18"/>
                <w:color w:val="auto"/>
              </w:rPr>
            </w:pPr>
          </w:p>
        </w:tc>
        <w:tc>
          <w:tcPr>
            <w:tcW w:w="600" w:type="dxa"/>
            <w:vAlign w:val="bottom"/>
            <w:tcBorders>
              <w:left w:val="single" w:sz="8" w:color="CCEEFF"/>
            </w:tcBorders>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line="217" w:lineRule="exact"/>
              <w:rPr>
                <w:sz w:val="20"/>
                <w:szCs w:val="20"/>
                <w:color w:val="auto"/>
              </w:rPr>
            </w:pPr>
            <w:r>
              <w:rPr>
                <w:rFonts w:ascii="Arial" w:cs="Arial" w:eastAsia="Arial" w:hAnsi="Arial"/>
                <w:sz w:val="18"/>
                <w:szCs w:val="18"/>
                <w:color w:val="auto"/>
              </w:rPr>
              <w:t>Ground</w:t>
            </w:r>
            <w:r>
              <w:rPr>
                <w:rFonts w:ascii="Arial" w:cs="Arial" w:eastAsia="Arial" w:hAnsi="Arial"/>
                <w:sz w:val="22"/>
                <w:szCs w:val="22"/>
                <w:color w:val="auto"/>
                <w:vertAlign w:val="superscript"/>
              </w:rPr>
              <w:t>(3) (4)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7,404</w:t>
            </w:r>
          </w:p>
        </w:tc>
        <w:tc>
          <w:tcPr>
            <w:tcW w:w="6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14.2%</w:t>
            </w:r>
          </w:p>
        </w:tc>
        <w:tc>
          <w:tcPr>
            <w:tcW w:w="720" w:type="dxa"/>
            <w:vAlign w:val="bottom"/>
          </w:tcPr>
          <w:p>
            <w:pPr>
              <w:jc w:val="right"/>
              <w:spacing w:after="0"/>
              <w:rPr>
                <w:sz w:val="20"/>
                <w:szCs w:val="20"/>
                <w:color w:val="auto"/>
              </w:rPr>
            </w:pPr>
            <w:r>
              <w:rPr>
                <w:rFonts w:ascii="Arial" w:cs="Arial" w:eastAsia="Arial" w:hAnsi="Arial"/>
                <w:sz w:val="18"/>
                <w:szCs w:val="18"/>
                <w:color w:val="auto"/>
              </w:rPr>
              <w:t>5,039</w:t>
            </w:r>
          </w:p>
        </w:tc>
        <w:tc>
          <w:tcPr>
            <w:tcW w:w="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52,253</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44,486</w:t>
            </w:r>
          </w:p>
        </w:tc>
        <w:tc>
          <w:tcPr>
            <w:tcW w:w="20" w:type="dxa"/>
            <w:vAlign w:val="bottom"/>
            <w:shd w:val="clear" w:color="auto" w:fill="CCEEFF"/>
          </w:tcPr>
          <w:p>
            <w:pPr>
              <w:spacing w:after="0"/>
              <w:rPr>
                <w:sz w:val="18"/>
                <w:szCs w:val="18"/>
                <w:color w:val="auto"/>
              </w:rPr>
            </w:pPr>
          </w:p>
        </w:tc>
        <w:tc>
          <w:tcPr>
            <w:tcW w:w="14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Enrollment at September 30, 2012 and 2011 represents individual students who attended a course during the last two months of the calendar quarter.</w:t>
      </w:r>
    </w:p>
    <w:p>
      <w:pPr>
        <w:spacing w:after="0" w:line="7" w:lineRule="exact"/>
        <w:rPr>
          <w:rFonts w:ascii="Arial" w:cs="Arial" w:eastAsia="Arial" w:hAnsi="Arial"/>
          <w:sz w:val="20"/>
          <w:szCs w:val="20"/>
          <w:color w:val="auto"/>
          <w:vertAlign w:val="superscript"/>
        </w:rPr>
      </w:pPr>
    </w:p>
    <w:p>
      <w:pPr>
        <w:ind w:left="460" w:hanging="452"/>
        <w:spacing w:after="0" w:line="197"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Includes 2,745 and 1,808 students pursuing doctoral degrees at September 30, 2012 and 2011, respectively.</w:t>
      </w:r>
    </w:p>
    <w:p>
      <w:pPr>
        <w:spacing w:after="0" w:line="8" w:lineRule="exact"/>
        <w:rPr>
          <w:rFonts w:ascii="Arial" w:cs="Arial" w:eastAsia="Arial" w:hAnsi="Arial"/>
          <w:sz w:val="22"/>
          <w:szCs w:val="22"/>
          <w:color w:val="auto"/>
          <w:vertAlign w:val="superscript"/>
        </w:rPr>
      </w:pPr>
    </w:p>
    <w:p>
      <w:pPr>
        <w:ind w:left="460" w:hanging="452"/>
        <w:spacing w:after="0" w:line="217" w:lineRule="auto"/>
        <w:tabs>
          <w:tab w:leader="none" w:pos="46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As of September 30, 2012 and 2011, 42.0% and 43.0%, respectively, of our online and professional studies students are pursuing graduate degrees.</w:t>
      </w:r>
    </w:p>
    <w:p>
      <w:pPr>
        <w:spacing w:after="0" w:line="8" w:lineRule="exact"/>
        <w:rPr>
          <w:rFonts w:ascii="Arial" w:cs="Arial" w:eastAsia="Arial" w:hAnsi="Arial"/>
          <w:sz w:val="20"/>
          <w:szCs w:val="20"/>
          <w:color w:val="auto"/>
          <w:vertAlign w:val="superscript"/>
        </w:rPr>
      </w:pPr>
    </w:p>
    <w:p>
      <w:pPr>
        <w:ind w:left="460" w:hanging="452"/>
        <w:spacing w:after="0" w:line="197"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Includes both our traditional on-campus ground students, as well as our professional studies students.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2011. During the nine months ended September 30, 2012, there have been no significant changes in our critical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trends, developments and challenges facing the University are disclosed in its Annual Report on Form 10-K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and in its Quarterly Reports on Form 10-Q for the fiscal quarters ended March 31, 2012 and June 30, 2012. During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there have been no significant changes in these trends. See Item 7, “Management’s Discussion and Analysis of Financial Condition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of Operations – Key Trends, Developments and Challenges” in our Annual Report on Form 10-K for our fiscal year ended December 31, 2011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Item 2, “Management’s Discussion and Analysis of Financial Condition and Results of Operations – Key Trends, Developments and Challenges” in our Quarterly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Reports on Form 10-Q for the quarters ended March 31, 2012 and June 30, 2012, which are incorporated herein by reference.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8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Instructional cost and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Selling and promotional</w:t>
            </w: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28.7</w:t>
            </w:r>
          </w:p>
        </w:tc>
        <w:tc>
          <w:tcPr>
            <w:tcW w:w="4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28.0</w:t>
            </w:r>
          </w:p>
        </w:tc>
        <w:tc>
          <w:tcPr>
            <w:tcW w:w="46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Lease termination fee</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23.4</w:t>
            </w: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19.0</w:t>
            </w:r>
          </w:p>
        </w:tc>
        <w:tc>
          <w:tcPr>
            <w:tcW w:w="46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21.8</w:t>
            </w: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8.6</w:t>
            </w: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Compared to Three Months Ended September 30, 2011</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quarter ended September 30, 2012 was $133.6 million, an increase of $24.7 million, or 22.6%,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$108.9 million for the quarter ended September 30, 2011. This increase was primarily due to an increase in ground and online enrollment and, to a lesser extent, increases in the average tuition per student as a result of improved retention and tuition price increases, partially offset by an increase in institutional scholarships. End-of-period enrollment increased 17.5% between September 30, 2012 and September 30, 2011, as ground enrollment increased 46.9%, and online enrollment increased 13.7%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that is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enrollments due primarily to the increasing challenges presented in the economy, the impact of new and proposed regulations, and increased competition.</w:t>
      </w:r>
    </w:p>
    <w:p>
      <w:pPr>
        <w:spacing w:after="0" w:line="1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quarter ended September 30, 2012 were $57.4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$8.5 million, or 17.2%, as compared to instructional costs and services expenses of $48.9 million for the quarter ended September 30, 2011. This increase was primarily due to increases in employee compensation, faculty compensation, depreciation and amortization expenses, dues, fees subscriptions and other instructional supplies, and other instructional costs and services expenses of $3.8 million, $2.2 million, $1.4 million, $1.4 million, and $3.7 million, respectively. These increases were partially offset by a $4.0 million decrease in bad debt expense. The increase in employee compensation and faculty compensation is primarily due to an increase in headcount (both staff and faculty) needed to provide student instruction and support services to support the increase in enrollments as well as increases in benefit expenses such as medical costs and education benefits. The increase in depreciation and amortization is the result of our continued growth and expansion of the ground traditional campus in order to accommodate the growth in our traditional ground enrollment. We also incurred an increase in dues, fees, subscriptions and other instructional supplies due to increased licensing fees related to educational resources and increased food costs associated with a higher number of residential students. Our instructional costs and services expenses as a percentage of net revenues decreased by 2.0% to 42.9% for the quarter ended September 30, 2012, as compared to 44.9% for the quarter ended September 30, 2011 primarily due to improvements in bad debt expense, partially offset by increases as a percentage of net revenues in employee compensation and related expenses, depreciation and amortization expenses, dues, fees, subscriptions and other instructional supplies, and other instructional costs and services expenses. Bad debt expense decreased as a percentage of net revenues from 8.8% in the third quarter of 2011 to 4.2% in the third quarter of 2012 as a result of improved collections of receivables due from current students between periods due to operational improvements made during 2011 and a reduction in receivables due from former students, primarily as a result of improved retention.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quarter ended September 30, 2012 were $36.5 million, an increase of $5.3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16.6%, as compared to selling and promotional expenses of $31.2 million for the quarter ended September 30, 2011. This increase is primarily the result of increases in employee compensation and related expenses and advertising of $3.5 million and $1.2 million, respectively. The increase in employee compensation and related expenses is the result of increasing the number of enrollment counselors between years as well as increases in benefit expenses between years such as medical costs and education benefits. The advertising expense increased due to us entering into a new revenue sharing agreement with MindStreams, L.L.C. in the third quarter of 2011. Our selling and promotional expenses as a percentage of net revenue decreased by 1.4% to 27.3% for the quarter ended September 30, 2012, from 28.7% for the quarter ended September 30, 2011. We plan to continue to add additional enrollment counselors in the future, although the number of additional hires as a percentage of the total headcount is expected to remain flat or decrease.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quarter ended September 30, 2012 were $8.6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$1.5 million, or 19.8%, as compared to general and administrative expenses of $7.1 million for the quarter ended September 30, 2011. This increase was primarily due to increases in employee compensation and related expenses of $0.9 million primarily due to increased headcount as well as increases in benefit expenses between years such as medical costs and education benefits. Our general and administrative expenses as a percentage of net revenue decreased by 0.2% to 6.4% for the quarter ended September 30, 2012, from 6.6% for the quarter ended September 30, 2011.</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Lease termination fee</w:t>
      </w:r>
      <w:r>
        <w:rPr>
          <w:rFonts w:ascii="Arial" w:cs="Arial" w:eastAsia="Arial" w:hAnsi="Arial"/>
          <w:sz w:val="16"/>
          <w:szCs w:val="16"/>
          <w:color w:val="auto"/>
        </w:rPr>
        <w:t>. In July 2011, the University notified a current landlord of its intent to vacate leased space by the fourth quarter of 2011.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University was required to pay a termination fee to terminate the lease resulting in $0.9 million of expense in the three months ended September 30, 2011. The termination fee was paid on our behalf by our new landlord. This payment was recorded as an expense in the third quarter of 2011 with the offset being to a deferred liability. The deferred rent liability will be amortized into income over the new lease term.</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quarter ended September 30, 2012 was $12.6 million, an increase of $5.0 million, or 64.8%,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income tax expense of $7.6 million for the quarter ended September 30, 2011. Our effective tax rate was 40.5% during the third quarter of 2012 compared to 37.3% during the third quarter of 2011. The increase in the effective tax rate was primarily due to certain non-recurring tax items, which had the effect of decreasing our effective tax rate in the third quarter of 2011 and increasing our effective tax rate in the third quarter of 2012.</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quarter ended September 30, 2012 was $18.5 million, an increase of $5.6 million or 43.5%, as compared to $12.9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quarter ended September 30, 2011, due to the factors discussed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Compared to Nine Months Ended September 30, 2011</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nine months ended September 30, 2012 was $370.0 million, an increase of $56.3 million, or 17.9%,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net revenue of $313.7 million for the nine months ended September 30, 2011. This increase was primarily due to an increase in ground and online enrollment and, to a lesser extent, increases in the average tuition per student as a result of improved retention and tuition price increases, partially offset by an increase in institutional scholarships. End-of-period enrollment increased 17.5% between September 30, 2012 and September 30, 2011, as ground enrollment increased</w:t>
      </w:r>
    </w:p>
    <w:p>
      <w:pPr>
        <w:spacing w:after="0" w:line="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46.9%, and online enrollment increased 13.7%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that is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enrollments due primarily to the increasing challenges presented in the economy, the impact of new and proposed regulations, and increased competition.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nine months ended September 30, 2012 were $161.6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$17.4 million, or 12.1%, as compared to instructional costs and services expenses of $144.2 million for the nine months ended September 30, 2011. This increase was primarily due to increases in employee compensation, faculty compensation, dues, fees, subscriptions and other instructional supplies, depreciation and amortization, program review reserve, arena expense and other instructional compensation and related expenses, of $10.0 million, $4.9 million, $4.5 million, $3.6 million, $3.5 million, $1.4 million, and $3.9 million, respectively. These increases were partially offset by a $14.4 million decrease in bad debt expense. The increase in employee compensation and faculty compensation is primarily due to an increase in headcount (both staff and faculty) needed to provide student instruction and support services to support the increase in enrollments as well as increases in benefit expenses such as medical costs and education benefits. Additionally, in 2011 a reversal of $0.7 million was recorded in employee compensation for amounts accrued in previous periods that were to be paid to non-enrollment employees for students they previously recruited and for which bonuses were to be paid when those students completed 24 credit hours. As a result of our compensation rules that became effective on July 1, 2011, these amounts could no longer be paid. The increase in depreciation and amortization is the result of our continued growth and expansion of the ground traditional campus in order to accommodate the growth in our traditional ground enrollment. The reserve for our program review primarily represents the estimated amounts that will be returned related to certain Pell grants. We also incurred an increase in dues, fees, subscriptions and other instructional supplies due to increased licensing fees related to educational resources and increased food costs associated with a higher number of residential students. Our instructional costs and services expenses as a percentage of net revenues decreased by 2.3% to 43.7% for the nine months ended September 30, 2012, as compared to 46.0% for the nine months ended September 30, 2011 primarily due to improvements in bad debt expense, partially offset by increases as a percentage of net revenues in employee compensation and related expenses, program review reserve, dues, fees, subscriptions and other instructional supplies, depreciation and amortization expense and arena expenses. Bad debt expense decreased as a percentage of net revenues from 8.9% in the nine months ended September 30, 2011 to 3.6% in the nine months ended September 30, 2012 as a result of improved collections of receivables due from current students between periods due to operational improvements made during 2011 and a reduction in receivables due from former students, primarily due to improved retention.</w:t>
      </w:r>
    </w:p>
    <w:p>
      <w:pPr>
        <w:spacing w:after="0" w:line="12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nine months ended September 30, 2012 were $103.8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$15.0 million, or 16.9%, as compared to selling and promotional expenses of $88.8 million for the nine months ended September 30, 2011. This increase is primarily the result of increases in employee compensation and advertising of $9.8 million and $5.2 million, respectively. Employee compensation and related expenses increased as a result of increasing the number of enrollment counselors between years as well as increases in benefit expenses between years such as medical costs and education benefits. Additionally, during the second quarter of 2011, the University reversed $1.5 million of amounts accrued in previous periods that were to be paid to enrollment employees for student they previously recruited and for which bonuses were to be paid when those students completed 24 credit hours. Due to the compensation rule changes effective July 1, 2011, these amounts could no longer be paid. The advertising expense increased due to us entering into a new revenue sharing agreement with MindStreams, L.L.C. in the third quarter of 2011. Our selling and promotional expenses as a percentage of net revenue decreased by 0.3% to 28.0% for the nine months ended September 30, 2012, from 28.3% for the nine months ended September 30, 2011. We plan to continue to add additional enrollment counselors in the future, although the number of additional hires as a percentage of the total headcount is expected to remain flat or decrease.</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nine months ended September 30, 2012 were $23.8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$2.8 million, or 13.3%, as compared to general and administrative expenses of $21.0 million for the nine months ended September 30, 2011. This increase was primarily due to increases in employee compensation and related expenses of $2.0 million primarily due to increased headcount as well as increases in benefit expenses between years such as medical costs and education benefits. Our general and administrative expenses as a percentage of net revenue decreased by 0.3% to 6.4% for the nine months ended September 30, 2012, from 6.7% for the nine months ended September 30, 2011.</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Lease termination fee</w:t>
      </w:r>
      <w:r>
        <w:rPr>
          <w:rFonts w:ascii="Arial" w:cs="Arial" w:eastAsia="Arial" w:hAnsi="Arial"/>
          <w:sz w:val="16"/>
          <w:szCs w:val="16"/>
          <w:color w:val="auto"/>
        </w:rPr>
        <w:t>. In July 2011, the University notified a current landlord of its intent to vacate leased space by the fourth quarter of 2011.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University was required to pay a termination fee to terminate the lease resulting in $0.9 million of expense in the three months ended September 30, 2011. The termination fee was paid on our behalf by our new landlord. This payment was recorded as an expense in the third quarter of 2011 with the offset being to a deferred liability. The deferred rent liability will be amortized into income over the new lease term.</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nine months ended September 30, 2012 was $31.9 million, an increase of $8.5 million, or 36.3%,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income tax expense of $23.4 million for the nine months ended September 30, 2011. Our effective tax rate was 39.6% during the nine months ended September 30, 2012 compared to 39.9% during the nine months ended September 30, 2011. The effective tax rate in both years was reduced by certain non-recurring tax items, which had the effect of decreasing our effective tax rate in the nine months ended September 30, 2012 and 2011.</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nine months ended September 30, 2012 was $48.5 million, an increase of $13.3 million, or 37.8% as compared to $35.2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2011, due to the factors discussed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this summer effect has recently lessened. However, it is our intent to increase the number of ground traditional students significantly during the next few years. To accomplish this we doubled the number of ground traditional campus enrollment staff during 2011 and significantly increased the number of ground traditional support staff in the Spring and Summer of 2012. Thus, we expect this summer effect was even more pronounced in 2012 and we expect this to continue thereafter.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nine months ended September 30, 2012 and 2011 primarily through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operating activities. Our unrestricted cash and cash equivalents were $69.6 million and $21.2 million at September 30, 2012 and December 31, 2011, respectively. Our restricted cash and cash equivalents at September 30, 2012 and December 31, 2011 were $57.4 million and $56.7 million, respectively.</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are borrowed on the $50.0 million revolving line of credit as of September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July 28, 2011, our Board of Directors authorized the University to repurchase up to an additional $25 million ($50 million total) of common stock, from time to time, depending on market conditions and other considerations. On July 26, 2012, the Board of Directors extended the expiration date on the repurchase authorization to September 30, 2013. Repurchases occur at the University’s discretion. The 2011 repurchase authorization is an expansion of, and does not replace, the 2010 repurchase authorization.</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62"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Since the approval of the initial share repurchase plan, the University has purchased 1,954,525 shares of common shock shares at an aggregate cost of $28.8 million which includes 297,225 shares of common stock at an aggregate cost of $4.9 million during the nine months ended September 30, 2012. At September 30, 2012, there remained $21.2 million available under our current share repurchase authorization.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nine months ended September 30, 2012 was $124.1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$65.3 million for the nine months ended September 30, 2011. Cash provided by operating activities in the nine months ended September 30, 2012 and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from our net income plus non-cash charges for bad debts, depreciation and amortization, share-based compensation and improvement in our working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management.</w:t>
      </w:r>
    </w:p>
    <w:p>
      <w:pPr>
        <w:spacing w:after="0" w:line="165"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i w:val="1"/>
          <w:iCs w:val="1"/>
          <w:color w:val="auto"/>
        </w:rPr>
        <w:t>Investing Activities</w:t>
      </w:r>
      <w:r>
        <w:rPr>
          <w:rFonts w:ascii="Arial" w:cs="Arial" w:eastAsia="Arial" w:hAnsi="Arial"/>
          <w:sz w:val="15"/>
          <w:szCs w:val="15"/>
          <w:color w:val="auto"/>
        </w:rPr>
        <w:t>. Net cash used in investing activities was $74.3 million and $56.1 million for the nine months ended September 30, 2012 and 2011,</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Capital expenditures were $73.6 million and $61.5 million for the nine months ended September 30, 2012 and 2011, respectively. In 2012, capital expenditures primarily consisted of the construction costs associated with two additional dormitories, an Arts and Science classroom building and a parking garage to support our increasing traditional student enrollment as well as purchases of computer equipment, other internal use software projects and furniture and equipment. In 2011, capital expenditures primarily consisted of ground campus building projects such as a new dormitory and an events arena to support our increasing traditional ground student enrollment as well as purchases of computer equipment, other internal use software projects and furniture and equipment.</w:t>
      </w:r>
    </w:p>
    <w:p>
      <w:pPr>
        <w:spacing w:after="0" w:line="10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$2.0 million for the nine months ended September 30, 2012 as compared to cash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activities of $23.8 million in the nine months ended September 30, 2011. During the first nine months of 2012, $4.9 million was used to purchase treasury stock in accordance with the University’s share repurchase program and principal payments on notes payable and capital lease obligations totaled $1.8 million, partially offset by $4.3 million of proceeds from the exercise of stock options. During the first nine months of 2011, $22.4 million was used to purchase treasury stock in accordance with the University’s share repurchase program and principal payments on notes payable and capital leases totaled $2.9 million, partially offset by $1.5 million of proceeds from the exercise of stock options.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as of September 30, 2012, the aggregate amounts of our significant contractual obligations and commitments with definitive payment terms due in each of the periods presented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w w:val="92"/>
              </w:rPr>
              <w:t>Less than</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rPr>
              <w:t>More than</w:t>
            </w:r>
          </w:p>
        </w:tc>
        <w:tc>
          <w:tcPr>
            <w:tcW w:w="10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400" w:type="dxa"/>
            <w:vAlign w:val="bottom"/>
          </w:tcPr>
          <w:p>
            <w:pPr>
              <w:spacing w:after="0"/>
              <w:rPr>
                <w:sz w:val="15"/>
                <w:szCs w:val="15"/>
                <w:color w:val="auto"/>
              </w:rPr>
            </w:pPr>
          </w:p>
        </w:tc>
        <w:tc>
          <w:tcPr>
            <w:tcW w:w="54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88"/>
              </w:rPr>
              <w:t xml:space="preserve">1 Year </w:t>
            </w:r>
            <w:r>
              <w:rPr>
                <w:rFonts w:ascii="Arial" w:cs="Arial" w:eastAsia="Arial" w:hAnsi="Arial"/>
                <w:sz w:val="20"/>
                <w:szCs w:val="20"/>
                <w:color w:val="auto"/>
                <w:w w:val="88"/>
                <w:vertAlign w:val="superscript"/>
              </w:rPr>
              <w:t>(1)</w:t>
            </w:r>
          </w:p>
        </w:tc>
        <w:tc>
          <w:tcPr>
            <w:tcW w:w="40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2-3 Years</w:t>
            </w:r>
          </w:p>
        </w:tc>
        <w:tc>
          <w:tcPr>
            <w:tcW w:w="4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4-5 Years</w:t>
            </w: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 term notes payable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121.7</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October 1, 2012 through December 31,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September 30, 2012.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nine months ended September 30, 2012 or</w:t>
      </w:r>
      <w:r>
        <w:rPr>
          <w:rFonts w:ascii="Arial" w:cs="Arial" w:eastAsia="Arial" w:hAnsi="Arial"/>
          <w:sz w:val="16"/>
          <w:szCs w:val="16"/>
          <w:i w:val="1"/>
          <w:iCs w:val="1"/>
          <w:color w:val="auto"/>
        </w:rPr>
        <w:t xml:space="preserve"> </w:t>
      </w:r>
      <w:r>
        <w:rPr>
          <w:rFonts w:ascii="Arial" w:cs="Arial" w:eastAsia="Arial" w:hAnsi="Arial"/>
          <w:sz w:val="16"/>
          <w:szCs w:val="16"/>
          <w:color w:val="auto"/>
        </w:rPr>
        <w:t>2011. There can be no assurance that future inflation will not have an adverse impact on our operating results and financial condition.</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 Day LIBOR interest exposure from the variable rate debt we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in connection with the repurchase of shares of our common stock and the land and buildings that comprise our ground campus, which debt matures in March 2016. The corridor instrument, which hedges variable interest rate risk starting July 1, 2009 through April 30, 2014 with a notional amount of $10.0 million as of September 30, 2012,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interest rate swap commenced on May 1, 2010, continues each month thereafter until April 30, 2014, and has a notional amount of $10.0 million as of September 30, 2012. Under this arrangement, we will receive 30 Day LIBOR and pay 3.245% fixed rate on the amortizing notional amount plus the credit spread.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 securities bearing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September 30, 2012, a 10% increase or decrease in interest rates would not have a material impact on our future earnings, fair values, or cash flows. For information regarding our variable rate debt, see “Market risk” above.</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September 30, 2012,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Based on an evaluation, under the supervision and with the participation of our management, including our Chief Executive Officer and Chief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year ended December 31, 2011, which could materially affect our business, financial condition or future results. There have been no material changes in our risk factors from the disclosure included in our Annual Report on Form 10-K. The risks described in our Annual Report on Form 10-K are not the only risks facing the University. Additional risks and uncertainties not currently known to us or that we currently deem to be immaterial also may materially adversely affect our business, financial condition and/or operating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July 28, 2011, our Board of Directors authorized the University to repurchase up to an additional $25 million ($50 million total) of common stock, from time to time, depending on market conditions and other considerations. On July 26, 2012, the Board of Directors extended the expiration date on the repurchase authorization to September 30, 2013.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quarter ended September 30, 2012, we repurchased 177,200 shares of our common stock at an aggregate cost of $2.9 million. At September 30, 2012, there remains $21.2 million available under our current share repurchase authorization.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third quarter of fiscal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Total Number of</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Value 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Average</w:t>
            </w:r>
          </w:p>
        </w:tc>
        <w:tc>
          <w:tcPr>
            <w:tcW w:w="18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100" w:type="dxa"/>
            <w:vAlign w:val="bottom"/>
            <w:vMerge w:val="restart"/>
          </w:tcPr>
          <w:p>
            <w:pPr>
              <w:spacing w:after="0"/>
              <w:rPr>
                <w:sz w:val="12"/>
                <w:szCs w:val="12"/>
                <w:color w:val="auto"/>
              </w:rPr>
            </w:pPr>
          </w:p>
        </w:tc>
        <w:tc>
          <w:tcPr>
            <w:tcW w:w="4240" w:type="dxa"/>
            <w:vAlign w:val="bottom"/>
          </w:tcPr>
          <w:p>
            <w:pPr>
              <w:spacing w:after="0"/>
              <w:rPr>
                <w:sz w:val="12"/>
                <w:szCs w:val="12"/>
                <w:color w:val="auto"/>
              </w:rPr>
            </w:pPr>
          </w:p>
        </w:tc>
        <w:tc>
          <w:tcPr>
            <w:tcW w:w="16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2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5"/>
              </w:rPr>
              <w:t>Price Paid</w:t>
            </w:r>
          </w:p>
        </w:tc>
        <w:tc>
          <w:tcPr>
            <w:tcW w:w="18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240" w:type="dxa"/>
            <w:vAlign w:val="bottom"/>
          </w:tcPr>
          <w:p>
            <w:pPr>
              <w:spacing w:after="0"/>
              <w:rPr>
                <w:sz w:val="14"/>
                <w:szCs w:val="14"/>
                <w:color w:val="auto"/>
              </w:rPr>
            </w:pPr>
          </w:p>
        </w:tc>
        <w:tc>
          <w:tcPr>
            <w:tcW w:w="16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3"/>
              </w:rPr>
              <w:t>Shares Purchased</w:t>
            </w:r>
          </w:p>
        </w:tc>
        <w:tc>
          <w:tcPr>
            <w:tcW w:w="122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8"/>
              </w:rPr>
              <w:t>Per Share</w:t>
            </w:r>
          </w:p>
        </w:tc>
        <w:tc>
          <w:tcPr>
            <w:tcW w:w="180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Program</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the Program</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7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July 1, 2012 – July 31, 2012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77,200</w:t>
            </w: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17.03</w:t>
            </w:r>
          </w:p>
        </w:tc>
        <w:tc>
          <w:tcPr>
            <w:tcW w:w="6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77,200</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22,813,000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August 1, 2012 – August 31, 2012</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600" w:type="dxa"/>
            <w:vAlign w:val="bottom"/>
          </w:tcPr>
          <w:p>
            <w:pPr>
              <w:jc w:val="right"/>
              <w:spacing w:after="0"/>
              <w:rPr>
                <w:sz w:val="20"/>
                <w:szCs w:val="20"/>
                <w:color w:val="auto"/>
              </w:rPr>
            </w:pPr>
            <w:r>
              <w:rPr>
                <w:rFonts w:ascii="Arial" w:cs="Arial" w:eastAsia="Arial" w:hAnsi="Arial"/>
                <w:sz w:val="18"/>
                <w:szCs w:val="18"/>
                <w:color w:val="auto"/>
              </w:rPr>
              <w:t>16.32</w:t>
            </w: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21,181,000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2012 – September 30, 2012</w:t>
            </w:r>
          </w:p>
        </w:tc>
        <w:tc>
          <w:tcPr>
            <w:tcW w:w="16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21,181,000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24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177,200</w:t>
            </w:r>
          </w:p>
        </w:tc>
        <w:tc>
          <w:tcPr>
            <w:tcW w:w="600" w:type="dxa"/>
            <w:vAlign w:val="bottom"/>
          </w:tcPr>
          <w:p>
            <w:pPr>
              <w:jc w:val="right"/>
              <w:spacing w:after="0"/>
              <w:rPr>
                <w:sz w:val="20"/>
                <w:szCs w:val="20"/>
                <w:color w:val="auto"/>
              </w:rPr>
            </w:pPr>
            <w:r>
              <w:rPr>
                <w:rFonts w:ascii="Arial" w:cs="Arial" w:eastAsia="Arial" w:hAnsi="Arial"/>
                <w:sz w:val="18"/>
                <w:szCs w:val="18"/>
                <w:color w:val="auto"/>
              </w:rPr>
              <w:t>16.57</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177,200</w:t>
            </w: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21,181,000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240" w:type="dxa"/>
            <w:vAlign w:val="bottom"/>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240" w:type="dxa"/>
            <w:vAlign w:val="bottom"/>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 policy governing transactions in our securities by directors, officers, employees and others which permits these individuals to enter into trading plans complying with Rule 10b5-1 under the Securities Exchange Act of 1934, as amended. We have been advised that Brian Mueller, our President, Chief Executive Officer and Director; Dr. W. Stan Meyer, our Chief Operating Officer; and Dan Bachus, our Chief Financial Officer and Principal Accounting Officer, each entered into trading plans on September 13, 2012, each of which was in accordance with Rule 10b5-1 and our policy governing transactions in our securities. A 10b5-1 trading plan previously entered into by Brent Richardson, our Executive Chairman, terminated in accordance with its terms on September 7, 2012.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the University.</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08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6000" w:type="dxa"/>
            <w:vAlign w:val="bottom"/>
            <w:gridSpan w:val="2"/>
          </w:tcPr>
          <w:p>
            <w:pPr>
              <w:ind w:left="460"/>
              <w:spacing w:after="0"/>
              <w:rPr>
                <w:sz w:val="20"/>
                <w:szCs w:val="20"/>
                <w:color w:val="auto"/>
              </w:rPr>
            </w:pPr>
            <w:r>
              <w:rPr>
                <w:rFonts w:ascii="Arial" w:cs="Arial" w:eastAsia="Arial" w:hAnsi="Arial"/>
                <w:sz w:val="18"/>
                <w:szCs w:val="18"/>
                <w:color w:val="auto"/>
              </w:rPr>
              <w:t>(a) Exhibits</w:t>
            </w:r>
          </w:p>
        </w:tc>
      </w:tr>
      <w:tr>
        <w:trPr>
          <w:trHeight w:val="367"/>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508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5080" w:type="dxa"/>
            <w:vAlign w:val="bottom"/>
          </w:tcPr>
          <w:p>
            <w:pPr>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5080" w:type="dxa"/>
            <w:vAlign w:val="bottom"/>
          </w:tcPr>
          <w:p>
            <w:pPr>
              <w:spacing w:after="0"/>
              <w:rPr>
                <w:sz w:val="20"/>
                <w:szCs w:val="20"/>
                <w:color w:val="auto"/>
              </w:rPr>
            </w:pPr>
            <w:r>
              <w:rPr>
                <w:rFonts w:ascii="Arial" w:cs="Arial" w:eastAsia="Arial" w:hAnsi="Arial"/>
                <w:sz w:val="18"/>
                <w:szCs w:val="18"/>
                <w:color w:val="auto"/>
              </w:rPr>
              <w:t>Specimen of Stock Certificate.</w:t>
            </w:r>
          </w:p>
        </w:tc>
      </w:tr>
      <w:tr>
        <w:trPr>
          <w:trHeight w:val="750"/>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5080" w:type="dxa"/>
            <w:vAlign w:val="bottom"/>
          </w:tcPr>
          <w:p>
            <w:pPr>
              <w:spacing w:after="0"/>
              <w:rPr>
                <w:sz w:val="20"/>
                <w:szCs w:val="20"/>
                <w:color w:val="auto"/>
              </w:rPr>
            </w:pPr>
            <w:r>
              <w:rPr>
                <w:rFonts w:ascii="Arial" w:cs="Arial" w:eastAsia="Arial" w:hAnsi="Arial"/>
                <w:sz w:val="18"/>
                <w:szCs w:val="18"/>
                <w:color w:val="auto"/>
                <w:w w:val="91"/>
              </w:rPr>
              <w:t>Amended and Restated Investor Rights Agreement, dated September</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1"/>
              </w:rPr>
              <w:t>17, 2008, by and among Grand Canyon Education, Inc. and the other</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parties named therein.</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508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July 30, 2012,</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by and between Grand Canyon Education, Inc. and Brian E. Mueller†.</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508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July 30, 2012,</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2"/>
              </w:rPr>
              <w:t>by and between Grand Canyon Education, Inc. and W. Stan Meyer†.</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508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July 30, 2012,</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9"/>
              </w:rPr>
              <w:t>by and between Grand Canyon Education, Inc. and Daniel E. Bachus†.</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508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July 30, 2012,</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by and between Grand Canyon Education, Inc. and Joseph N.</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Mildenhall†.</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508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July 30, 2012,</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by and between Grand Canyon Education, Inc. and Dr. Kathy Player†.</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508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Rules 13a-14(a)</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5080" w:type="dxa"/>
            <w:vAlign w:val="bottom"/>
          </w:tcPr>
          <w:p>
            <w:pPr>
              <w:spacing w:after="0"/>
              <w:rPr>
                <w:sz w:val="20"/>
                <w:szCs w:val="20"/>
                <w:color w:val="auto"/>
              </w:rPr>
            </w:pPr>
            <w:r>
              <w:rPr>
                <w:rFonts w:ascii="Arial" w:cs="Arial" w:eastAsia="Arial" w:hAnsi="Arial"/>
                <w:sz w:val="18"/>
                <w:szCs w:val="18"/>
                <w:color w:val="auto"/>
                <w:w w:val="90"/>
              </w:rPr>
              <w:t>Certification of Chief Financial Officer pursuant to Rules 13a-14(a) and</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15d-14(a), as adopted pursuant to Section 302 of the Sarbanes-Oxley</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508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18 U.S.C. Section</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8"/>
              </w:rPr>
              <w:t>1350, as adopted pursuant to Section 906 of the Sarbanes-Oxley Act of</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2002. ††</w:t>
            </w:r>
          </w:p>
        </w:tc>
      </w:tr>
      <w:tr>
        <w:trPr>
          <w:trHeight w:val="365"/>
        </w:trPr>
        <w:tc>
          <w:tcPr>
            <w:tcW w:w="920" w:type="dxa"/>
            <w:vAlign w:val="bottom"/>
          </w:tcPr>
          <w:p>
            <w:pPr>
              <w:spacing w:after="0"/>
              <w:rPr>
                <w:sz w:val="24"/>
                <w:szCs w:val="24"/>
                <w:color w:val="auto"/>
              </w:rPr>
            </w:pPr>
          </w:p>
        </w:tc>
        <w:tc>
          <w:tcPr>
            <w:tcW w:w="5080" w:type="dxa"/>
            <w:vAlign w:val="bottom"/>
          </w:tcPr>
          <w:p>
            <w:pPr>
              <w:ind w:left="4700"/>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224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8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August 6, 2012.</w:t>
      </w:r>
    </w:p>
    <w:p>
      <w:pPr>
        <w:spacing w:after="0" w:line="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Incorporated by reference to Exhibit 10.2 to the University’s Quarterly Report on Form 10-Q filed with the SEC on August 6, 2012.</w:t>
      </w:r>
    </w:p>
    <w:p>
      <w:pPr>
        <w:spacing w:after="0" w:line="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Incorporated by reference to Exhibit 10.3 to the University’s Quarterly Report on Form 10-Q filed with the SEC on August 6, 2012.</w:t>
      </w:r>
    </w:p>
    <w:p>
      <w:pPr>
        <w:spacing w:after="0" w:line="24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Incorporated by reference to Exhibit 10.4 to the University’s Quarterly Report on Form 10-Q filed with the SEC on August 6, 2012.</w:t>
      </w:r>
    </w:p>
    <w:p>
      <w:pPr>
        <w:spacing w:after="0" w:line="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Incorporated by reference to Exhibit 10.5 to the University’s Quarterly Report on Form 10-Q filed with the SEC on August 6, 2012.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6000" w:space="340"/>
            <w:col w:w="500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700" w:val="left"/>
          <w:tab w:leader="none" w:pos="6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w:t>
      </w:r>
      <w:r>
        <w:rPr>
          <w:sz w:val="20"/>
          <w:szCs w:val="20"/>
          <w:color w:val="auto"/>
        </w:rPr>
        <w:tab/>
      </w:r>
      <w:r>
        <w:rPr>
          <w:rFonts w:ascii="Arial" w:cs="Arial" w:eastAsia="Arial" w:hAnsi="Arial"/>
          <w:sz w:val="15"/>
          <w:szCs w:val="15"/>
          <w:color w:val="auto"/>
        </w:rPr>
        <w:t>Furnished herewith.</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1350, as adopted pursuant to Section 906 of the Sarbanes-Oxley Act of</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2002. ††</w:t>
      </w:r>
    </w:p>
    <w:p>
      <w:pPr>
        <w:spacing w:after="0" w:line="20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5" w:lineRule="exact"/>
        <w:rPr>
          <w:sz w:val="20"/>
          <w:szCs w:val="20"/>
          <w:color w:val="auto"/>
        </w:rPr>
      </w:pPr>
    </w:p>
    <w:p>
      <w:pPr>
        <w:ind w:left="46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7740" w:type="dxa"/>
            <w:vAlign w:val="bottom"/>
            <w:gridSpan w:val="2"/>
          </w:tcPr>
          <w:p>
            <w:pPr>
              <w:ind w:left="2240"/>
              <w:spacing w:after="0"/>
              <w:rPr>
                <w:sz w:val="20"/>
                <w:szCs w:val="20"/>
                <w:color w:val="auto"/>
              </w:rPr>
            </w:pPr>
            <w:r>
              <w:rPr>
                <w:rFonts w:ascii="Arial" w:cs="Arial" w:eastAsia="Arial" w:hAnsi="Arial"/>
                <w:sz w:val="18"/>
                <w:szCs w:val="18"/>
                <w:b w:val="1"/>
                <w:bCs w:val="1"/>
                <w:color w:val="auto"/>
              </w:rPr>
              <w:t>GRAND CANYON EDUCATION, INC.</w:t>
            </w:r>
          </w:p>
        </w:tc>
      </w:tr>
      <w:tr>
        <w:trPr>
          <w:trHeight w:val="433"/>
        </w:trPr>
        <w:tc>
          <w:tcPr>
            <w:tcW w:w="3680" w:type="dxa"/>
            <w:vAlign w:val="bottom"/>
          </w:tcPr>
          <w:p>
            <w:pPr>
              <w:spacing w:after="0"/>
              <w:rPr>
                <w:sz w:val="20"/>
                <w:szCs w:val="20"/>
                <w:color w:val="auto"/>
              </w:rPr>
            </w:pPr>
            <w:r>
              <w:rPr>
                <w:rFonts w:ascii="Arial" w:cs="Arial" w:eastAsia="Arial" w:hAnsi="Arial"/>
                <w:sz w:val="18"/>
                <w:szCs w:val="18"/>
                <w:color w:val="auto"/>
              </w:rPr>
              <w:t>Date: November 1, 2012</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Daniel E. Bachus</w:t>
            </w:r>
          </w:p>
        </w:tc>
      </w:tr>
      <w:tr>
        <w:trPr>
          <w:trHeight w:val="202"/>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Daniel E. Bachus</w:t>
            </w: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36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365"/>
        </w:trPr>
        <w:tc>
          <w:tcPr>
            <w:tcW w:w="3680" w:type="dxa"/>
            <w:vAlign w:val="bottom"/>
          </w:tcPr>
          <w:p>
            <w:pPr>
              <w:spacing w:after="0"/>
              <w:rPr>
                <w:sz w:val="24"/>
                <w:szCs w:val="24"/>
                <w:color w:val="auto"/>
              </w:rPr>
            </w:pPr>
          </w:p>
        </w:tc>
        <w:tc>
          <w:tcPr>
            <w:tcW w:w="2500" w:type="dxa"/>
            <w:vAlign w:val="bottom"/>
          </w:tcPr>
          <w:p>
            <w:pPr>
              <w:jc w:val="right"/>
              <w:ind w:right="292"/>
              <w:spacing w:after="0"/>
              <w:rPr>
                <w:sz w:val="20"/>
                <w:szCs w:val="20"/>
                <w:color w:val="auto"/>
              </w:rPr>
            </w:pPr>
            <w:r>
              <w:rPr>
                <w:rFonts w:ascii="Arial" w:cs="Arial" w:eastAsia="Arial" w:hAnsi="Arial"/>
                <w:sz w:val="18"/>
                <w:szCs w:val="18"/>
                <w:color w:val="auto"/>
              </w:rPr>
              <w:t>31</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90"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2012 of Grand Canyon Education, Inc.;</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1, 2012</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90"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2012 of Grand Canyon Education, Inc.;</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1, 2012</w:t>
      </w:r>
      <w:r>
        <w:rPr>
          <w:sz w:val="20"/>
          <w:szCs w:val="20"/>
          <w:color w:val="auto"/>
        </w:rPr>
        <w:tab/>
      </w:r>
      <w:r>
        <w:rPr>
          <w:rFonts w:ascii="Arial" w:cs="Arial" w:eastAsia="Arial" w:hAnsi="Arial"/>
          <w:sz w:val="15"/>
          <w:szCs w:val="15"/>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E. Bachus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September 30, 2012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2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September 30, 2012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2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077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6"/>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2019-12-09T20:09:29Z</dcterms:created>
  <dcterms:modified xsi:type="dcterms:W3CDTF">2019-12-09T20:09:29Z</dcterms:modified>
</cp:coreProperties>
</file>