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6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ind w:left="4780"/>
        <w:spacing w:after="0"/>
        <w:rPr>
          <w:sz w:val="20"/>
          <w:szCs w:val="20"/>
          <w:color w:val="auto"/>
        </w:rPr>
      </w:pPr>
      <w:r>
        <w:rPr>
          <w:rFonts w:ascii="Arial" w:cs="Arial" w:eastAsia="Arial" w:hAnsi="Arial"/>
          <w:sz w:val="25"/>
          <w:szCs w:val="25"/>
          <w:b w:val="1"/>
          <w:bCs w:val="1"/>
          <w:color w:val="auto"/>
        </w:rPr>
        <w:t>SCHEDULE 14A</w:t>
      </w:r>
    </w:p>
    <w:p>
      <w:pPr>
        <w:spacing w:after="0" w:line="315" w:lineRule="exact"/>
        <w:rPr>
          <w:sz w:val="24"/>
          <w:szCs w:val="24"/>
          <w:color w:val="auto"/>
        </w:rPr>
      </w:pPr>
    </w:p>
    <w:p>
      <w:pPr>
        <w:ind w:left="1980"/>
        <w:spacing w:after="0"/>
        <w:tabs>
          <w:tab w:leader="none" w:pos="9380" w:val="left"/>
        </w:tabs>
        <w:rPr>
          <w:sz w:val="20"/>
          <w:szCs w:val="20"/>
          <w:color w:val="auto"/>
        </w:rPr>
      </w:pPr>
      <w:r>
        <w:rPr>
          <w:rFonts w:ascii="Arial" w:cs="Arial" w:eastAsia="Arial" w:hAnsi="Arial"/>
          <w:sz w:val="16"/>
          <w:szCs w:val="16"/>
          <w:color w:val="auto"/>
        </w:rPr>
        <w:t>Proxy Statement Pursuant to Section 14(a) of the Securities Exchange Act of 1934 (Amendment No.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5852160</wp:posOffset>
            </wp:positionH>
            <wp:positionV relativeFrom="paragraph">
              <wp:posOffset>-10160</wp:posOffset>
            </wp:positionV>
            <wp:extent cx="114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160" w:hanging="26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1160" w:hanging="26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9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160" w:hanging="26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160" w:hanging="26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8" w:lineRule="exact"/>
        <w:rPr>
          <w:sz w:val="24"/>
          <w:szCs w:val="24"/>
          <w:color w:val="auto"/>
        </w:rPr>
      </w:pPr>
    </w:p>
    <w:p>
      <w:pPr>
        <w:ind w:left="3820"/>
        <w:spacing w:after="0"/>
        <w:rPr>
          <w:sz w:val="20"/>
          <w:szCs w:val="20"/>
          <w:color w:val="auto"/>
        </w:rPr>
      </w:pPr>
      <w:r>
        <w:rPr>
          <w:rFonts w:ascii="Arial" w:cs="Arial" w:eastAsia="Arial" w:hAnsi="Arial"/>
          <w:sz w:val="29"/>
          <w:szCs w:val="29"/>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160020</wp:posOffset>
            </wp:positionV>
            <wp:extent cx="61575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45"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152400</wp:posOffset>
            </wp:positionV>
            <wp:extent cx="61575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32"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280" w:right="1260" w:hanging="340"/>
        <w:spacing w:after="0" w:line="277" w:lineRule="auto"/>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25" w:lineRule="exact"/>
        <w:rPr>
          <w:rFonts w:ascii="MS PGothic" w:cs="MS PGothic" w:eastAsia="MS PGothic" w:hAnsi="MS PGothic"/>
          <w:sz w:val="18"/>
          <w:szCs w:val="18"/>
          <w:color w:val="auto"/>
        </w:rPr>
      </w:pPr>
    </w:p>
    <w:p>
      <w:pPr>
        <w:ind w:left="260" w:hanging="252"/>
        <w:spacing w:after="0" w:line="264" w:lineRule="auto"/>
        <w:tabs>
          <w:tab w:leader="none" w:pos="2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-2728595</wp:posOffset>
            </wp:positionV>
            <wp:extent cx="5746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-2437130</wp:posOffset>
            </wp:positionV>
            <wp:extent cx="57461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-2008505</wp:posOffset>
            </wp:positionV>
            <wp:extent cx="5737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7225" cy="1714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-1717040</wp:posOffset>
            </wp:positionV>
            <wp:extent cx="5720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0080" cy="1714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-1424940</wp:posOffset>
            </wp:positionV>
            <wp:extent cx="5720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20080"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-721995</wp:posOffset>
            </wp:positionV>
            <wp:extent cx="574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-430530</wp:posOffset>
            </wp:positionV>
            <wp:extent cx="574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-139065</wp:posOffset>
            </wp:positionV>
            <wp:extent cx="574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152400</wp:posOffset>
            </wp:positionV>
            <wp:extent cx="574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461010</wp:posOffset>
            </wp:positionV>
            <wp:extent cx="610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06160" cy="17145"/>
                    </a:xfrm>
                    <a:prstGeom prst="rect">
                      <a:avLst/>
                    </a:prstGeom>
                    <a:noFill/>
                  </pic:spPr>
                </pic:pic>
              </a:graphicData>
            </a:graphic>
          </wp:anchor>
        </w:drawing>
      </w:r>
    </w:p>
    <w:p>
      <w:pPr>
        <w:sectPr>
          <w:pgSz w:w="11900" w:h="16838" w:orient="portrait"/>
          <w:cols w:equalWidth="0" w:num="1">
            <w:col w:w="10780"/>
          </w:cols>
          <w:pgMar w:left="240" w:top="230" w:right="8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4793615" cy="926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9361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28, 2017</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right="320" w:firstLine="571"/>
        <w:spacing w:after="0" w:line="264" w:lineRule="auto"/>
        <w:rPr>
          <w:sz w:val="20"/>
          <w:szCs w:val="20"/>
          <w:color w:val="auto"/>
        </w:rPr>
      </w:pPr>
      <w:r>
        <w:rPr>
          <w:rFonts w:ascii="Arial" w:cs="Arial" w:eastAsia="Arial" w:hAnsi="Arial"/>
          <w:sz w:val="18"/>
          <w:szCs w:val="18"/>
          <w:color w:val="auto"/>
        </w:rPr>
        <w:t>You are cordially invited to attend the 2017 Annual Meeting of Stockholders (the “Annual Meeting”) of Grand Canyon Education, Inc. (the “Company”) to be held at Grand Canyon University Antelope Reception Center on the campus of Grand Canyon University at 3300 W. Camelback Road, Phoenix, Arizona 85017, commencing at 10:00 a.m., local time, on Wednesday, June 14, 2017.</w:t>
      </w:r>
    </w:p>
    <w:p>
      <w:pPr>
        <w:spacing w:after="0" w:line="181"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April 20, 2017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7"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Mountain Standard Time, prior to the meeting.</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proxy statement is dated April 28, 2017, and is first being sent or made available to stockholders on or about May 2, 2017.</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340" w:type="dxa"/>
            <w:vAlign w:val="bottom"/>
            <w:gridSpan w:val="2"/>
          </w:tcPr>
          <w:p>
            <w:pPr>
              <w:jc w:val="center"/>
              <w:ind w:right="2380"/>
              <w:spacing w:after="0"/>
              <w:rPr>
                <w:sz w:val="20"/>
                <w:szCs w:val="20"/>
                <w:color w:val="auto"/>
              </w:rPr>
            </w:pPr>
            <w:r>
              <w:rPr>
                <w:rFonts w:ascii="Arial" w:cs="Arial" w:eastAsia="Arial" w:hAnsi="Arial"/>
                <w:sz w:val="18"/>
                <w:szCs w:val="18"/>
                <w:b w:val="1"/>
                <w:bCs w:val="1"/>
                <w:color w:val="auto"/>
                <w:w w:val="89"/>
              </w:rPr>
              <w:t>Notice of Annual Meeting of Stockholders</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340" w:type="dxa"/>
            <w:vAlign w:val="bottom"/>
            <w:gridSpan w:val="2"/>
          </w:tcPr>
          <w:p>
            <w:pPr>
              <w:jc w:val="center"/>
              <w:ind w:right="2380"/>
              <w:spacing w:after="0"/>
              <w:rPr>
                <w:sz w:val="20"/>
                <w:szCs w:val="20"/>
                <w:color w:val="auto"/>
              </w:rPr>
            </w:pPr>
            <w:r>
              <w:rPr>
                <w:rFonts w:ascii="Arial" w:cs="Arial" w:eastAsia="Arial" w:hAnsi="Arial"/>
                <w:sz w:val="18"/>
                <w:szCs w:val="18"/>
                <w:b w:val="1"/>
                <w:bCs w:val="1"/>
                <w:color w:val="auto"/>
                <w:w w:val="88"/>
              </w:rPr>
              <w:t>to be held on June 14, 2017</w:t>
            </w:r>
          </w:p>
        </w:tc>
        <w:tc>
          <w:tcPr>
            <w:tcW w:w="0" w:type="dxa"/>
            <w:vAlign w:val="bottom"/>
          </w:tcPr>
          <w:p>
            <w:pPr>
              <w:spacing w:after="0"/>
              <w:rPr>
                <w:sz w:val="1"/>
                <w:szCs w:val="1"/>
                <w:color w:val="auto"/>
              </w:rPr>
            </w:pPr>
          </w:p>
        </w:tc>
      </w:tr>
      <w:tr>
        <w:trPr>
          <w:trHeight w:val="54"/>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Date and Time:</w:t>
            </w:r>
          </w:p>
        </w:tc>
        <w:tc>
          <w:tcPr>
            <w:tcW w:w="2040" w:type="dxa"/>
            <w:vAlign w:val="bottom"/>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8"/>
        </w:trPr>
        <w:tc>
          <w:tcPr>
            <w:tcW w:w="1920" w:type="dxa"/>
            <w:vAlign w:val="bottom"/>
            <w:vMerge w:val="continue"/>
          </w:tcPr>
          <w:p>
            <w:pPr>
              <w:spacing w:after="0"/>
              <w:rPr>
                <w:sz w:val="24"/>
                <w:szCs w:val="24"/>
                <w:color w:val="auto"/>
              </w:rPr>
            </w:pP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rPr>
              <w:t>Wednesday, June 14, 2017, at 10:00 a.m., Arizona time</w:t>
            </w:r>
          </w:p>
        </w:tc>
        <w:tc>
          <w:tcPr>
            <w:tcW w:w="0" w:type="dxa"/>
            <w:vAlign w:val="bottom"/>
          </w:tcPr>
          <w:p>
            <w:pPr>
              <w:spacing w:after="0"/>
              <w:rPr>
                <w:sz w:val="1"/>
                <w:szCs w:val="1"/>
                <w:color w:val="auto"/>
              </w:rPr>
            </w:pPr>
          </w:p>
        </w:tc>
      </w:tr>
      <w:tr>
        <w:trPr>
          <w:trHeight w:val="337"/>
        </w:trPr>
        <w:tc>
          <w:tcPr>
            <w:tcW w:w="19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w w:val="91"/>
              </w:rPr>
              <w:t>Grand Canyon University Antelope Reception Center on the campus of Grand Canyon University at 3300 W.</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rPr>
              <w:t>Camelback Road, Phoenix, Arizona 85017.</w:t>
            </w:r>
          </w:p>
        </w:tc>
        <w:tc>
          <w:tcPr>
            <w:tcW w:w="0" w:type="dxa"/>
            <w:vAlign w:val="bottom"/>
          </w:tcPr>
          <w:p>
            <w:pPr>
              <w:spacing w:after="0"/>
              <w:rPr>
                <w:sz w:val="1"/>
                <w:szCs w:val="1"/>
                <w:color w:val="auto"/>
              </w:rPr>
            </w:pPr>
          </w:p>
        </w:tc>
      </w:tr>
      <w:tr>
        <w:trPr>
          <w:trHeight w:val="337"/>
        </w:trPr>
        <w:tc>
          <w:tcPr>
            <w:tcW w:w="19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w w:val="93"/>
              </w:rPr>
              <w:t>At the Annual Meeting, holders of our common stock will be asked to consider and vote upon the following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rPr>
              <w:t>proposals, all of which are discussed in greater detail in the accompanying proxy statement: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100" w:right="1000" w:hanging="359"/>
        <w:spacing w:after="0" w:line="256" w:lineRule="auto"/>
        <w:tabs>
          <w:tab w:leader="none" w:pos="3080" w:val="left"/>
        </w:tabs>
        <w:rPr>
          <w:sz w:val="20"/>
          <w:szCs w:val="20"/>
          <w:color w:val="auto"/>
        </w:rPr>
      </w:pPr>
      <w:r>
        <w:rPr>
          <w:rFonts w:ascii="Arial" w:cs="Arial" w:eastAsia="Arial" w:hAnsi="Arial"/>
          <w:sz w:val="18"/>
          <w:szCs w:val="18"/>
          <w:color w:val="auto"/>
        </w:rPr>
        <w:t>1.</w:t>
        <w:tab/>
        <w:t>To elect a Board of Directors of five directors, each to serve until the 2018 annual meeting of stockholders or until his or her successor has been duly elected and qualified or until his or her earlier resignation or removal;</w:t>
      </w:r>
    </w:p>
    <w:p>
      <w:pPr>
        <w:ind w:left="3100" w:right="700" w:hanging="359"/>
        <w:spacing w:after="0" w:line="250" w:lineRule="auto"/>
        <w:tabs>
          <w:tab w:leader="none" w:pos="3080" w:val="left"/>
        </w:tabs>
        <w:rPr>
          <w:sz w:val="20"/>
          <w:szCs w:val="20"/>
          <w:color w:val="auto"/>
        </w:rPr>
      </w:pPr>
      <w:r>
        <w:rPr>
          <w:rFonts w:ascii="Arial" w:cs="Arial" w:eastAsia="Arial" w:hAnsi="Arial"/>
          <w:sz w:val="18"/>
          <w:szCs w:val="18"/>
          <w:color w:val="auto"/>
        </w:rPr>
        <w:t>2.</w:t>
        <w:tab/>
        <w:t>To adopt our 2017 Equity Incentive Plan (including, without limitation, certain material terms of the 2017 Plan for purposes of Section 162(m) of the Internal Revenue Code, as amended);</w:t>
      </w:r>
    </w:p>
    <w:p>
      <w:pPr>
        <w:spacing w:after="0" w:line="1" w:lineRule="exact"/>
        <w:rPr>
          <w:sz w:val="20"/>
          <w:szCs w:val="20"/>
          <w:color w:val="auto"/>
        </w:rPr>
      </w:pPr>
    </w:p>
    <w:p>
      <w:pPr>
        <w:ind w:left="3100" w:right="900" w:hanging="359"/>
        <w:spacing w:after="0" w:line="250" w:lineRule="auto"/>
        <w:tabs>
          <w:tab w:leader="none" w:pos="3080" w:val="left"/>
        </w:tabs>
        <w:rPr>
          <w:sz w:val="20"/>
          <w:szCs w:val="20"/>
          <w:color w:val="auto"/>
        </w:rPr>
      </w:pPr>
      <w:r>
        <w:rPr>
          <w:rFonts w:ascii="Arial" w:cs="Arial" w:eastAsia="Arial" w:hAnsi="Arial"/>
          <w:sz w:val="18"/>
          <w:szCs w:val="18"/>
          <w:color w:val="auto"/>
        </w:rPr>
        <w:t>3.</w:t>
        <w:tab/>
        <w:t>To approve, on an advisory basis, the compensation of our named executive officers as disclosed in the enclosed Proxy Statement;</w:t>
      </w:r>
    </w:p>
    <w:p>
      <w:pPr>
        <w:spacing w:after="0" w:line="1" w:lineRule="exact"/>
        <w:rPr>
          <w:sz w:val="20"/>
          <w:szCs w:val="20"/>
          <w:color w:val="auto"/>
        </w:rPr>
      </w:pPr>
    </w:p>
    <w:p>
      <w:pPr>
        <w:ind w:left="3100" w:right="1120" w:hanging="359"/>
        <w:spacing w:after="0" w:line="250" w:lineRule="auto"/>
        <w:tabs>
          <w:tab w:leader="none" w:pos="3080" w:val="left"/>
        </w:tabs>
        <w:rPr>
          <w:sz w:val="20"/>
          <w:szCs w:val="20"/>
          <w:color w:val="auto"/>
        </w:rPr>
      </w:pPr>
      <w:r>
        <w:rPr>
          <w:rFonts w:ascii="Arial" w:cs="Arial" w:eastAsia="Arial" w:hAnsi="Arial"/>
          <w:sz w:val="18"/>
          <w:szCs w:val="18"/>
          <w:color w:val="auto"/>
        </w:rPr>
        <w:t>4.</w:t>
        <w:tab/>
        <w:t>To approve, on an advisory basis, the frequency of future advisory votes on the compensation of the Company’s named executive officers;</w:t>
      </w:r>
    </w:p>
    <w:p>
      <w:pPr>
        <w:spacing w:after="0" w:line="1" w:lineRule="exact"/>
        <w:rPr>
          <w:sz w:val="20"/>
          <w:szCs w:val="20"/>
          <w:color w:val="auto"/>
        </w:rPr>
      </w:pPr>
    </w:p>
    <w:p>
      <w:pPr>
        <w:ind w:left="3100" w:right="1000" w:hanging="359"/>
        <w:spacing w:after="0" w:line="250" w:lineRule="auto"/>
        <w:tabs>
          <w:tab w:leader="none" w:pos="3080" w:val="left"/>
        </w:tabs>
        <w:rPr>
          <w:sz w:val="20"/>
          <w:szCs w:val="20"/>
          <w:color w:val="auto"/>
        </w:rPr>
      </w:pPr>
      <w:r>
        <w:rPr>
          <w:rFonts w:ascii="Arial" w:cs="Arial" w:eastAsia="Arial" w:hAnsi="Arial"/>
          <w:sz w:val="18"/>
          <w:szCs w:val="18"/>
          <w:color w:val="auto"/>
        </w:rPr>
        <w:t>5.</w:t>
        <w:tab/>
        <w:t>To ratify the appointment of KPMG LLP as our independent registered public accounting firm for the fiscal year ending December 31, 2017; and</w:t>
      </w:r>
    </w:p>
    <w:p>
      <w:pPr>
        <w:spacing w:after="0" w:line="1" w:lineRule="exact"/>
        <w:rPr>
          <w:sz w:val="20"/>
          <w:szCs w:val="20"/>
          <w:color w:val="auto"/>
        </w:rPr>
      </w:pPr>
    </w:p>
    <w:p>
      <w:pPr>
        <w:ind w:left="3100" w:right="940" w:hanging="359"/>
        <w:spacing w:after="0" w:line="250" w:lineRule="auto"/>
        <w:tabs>
          <w:tab w:leader="none" w:pos="3080" w:val="left"/>
        </w:tabs>
        <w:rPr>
          <w:sz w:val="20"/>
          <w:szCs w:val="20"/>
          <w:color w:val="auto"/>
        </w:rPr>
      </w:pPr>
      <w:r>
        <w:rPr>
          <w:rFonts w:ascii="Arial" w:cs="Arial" w:eastAsia="Arial" w:hAnsi="Arial"/>
          <w:sz w:val="18"/>
          <w:szCs w:val="18"/>
          <w:color w:val="auto"/>
        </w:rPr>
        <w:t>6.</w:t>
        <w:tab/>
        <w:t>To transact such other business as may properly be brought before the meeting or any adjournments or postponements thereof.</w:t>
      </w: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line="203" w:lineRule="exact"/>
              <w:rPr>
                <w:sz w:val="20"/>
                <w:szCs w:val="20"/>
                <w:color w:val="auto"/>
              </w:rPr>
            </w:pPr>
            <w:r>
              <w:rPr>
                <w:rFonts w:ascii="Arial" w:cs="Arial" w:eastAsia="Arial" w:hAnsi="Arial"/>
                <w:sz w:val="18"/>
                <w:szCs w:val="18"/>
                <w:b w:val="1"/>
                <w:bCs w:val="1"/>
                <w:color w:val="auto"/>
              </w:rPr>
              <w:t>Record Date:</w:t>
            </w:r>
          </w:p>
        </w:tc>
        <w:tc>
          <w:tcPr>
            <w:tcW w:w="9320" w:type="dxa"/>
            <w:vAlign w:val="bottom"/>
            <w:gridSpan w:val="2"/>
          </w:tcPr>
          <w:p>
            <w:pPr>
              <w:ind w:left="320"/>
              <w:spacing w:after="0" w:line="203" w:lineRule="exact"/>
              <w:rPr>
                <w:sz w:val="20"/>
                <w:szCs w:val="20"/>
                <w:color w:val="auto"/>
              </w:rPr>
            </w:pPr>
            <w:r>
              <w:rPr>
                <w:rFonts w:ascii="Arial" w:cs="Arial" w:eastAsia="Arial" w:hAnsi="Arial"/>
                <w:sz w:val="18"/>
                <w:szCs w:val="18"/>
                <w:color w:val="auto"/>
                <w:w w:val="99"/>
              </w:rPr>
              <w:t>Only stockholders of record at the close of business on April 20, 2017, the record date for the Annual Meeting, will</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be entitled to notice of and to vote at the Annual Meeting and any adjournments or postponements thereof.</w:t>
            </w:r>
          </w:p>
        </w:tc>
      </w:tr>
      <w:tr>
        <w:trPr>
          <w:trHeight w:val="333"/>
        </w:trPr>
        <w:tc>
          <w:tcPr>
            <w:tcW w:w="2100" w:type="dxa"/>
            <w:vAlign w:val="bottom"/>
          </w:tcPr>
          <w:p>
            <w:pPr>
              <w:spacing w:after="0"/>
              <w:rPr>
                <w:sz w:val="20"/>
                <w:szCs w:val="20"/>
                <w:color w:val="auto"/>
              </w:rPr>
            </w:pPr>
            <w:r>
              <w:rPr>
                <w:rFonts w:ascii="Arial" w:cs="Arial" w:eastAsia="Arial" w:hAnsi="Arial"/>
                <w:sz w:val="18"/>
                <w:szCs w:val="18"/>
                <w:b w:val="1"/>
                <w:bCs w:val="1"/>
                <w:color w:val="auto"/>
              </w:rPr>
              <w:t>Delivery of Proxy</w:t>
            </w: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Beginning on May 2, 2017, we began mailing a Notice of Internet Availability of Proxy Materials to our</w:t>
            </w: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Materials:</w:t>
            </w: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stockholders rather than a full paper set of the proxy materials. The Notice of Internet Availability of Proxy</w:t>
            </w:r>
          </w:p>
        </w:tc>
      </w:tr>
      <w:tr>
        <w:trPr>
          <w:trHeight w:val="216"/>
        </w:trPr>
        <w:tc>
          <w:tcPr>
            <w:tcW w:w="2100" w:type="dxa"/>
            <w:vAlign w:val="bottom"/>
          </w:tcPr>
          <w:p>
            <w:pPr>
              <w:spacing w:after="0"/>
              <w:rPr>
                <w:sz w:val="18"/>
                <w:szCs w:val="18"/>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Materials contains instructions on how to access our proxy materials over the Internet, as well as instructions on</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how stockholders may obtain a paper copy of our proxy materials.</w:t>
            </w:r>
          </w:p>
        </w:tc>
      </w:tr>
      <w:tr>
        <w:trPr>
          <w:trHeight w:val="333"/>
        </w:trPr>
        <w:tc>
          <w:tcPr>
            <w:tcW w:w="2100" w:type="dxa"/>
            <w:vAlign w:val="bottom"/>
          </w:tcPr>
          <w:p>
            <w:pPr>
              <w:spacing w:after="0"/>
              <w:rPr>
                <w:sz w:val="20"/>
                <w:szCs w:val="20"/>
                <w:color w:val="auto"/>
              </w:rPr>
            </w:pPr>
            <w:r>
              <w:rPr>
                <w:rFonts w:ascii="Arial" w:cs="Arial" w:eastAsia="Arial" w:hAnsi="Arial"/>
                <w:sz w:val="18"/>
                <w:szCs w:val="18"/>
                <w:b w:val="1"/>
                <w:bCs w:val="1"/>
                <w:color w:val="auto"/>
              </w:rPr>
              <w:t>Internet Availability of</w:t>
            </w:r>
          </w:p>
        </w:tc>
        <w:tc>
          <w:tcPr>
            <w:tcW w:w="9320" w:type="dxa"/>
            <w:vAlign w:val="bottom"/>
            <w:gridSpan w:val="2"/>
          </w:tcPr>
          <w:p>
            <w:pPr>
              <w:ind w:left="3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w:t>
            </w: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Proxy Materials:</w:t>
            </w:r>
          </w:p>
        </w:tc>
        <w:tc>
          <w:tcPr>
            <w:tcW w:w="9320" w:type="dxa"/>
            <w:vAlign w:val="bottom"/>
            <w:gridSpan w:val="2"/>
          </w:tcPr>
          <w:p>
            <w:pPr>
              <w:ind w:left="320"/>
              <w:spacing w:after="0"/>
              <w:rPr>
                <w:sz w:val="20"/>
                <w:szCs w:val="20"/>
                <w:color w:val="auto"/>
              </w:rPr>
            </w:pPr>
            <w:r>
              <w:rPr>
                <w:rFonts w:ascii="Arial" w:cs="Arial" w:eastAsia="Arial" w:hAnsi="Arial"/>
                <w:sz w:val="18"/>
                <w:szCs w:val="18"/>
                <w:b w:val="1"/>
                <w:bCs w:val="1"/>
                <w:color w:val="auto"/>
              </w:rPr>
              <w:t>be Held on June 14, 2017</w:t>
            </w:r>
            <w:r>
              <w:rPr>
                <w:rFonts w:ascii="Arial" w:cs="Arial" w:eastAsia="Arial" w:hAnsi="Arial"/>
                <w:sz w:val="18"/>
                <w:szCs w:val="18"/>
                <w:color w:val="auto"/>
              </w:rPr>
              <w:t>. Our Proxy Statement is attached. Financial and other information concerning Grand</w:t>
            </w:r>
          </w:p>
        </w:tc>
      </w:tr>
      <w:tr>
        <w:trPr>
          <w:trHeight w:val="216"/>
        </w:trPr>
        <w:tc>
          <w:tcPr>
            <w:tcW w:w="2100" w:type="dxa"/>
            <w:vAlign w:val="bottom"/>
          </w:tcPr>
          <w:p>
            <w:pPr>
              <w:spacing w:after="0"/>
              <w:rPr>
                <w:sz w:val="18"/>
                <w:szCs w:val="18"/>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w w:val="99"/>
              </w:rPr>
              <w:t>Canyon Education, Inc. is contained in our Annual Report to Stockholders for the fiscal year ended December 31,</w:t>
            </w:r>
          </w:p>
        </w:tc>
      </w:tr>
      <w:tr>
        <w:trPr>
          <w:trHeight w:val="216"/>
        </w:trPr>
        <w:tc>
          <w:tcPr>
            <w:tcW w:w="2100" w:type="dxa"/>
            <w:vAlign w:val="bottom"/>
          </w:tcPr>
          <w:p>
            <w:pPr>
              <w:spacing w:after="0"/>
              <w:rPr>
                <w:sz w:val="18"/>
                <w:szCs w:val="18"/>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2016. A complete set of proxy materials relating to our Annual Meeting is available on the Internet. These</w:t>
            </w:r>
          </w:p>
        </w:tc>
      </w:tr>
      <w:tr>
        <w:trPr>
          <w:trHeight w:val="216"/>
        </w:trPr>
        <w:tc>
          <w:tcPr>
            <w:tcW w:w="2100" w:type="dxa"/>
            <w:vAlign w:val="bottom"/>
          </w:tcPr>
          <w:p>
            <w:pPr>
              <w:spacing w:after="0"/>
              <w:rPr>
                <w:sz w:val="18"/>
                <w:szCs w:val="18"/>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materials, consisting of the Notice of Annual Meeting, Proxy Statement, Proxy Card and Annual Report to</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 xml:space="preserve">Stockholders, are available and may be viewed at </w:t>
            </w:r>
            <w:r>
              <w:rPr>
                <w:rFonts w:ascii="Arial" w:cs="Arial" w:eastAsia="Arial" w:hAnsi="Arial"/>
                <w:sz w:val="18"/>
                <w:szCs w:val="18"/>
                <w:i w:val="1"/>
                <w:iCs w:val="1"/>
                <w:color w:val="auto"/>
              </w:rPr>
              <w:t>www.edocumentview.com/LOPE</w:t>
            </w:r>
            <w:r>
              <w:rPr>
                <w:rFonts w:ascii="Arial" w:cs="Arial" w:eastAsia="Arial" w:hAnsi="Arial"/>
                <w:sz w:val="18"/>
                <w:szCs w:val="18"/>
                <w:color w:val="auto"/>
              </w:rPr>
              <w:t>.</w:t>
            </w:r>
          </w:p>
        </w:tc>
      </w:tr>
      <w:tr>
        <w:trPr>
          <w:trHeight w:val="337"/>
        </w:trPr>
        <w:tc>
          <w:tcPr>
            <w:tcW w:w="210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To make it easier for you to vote, Internet and telephone voting are available. The instructions on the Notice of</w:t>
            </w:r>
          </w:p>
        </w:tc>
      </w:tr>
      <w:tr>
        <w:trPr>
          <w:trHeight w:val="216"/>
        </w:trPr>
        <w:tc>
          <w:tcPr>
            <w:tcW w:w="2100" w:type="dxa"/>
            <w:vAlign w:val="bottom"/>
          </w:tcPr>
          <w:p>
            <w:pPr>
              <w:spacing w:after="0"/>
              <w:rPr>
                <w:sz w:val="18"/>
                <w:szCs w:val="18"/>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Internet Availability of Proxy Materials or, if you received a paper copy of the proxy materials, the proxy card</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320"/>
              <w:spacing w:after="0"/>
              <w:rPr>
                <w:sz w:val="20"/>
                <w:szCs w:val="20"/>
                <w:color w:val="auto"/>
              </w:rPr>
            </w:pPr>
            <w:r>
              <w:rPr>
                <w:rFonts w:ascii="Arial" w:cs="Arial" w:eastAsia="Arial" w:hAnsi="Arial"/>
                <w:sz w:val="18"/>
                <w:szCs w:val="18"/>
                <w:color w:val="auto"/>
              </w:rPr>
              <w:t>describe how to use these convenient services.</w:t>
            </w:r>
          </w:p>
        </w:tc>
      </w:tr>
      <w:tr>
        <w:trPr>
          <w:trHeight w:val="743"/>
        </w:trPr>
        <w:tc>
          <w:tcPr>
            <w:tcW w:w="2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Phoenix, Arizona</w:t>
            </w:r>
          </w:p>
        </w:tc>
        <w:tc>
          <w:tcPr>
            <w:tcW w:w="3400" w:type="dxa"/>
            <w:vAlign w:val="bottom"/>
          </w:tcPr>
          <w:p>
            <w:pPr>
              <w:spacing w:after="0"/>
              <w:rPr>
                <w:sz w:val="24"/>
                <w:szCs w:val="24"/>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w:t>
            </w:r>
            <w:r>
              <w:rPr>
                <w:rFonts w:ascii="Arial" w:cs="Arial" w:eastAsia="Arial" w:hAnsi="Arial"/>
                <w:sz w:val="15"/>
                <w:szCs w:val="15"/>
                <w:color w:val="auto"/>
              </w:rPr>
              <w:t>RIAN</w:t>
            </w:r>
            <w:r>
              <w:rPr>
                <w:rFonts w:ascii="Arial" w:cs="Arial" w:eastAsia="Arial" w:hAnsi="Arial"/>
                <w:sz w:val="18"/>
                <w:szCs w:val="18"/>
                <w:color w:val="auto"/>
              </w:rPr>
              <w:t xml:space="preserve"> E. M</w:t>
            </w:r>
            <w:r>
              <w:rPr>
                <w:rFonts w:ascii="Arial" w:cs="Arial" w:eastAsia="Arial" w:hAnsi="Arial"/>
                <w:sz w:val="15"/>
                <w:szCs w:val="15"/>
                <w:color w:val="auto"/>
              </w:rPr>
              <w:t>UELLER</w:t>
            </w:r>
          </w:p>
        </w:tc>
      </w:tr>
      <w:tr>
        <w:trPr>
          <w:trHeight w:val="209"/>
        </w:trPr>
        <w:tc>
          <w:tcPr>
            <w:tcW w:w="2100" w:type="dxa"/>
            <w:vAlign w:val="bottom"/>
          </w:tcPr>
          <w:p>
            <w:pPr>
              <w:ind w:left="180"/>
              <w:spacing w:after="0"/>
              <w:rPr>
                <w:sz w:val="20"/>
                <w:szCs w:val="20"/>
                <w:color w:val="auto"/>
              </w:rPr>
            </w:pPr>
            <w:r>
              <w:rPr>
                <w:rFonts w:ascii="Arial" w:cs="Arial" w:eastAsia="Arial" w:hAnsi="Arial"/>
                <w:sz w:val="18"/>
                <w:szCs w:val="18"/>
                <w:color w:val="auto"/>
              </w:rPr>
              <w:t>April 28, 2017</w:t>
            </w:r>
          </w:p>
        </w:tc>
        <w:tc>
          <w:tcPr>
            <w:tcW w:w="34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Brian E. Mueller</w:t>
            </w:r>
          </w:p>
        </w:tc>
      </w:tr>
      <w:tr>
        <w:trPr>
          <w:trHeight w:val="230"/>
        </w:trPr>
        <w:tc>
          <w:tcPr>
            <w:tcW w:w="2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i w:val="1"/>
                <w:iCs w:val="1"/>
                <w:color w:val="auto"/>
              </w:rPr>
              <w:t>Chief Executive Officer and Chairman</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GENERAL INFORMATION</w:t>
              </w:r>
            </w:hyperlink>
          </w:p>
        </w:tc>
        <w:tc>
          <w:tcPr>
            <w:tcW w:w="7500" w:type="dxa"/>
            <w:vAlign w:val="bottom"/>
            <w:gridSpan w:val="31"/>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400" w:type="dxa"/>
            <w:vAlign w:val="bottom"/>
          </w:tcPr>
          <w:p>
            <w:pPr>
              <w:spacing w:after="0"/>
              <w:rPr>
                <w:sz w:val="24"/>
                <w:szCs w:val="24"/>
                <w:color w:val="auto"/>
              </w:rPr>
            </w:pPr>
          </w:p>
        </w:tc>
        <w:tc>
          <w:tcPr>
            <w:tcW w:w="21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Notice of Internet Availability</w:t>
              </w:r>
            </w:hyperlink>
          </w:p>
        </w:tc>
        <w:tc>
          <w:tcPr>
            <w:tcW w:w="7060" w:type="dxa"/>
            <w:vAlign w:val="bottom"/>
            <w:gridSpan w:val="23"/>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40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Record Date and Quorum</w:t>
              </w:r>
            </w:hyperlink>
          </w:p>
        </w:tc>
        <w:tc>
          <w:tcPr>
            <w:tcW w:w="7380" w:type="dxa"/>
            <w:vAlign w:val="bottom"/>
            <w:gridSpan w:val="29"/>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00" w:type="dxa"/>
            <w:vAlign w:val="bottom"/>
          </w:tcPr>
          <w:p>
            <w:pPr>
              <w:spacing w:after="0"/>
              <w:rPr>
                <w:sz w:val="17"/>
                <w:szCs w:val="17"/>
                <w:color w:val="auto"/>
              </w:rPr>
            </w:pPr>
          </w:p>
        </w:tc>
        <w:tc>
          <w:tcPr>
            <w:tcW w:w="25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Submission of Proxies; Revocation</w:t>
              </w:r>
            </w:hyperlink>
          </w:p>
        </w:tc>
        <w:tc>
          <w:tcPr>
            <w:tcW w:w="6700" w:type="dxa"/>
            <w:vAlign w:val="bottom"/>
            <w:gridSpan w:val="19"/>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00" w:type="dxa"/>
            <w:vAlign w:val="bottom"/>
          </w:tcPr>
          <w:p>
            <w:pPr>
              <w:spacing w:after="0"/>
              <w:rPr>
                <w:sz w:val="17"/>
                <w:szCs w:val="17"/>
                <w:color w:val="auto"/>
              </w:rPr>
            </w:pPr>
          </w:p>
        </w:tc>
        <w:tc>
          <w:tcPr>
            <w:tcW w:w="26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Deadlines for Stockholder Proposals</w:t>
              </w:r>
            </w:hyperlink>
          </w:p>
        </w:tc>
        <w:tc>
          <w:tcPr>
            <w:tcW w:w="6600" w:type="dxa"/>
            <w:vAlign w:val="bottom"/>
            <w:gridSpan w:val="16"/>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00" w:type="dxa"/>
            <w:vAlign w:val="bottom"/>
          </w:tcPr>
          <w:p>
            <w:pPr>
              <w:spacing w:after="0"/>
              <w:rPr>
                <w:sz w:val="17"/>
                <w:szCs w:val="17"/>
                <w:color w:val="auto"/>
              </w:rPr>
            </w:pPr>
          </w:p>
        </w:tc>
        <w:tc>
          <w:tcPr>
            <w:tcW w:w="9240" w:type="dxa"/>
            <w:vAlign w:val="bottom"/>
            <w:gridSpan w:val="3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Quorum</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Vote Required</w:t>
              </w:r>
            </w:hyperlink>
          </w:p>
        </w:tc>
        <w:tc>
          <w:tcPr>
            <w:tcW w:w="8200" w:type="dxa"/>
            <w:vAlign w:val="bottom"/>
            <w:gridSpan w:val="37"/>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00" w:type="dxa"/>
            <w:vAlign w:val="bottom"/>
          </w:tcPr>
          <w:p>
            <w:pPr>
              <w:spacing w:after="0"/>
              <w:rPr>
                <w:sz w:val="17"/>
                <w:szCs w:val="17"/>
                <w:color w:val="auto"/>
              </w:rPr>
            </w:pPr>
          </w:p>
        </w:tc>
        <w:tc>
          <w:tcPr>
            <w:tcW w:w="924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Adjournment or Postponement of Meeting</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00" w:type="dxa"/>
            <w:vAlign w:val="bottom"/>
          </w:tcPr>
          <w:p>
            <w:pPr>
              <w:spacing w:after="0"/>
              <w:rPr>
                <w:sz w:val="17"/>
                <w:szCs w:val="17"/>
                <w:color w:val="auto"/>
              </w:rPr>
            </w:pPr>
          </w:p>
        </w:tc>
        <w:tc>
          <w:tcPr>
            <w:tcW w:w="30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Expenses of Soliciting Proxies</w:t>
              </w:r>
            </w:hyperlink>
          </w:p>
        </w:tc>
        <w:tc>
          <w:tcPr>
            <w:tcW w:w="6180" w:type="dxa"/>
            <w:vAlign w:val="bottom"/>
            <w:gridSpan w:val="11"/>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0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31"/>
        </w:trPr>
        <w:tc>
          <w:tcPr>
            <w:tcW w:w="4320" w:type="dxa"/>
            <w:vAlign w:val="bottom"/>
            <w:tcBorders>
              <w:bottom w:val="single" w:sz="8" w:color="0000EE"/>
            </w:tcBorders>
            <w:gridSpan w:val="34"/>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CORPORATE GOVERNANCE AND BOARD MATTERS</w:t>
              </w:r>
            </w:hyperlink>
          </w:p>
        </w:tc>
        <w:tc>
          <w:tcPr>
            <w:tcW w:w="5320" w:type="dxa"/>
            <w:vAlign w:val="bottom"/>
            <w:gridSpan w:val="6"/>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1"/>
        </w:trPr>
        <w:tc>
          <w:tcPr>
            <w:tcW w:w="400" w:type="dxa"/>
            <w:vAlign w:val="bottom"/>
          </w:tcPr>
          <w:p>
            <w:pPr>
              <w:spacing w:after="0"/>
              <w:rPr>
                <w:sz w:val="24"/>
                <w:szCs w:val="24"/>
                <w:color w:val="auto"/>
              </w:rPr>
            </w:pPr>
          </w:p>
        </w:tc>
        <w:tc>
          <w:tcPr>
            <w:tcW w:w="25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Corporate Governance Philosophy</w:t>
              </w:r>
            </w:hyperlink>
          </w:p>
        </w:tc>
        <w:tc>
          <w:tcPr>
            <w:tcW w:w="6740" w:type="dxa"/>
            <w:vAlign w:val="bottom"/>
            <w:gridSpan w:val="20"/>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96"/>
        </w:trPr>
        <w:tc>
          <w:tcPr>
            <w:tcW w:w="400" w:type="dxa"/>
            <w:vAlign w:val="bottom"/>
          </w:tcPr>
          <w:p>
            <w:pPr>
              <w:spacing w:after="0"/>
              <w:rPr>
                <w:sz w:val="17"/>
                <w:szCs w:val="17"/>
                <w:color w:val="auto"/>
              </w:rPr>
            </w:pPr>
          </w:p>
        </w:tc>
        <w:tc>
          <w:tcPr>
            <w:tcW w:w="324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Board of Directors Meetings and Attendance</w:t>
              </w:r>
            </w:hyperlink>
          </w:p>
        </w:tc>
        <w:tc>
          <w:tcPr>
            <w:tcW w:w="6000" w:type="dxa"/>
            <w:vAlign w:val="bottom"/>
            <w:gridSpan w:val="8"/>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00" w:type="dxa"/>
            <w:vAlign w:val="bottom"/>
          </w:tcPr>
          <w:p>
            <w:pPr>
              <w:spacing w:after="0"/>
              <w:rPr>
                <w:sz w:val="17"/>
                <w:szCs w:val="17"/>
                <w:color w:val="auto"/>
              </w:rPr>
            </w:pPr>
          </w:p>
        </w:tc>
        <w:tc>
          <w:tcPr>
            <w:tcW w:w="9240" w:type="dxa"/>
            <w:vAlign w:val="bottom"/>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Independence</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0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0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Board Leadership Structure</w:t>
              </w:r>
            </w:hyperlink>
          </w:p>
        </w:tc>
        <w:tc>
          <w:tcPr>
            <w:tcW w:w="7240" w:type="dxa"/>
            <w:vAlign w:val="bottom"/>
            <w:gridSpan w:val="27"/>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00" w:type="dxa"/>
            <w:vAlign w:val="bottom"/>
          </w:tcPr>
          <w:p>
            <w:pPr>
              <w:spacing w:after="0"/>
              <w:rPr>
                <w:sz w:val="17"/>
                <w:szCs w:val="17"/>
                <w:color w:val="auto"/>
              </w:rPr>
            </w:pPr>
          </w:p>
        </w:tc>
        <w:tc>
          <w:tcPr>
            <w:tcW w:w="924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Committees of Our Board of Directors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0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Code of Conduct</w:t>
              </w:r>
            </w:hyperlink>
          </w:p>
        </w:tc>
        <w:tc>
          <w:tcPr>
            <w:tcW w:w="1540" w:type="dxa"/>
            <w:vAlign w:val="bottom"/>
            <w:tcBorders>
              <w:top w:val="single" w:sz="8" w:color="0000EE"/>
            </w:tcBorders>
            <w:gridSpan w:val="20"/>
          </w:tcPr>
          <w:p>
            <w:pPr>
              <w:spacing w:after="0"/>
              <w:rPr>
                <w:sz w:val="17"/>
                <w:szCs w:val="17"/>
                <w:color w:val="auto"/>
              </w:rPr>
            </w:pPr>
          </w:p>
        </w:tc>
        <w:tc>
          <w:tcPr>
            <w:tcW w:w="6460" w:type="dxa"/>
            <w:vAlign w:val="bottom"/>
            <w:gridSpan w:val="14"/>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00" w:type="dxa"/>
            <w:vAlign w:val="bottom"/>
          </w:tcPr>
          <w:p>
            <w:pPr>
              <w:spacing w:after="0"/>
              <w:rPr>
                <w:sz w:val="17"/>
                <w:szCs w:val="17"/>
                <w:color w:val="auto"/>
              </w:rPr>
            </w:pPr>
          </w:p>
        </w:tc>
        <w:tc>
          <w:tcPr>
            <w:tcW w:w="9240" w:type="dxa"/>
            <w:vAlign w:val="bottom"/>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Oversight</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Director Nomination Process</w:t>
              </w:r>
            </w:hyperlink>
          </w:p>
        </w:tc>
        <w:tc>
          <w:tcPr>
            <w:tcW w:w="7120" w:type="dxa"/>
            <w:vAlign w:val="bottom"/>
            <w:gridSpan w:val="24"/>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00" w:type="dxa"/>
            <w:vAlign w:val="bottom"/>
          </w:tcPr>
          <w:p>
            <w:pPr>
              <w:spacing w:after="0"/>
              <w:rPr>
                <w:sz w:val="17"/>
                <w:szCs w:val="17"/>
                <w:color w:val="auto"/>
              </w:rPr>
            </w:pPr>
          </w:p>
        </w:tc>
        <w:tc>
          <w:tcPr>
            <w:tcW w:w="276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Annual Elections and Majority Voting</w:t>
              </w:r>
            </w:hyperlink>
          </w:p>
        </w:tc>
        <w:tc>
          <w:tcPr>
            <w:tcW w:w="6480" w:type="dxa"/>
            <w:vAlign w:val="bottom"/>
            <w:gridSpan w:val="15"/>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00" w:type="dxa"/>
            <w:vAlign w:val="bottom"/>
          </w:tcPr>
          <w:p>
            <w:pPr>
              <w:spacing w:after="0"/>
              <w:rPr>
                <w:sz w:val="17"/>
                <w:szCs w:val="17"/>
                <w:color w:val="auto"/>
              </w:rPr>
            </w:pPr>
          </w:p>
        </w:tc>
        <w:tc>
          <w:tcPr>
            <w:tcW w:w="924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Committee Interlocks and Insider Participation</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0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Stockholder Communications with the Board of Directors</w:t>
              </w:r>
            </w:hyperlink>
          </w:p>
        </w:tc>
        <w:tc>
          <w:tcPr>
            <w:tcW w:w="280" w:type="dxa"/>
            <w:vAlign w:val="bottom"/>
            <w:tcBorders>
              <w:top w:val="single" w:sz="8" w:color="0000EE"/>
            </w:tcBorders>
            <w:gridSpan w:val="2"/>
          </w:tcPr>
          <w:p>
            <w:pPr>
              <w:spacing w:after="0"/>
              <w:rPr>
                <w:sz w:val="17"/>
                <w:szCs w:val="17"/>
                <w:color w:val="auto"/>
              </w:rPr>
            </w:pPr>
          </w:p>
        </w:tc>
        <w:tc>
          <w:tcPr>
            <w:tcW w:w="4780" w:type="dxa"/>
            <w:vAlign w:val="bottom"/>
            <w:gridSpan w:val="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0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Stock Ownership Policy</w:t>
              </w:r>
            </w:hyperlink>
          </w:p>
        </w:tc>
        <w:tc>
          <w:tcPr>
            <w:tcW w:w="7480" w:type="dxa"/>
            <w:vAlign w:val="bottom"/>
            <w:gridSpan w:val="30"/>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00" w:type="dxa"/>
            <w:vAlign w:val="bottom"/>
          </w:tcPr>
          <w:p>
            <w:pPr>
              <w:spacing w:after="0"/>
              <w:rPr>
                <w:sz w:val="17"/>
                <w:szCs w:val="17"/>
                <w:color w:val="auto"/>
              </w:rPr>
            </w:pPr>
          </w:p>
        </w:tc>
        <w:tc>
          <w:tcPr>
            <w:tcW w:w="2580" w:type="dxa"/>
            <w:vAlign w:val="bottom"/>
            <w:tcBorders>
              <w:bottom w:val="single" w:sz="8" w:color="0000EE"/>
            </w:tcBorders>
            <w:gridSpan w:val="21"/>
          </w:tcPr>
          <w:p>
            <w:pPr>
              <w:spacing w:after="0" w:line="182"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Anti-Hedging/Anti-Pledging Policy</w:t>
              </w:r>
            </w:hyperlink>
          </w:p>
        </w:tc>
        <w:tc>
          <w:tcPr>
            <w:tcW w:w="6660" w:type="dxa"/>
            <w:vAlign w:val="bottom"/>
            <w:gridSpan w:val="18"/>
          </w:tcPr>
          <w:p>
            <w:pPr>
              <w:spacing w:after="0"/>
              <w:rPr>
                <w:sz w:val="17"/>
                <w:szCs w:val="17"/>
                <w:color w:val="auto"/>
              </w:rPr>
            </w:pPr>
          </w:p>
        </w:tc>
        <w:tc>
          <w:tcPr>
            <w:tcW w:w="17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10"/>
        </w:trPr>
        <w:tc>
          <w:tcPr>
            <w:tcW w:w="400" w:type="dxa"/>
            <w:vAlign w:val="bottom"/>
          </w:tcPr>
          <w:p>
            <w:pPr>
              <w:spacing w:after="0"/>
              <w:rPr>
                <w:sz w:val="18"/>
                <w:szCs w:val="18"/>
                <w:color w:val="auto"/>
              </w:rPr>
            </w:pPr>
          </w:p>
        </w:tc>
        <w:tc>
          <w:tcPr>
            <w:tcW w:w="9240" w:type="dxa"/>
            <w:vAlign w:val="bottom"/>
            <w:gridSpan w:val="3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Clawback Policy</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9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Compensation of Directors</w:t>
              </w:r>
            </w:hyperlink>
          </w:p>
        </w:tc>
        <w:tc>
          <w:tcPr>
            <w:tcW w:w="7280" w:type="dxa"/>
            <w:vAlign w:val="bottom"/>
            <w:gridSpan w:val="28"/>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00" w:type="dxa"/>
            <w:vAlign w:val="bottom"/>
          </w:tcPr>
          <w:p>
            <w:pPr>
              <w:spacing w:after="0"/>
              <w:rPr>
                <w:sz w:val="17"/>
                <w:szCs w:val="17"/>
                <w:color w:val="auto"/>
              </w:rPr>
            </w:pPr>
          </w:p>
        </w:tc>
        <w:tc>
          <w:tcPr>
            <w:tcW w:w="2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2016 Director Compensation</w:t>
              </w:r>
            </w:hyperlink>
          </w:p>
        </w:tc>
        <w:tc>
          <w:tcPr>
            <w:tcW w:w="7140" w:type="dxa"/>
            <w:vAlign w:val="bottom"/>
            <w:gridSpan w:val="25"/>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31"/>
        </w:trPr>
        <w:tc>
          <w:tcPr>
            <w:tcW w:w="366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PROPOSAL NO. 1 ELECTION OF DIRECTORS</w:t>
              </w:r>
            </w:hyperlink>
          </w:p>
        </w:tc>
        <w:tc>
          <w:tcPr>
            <w:tcW w:w="5980" w:type="dxa"/>
            <w:vAlign w:val="bottom"/>
            <w:gridSpan w:val="7"/>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1"/>
        </w:trPr>
        <w:tc>
          <w:tcPr>
            <w:tcW w:w="400" w:type="dxa"/>
            <w:vAlign w:val="bottom"/>
          </w:tcPr>
          <w:p>
            <w:pPr>
              <w:spacing w:after="0"/>
              <w:rPr>
                <w:sz w:val="24"/>
                <w:szCs w:val="24"/>
                <w:color w:val="auto"/>
              </w:rPr>
            </w:pPr>
          </w:p>
        </w:tc>
        <w:tc>
          <w:tcPr>
            <w:tcW w:w="9240" w:type="dxa"/>
            <w:vAlign w:val="bottom"/>
            <w:gridSpan w:val="3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Composition of our Board of Directors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40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Directors and Director Nominees</w:t>
              </w:r>
            </w:hyperlink>
          </w:p>
        </w:tc>
        <w:tc>
          <w:tcPr>
            <w:tcW w:w="380" w:type="dxa"/>
            <w:vAlign w:val="bottom"/>
            <w:tcBorders>
              <w:top w:val="single" w:sz="8" w:color="0000EE"/>
            </w:tcBorders>
            <w:gridSpan w:val="8"/>
          </w:tcPr>
          <w:p>
            <w:pPr>
              <w:spacing w:after="0"/>
              <w:rPr>
                <w:sz w:val="17"/>
                <w:szCs w:val="17"/>
                <w:color w:val="auto"/>
              </w:rPr>
            </w:pPr>
          </w:p>
        </w:tc>
        <w:tc>
          <w:tcPr>
            <w:tcW w:w="6440" w:type="dxa"/>
            <w:vAlign w:val="bottom"/>
            <w:gridSpan w:val="1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31"/>
        </w:trPr>
        <w:tc>
          <w:tcPr>
            <w:tcW w:w="7380" w:type="dxa"/>
            <w:vAlign w:val="bottom"/>
            <w:tcBorders>
              <w:bottom w:val="single" w:sz="8" w:color="0000EE"/>
            </w:tcBorders>
            <w:gridSpan w:val="38"/>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PROPOSAL NO. 2 APPROVAL OF THE ADOPTION OF THE 2017 EQUITY INCENTIVE PLAN</w:t>
              </w:r>
            </w:hyperlink>
          </w:p>
        </w:tc>
        <w:tc>
          <w:tcPr>
            <w:tcW w:w="226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31"/>
        </w:trPr>
        <w:tc>
          <w:tcPr>
            <w:tcW w:w="400" w:type="dxa"/>
            <w:vAlign w:val="bottom"/>
          </w:tcPr>
          <w:p>
            <w:pPr>
              <w:spacing w:after="0"/>
              <w:rPr>
                <w:sz w:val="24"/>
                <w:szCs w:val="24"/>
                <w:color w:val="auto"/>
              </w:rPr>
            </w:pPr>
          </w:p>
        </w:tc>
        <w:tc>
          <w:tcPr>
            <w:tcW w:w="318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Summary of the 2017 Equity Incentive Plan</w:t>
              </w:r>
            </w:hyperlink>
          </w:p>
        </w:tc>
        <w:tc>
          <w:tcPr>
            <w:tcW w:w="6060" w:type="dxa"/>
            <w:vAlign w:val="bottom"/>
            <w:gridSpan w:val="10"/>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61"/>
        </w:trPr>
        <w:tc>
          <w:tcPr>
            <w:tcW w:w="8080" w:type="dxa"/>
            <w:vAlign w:val="bottom"/>
            <w:tcBorders>
              <w:bottom w:val="single" w:sz="8" w:color="0000EE"/>
            </w:tcBorders>
            <w:gridSpan w:val="39"/>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PROPOSAL NO. 3 ADVISORY VOTE TO APPROVE NAMED EXECUTIVE OFFICER COMPENSATION</w:t>
              </w:r>
            </w:hyperlink>
          </w:p>
        </w:tc>
        <w:tc>
          <w:tcPr>
            <w:tcW w:w="15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561"/>
        </w:trPr>
        <w:tc>
          <w:tcPr>
            <w:tcW w:w="9640" w:type="dxa"/>
            <w:vAlign w:val="bottom"/>
            <w:gridSpan w:val="4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EXECUTIVE OFFICERS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900" w:type="dxa"/>
            <w:vAlign w:val="bottom"/>
            <w:gridSpan w:val="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53"/>
        </w:trPr>
        <w:tc>
          <w:tcPr>
            <w:tcW w:w="24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EXECUTIVE COMPENSATION</w:t>
              </w:r>
            </w:hyperlink>
          </w:p>
        </w:tc>
        <w:tc>
          <w:tcPr>
            <w:tcW w:w="7180" w:type="dxa"/>
            <w:vAlign w:val="bottom"/>
            <w:gridSpan w:val="26"/>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53"/>
        </w:trPr>
        <w:tc>
          <w:tcPr>
            <w:tcW w:w="400" w:type="dxa"/>
            <w:vAlign w:val="bottom"/>
          </w:tcPr>
          <w:p>
            <w:pPr>
              <w:spacing w:after="0"/>
              <w:rPr>
                <w:sz w:val="24"/>
                <w:szCs w:val="24"/>
                <w:color w:val="auto"/>
              </w:rPr>
            </w:pPr>
          </w:p>
        </w:tc>
        <w:tc>
          <w:tcPr>
            <w:tcW w:w="286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Compensation Discussion and Analysis</w:t>
              </w:r>
            </w:hyperlink>
          </w:p>
        </w:tc>
        <w:tc>
          <w:tcPr>
            <w:tcW w:w="6380" w:type="dxa"/>
            <w:vAlign w:val="bottom"/>
            <w:gridSpan w:val="1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400" w:type="dxa"/>
            <w:vAlign w:val="bottom"/>
          </w:tcPr>
          <w:p>
            <w:pPr>
              <w:spacing w:after="0"/>
              <w:rPr>
                <w:sz w:val="17"/>
                <w:szCs w:val="17"/>
                <w:color w:val="auto"/>
              </w:rPr>
            </w:pPr>
          </w:p>
        </w:tc>
        <w:tc>
          <w:tcPr>
            <w:tcW w:w="32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Compensation of Named Executive Officers</w:t>
              </w:r>
            </w:hyperlink>
          </w:p>
        </w:tc>
        <w:tc>
          <w:tcPr>
            <w:tcW w:w="6040" w:type="dxa"/>
            <w:vAlign w:val="bottom"/>
            <w:gridSpan w:val="9"/>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00" w:type="dxa"/>
            <w:vAlign w:val="bottom"/>
          </w:tcPr>
          <w:p>
            <w:pPr>
              <w:spacing w:after="0"/>
              <w:rPr>
                <w:sz w:val="17"/>
                <w:szCs w:val="17"/>
                <w:color w:val="auto"/>
              </w:rPr>
            </w:pPr>
          </w:p>
        </w:tc>
        <w:tc>
          <w:tcPr>
            <w:tcW w:w="26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Executive Employment Agreements</w:t>
              </w:r>
            </w:hyperlink>
          </w:p>
        </w:tc>
        <w:tc>
          <w:tcPr>
            <w:tcW w:w="6620" w:type="dxa"/>
            <w:vAlign w:val="bottom"/>
            <w:gridSpan w:val="17"/>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00" w:type="dxa"/>
            <w:vAlign w:val="bottom"/>
          </w:tcPr>
          <w:p>
            <w:pPr>
              <w:spacing w:after="0"/>
              <w:rPr>
                <w:sz w:val="17"/>
                <w:szCs w:val="17"/>
                <w:color w:val="auto"/>
              </w:rPr>
            </w:pPr>
          </w:p>
        </w:tc>
        <w:tc>
          <w:tcPr>
            <w:tcW w:w="9240" w:type="dxa"/>
            <w:vAlign w:val="bottom"/>
            <w:gridSpan w:val="3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Potential Payments upon Termination or Change in Control</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00" w:type="dxa"/>
            <w:vAlign w:val="bottom"/>
          </w:tcPr>
          <w:p>
            <w:pPr>
              <w:spacing w:after="0"/>
              <w:rPr>
                <w:sz w:val="17"/>
                <w:szCs w:val="17"/>
                <w:color w:val="auto"/>
              </w:rPr>
            </w:pPr>
          </w:p>
        </w:tc>
        <w:tc>
          <w:tcPr>
            <w:tcW w:w="42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Compensation Committee Report</w:t>
              </w:r>
            </w:hyperlink>
          </w:p>
        </w:tc>
        <w:tc>
          <w:tcPr>
            <w:tcW w:w="4960" w:type="dxa"/>
            <w:vAlign w:val="bottom"/>
            <w:gridSpan w:val="4"/>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926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r>
      <w:tr>
        <w:trPr>
          <w:trHeight w:val="493"/>
        </w:trPr>
        <w:tc>
          <w:tcPr>
            <w:tcW w:w="1008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PROPOSAL NO. 4 ADVISORY (NON-BINDING) VOTE ON THE FREQUENCY OF FUTURE ADVISORY VOTES ON EXECUTIVE</w:t>
              </w:r>
            </w:hyperlink>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COMPENSATION</w:t>
              </w:r>
            </w:hyperlink>
          </w:p>
        </w:tc>
        <w:tc>
          <w:tcPr>
            <w:tcW w:w="9040" w:type="dxa"/>
            <w:vAlign w:val="bottom"/>
            <w:gridSpan w:val="1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412"/>
        </w:trPr>
        <w:tc>
          <w:tcPr>
            <w:tcW w:w="780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PROPOSAL NO. 5 RATIFICATION OF INDEPENDENT REGISTERED PUBLIC ACCOUNTING FIRM</w:t>
              </w:r>
            </w:hyperlink>
          </w:p>
        </w:tc>
        <w:tc>
          <w:tcPr>
            <w:tcW w:w="28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0000EE"/>
            </w:tcBorders>
          </w:tcPr>
          <w:p>
            <w:pPr>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Fees</w:t>
              </w:r>
            </w:hyperlink>
          </w:p>
        </w:tc>
        <w:tc>
          <w:tcPr>
            <w:tcW w:w="98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Approval of Independent Registered Public Accounting firm Services and Fees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00" w:type="dxa"/>
            <w:vAlign w:val="bottom"/>
            <w:gridSpan w:val="2"/>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1062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AUDIT COMMITTEE REPORT</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90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39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BENEFICIAL OWNERSHIP OF COMMON STOCK</w:t>
              </w:r>
            </w:hyperlink>
          </w:p>
        </w:tc>
        <w:tc>
          <w:tcPr>
            <w:tcW w:w="668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31"/>
        </w:trPr>
        <w:tc>
          <w:tcPr>
            <w:tcW w:w="488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CERTAIN RELATIONSHIPS AND RELATED TRANSACTIONS</w:t>
              </w:r>
            </w:hyperlink>
          </w:p>
        </w:tc>
        <w:tc>
          <w:tcPr>
            <w:tcW w:w="57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1"/>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Policies and Procedures for Related Party Transactions</w:t>
              </w:r>
            </w:hyperlink>
          </w:p>
        </w:tc>
        <w:tc>
          <w:tcPr>
            <w:tcW w:w="626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Certain Transactions</w:t>
              </w:r>
            </w:hyperlink>
          </w:p>
        </w:tc>
        <w:tc>
          <w:tcPr>
            <w:tcW w:w="8720" w:type="dxa"/>
            <w:vAlign w:val="bottom"/>
            <w:gridSpan w:val="1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331"/>
        </w:trPr>
        <w:tc>
          <w:tcPr>
            <w:tcW w:w="10620" w:type="dxa"/>
            <w:vAlign w:val="bottom"/>
            <w:gridSpan w:val="1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SECTION 16(a) BENEFICIAL OWNERSHIP REPORTING COMPLIANCE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1"/>
        </w:trPr>
        <w:tc>
          <w:tcPr>
            <w:tcW w:w="34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HOUSEHOLDING OF PROXY MATERIALS</w:t>
              </w:r>
            </w:hyperlink>
          </w:p>
        </w:tc>
        <w:tc>
          <w:tcPr>
            <w:tcW w:w="2220" w:type="dxa"/>
            <w:vAlign w:val="bottom"/>
            <w:tcBorders>
              <w:top w:val="single" w:sz="8" w:color="0000EE"/>
            </w:tcBorders>
            <w:gridSpan w:val="4"/>
          </w:tcPr>
          <w:p>
            <w:pPr>
              <w:spacing w:after="0"/>
              <w:rPr>
                <w:sz w:val="24"/>
                <w:szCs w:val="24"/>
                <w:color w:val="auto"/>
              </w:rPr>
            </w:pPr>
          </w:p>
        </w:tc>
        <w:tc>
          <w:tcPr>
            <w:tcW w:w="498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1"/>
        </w:trPr>
        <w:tc>
          <w:tcPr>
            <w:tcW w:w="2420" w:type="dxa"/>
            <w:vAlign w:val="bottom"/>
            <w:tcBorders>
              <w:bottom w:val="single" w:sz="8" w:color="0000EE"/>
            </w:tcBorders>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ADDITIONAL INFORMATION</w:t>
              </w:r>
            </w:hyperlink>
          </w:p>
        </w:tc>
        <w:tc>
          <w:tcPr>
            <w:tcW w:w="820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360"/>
          </w:cols>
          <w:pgMar w:left="240" w:top="446"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951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ind w:right="160" w:firstLine="799"/>
        <w:spacing w:after="0" w:line="264" w:lineRule="auto"/>
        <w:rPr>
          <w:sz w:val="20"/>
          <w:szCs w:val="20"/>
          <w:color w:val="auto"/>
        </w:rPr>
      </w:pPr>
      <w:r>
        <w:rPr>
          <w:rFonts w:ascii="Arial" w:cs="Arial" w:eastAsia="Arial" w:hAnsi="Arial"/>
          <w:sz w:val="18"/>
          <w:szCs w:val="18"/>
          <w:i w:val="1"/>
          <w:iCs w:val="1"/>
          <w:color w:val="auto"/>
        </w:rPr>
        <w:t>This summary highlights information contained elsewhere in the Proxy Statement. This summary does not contain all of the information that you should consider, and you should read the entire Proxy Statement before voting. For more complete information regarding the Company’s 2016 performance, please review the Company’s Annual Report on Form 10-K for the year ended December 31, 2016.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 and Time:</w:t>
            </w:r>
          </w:p>
        </w:tc>
        <w:tc>
          <w:tcPr>
            <w:tcW w:w="96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Wednesday, June 14, 2017</w:t>
            </w:r>
          </w:p>
        </w:tc>
      </w:tr>
      <w:tr>
        <w:trPr>
          <w:trHeight w:val="230"/>
        </w:trPr>
        <w:tc>
          <w:tcPr>
            <w:tcW w:w="1800" w:type="dxa"/>
            <w:vAlign w:val="bottom"/>
          </w:tcPr>
          <w:p>
            <w:pPr>
              <w:spacing w:after="0"/>
              <w:rPr>
                <w:sz w:val="20"/>
                <w:szCs w:val="20"/>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10:00 a.m., Arizona</w:t>
            </w:r>
          </w:p>
        </w:tc>
      </w:tr>
      <w:tr>
        <w:trPr>
          <w:trHeight w:val="486"/>
        </w:trPr>
        <w:tc>
          <w:tcPr>
            <w:tcW w:w="180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620" w:type="dxa"/>
            <w:vAlign w:val="bottom"/>
          </w:tcPr>
          <w:p>
            <w:pPr>
              <w:ind w:left="620"/>
              <w:spacing w:after="0"/>
              <w:rPr>
                <w:sz w:val="20"/>
                <w:szCs w:val="20"/>
                <w:color w:val="auto"/>
              </w:rPr>
            </w:pPr>
            <w:r>
              <w:rPr>
                <w:rFonts w:ascii="Arial" w:cs="Arial" w:eastAsia="Arial" w:hAnsi="Arial"/>
                <w:sz w:val="18"/>
                <w:szCs w:val="18"/>
                <w:color w:val="auto"/>
              </w:rPr>
              <w:t>April 20, 2017</w:t>
            </w:r>
          </w:p>
        </w:tc>
      </w:tr>
      <w:tr>
        <w:trPr>
          <w:trHeight w:val="458"/>
        </w:trPr>
        <w:tc>
          <w:tcPr>
            <w:tcW w:w="180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620" w:type="dxa"/>
            <w:vAlign w:val="bottom"/>
          </w:tcPr>
          <w:p>
            <w:pPr>
              <w:ind w:left="620"/>
              <w:spacing w:after="0"/>
              <w:rPr>
                <w:sz w:val="20"/>
                <w:szCs w:val="20"/>
                <w:color w:val="auto"/>
              </w:rPr>
            </w:pPr>
            <w:r>
              <w:rPr>
                <w:rFonts w:ascii="Arial" w:cs="Arial" w:eastAsia="Arial" w:hAnsi="Arial"/>
                <w:sz w:val="18"/>
                <w:szCs w:val="18"/>
                <w:color w:val="auto"/>
              </w:rPr>
              <w:t>Grand Canyon University Antelope Reception Center on the campus of Grand Canyon University</w:t>
            </w:r>
          </w:p>
        </w:tc>
      </w:tr>
      <w:tr>
        <w:trPr>
          <w:trHeight w:val="216"/>
        </w:trPr>
        <w:tc>
          <w:tcPr>
            <w:tcW w:w="18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3300 W. Camelback Road</w:t>
            </w:r>
          </w:p>
        </w:tc>
      </w:tr>
      <w:tr>
        <w:trPr>
          <w:trHeight w:val="230"/>
        </w:trPr>
        <w:tc>
          <w:tcPr>
            <w:tcW w:w="1800" w:type="dxa"/>
            <w:vAlign w:val="bottom"/>
          </w:tcPr>
          <w:p>
            <w:pPr>
              <w:spacing w:after="0"/>
              <w:rPr>
                <w:sz w:val="20"/>
                <w:szCs w:val="20"/>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Phoenix, Arizona 85017</w:t>
            </w:r>
          </w:p>
        </w:tc>
      </w:tr>
      <w:tr>
        <w:trPr>
          <w:trHeight w:val="472"/>
        </w:trPr>
        <w:tc>
          <w:tcPr>
            <w:tcW w:w="180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620" w:type="dxa"/>
            <w:vAlign w:val="bottom"/>
          </w:tcPr>
          <w:p>
            <w:pPr>
              <w:ind w:left="620"/>
              <w:spacing w:after="0"/>
              <w:rPr>
                <w:sz w:val="20"/>
                <w:szCs w:val="20"/>
                <w:color w:val="auto"/>
              </w:rPr>
            </w:pPr>
            <w:r>
              <w:rPr>
                <w:rFonts w:ascii="Arial" w:cs="Arial" w:eastAsia="Arial" w:hAnsi="Arial"/>
                <w:sz w:val="18"/>
                <w:szCs w:val="18"/>
                <w:color w:val="auto"/>
                <w:w w:val="97"/>
              </w:rPr>
              <w:t>The accompanying proxy statement describes important issues affecting Grand Canyon Education, Inc. If you are a</w:t>
            </w:r>
          </w:p>
        </w:tc>
      </w:tr>
      <w:tr>
        <w:trPr>
          <w:trHeight w:val="216"/>
        </w:trPr>
        <w:tc>
          <w:tcPr>
            <w:tcW w:w="18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w w:val="91"/>
              </w:rPr>
              <w:t>stockholder of record as of the record date, you have the right to submit your proxy through the Internet, by telephone or by</w:t>
            </w:r>
          </w:p>
        </w:tc>
      </w:tr>
      <w:tr>
        <w:trPr>
          <w:trHeight w:val="216"/>
        </w:trPr>
        <w:tc>
          <w:tcPr>
            <w:tcW w:w="18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w w:val="91"/>
              </w:rPr>
              <w:t>mail. Please help us save time and administrative costs by submitting your proxy through the Internet or by telephone. Each</w:t>
            </w:r>
          </w:p>
        </w:tc>
      </w:tr>
      <w:tr>
        <w:trPr>
          <w:trHeight w:val="216"/>
        </w:trPr>
        <w:tc>
          <w:tcPr>
            <w:tcW w:w="18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w w:val="98"/>
              </w:rPr>
              <w:t>method is generally available 24 hours a day and will ensure that your voting instructions are confirmed and posted</w:t>
            </w:r>
          </w:p>
        </w:tc>
      </w:tr>
      <w:tr>
        <w:trPr>
          <w:trHeight w:val="230"/>
        </w:trPr>
        <w:tc>
          <w:tcPr>
            <w:tcW w:w="1800" w:type="dxa"/>
            <w:vAlign w:val="bottom"/>
          </w:tcPr>
          <w:p>
            <w:pPr>
              <w:spacing w:after="0"/>
              <w:rPr>
                <w:sz w:val="20"/>
                <w:szCs w:val="20"/>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immediately. Stockholders of record as of April 20, 2017 may cast their votes in any of the following ways: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437515</wp:posOffset>
            </wp:positionV>
            <wp:extent cx="600075"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 cy="55753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471805</wp:posOffset>
            </wp:positionV>
            <wp:extent cx="300355" cy="523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355" cy="52324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497205</wp:posOffset>
            </wp:positionV>
            <wp:extent cx="445770"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5770" cy="49720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283210</wp:posOffset>
            </wp:positionV>
            <wp:extent cx="548640" cy="711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864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ind w:left="1380"/>
              <w:spacing w:after="0"/>
              <w:rPr>
                <w:sz w:val="20"/>
                <w:szCs w:val="20"/>
                <w:color w:val="auto"/>
              </w:rPr>
            </w:pPr>
            <w:r>
              <w:rPr>
                <w:rFonts w:ascii="Arial" w:cs="Arial" w:eastAsia="Arial" w:hAnsi="Arial"/>
                <w:sz w:val="15"/>
                <w:szCs w:val="15"/>
                <w:b w:val="1"/>
                <w:bCs w:val="1"/>
                <w:color w:val="3C5F52"/>
              </w:rPr>
              <w:t>Internet</w:t>
            </w:r>
          </w:p>
        </w:tc>
        <w:tc>
          <w:tcPr>
            <w:tcW w:w="2860" w:type="dxa"/>
            <w:vAlign w:val="bottom"/>
          </w:tcPr>
          <w:p>
            <w:pPr>
              <w:ind w:left="1260"/>
              <w:spacing w:after="0"/>
              <w:rPr>
                <w:sz w:val="20"/>
                <w:szCs w:val="20"/>
                <w:color w:val="auto"/>
              </w:rPr>
            </w:pPr>
            <w:r>
              <w:rPr>
                <w:rFonts w:ascii="Arial" w:cs="Arial" w:eastAsia="Arial" w:hAnsi="Arial"/>
                <w:sz w:val="15"/>
                <w:szCs w:val="15"/>
                <w:b w:val="1"/>
                <w:bCs w:val="1"/>
                <w:color w:val="3C5F52"/>
              </w:rPr>
              <w:t>Phone</w:t>
            </w:r>
          </w:p>
        </w:tc>
        <w:tc>
          <w:tcPr>
            <w:tcW w:w="2580" w:type="dxa"/>
            <w:vAlign w:val="bottom"/>
          </w:tcPr>
          <w:p>
            <w:pPr>
              <w:ind w:left="1140"/>
              <w:spacing w:after="0"/>
              <w:rPr>
                <w:sz w:val="20"/>
                <w:szCs w:val="20"/>
                <w:color w:val="auto"/>
              </w:rPr>
            </w:pPr>
            <w:r>
              <w:rPr>
                <w:rFonts w:ascii="Arial" w:cs="Arial" w:eastAsia="Arial" w:hAnsi="Arial"/>
                <w:sz w:val="15"/>
                <w:szCs w:val="15"/>
                <w:b w:val="1"/>
                <w:bCs w:val="1"/>
                <w:color w:val="3C5F52"/>
              </w:rPr>
              <w:t>Mail</w:t>
            </w:r>
          </w:p>
        </w:tc>
        <w:tc>
          <w:tcPr>
            <w:tcW w:w="2560" w:type="dxa"/>
            <w:vAlign w:val="bottom"/>
          </w:tcPr>
          <w:p>
            <w:pPr>
              <w:ind w:left="1000"/>
              <w:spacing w:after="0"/>
              <w:rPr>
                <w:sz w:val="20"/>
                <w:szCs w:val="20"/>
                <w:color w:val="auto"/>
              </w:rPr>
            </w:pPr>
            <w:r>
              <w:rPr>
                <w:rFonts w:ascii="Arial" w:cs="Arial" w:eastAsia="Arial" w:hAnsi="Arial"/>
                <w:sz w:val="15"/>
                <w:szCs w:val="15"/>
                <w:b w:val="1"/>
                <w:bCs w:val="1"/>
                <w:color w:val="3C5F52"/>
              </w:rPr>
              <w:t>In Person</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 xml:space="preserve">Visit </w:t>
            </w:r>
            <w:r>
              <w:rPr>
                <w:rFonts w:ascii="Arial" w:cs="Arial" w:eastAsia="Arial" w:hAnsi="Arial"/>
                <w:sz w:val="15"/>
                <w:szCs w:val="15"/>
                <w:i w:val="1"/>
                <w:iCs w:val="1"/>
                <w:color w:val="auto"/>
              </w:rPr>
              <w:t>www.investorvote.com/LOPE</w:t>
            </w:r>
            <w:r>
              <w:rPr>
                <w:rFonts w:ascii="Arial" w:cs="Arial" w:eastAsia="Arial" w:hAnsi="Arial"/>
                <w:sz w:val="15"/>
                <w:szCs w:val="15"/>
                <w:color w:val="auto"/>
              </w:rPr>
              <w:t>, 24 hours a day,</w:t>
            </w:r>
          </w:p>
        </w:tc>
        <w:tc>
          <w:tcPr>
            <w:tcW w:w="2860" w:type="dxa"/>
            <w:vAlign w:val="bottom"/>
          </w:tcPr>
          <w:p>
            <w:pPr>
              <w:ind w:left="100"/>
              <w:spacing w:after="0" w:line="162" w:lineRule="exact"/>
              <w:rPr>
                <w:sz w:val="20"/>
                <w:szCs w:val="20"/>
                <w:color w:val="auto"/>
              </w:rPr>
            </w:pPr>
            <w:r>
              <w:rPr>
                <w:rFonts w:ascii="Arial" w:cs="Arial" w:eastAsia="Arial" w:hAnsi="Arial"/>
                <w:sz w:val="15"/>
                <w:szCs w:val="15"/>
                <w:color w:val="auto"/>
              </w:rPr>
              <w:t>Call 1-800-652-VOTE (8683), 24 hours a</w:t>
            </w:r>
          </w:p>
        </w:tc>
        <w:tc>
          <w:tcPr>
            <w:tcW w:w="2580" w:type="dxa"/>
            <w:vAlign w:val="bottom"/>
          </w:tcPr>
          <w:p>
            <w:pPr>
              <w:ind w:left="60"/>
              <w:spacing w:after="0" w:line="162" w:lineRule="exact"/>
              <w:rPr>
                <w:sz w:val="20"/>
                <w:szCs w:val="20"/>
                <w:color w:val="auto"/>
              </w:rPr>
            </w:pPr>
            <w:r>
              <w:rPr>
                <w:rFonts w:ascii="Arial" w:cs="Arial" w:eastAsia="Arial" w:hAnsi="Arial"/>
                <w:sz w:val="15"/>
                <w:szCs w:val="15"/>
                <w:color w:val="auto"/>
              </w:rPr>
              <w:t>Mark, sign and date your proxy card.</w:t>
            </w:r>
          </w:p>
        </w:tc>
        <w:tc>
          <w:tcPr>
            <w:tcW w:w="2560" w:type="dxa"/>
            <w:vAlign w:val="bottom"/>
          </w:tcPr>
          <w:p>
            <w:pPr>
              <w:ind w:left="60"/>
              <w:spacing w:after="0" w:line="162" w:lineRule="exact"/>
              <w:rPr>
                <w:sz w:val="20"/>
                <w:szCs w:val="20"/>
                <w:color w:val="auto"/>
              </w:rPr>
            </w:pPr>
            <w:r>
              <w:rPr>
                <w:rFonts w:ascii="Arial" w:cs="Arial" w:eastAsia="Arial" w:hAnsi="Arial"/>
                <w:sz w:val="15"/>
                <w:szCs w:val="15"/>
                <w:color w:val="auto"/>
              </w:rPr>
              <w:t>If you plan to attend the meeting in</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seven days a week, through 11:00 p.m. (PT) on</w:t>
            </w:r>
          </w:p>
        </w:tc>
        <w:tc>
          <w:tcPr>
            <w:tcW w:w="2860" w:type="dxa"/>
            <w:vAlign w:val="bottom"/>
          </w:tcPr>
          <w:p>
            <w:pPr>
              <w:ind w:left="100"/>
              <w:spacing w:after="0" w:line="162" w:lineRule="exact"/>
              <w:rPr>
                <w:sz w:val="20"/>
                <w:szCs w:val="20"/>
                <w:color w:val="auto"/>
              </w:rPr>
            </w:pPr>
            <w:r>
              <w:rPr>
                <w:rFonts w:ascii="Arial" w:cs="Arial" w:eastAsia="Arial" w:hAnsi="Arial"/>
                <w:sz w:val="15"/>
                <w:szCs w:val="15"/>
                <w:color w:val="auto"/>
                <w:w w:val="93"/>
              </w:rPr>
              <w:t>day, seven days a week, through 11:00 p.m.</w:t>
            </w:r>
          </w:p>
        </w:tc>
        <w:tc>
          <w:tcPr>
            <w:tcW w:w="2580" w:type="dxa"/>
            <w:vAlign w:val="bottom"/>
          </w:tcPr>
          <w:p>
            <w:pPr>
              <w:ind w:left="60"/>
              <w:spacing w:after="0" w:line="162" w:lineRule="exact"/>
              <w:rPr>
                <w:sz w:val="20"/>
                <w:szCs w:val="20"/>
                <w:color w:val="auto"/>
              </w:rPr>
            </w:pPr>
            <w:r>
              <w:rPr>
                <w:rFonts w:ascii="Arial" w:cs="Arial" w:eastAsia="Arial" w:hAnsi="Arial"/>
                <w:sz w:val="15"/>
                <w:szCs w:val="15"/>
                <w:color w:val="auto"/>
                <w:w w:val="98"/>
              </w:rPr>
              <w:t>Return it in the enclosed postage-paid</w:t>
            </w:r>
          </w:p>
        </w:tc>
        <w:tc>
          <w:tcPr>
            <w:tcW w:w="2560" w:type="dxa"/>
            <w:vAlign w:val="bottom"/>
          </w:tcPr>
          <w:p>
            <w:pPr>
              <w:ind w:left="60"/>
              <w:spacing w:after="0" w:line="162" w:lineRule="exact"/>
              <w:rPr>
                <w:sz w:val="20"/>
                <w:szCs w:val="20"/>
                <w:color w:val="auto"/>
              </w:rPr>
            </w:pPr>
            <w:r>
              <w:rPr>
                <w:rFonts w:ascii="Arial" w:cs="Arial" w:eastAsia="Arial" w:hAnsi="Arial"/>
                <w:sz w:val="15"/>
                <w:szCs w:val="15"/>
                <w:color w:val="auto"/>
                <w:w w:val="96"/>
              </w:rPr>
              <w:t>person, you will need to bring a picture</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June 13, 2017. Please have available your notice</w:t>
            </w:r>
          </w:p>
        </w:tc>
        <w:tc>
          <w:tcPr>
            <w:tcW w:w="2860" w:type="dxa"/>
            <w:vAlign w:val="bottom"/>
          </w:tcPr>
          <w:p>
            <w:pPr>
              <w:ind w:left="100"/>
              <w:spacing w:after="0" w:line="162" w:lineRule="exact"/>
              <w:rPr>
                <w:sz w:val="20"/>
                <w:szCs w:val="20"/>
                <w:color w:val="auto"/>
              </w:rPr>
            </w:pPr>
            <w:r>
              <w:rPr>
                <w:rFonts w:ascii="Arial" w:cs="Arial" w:eastAsia="Arial" w:hAnsi="Arial"/>
                <w:sz w:val="15"/>
                <w:szCs w:val="15"/>
                <w:color w:val="auto"/>
              </w:rPr>
              <w:t>(PT)  on  June  13,  2017.  Please  have</w:t>
            </w:r>
          </w:p>
        </w:tc>
        <w:tc>
          <w:tcPr>
            <w:tcW w:w="2580" w:type="dxa"/>
            <w:vAlign w:val="bottom"/>
          </w:tcPr>
          <w:p>
            <w:pPr>
              <w:ind w:left="60"/>
              <w:spacing w:after="0" w:line="162" w:lineRule="exact"/>
              <w:rPr>
                <w:sz w:val="20"/>
                <w:szCs w:val="20"/>
                <w:color w:val="auto"/>
              </w:rPr>
            </w:pPr>
            <w:r>
              <w:rPr>
                <w:rFonts w:ascii="Arial" w:cs="Arial" w:eastAsia="Arial" w:hAnsi="Arial"/>
                <w:sz w:val="15"/>
                <w:szCs w:val="15"/>
                <w:color w:val="auto"/>
              </w:rPr>
              <w:t>envelope</w:t>
            </w:r>
          </w:p>
        </w:tc>
        <w:tc>
          <w:tcPr>
            <w:tcW w:w="2560" w:type="dxa"/>
            <w:vAlign w:val="bottom"/>
          </w:tcPr>
          <w:p>
            <w:pPr>
              <w:ind w:left="60"/>
              <w:spacing w:after="0" w:line="162" w:lineRule="exact"/>
              <w:rPr>
                <w:sz w:val="20"/>
                <w:szCs w:val="20"/>
                <w:color w:val="auto"/>
              </w:rPr>
            </w:pPr>
            <w:r>
              <w:rPr>
                <w:rFonts w:ascii="Arial" w:cs="Arial" w:eastAsia="Arial" w:hAnsi="Arial"/>
                <w:sz w:val="15"/>
                <w:szCs w:val="15"/>
                <w:color w:val="auto"/>
              </w:rPr>
              <w:t>ID and proof of ownership of Grand</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card. Follow the simple instructions provided.</w:t>
            </w:r>
          </w:p>
        </w:tc>
        <w:tc>
          <w:tcPr>
            <w:tcW w:w="2860" w:type="dxa"/>
            <w:vAlign w:val="bottom"/>
          </w:tcPr>
          <w:p>
            <w:pPr>
              <w:ind w:left="100"/>
              <w:spacing w:after="0" w:line="162" w:lineRule="exact"/>
              <w:rPr>
                <w:sz w:val="20"/>
                <w:szCs w:val="20"/>
                <w:color w:val="auto"/>
              </w:rPr>
            </w:pPr>
            <w:r>
              <w:rPr>
                <w:rFonts w:ascii="Arial" w:cs="Arial" w:eastAsia="Arial" w:hAnsi="Arial"/>
                <w:sz w:val="15"/>
                <w:szCs w:val="15"/>
                <w:color w:val="auto"/>
              </w:rPr>
              <w:t>available  your  notice  card.  Follow  the</w:t>
            </w:r>
          </w:p>
        </w:tc>
        <w:tc>
          <w:tcPr>
            <w:tcW w:w="2580" w:type="dxa"/>
            <w:vAlign w:val="bottom"/>
          </w:tcPr>
          <w:p>
            <w:pPr>
              <w:spacing w:after="0"/>
              <w:rPr>
                <w:sz w:val="14"/>
                <w:szCs w:val="14"/>
                <w:color w:val="auto"/>
              </w:rPr>
            </w:pPr>
          </w:p>
        </w:tc>
        <w:tc>
          <w:tcPr>
            <w:tcW w:w="2560" w:type="dxa"/>
            <w:vAlign w:val="bottom"/>
          </w:tcPr>
          <w:p>
            <w:pPr>
              <w:ind w:left="60"/>
              <w:spacing w:after="0" w:line="162" w:lineRule="exact"/>
              <w:rPr>
                <w:sz w:val="20"/>
                <w:szCs w:val="20"/>
                <w:color w:val="auto"/>
              </w:rPr>
            </w:pPr>
            <w:r>
              <w:rPr>
                <w:rFonts w:ascii="Arial" w:cs="Arial" w:eastAsia="Arial" w:hAnsi="Arial"/>
                <w:sz w:val="15"/>
                <w:szCs w:val="15"/>
                <w:color w:val="auto"/>
                <w:w w:val="96"/>
              </w:rPr>
              <w:t>Canyon Education, Inc. common stock</w:t>
            </w:r>
          </w:p>
        </w:tc>
      </w:tr>
      <w:tr>
        <w:trPr>
          <w:trHeight w:val="194"/>
        </w:trPr>
        <w:tc>
          <w:tcPr>
            <w:tcW w:w="3420" w:type="dxa"/>
            <w:vAlign w:val="bottom"/>
          </w:tcPr>
          <w:p>
            <w:pPr>
              <w:spacing w:after="0"/>
              <w:rPr>
                <w:sz w:val="16"/>
                <w:szCs w:val="16"/>
                <w:color w:val="auto"/>
              </w:rPr>
            </w:pPr>
          </w:p>
        </w:tc>
        <w:tc>
          <w:tcPr>
            <w:tcW w:w="2860" w:type="dxa"/>
            <w:vAlign w:val="bottom"/>
          </w:tcPr>
          <w:p>
            <w:pPr>
              <w:ind w:left="100"/>
              <w:spacing w:after="0"/>
              <w:rPr>
                <w:sz w:val="20"/>
                <w:szCs w:val="20"/>
                <w:color w:val="auto"/>
              </w:rPr>
            </w:pPr>
            <w:r>
              <w:rPr>
                <w:rFonts w:ascii="Arial" w:cs="Arial" w:eastAsia="Arial" w:hAnsi="Arial"/>
                <w:sz w:val="15"/>
                <w:szCs w:val="15"/>
                <w:color w:val="auto"/>
              </w:rPr>
              <w:t>simple instructions provided.</w:t>
            </w:r>
          </w:p>
        </w:tc>
        <w:tc>
          <w:tcPr>
            <w:tcW w:w="2580" w:type="dxa"/>
            <w:vAlign w:val="bottom"/>
          </w:tcPr>
          <w:p>
            <w:pPr>
              <w:spacing w:after="0"/>
              <w:rPr>
                <w:sz w:val="16"/>
                <w:szCs w:val="16"/>
                <w:color w:val="auto"/>
              </w:rPr>
            </w:pPr>
          </w:p>
        </w:tc>
        <w:tc>
          <w:tcPr>
            <w:tcW w:w="2560" w:type="dxa"/>
            <w:vAlign w:val="bottom"/>
          </w:tcPr>
          <w:p>
            <w:pPr>
              <w:ind w:left="60"/>
              <w:spacing w:after="0"/>
              <w:rPr>
                <w:sz w:val="20"/>
                <w:szCs w:val="20"/>
                <w:color w:val="auto"/>
              </w:rPr>
            </w:pPr>
            <w:r>
              <w:rPr>
                <w:rFonts w:ascii="Arial" w:cs="Arial" w:eastAsia="Arial" w:hAnsi="Arial"/>
                <w:sz w:val="15"/>
                <w:szCs w:val="15"/>
                <w:color w:val="auto"/>
              </w:rPr>
              <w:t>as of the record date.</w:t>
            </w: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SUMMARY OF MATTERS TO BE VOTED UPON AND BOARD RECOMMENDATIONS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Stockholders are being asked to vote on the following matters at the Annual Meeting: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i w:val="1"/>
                <w:iCs w:val="1"/>
                <w:color w:val="auto"/>
              </w:rPr>
              <w:t>Proposal</w:t>
            </w:r>
          </w:p>
        </w:tc>
        <w:tc>
          <w:tcPr>
            <w:tcW w:w="446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i w:val="1"/>
                <w:iCs w:val="1"/>
                <w:color w:val="auto"/>
              </w:rPr>
              <w:t>Description</w:t>
            </w:r>
          </w:p>
        </w:tc>
        <w:tc>
          <w:tcPr>
            <w:tcW w:w="15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Board</w:t>
            </w:r>
          </w:p>
        </w:tc>
        <w:tc>
          <w:tcPr>
            <w:tcW w:w="244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i w:val="1"/>
                <w:iCs w:val="1"/>
                <w:color w:val="auto"/>
              </w:rPr>
              <w:t>Page Reference for</w:t>
            </w:r>
          </w:p>
        </w:tc>
      </w:tr>
      <w:tr>
        <w:trPr>
          <w:trHeight w:val="206"/>
        </w:trPr>
        <w:tc>
          <w:tcPr>
            <w:tcW w:w="29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Recommendation</w:t>
            </w:r>
          </w:p>
        </w:tc>
        <w:tc>
          <w:tcPr>
            <w:tcW w:w="2440" w:type="dxa"/>
            <w:vAlign w:val="bottom"/>
          </w:tcPr>
          <w:p>
            <w:pPr>
              <w:ind w:left="300"/>
              <w:spacing w:after="0"/>
              <w:rPr>
                <w:sz w:val="20"/>
                <w:szCs w:val="20"/>
                <w:color w:val="auto"/>
              </w:rPr>
            </w:pPr>
            <w:r>
              <w:rPr>
                <w:rFonts w:ascii="Arial" w:cs="Arial" w:eastAsia="Arial" w:hAnsi="Arial"/>
                <w:sz w:val="16"/>
                <w:szCs w:val="16"/>
                <w:b w:val="1"/>
                <w:bCs w:val="1"/>
                <w:i w:val="1"/>
                <w:iCs w:val="1"/>
                <w:color w:val="auto"/>
              </w:rPr>
              <w:t>Further Information:</w:t>
            </w:r>
          </w:p>
        </w:tc>
      </w:tr>
      <w:tr>
        <w:trPr>
          <w:trHeight w:val="141"/>
        </w:trPr>
        <w:tc>
          <w:tcPr>
            <w:tcW w:w="2960" w:type="dxa"/>
            <w:vAlign w:val="bottom"/>
            <w:tcBorders>
              <w:bottom w:val="single" w:sz="8" w:color="auto"/>
            </w:tcBorders>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r>
      <w:tr>
        <w:trPr>
          <w:trHeight w:val="186"/>
        </w:trPr>
        <w:tc>
          <w:tcPr>
            <w:tcW w:w="2960" w:type="dxa"/>
            <w:vAlign w:val="bottom"/>
          </w:tcPr>
          <w:p>
            <w:pPr>
              <w:ind w:left="80"/>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i w:val="1"/>
                <w:iCs w:val="1"/>
                <w:color w:val="auto"/>
              </w:rPr>
              <w:t>To elect five directors to our Board of</w:t>
            </w:r>
          </w:p>
        </w:tc>
        <w:tc>
          <w:tcPr>
            <w:tcW w:w="4460" w:type="dxa"/>
            <w:vAlign w:val="bottom"/>
          </w:tcPr>
          <w:p>
            <w:pPr>
              <w:ind w:left="200"/>
              <w:spacing w:after="0"/>
              <w:rPr>
                <w:sz w:val="20"/>
                <w:szCs w:val="20"/>
                <w:color w:val="auto"/>
              </w:rPr>
            </w:pPr>
            <w:r>
              <w:rPr>
                <w:rFonts w:ascii="Arial" w:cs="Arial" w:eastAsia="Arial" w:hAnsi="Arial"/>
                <w:sz w:val="16"/>
                <w:szCs w:val="16"/>
                <w:color w:val="auto"/>
              </w:rPr>
              <w:t>The Board and the Nominating and Corporate Governance</w:t>
            </w:r>
          </w:p>
        </w:tc>
        <w:tc>
          <w:tcPr>
            <w:tcW w:w="1560" w:type="dxa"/>
            <w:vAlign w:val="bottom"/>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w:t>
            </w:r>
          </w:p>
        </w:tc>
        <w:tc>
          <w:tcPr>
            <w:tcW w:w="2440" w:type="dxa"/>
            <w:vAlign w:val="bottom"/>
          </w:tcPr>
          <w:p>
            <w:pPr>
              <w:spacing w:after="0"/>
              <w:rPr>
                <w:sz w:val="16"/>
                <w:szCs w:val="16"/>
                <w:color w:val="auto"/>
              </w:rPr>
            </w:pPr>
          </w:p>
        </w:tc>
      </w:tr>
      <w:tr>
        <w:trPr>
          <w:trHeight w:val="203"/>
        </w:trPr>
        <w:tc>
          <w:tcPr>
            <w:tcW w:w="2960" w:type="dxa"/>
            <w:vAlign w:val="bottom"/>
          </w:tcPr>
          <w:p>
            <w:pPr>
              <w:ind w:left="340"/>
              <w:spacing w:after="0"/>
              <w:rPr>
                <w:sz w:val="20"/>
                <w:szCs w:val="20"/>
                <w:color w:val="auto"/>
              </w:rPr>
            </w:pPr>
            <w:r>
              <w:rPr>
                <w:rFonts w:ascii="Arial" w:cs="Arial" w:eastAsia="Arial" w:hAnsi="Arial"/>
                <w:sz w:val="16"/>
                <w:szCs w:val="16"/>
                <w:i w:val="1"/>
                <w:iCs w:val="1"/>
                <w:color w:val="auto"/>
              </w:rPr>
              <w:t>Directors</w:t>
            </w:r>
            <w:r>
              <w:rPr>
                <w:rFonts w:ascii="Arial" w:cs="Arial" w:eastAsia="Arial" w:hAnsi="Arial"/>
                <w:sz w:val="16"/>
                <w:szCs w:val="16"/>
                <w:color w:val="auto"/>
              </w:rPr>
              <w:t>.</w:t>
            </w:r>
          </w:p>
        </w:tc>
        <w:tc>
          <w:tcPr>
            <w:tcW w:w="4460" w:type="dxa"/>
            <w:vAlign w:val="bottom"/>
          </w:tcPr>
          <w:p>
            <w:pPr>
              <w:ind w:left="200"/>
              <w:spacing w:after="0"/>
              <w:rPr>
                <w:sz w:val="20"/>
                <w:szCs w:val="20"/>
                <w:color w:val="auto"/>
              </w:rPr>
            </w:pPr>
            <w:r>
              <w:rPr>
                <w:rFonts w:ascii="Arial" w:cs="Arial" w:eastAsia="Arial" w:hAnsi="Arial"/>
                <w:sz w:val="16"/>
                <w:szCs w:val="16"/>
                <w:color w:val="auto"/>
                <w:w w:val="96"/>
              </w:rPr>
              <w:t>Committee believe that the five director nominees possess the</w:t>
            </w:r>
          </w:p>
        </w:tc>
        <w:tc>
          <w:tcPr>
            <w:tcW w:w="1560" w:type="dxa"/>
            <w:vAlign w:val="bottom"/>
          </w:tcPr>
          <w:p>
            <w:pPr>
              <w:ind w:left="100"/>
              <w:spacing w:after="0"/>
              <w:rPr>
                <w:sz w:val="20"/>
                <w:szCs w:val="20"/>
                <w:color w:val="auto"/>
              </w:rPr>
            </w:pPr>
            <w:r>
              <w:rPr>
                <w:rFonts w:ascii="Arial" w:cs="Arial" w:eastAsia="Arial" w:hAnsi="Arial"/>
                <w:sz w:val="16"/>
                <w:szCs w:val="16"/>
                <w:color w:val="auto"/>
              </w:rPr>
              <w:t>director nominee</w:t>
            </w:r>
          </w:p>
        </w:tc>
        <w:tc>
          <w:tcPr>
            <w:tcW w:w="24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6"/>
                <w:szCs w:val="16"/>
                <w:color w:val="auto"/>
                <w:w w:val="99"/>
              </w:rPr>
              <w:t>necessary qualifications, attributes, skills and experiences to</w:t>
            </w: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6"/>
                <w:szCs w:val="16"/>
                <w:color w:val="auto"/>
              </w:rPr>
              <w:t>provide quality advice and counsel to the Company’s</w:t>
            </w: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6"/>
                <w:szCs w:val="16"/>
                <w:color w:val="auto"/>
                <w:w w:val="92"/>
              </w:rPr>
              <w:t>management and effectively oversee the business and long-term</w:t>
            </w: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6"/>
        </w:trPr>
        <w:tc>
          <w:tcPr>
            <w:tcW w:w="296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6"/>
                <w:szCs w:val="16"/>
                <w:color w:val="auto"/>
              </w:rPr>
              <w:t>interests of our stockholders.</w:t>
            </w: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bl>
    <w:p>
      <w:pPr>
        <w:spacing w:after="0" w:line="127"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 w:lineRule="exact"/>
        <w:rPr>
          <w:sz w:val="20"/>
          <w:szCs w:val="20"/>
          <w:color w:val="auto"/>
        </w:rPr>
      </w:pPr>
    </w:p>
    <w:p>
      <w:pPr>
        <w:ind w:left="340" w:hanging="251"/>
        <w:spacing w:after="0" w:line="318" w:lineRule="auto"/>
        <w:tabs>
          <w:tab w:leader="none" w:pos="340" w:val="left"/>
        </w:tabs>
        <w:numPr>
          <w:ilvl w:val="0"/>
          <w:numId w:val="4"/>
        </w:numPr>
        <w:rPr>
          <w:rFonts w:ascii="Arial" w:cs="Arial" w:eastAsia="Arial" w:hAnsi="Arial"/>
          <w:sz w:val="14"/>
          <w:szCs w:val="14"/>
          <w:b w:val="1"/>
          <w:bCs w:val="1"/>
          <w:color w:val="auto"/>
        </w:rPr>
      </w:pPr>
      <w:r>
        <w:rPr>
          <w:rFonts w:ascii="Arial" w:cs="Arial" w:eastAsia="Arial" w:hAnsi="Arial"/>
          <w:sz w:val="14"/>
          <w:szCs w:val="14"/>
          <w:i w:val="1"/>
          <w:iCs w:val="1"/>
          <w:color w:val="auto"/>
        </w:rPr>
        <w:t>To adopt our 2017 Equity Incentive Plan (including, without limitation, certain material terms of the 2017 Plan for purposes of Section 162(m) of the Internal Revenue Code, as amended).</w:t>
      </w:r>
    </w:p>
    <w:p>
      <w:pPr>
        <w:spacing w:after="0" w:line="20" w:lineRule="exact"/>
        <w:rPr>
          <w:sz w:val="20"/>
          <w:szCs w:val="20"/>
          <w:color w:val="auto"/>
        </w:rPr>
      </w:pPr>
      <w:r>
        <w:rPr>
          <w:sz w:val="20"/>
          <w:szCs w:val="20"/>
          <w:color w:val="auto"/>
        </w:rPr>
        <w:br w:type="column"/>
      </w:r>
    </w:p>
    <w:p>
      <w:pPr>
        <w:ind w:right="3400"/>
        <w:spacing w:after="0" w:line="267" w:lineRule="auto"/>
        <w:rPr>
          <w:sz w:val="20"/>
          <w:szCs w:val="20"/>
          <w:color w:val="auto"/>
        </w:rPr>
      </w:pPr>
      <w:r>
        <w:rPr>
          <w:rFonts w:ascii="Arial" w:cs="Arial" w:eastAsia="Arial" w:hAnsi="Arial"/>
          <w:sz w:val="16"/>
          <w:szCs w:val="16"/>
          <w:color w:val="auto"/>
        </w:rPr>
        <w:t xml:space="preserve">At the Annual Meeting, stockholders will be asked to approve a </w:t>
      </w:r>
      <w:r>
        <w:rPr>
          <w:rFonts w:ascii="Arial" w:cs="Arial" w:eastAsia="Arial" w:hAnsi="Arial"/>
          <w:sz w:val="16"/>
          <w:szCs w:val="16"/>
          <w:b w:val="1"/>
          <w:bCs w:val="1"/>
          <w:color w:val="auto"/>
        </w:rPr>
        <w:t>“FOR”</w:t>
      </w:r>
      <w:r>
        <w:rPr>
          <w:rFonts w:ascii="Arial" w:cs="Arial" w:eastAsia="Arial" w:hAnsi="Arial"/>
          <w:sz w:val="16"/>
          <w:szCs w:val="16"/>
          <w:color w:val="auto"/>
        </w:rPr>
        <w:t xml:space="preserve"> new equity incentive plan to replace our existing plan, which would otherwise terminate automatically on the tenth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its initial adoption in May 2008.</w:t>
      </w:r>
    </w:p>
    <w:p>
      <w:pPr>
        <w:spacing w:after="0" w:line="348" w:lineRule="exact"/>
        <w:rPr>
          <w:sz w:val="20"/>
          <w:szCs w:val="20"/>
          <w:color w:val="auto"/>
        </w:rPr>
      </w:pPr>
    </w:p>
    <w:p>
      <w:pPr>
        <w:sectPr>
          <w:pgSz w:w="11900" w:h="16838" w:orient="portrait"/>
          <w:cols w:equalWidth="0" w:num="2">
            <w:col w:w="2900" w:space="260"/>
            <w:col w:w="8260"/>
          </w:cols>
          <w:pgMar w:left="240" w:top="459" w:right="239" w:bottom="1440" w:gutter="0" w:footer="0" w:header="0"/>
          <w:type w:val="continuous"/>
        </w:sectPr>
      </w:pPr>
    </w:p>
    <w:p>
      <w:pPr>
        <w:spacing w:after="0" w:line="4" w:lineRule="exact"/>
        <w:rPr>
          <w:sz w:val="20"/>
          <w:szCs w:val="20"/>
          <w:color w:val="auto"/>
        </w:rPr>
      </w:pPr>
    </w:p>
    <w:p>
      <w:pPr>
        <w:jc w:val="both"/>
        <w:ind w:left="340" w:hanging="251"/>
        <w:spacing w:after="0" w:line="278" w:lineRule="auto"/>
        <w:tabs>
          <w:tab w:leader="none" w:pos="34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To approve, on an advisory basis, the compensation of our named executive officers.</w:t>
      </w:r>
    </w:p>
    <w:p>
      <w:pPr>
        <w:spacing w:after="0" w:line="20" w:lineRule="exact"/>
        <w:rPr>
          <w:sz w:val="20"/>
          <w:szCs w:val="20"/>
          <w:color w:val="auto"/>
        </w:rPr>
      </w:pPr>
      <w:r>
        <w:rPr>
          <w:sz w:val="20"/>
          <w:szCs w:val="20"/>
          <w:color w:val="auto"/>
        </w:rPr>
        <w:br w:type="column"/>
      </w:r>
    </w:p>
    <w:p>
      <w:pPr>
        <w:ind w:right="3400"/>
        <w:spacing w:after="0" w:line="275" w:lineRule="auto"/>
        <w:rPr>
          <w:sz w:val="20"/>
          <w:szCs w:val="20"/>
          <w:color w:val="auto"/>
        </w:rPr>
      </w:pPr>
      <w:r>
        <w:rPr>
          <w:rFonts w:ascii="Arial" w:cs="Arial" w:eastAsia="Arial" w:hAnsi="Arial"/>
          <w:sz w:val="16"/>
          <w:szCs w:val="16"/>
          <w:color w:val="auto"/>
        </w:rPr>
        <w:t xml:space="preserve">The Company seeks the approval, on an advisory, basis, of the </w:t>
      </w:r>
      <w:r>
        <w:rPr>
          <w:rFonts w:ascii="Arial" w:cs="Arial" w:eastAsia="Arial" w:hAnsi="Arial"/>
          <w:sz w:val="16"/>
          <w:szCs w:val="16"/>
          <w:b w:val="1"/>
          <w:bCs w:val="1"/>
          <w:color w:val="auto"/>
        </w:rPr>
        <w:t>“FOR”</w:t>
      </w:r>
      <w:r>
        <w:rPr>
          <w:rFonts w:ascii="Arial" w:cs="Arial" w:eastAsia="Arial" w:hAnsi="Arial"/>
          <w:sz w:val="16"/>
          <w:szCs w:val="16"/>
          <w:color w:val="auto"/>
        </w:rPr>
        <w:t xml:space="preserve"> compensation of its named executive officers as described in the Compensation Discussion and Analysis section beginning on page 33 and the related tables beginning on page 45.</w:t>
      </w:r>
    </w:p>
    <w:p>
      <w:pPr>
        <w:spacing w:after="0" w:line="102" w:lineRule="exact"/>
        <w:rPr>
          <w:sz w:val="20"/>
          <w:szCs w:val="20"/>
          <w:color w:val="auto"/>
        </w:rPr>
      </w:pPr>
    </w:p>
    <w:p>
      <w:pPr>
        <w:sectPr>
          <w:pgSz w:w="11900" w:h="16838" w:orient="portrait"/>
          <w:cols w:equalWidth="0" w:num="2">
            <w:col w:w="2780" w:space="380"/>
            <w:col w:w="8260"/>
          </w:cols>
          <w:pgMar w:left="240" w:top="459" w:right="239" w:bottom="1440" w:gutter="0" w:footer="0" w:header="0"/>
          <w:type w:val="continuous"/>
        </w:sectPr>
      </w:pPr>
    </w:p>
    <w:p>
      <w:pPr>
        <w:spacing w:after="0" w:line="4" w:lineRule="exact"/>
        <w:rPr>
          <w:sz w:val="20"/>
          <w:szCs w:val="20"/>
          <w:color w:val="auto"/>
        </w:rPr>
      </w:pPr>
    </w:p>
    <w:p>
      <w:pPr>
        <w:ind w:left="340" w:hanging="251"/>
        <w:spacing w:after="0" w:line="324" w:lineRule="auto"/>
        <w:tabs>
          <w:tab w:leader="none" w:pos="340" w:val="left"/>
        </w:tabs>
        <w:numPr>
          <w:ilvl w:val="0"/>
          <w:numId w:val="6"/>
        </w:numPr>
        <w:rPr>
          <w:rFonts w:ascii="Arial" w:cs="Arial" w:eastAsia="Arial" w:hAnsi="Arial"/>
          <w:sz w:val="14"/>
          <w:szCs w:val="14"/>
          <w:b w:val="1"/>
          <w:bCs w:val="1"/>
          <w:color w:val="auto"/>
        </w:rPr>
      </w:pPr>
      <w:r>
        <w:rPr>
          <w:rFonts w:ascii="Arial" w:cs="Arial" w:eastAsia="Arial" w:hAnsi="Arial"/>
          <w:sz w:val="14"/>
          <w:szCs w:val="14"/>
          <w:i w:val="1"/>
          <w:iCs w:val="1"/>
          <w:color w:val="auto"/>
        </w:rPr>
        <w:t>To approve, on an advisory basis, the frequency of future advisory votes on the compensation of the 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right="120" w:hanging="251"/>
        <w:spacing w:after="0" w:line="305" w:lineRule="auto"/>
        <w:tabs>
          <w:tab w:leader="none" w:pos="340" w:val="left"/>
        </w:tabs>
        <w:numPr>
          <w:ilvl w:val="0"/>
          <w:numId w:val="7"/>
        </w:numPr>
        <w:rPr>
          <w:rFonts w:ascii="Arial" w:cs="Arial" w:eastAsia="Arial" w:hAnsi="Arial"/>
          <w:sz w:val="15"/>
          <w:szCs w:val="15"/>
          <w:b w:val="1"/>
          <w:bCs w:val="1"/>
          <w:color w:val="auto"/>
        </w:rPr>
      </w:pPr>
      <w:r>
        <w:rPr>
          <w:rFonts w:ascii="Arial" w:cs="Arial" w:eastAsia="Arial" w:hAnsi="Arial"/>
          <w:sz w:val="15"/>
          <w:szCs w:val="15"/>
          <w:i w:val="1"/>
          <w:iCs w:val="1"/>
          <w:color w:val="auto"/>
        </w:rPr>
        <w:t>To ratify the appointment of KPMG LLP as our independent registered public accounting firm.</w:t>
      </w:r>
    </w:p>
    <w:p>
      <w:pPr>
        <w:spacing w:after="0" w:line="20" w:lineRule="exact"/>
        <w:rPr>
          <w:sz w:val="20"/>
          <w:szCs w:val="20"/>
          <w:color w:val="auto"/>
        </w:rPr>
      </w:pPr>
      <w:r>
        <w:rPr>
          <w:sz w:val="20"/>
          <w:szCs w:val="20"/>
          <w:color w:val="auto"/>
        </w:rPr>
        <w:br w:type="column"/>
      </w:r>
    </w:p>
    <w:p>
      <w:pPr>
        <w:ind w:right="2680"/>
        <w:spacing w:after="0" w:line="270" w:lineRule="auto"/>
        <w:rPr>
          <w:sz w:val="20"/>
          <w:szCs w:val="20"/>
          <w:color w:val="auto"/>
        </w:rPr>
      </w:pPr>
      <w:r>
        <w:rPr>
          <w:rFonts w:ascii="Arial" w:cs="Arial" w:eastAsia="Arial" w:hAnsi="Arial"/>
          <w:sz w:val="16"/>
          <w:szCs w:val="16"/>
          <w:color w:val="auto"/>
        </w:rPr>
        <w:t xml:space="preserve">In addition to holding an advisory say-on-pay vote on executive </w:t>
      </w:r>
      <w:r>
        <w:rPr>
          <w:rFonts w:ascii="Arial" w:cs="Arial" w:eastAsia="Arial" w:hAnsi="Arial"/>
          <w:sz w:val="16"/>
          <w:szCs w:val="16"/>
          <w:b w:val="1"/>
          <w:bCs w:val="1"/>
          <w:color w:val="auto"/>
        </w:rPr>
        <w:t>“EVERY YEAR”</w:t>
      </w:r>
      <w:r>
        <w:rPr>
          <w:rFonts w:ascii="Arial" w:cs="Arial" w:eastAsia="Arial" w:hAnsi="Arial"/>
          <w:sz w:val="16"/>
          <w:szCs w:val="16"/>
          <w:color w:val="auto"/>
        </w:rPr>
        <w:t xml:space="preserve"> compensation, we are required to conduct a separate advisory vote on the frequency of future say-on-pay votes. Stockholders may cast a non-binding advisory vote on whether they would prefer that we hold the advisory say-on-pay vote every year, every two years or every three years. Stockholders may also abstain from voting on this matter.</w:t>
      </w:r>
    </w:p>
    <w:p>
      <w:pPr>
        <w:spacing w:after="0" w:line="311" w:lineRule="exact"/>
        <w:rPr>
          <w:sz w:val="20"/>
          <w:szCs w:val="20"/>
          <w:color w:val="auto"/>
        </w:rPr>
      </w:pPr>
    </w:p>
    <w:p>
      <w:pPr>
        <w:ind w:right="3400"/>
        <w:spacing w:after="0" w:line="271" w:lineRule="auto"/>
        <w:rPr>
          <w:sz w:val="20"/>
          <w:szCs w:val="20"/>
          <w:color w:val="auto"/>
        </w:rPr>
      </w:pPr>
      <w:r>
        <w:rPr>
          <w:rFonts w:ascii="Arial" w:cs="Arial" w:eastAsia="Arial" w:hAnsi="Arial"/>
          <w:sz w:val="16"/>
          <w:szCs w:val="16"/>
          <w:color w:val="auto"/>
        </w:rPr>
        <w:t xml:space="preserve">The Audit Committee and the Board believe that the retention of </w:t>
      </w:r>
      <w:r>
        <w:rPr>
          <w:rFonts w:ascii="Arial" w:cs="Arial" w:eastAsia="Arial" w:hAnsi="Arial"/>
          <w:sz w:val="16"/>
          <w:szCs w:val="16"/>
          <w:b w:val="1"/>
          <w:bCs w:val="1"/>
          <w:color w:val="auto"/>
        </w:rPr>
        <w:t>“FOR”</w:t>
      </w:r>
      <w:r>
        <w:rPr>
          <w:rFonts w:ascii="Arial" w:cs="Arial" w:eastAsia="Arial" w:hAnsi="Arial"/>
          <w:sz w:val="16"/>
          <w:szCs w:val="16"/>
          <w:color w:val="auto"/>
        </w:rPr>
        <w:t xml:space="preserve"> KPMG LLP to serve as our independent registered public accounting firm for the fiscal year ending December 31, 2017 is in the best interests of the Company and its stockholders and we are asking our stockholders to ratify the Audit Committee’s selection of KPMG LLP to serve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92075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760" w:space="400"/>
            <w:col w:w="8260"/>
          </w:cols>
          <w:pgMar w:left="240" w:top="459" w:right="239" w:bottom="1440" w:gutter="0" w:footer="0" w:header="0"/>
          <w:type w:val="continuous"/>
        </w:sectPr>
      </w:pPr>
    </w:p>
    <w:p>
      <w:pPr>
        <w:ind w:left="240"/>
        <w:spacing w:after="0"/>
        <w:rPr>
          <w:sz w:val="20"/>
          <w:szCs w:val="20"/>
          <w:color w:val="auto"/>
        </w:rPr>
      </w:pPr>
      <w:r>
        <w:rPr>
          <w:rFonts w:ascii="Arial" w:cs="Arial" w:eastAsia="Arial" w:hAnsi="Arial"/>
          <w:sz w:val="18"/>
          <w:szCs w:val="18"/>
          <w:b w:val="1"/>
          <w:bCs w:val="1"/>
          <w:color w:val="auto"/>
        </w:rPr>
        <w:t>DIRECTOR NOMINEES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provides summary information regarding our director nominees: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2120" w:type="dxa"/>
            <w:vAlign w:val="bottom"/>
            <w:gridSpan w:val="3"/>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Age</w:t>
            </w:r>
          </w:p>
        </w:tc>
        <w:tc>
          <w:tcPr>
            <w:tcW w:w="78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Director</w:t>
            </w:r>
          </w:p>
        </w:tc>
        <w:tc>
          <w:tcPr>
            <w:tcW w:w="45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Primary Occupation</w:t>
            </w:r>
          </w:p>
        </w:tc>
        <w:tc>
          <w:tcPr>
            <w:tcW w:w="21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Committee Memberships</w:t>
            </w:r>
            <w:r>
              <w:rPr>
                <w:rFonts w:ascii="Arial" w:cs="Arial" w:eastAsia="Arial" w:hAnsi="Arial"/>
                <w:sz w:val="11"/>
                <w:szCs w:val="11"/>
                <w:b w:val="1"/>
                <w:bCs w:val="1"/>
                <w:color w:val="auto"/>
              </w:rPr>
              <w:t>(1)</w:t>
            </w:r>
          </w:p>
        </w:tc>
        <w:tc>
          <w:tcPr>
            <w:tcW w:w="1520" w:type="dxa"/>
            <w:vAlign w:val="bottom"/>
          </w:tcPr>
          <w:p>
            <w:pPr>
              <w:jc w:val="center"/>
              <w:ind w:right="5"/>
              <w:spacing w:after="0" w:line="119" w:lineRule="exact"/>
              <w:rPr>
                <w:sz w:val="20"/>
                <w:szCs w:val="20"/>
                <w:color w:val="auto"/>
              </w:rPr>
            </w:pPr>
            <w:r>
              <w:rPr>
                <w:rFonts w:ascii="Arial" w:cs="Arial" w:eastAsia="Arial" w:hAnsi="Arial"/>
                <w:sz w:val="13"/>
                <w:szCs w:val="13"/>
                <w:b w:val="1"/>
                <w:bCs w:val="1"/>
                <w:color w:val="auto"/>
              </w:rPr>
              <w:t>Other Public</w:t>
            </w:r>
          </w:p>
        </w:tc>
        <w:tc>
          <w:tcPr>
            <w:tcW w:w="0" w:type="dxa"/>
            <w:vAlign w:val="bottom"/>
          </w:tcPr>
          <w:p>
            <w:pPr>
              <w:spacing w:after="0"/>
              <w:rPr>
                <w:sz w:val="1"/>
                <w:szCs w:val="1"/>
                <w:color w:val="auto"/>
              </w:rPr>
            </w:pPr>
          </w:p>
        </w:tc>
      </w:tr>
      <w:tr>
        <w:trPr>
          <w:trHeight w:val="186"/>
        </w:trPr>
        <w:tc>
          <w:tcPr>
            <w:tcW w:w="15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Since</w:t>
            </w:r>
          </w:p>
        </w:tc>
        <w:tc>
          <w:tcPr>
            <w:tcW w:w="45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tcPr>
          <w:p>
            <w:pPr>
              <w:jc w:val="center"/>
              <w:ind w:right="5"/>
              <w:spacing w:after="0"/>
              <w:rPr>
                <w:sz w:val="20"/>
                <w:szCs w:val="20"/>
                <w:color w:val="auto"/>
              </w:rPr>
            </w:pPr>
            <w:r>
              <w:rPr>
                <w:rFonts w:ascii="Arial" w:cs="Arial" w:eastAsia="Arial" w:hAnsi="Arial"/>
                <w:sz w:val="14"/>
                <w:szCs w:val="14"/>
                <w:b w:val="1"/>
                <w:bCs w:val="1"/>
                <w:color w:val="auto"/>
                <w:w w:val="93"/>
              </w:rPr>
              <w:t>Company Boards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6"/>
                <w:szCs w:val="16"/>
                <w:i w:val="1"/>
                <w:iCs w:val="1"/>
                <w:color w:val="auto"/>
              </w:rPr>
              <w:t>A</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rPr>
              <w:t>C</w:t>
            </w:r>
          </w:p>
        </w:tc>
        <w:tc>
          <w:tcPr>
            <w:tcW w:w="740" w:type="dxa"/>
            <w:vAlign w:val="bottom"/>
          </w:tcPr>
          <w:p>
            <w:pPr>
              <w:jc w:val="center"/>
              <w:spacing w:after="0"/>
              <w:rPr>
                <w:sz w:val="20"/>
                <w:szCs w:val="20"/>
                <w:color w:val="auto"/>
              </w:rPr>
            </w:pPr>
            <w:r>
              <w:rPr>
                <w:rFonts w:ascii="Arial" w:cs="Arial" w:eastAsia="Arial" w:hAnsi="Arial"/>
                <w:sz w:val="16"/>
                <w:szCs w:val="16"/>
                <w:i w:val="1"/>
                <w:iCs w:val="1"/>
                <w:color w:val="auto"/>
                <w:w w:val="89"/>
              </w:rPr>
              <w:t>NCG</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2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E. Mueller*</w:t>
            </w:r>
          </w:p>
        </w:tc>
        <w:tc>
          <w:tcPr>
            <w:tcW w:w="70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63</w:t>
            </w:r>
          </w:p>
        </w:tc>
        <w:tc>
          <w:tcPr>
            <w:tcW w:w="78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2009</w:t>
            </w:r>
          </w:p>
        </w:tc>
        <w:tc>
          <w:tcPr>
            <w:tcW w:w="45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98"/>
              </w:rPr>
              <w:t>Chairman of the Board of Directors and Chief Executive Officer,</w:t>
            </w:r>
          </w:p>
        </w:tc>
        <w:tc>
          <w:tcPr>
            <w:tcW w:w="7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Grand Canyon Education, Inc.</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President, Grand Canyon University</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520" w:type="dxa"/>
            <w:vAlign w:val="bottom"/>
            <w:gridSpan w:val="2"/>
          </w:tcPr>
          <w:p>
            <w:pPr>
              <w:spacing w:after="0"/>
              <w:rPr>
                <w:sz w:val="20"/>
                <w:szCs w:val="20"/>
                <w:color w:val="auto"/>
              </w:rPr>
            </w:pPr>
            <w:r>
              <w:rPr>
                <w:rFonts w:ascii="Arial" w:cs="Arial" w:eastAsia="Arial" w:hAnsi="Arial"/>
                <w:sz w:val="16"/>
                <w:szCs w:val="16"/>
                <w:color w:val="auto"/>
              </w:rPr>
              <w:t>Sara R. Dial</w:t>
            </w:r>
            <w:r>
              <w:rPr>
                <w:rFonts w:ascii="Arial" w:cs="Arial" w:eastAsia="Arial" w:hAnsi="Arial"/>
                <w:sz w:val="27"/>
                <w:szCs w:val="27"/>
                <w:color w:val="auto"/>
                <w:vertAlign w:val="superscript"/>
              </w:rPr>
              <w:t>+</w:t>
            </w:r>
            <w:r>
              <w:rPr>
                <w:rFonts w:ascii="Arial" w:cs="Arial" w:eastAsia="Arial" w:hAnsi="Arial"/>
                <w:sz w:val="10"/>
                <w:szCs w:val="10"/>
                <w:color w:val="auto"/>
              </w:rPr>
              <w:t>≠</w:t>
            </w:r>
          </w:p>
        </w:tc>
        <w:tc>
          <w:tcPr>
            <w:tcW w:w="700" w:type="dxa"/>
            <w:vAlign w:val="bottom"/>
          </w:tcPr>
          <w:p>
            <w:pPr>
              <w:ind w:left="340"/>
              <w:spacing w:after="0"/>
              <w:rPr>
                <w:sz w:val="20"/>
                <w:szCs w:val="20"/>
                <w:color w:val="auto"/>
              </w:rPr>
            </w:pPr>
            <w:r>
              <w:rPr>
                <w:rFonts w:ascii="Arial" w:cs="Arial" w:eastAsia="Arial" w:hAnsi="Arial"/>
                <w:sz w:val="16"/>
                <w:szCs w:val="16"/>
                <w:color w:val="auto"/>
              </w:rPr>
              <w:t>53</w:t>
            </w:r>
          </w:p>
        </w:tc>
        <w:tc>
          <w:tcPr>
            <w:tcW w:w="780" w:type="dxa"/>
            <w:vAlign w:val="bottom"/>
          </w:tcPr>
          <w:p>
            <w:pPr>
              <w:ind w:left="140"/>
              <w:spacing w:after="0"/>
              <w:rPr>
                <w:sz w:val="20"/>
                <w:szCs w:val="20"/>
                <w:color w:val="auto"/>
              </w:rPr>
            </w:pPr>
            <w:r>
              <w:rPr>
                <w:rFonts w:ascii="Arial" w:cs="Arial" w:eastAsia="Arial" w:hAnsi="Arial"/>
                <w:sz w:val="16"/>
                <w:szCs w:val="16"/>
                <w:color w:val="auto"/>
              </w:rPr>
              <w:t>2013</w:t>
            </w:r>
          </w:p>
        </w:tc>
        <w:tc>
          <w:tcPr>
            <w:tcW w:w="4560" w:type="dxa"/>
            <w:vAlign w:val="bottom"/>
          </w:tcPr>
          <w:p>
            <w:pPr>
              <w:ind w:left="120"/>
              <w:spacing w:after="0"/>
              <w:rPr>
                <w:sz w:val="20"/>
                <w:szCs w:val="20"/>
                <w:color w:val="auto"/>
              </w:rPr>
            </w:pPr>
            <w:r>
              <w:rPr>
                <w:rFonts w:ascii="Arial" w:cs="Arial" w:eastAsia="Arial" w:hAnsi="Arial"/>
                <w:sz w:val="16"/>
                <w:szCs w:val="16"/>
                <w:color w:val="auto"/>
              </w:rPr>
              <w:t>President and Chief Executive Officer, Sara Dial &amp; Associates</w:t>
            </w:r>
          </w:p>
        </w:tc>
        <w:tc>
          <w:tcPr>
            <w:tcW w:w="7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5"/>
              </w:rPr>
              <w:t>Ö</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Ö*</w:t>
            </w:r>
          </w:p>
        </w:tc>
        <w:tc>
          <w:tcPr>
            <w:tcW w:w="1520" w:type="dxa"/>
            <w:vAlign w:val="bottom"/>
          </w:tcPr>
          <w:p>
            <w:pPr>
              <w:jc w:val="right"/>
              <w:ind w:right="625"/>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560" w:type="dxa"/>
            <w:vAlign w:val="bottom"/>
          </w:tcPr>
          <w:p>
            <w:pPr>
              <w:spacing w:after="0"/>
              <w:rPr>
                <w:sz w:val="20"/>
                <w:szCs w:val="20"/>
                <w:color w:val="auto"/>
              </w:rPr>
            </w:pPr>
            <w:r>
              <w:rPr>
                <w:rFonts w:ascii="Arial" w:cs="Arial" w:eastAsia="Arial" w:hAnsi="Arial"/>
                <w:sz w:val="16"/>
                <w:szCs w:val="16"/>
                <w:color w:val="auto"/>
              </w:rPr>
              <w:t>Jack A. Henry</w:t>
            </w:r>
            <w:r>
              <w:rPr>
                <w:rFonts w:ascii="Arial" w:cs="Arial" w:eastAsia="Arial" w:hAnsi="Arial"/>
                <w:sz w:val="27"/>
                <w:szCs w:val="27"/>
                <w:color w:val="auto"/>
                <w:vertAlign w:val="superscript"/>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73</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2008</w:t>
            </w:r>
          </w:p>
        </w:tc>
        <w:tc>
          <w:tcPr>
            <w:tcW w:w="4120" w:type="dxa"/>
            <w:vAlign w:val="bottom"/>
          </w:tcPr>
          <w:p>
            <w:pPr>
              <w:ind w:left="240"/>
              <w:spacing w:after="0"/>
              <w:rPr>
                <w:sz w:val="20"/>
                <w:szCs w:val="20"/>
                <w:color w:val="auto"/>
              </w:rPr>
            </w:pPr>
            <w:r>
              <w:rPr>
                <w:rFonts w:ascii="Arial" w:cs="Arial" w:eastAsia="Arial" w:hAnsi="Arial"/>
                <w:sz w:val="16"/>
                <w:szCs w:val="16"/>
                <w:color w:val="auto"/>
              </w:rPr>
              <w:t>Managing Director, Sierra Blanca Ventures, LLC</w:t>
            </w:r>
          </w:p>
        </w:tc>
        <w:tc>
          <w:tcPr>
            <w:tcW w:w="1220" w:type="dxa"/>
            <w:vAlign w:val="bottom"/>
          </w:tcPr>
          <w:p>
            <w:pPr>
              <w:ind w:left="700"/>
              <w:spacing w:after="0"/>
              <w:rPr>
                <w:sz w:val="20"/>
                <w:szCs w:val="20"/>
                <w:color w:val="auto"/>
              </w:rPr>
            </w:pPr>
            <w:r>
              <w:rPr>
                <w:rFonts w:ascii="Arial" w:cs="Arial" w:eastAsia="Arial" w:hAnsi="Arial"/>
                <w:sz w:val="16"/>
                <w:szCs w:val="16"/>
                <w:color w:val="auto"/>
              </w:rPr>
              <w:t>Ö*</w:t>
            </w: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Ö</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8"/>
        </w:trPr>
        <w:tc>
          <w:tcPr>
            <w:tcW w:w="1560" w:type="dxa"/>
            <w:vAlign w:val="bottom"/>
          </w:tcPr>
          <w:p>
            <w:pPr>
              <w:spacing w:after="0"/>
              <w:rPr>
                <w:sz w:val="20"/>
                <w:szCs w:val="20"/>
                <w:color w:val="auto"/>
              </w:rPr>
            </w:pPr>
            <w:r>
              <w:rPr>
                <w:rFonts w:ascii="Arial" w:cs="Arial" w:eastAsia="Arial" w:hAnsi="Arial"/>
                <w:sz w:val="16"/>
                <w:szCs w:val="16"/>
                <w:color w:val="auto"/>
              </w:rPr>
              <w:t>Kevin F. Warren</w:t>
            </w:r>
            <w:r>
              <w:rPr>
                <w:rFonts w:ascii="Arial" w:cs="Arial" w:eastAsia="Arial" w:hAnsi="Arial"/>
                <w:sz w:val="27"/>
                <w:szCs w:val="27"/>
                <w:color w:val="auto"/>
                <w:vertAlign w:val="superscript"/>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2012</w:t>
            </w:r>
          </w:p>
        </w:tc>
        <w:tc>
          <w:tcPr>
            <w:tcW w:w="4120" w:type="dxa"/>
            <w:vAlign w:val="bottom"/>
          </w:tcPr>
          <w:p>
            <w:pPr>
              <w:ind w:left="240"/>
              <w:spacing w:after="0"/>
              <w:rPr>
                <w:sz w:val="20"/>
                <w:szCs w:val="20"/>
                <w:color w:val="auto"/>
              </w:rPr>
            </w:pPr>
            <w:r>
              <w:rPr>
                <w:rFonts w:ascii="Arial" w:cs="Arial" w:eastAsia="Arial" w:hAnsi="Arial"/>
                <w:sz w:val="16"/>
                <w:szCs w:val="16"/>
                <w:color w:val="auto"/>
              </w:rPr>
              <w:t>Chief Operating Officer, Minnesota Vikings</w:t>
            </w:r>
          </w:p>
        </w:tc>
        <w:tc>
          <w:tcPr>
            <w:tcW w:w="1220" w:type="dxa"/>
            <w:vAlign w:val="bottom"/>
          </w:tcPr>
          <w:p>
            <w:pPr>
              <w:ind w:left="700"/>
              <w:spacing w:after="0"/>
              <w:rPr>
                <w:sz w:val="20"/>
                <w:szCs w:val="20"/>
                <w:color w:val="auto"/>
              </w:rPr>
            </w:pPr>
            <w:r>
              <w:rPr>
                <w:rFonts w:ascii="Arial" w:cs="Arial" w:eastAsia="Arial" w:hAnsi="Arial"/>
                <w:sz w:val="16"/>
                <w:szCs w:val="16"/>
                <w:color w:val="auto"/>
              </w:rPr>
              <w:t>Ö</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Ö*</w:t>
            </w: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Ö</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359"/>
        </w:trPr>
        <w:tc>
          <w:tcPr>
            <w:tcW w:w="1560" w:type="dxa"/>
            <w:vAlign w:val="bottom"/>
          </w:tcPr>
          <w:p>
            <w:pPr>
              <w:spacing w:after="0"/>
              <w:rPr>
                <w:sz w:val="20"/>
                <w:szCs w:val="20"/>
                <w:color w:val="auto"/>
              </w:rPr>
            </w:pPr>
            <w:r>
              <w:rPr>
                <w:rFonts w:ascii="Arial" w:cs="Arial" w:eastAsia="Arial" w:hAnsi="Arial"/>
                <w:sz w:val="16"/>
                <w:szCs w:val="16"/>
                <w:color w:val="auto"/>
              </w:rPr>
              <w:t>David J. Johnson</w:t>
            </w:r>
            <w:r>
              <w:rPr>
                <w:rFonts w:ascii="Arial" w:cs="Arial" w:eastAsia="Arial" w:hAnsi="Arial"/>
                <w:sz w:val="27"/>
                <w:szCs w:val="27"/>
                <w:color w:val="auto"/>
                <w:vertAlign w:val="superscript"/>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2008</w:t>
            </w:r>
          </w:p>
        </w:tc>
        <w:tc>
          <w:tcPr>
            <w:tcW w:w="4120" w:type="dxa"/>
            <w:vAlign w:val="bottom"/>
          </w:tcPr>
          <w:p>
            <w:pPr>
              <w:ind w:left="240"/>
              <w:spacing w:after="0"/>
              <w:rPr>
                <w:sz w:val="20"/>
                <w:szCs w:val="20"/>
                <w:color w:val="auto"/>
              </w:rPr>
            </w:pPr>
            <w:r>
              <w:rPr>
                <w:rFonts w:ascii="Arial" w:cs="Arial" w:eastAsia="Arial" w:hAnsi="Arial"/>
                <w:sz w:val="16"/>
                <w:szCs w:val="16"/>
                <w:color w:val="auto"/>
              </w:rPr>
              <w:t>Senior business executive (retired)</w:t>
            </w:r>
          </w:p>
        </w:tc>
        <w:tc>
          <w:tcPr>
            <w:tcW w:w="1220" w:type="dxa"/>
            <w:vAlign w:val="bottom"/>
          </w:tcPr>
          <w:p>
            <w:pPr>
              <w:ind w:left="700"/>
              <w:spacing w:after="0"/>
              <w:rPr>
                <w:sz w:val="20"/>
                <w:szCs w:val="20"/>
                <w:color w:val="auto"/>
              </w:rPr>
            </w:pPr>
            <w:r>
              <w:rPr>
                <w:rFonts w:ascii="Arial" w:cs="Arial" w:eastAsia="Arial" w:hAnsi="Arial"/>
                <w:sz w:val="16"/>
                <w:szCs w:val="16"/>
                <w:color w:val="auto"/>
              </w:rPr>
              <w:t>Ö</w:t>
            </w:r>
          </w:p>
        </w:tc>
        <w:tc>
          <w:tcPr>
            <w:tcW w:w="760" w:type="dxa"/>
            <w:vAlign w:val="bottom"/>
          </w:tcPr>
          <w:p>
            <w:pPr>
              <w:spacing w:after="0"/>
              <w:rPr>
                <w:sz w:val="24"/>
                <w:szCs w:val="24"/>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Ö</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8" w:lineRule="exact"/>
        <w:rPr>
          <w:sz w:val="20"/>
          <w:szCs w:val="20"/>
          <w:color w:val="auto"/>
        </w:rPr>
      </w:pPr>
    </w:p>
    <w:p>
      <w:pPr>
        <w:ind w:left="800" w:hanging="792"/>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Chair</w:t>
      </w:r>
    </w:p>
    <w:p>
      <w:pPr>
        <w:ind w:left="800" w:hanging="792"/>
        <w:spacing w:after="0" w:line="221"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Independent director</w:t>
      </w:r>
    </w:p>
    <w:p>
      <w:pPr>
        <w:ind w:left="800" w:hanging="792"/>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215"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A</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C=</w:t>
      </w:r>
      <w:r>
        <w:rPr>
          <w:rFonts w:ascii="Arial" w:cs="Arial" w:eastAsia="Arial" w:hAnsi="Arial"/>
          <w:sz w:val="14"/>
          <w:szCs w:val="14"/>
          <w:color w:val="auto"/>
        </w:rPr>
        <w:t>Compensation Committee; and</w:t>
      </w:r>
      <w:r>
        <w:rPr>
          <w:rFonts w:ascii="Arial" w:cs="Arial" w:eastAsia="Arial" w:hAnsi="Arial"/>
          <w:sz w:val="14"/>
          <w:szCs w:val="14"/>
          <w:b w:val="1"/>
          <w:bCs w:val="1"/>
          <w:color w:val="auto"/>
        </w:rPr>
        <w:t xml:space="preserve"> NCG</w:t>
      </w:r>
      <w:r>
        <w:rPr>
          <w:rFonts w:ascii="Arial" w:cs="Arial" w:eastAsia="Arial" w:hAnsi="Arial"/>
          <w:sz w:val="14"/>
          <w:szCs w:val="14"/>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2016 CORPORATE GOVERNANCE HIGHLIGHTS</w:t>
      </w:r>
    </w:p>
    <w:p>
      <w:pPr>
        <w:spacing w:after="0" w:line="154"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We believe that effective corporate governance is critical to our ability to create long term value for our stockholders. The following highlights certain key aspects of our corporate governance framework: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570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color w:val="auto"/>
              </w:rPr>
              <w:t xml:space="preserve">Ö   </w:t>
            </w:r>
            <w:r>
              <w:rPr>
                <w:rFonts w:ascii="Arial" w:cs="Arial" w:eastAsia="Arial" w:hAnsi="Arial"/>
                <w:sz w:val="16"/>
                <w:szCs w:val="16"/>
                <w:b w:val="1"/>
                <w:bCs w:val="1"/>
                <w:i w:val="1"/>
                <w:iCs w:val="1"/>
                <w:color w:val="auto"/>
              </w:rPr>
              <w:t>We Have An Independent Board</w:t>
            </w:r>
            <w:r>
              <w:rPr>
                <w:rFonts w:ascii="Arial" w:cs="Arial" w:eastAsia="Arial" w:hAnsi="Arial"/>
                <w:sz w:val="16"/>
                <w:szCs w:val="16"/>
                <w:color w:val="auto"/>
              </w:rPr>
              <w:t>. Four of our five director nominees are</w:t>
            </w:r>
          </w:p>
        </w:tc>
        <w:tc>
          <w:tcPr>
            <w:tcW w:w="200" w:type="dxa"/>
            <w:vAlign w:val="bottom"/>
            <w:tcBorders>
              <w:top w:val="single" w:sz="8" w:color="auto"/>
            </w:tcBorders>
          </w:tcPr>
          <w:p>
            <w:pPr>
              <w:spacing w:after="0"/>
              <w:rPr>
                <w:sz w:val="17"/>
                <w:szCs w:val="17"/>
                <w:color w:val="auto"/>
              </w:rPr>
            </w:pPr>
          </w:p>
        </w:tc>
        <w:tc>
          <w:tcPr>
            <w:tcW w:w="52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2"/>
              </w:rPr>
              <w:t xml:space="preserve">Ö  </w:t>
            </w:r>
            <w:r>
              <w:rPr>
                <w:rFonts w:ascii="Arial" w:cs="Arial" w:eastAsia="Arial" w:hAnsi="Arial"/>
                <w:sz w:val="16"/>
                <w:szCs w:val="16"/>
                <w:b w:val="1"/>
                <w:bCs w:val="1"/>
                <w:i w:val="1"/>
                <w:iCs w:val="1"/>
                <w:color w:val="auto"/>
                <w:w w:val="92"/>
              </w:rPr>
              <w:t>Our Independent Directors Meet Without Management</w:t>
            </w:r>
            <w:r>
              <w:rPr>
                <w:rFonts w:ascii="Arial" w:cs="Arial" w:eastAsia="Arial" w:hAnsi="Arial"/>
                <w:sz w:val="16"/>
                <w:szCs w:val="16"/>
                <w:color w:val="auto"/>
                <w:w w:val="92"/>
              </w:rPr>
              <w:t>. Our independent</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independent and we have fully independent Audit, Compensation and</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rPr>
              <w:t>directors meet regularly in executive sessions without management</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Nominating and Corporate Governance Committees.</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rPr>
              <w:t>present.</w:t>
            </w:r>
          </w:p>
        </w:tc>
      </w:tr>
      <w:tr>
        <w:trPr>
          <w:trHeight w:val="334"/>
        </w:trPr>
        <w:tc>
          <w:tcPr>
            <w:tcW w:w="240" w:type="dxa"/>
            <w:vAlign w:val="bottom"/>
          </w:tcPr>
          <w:p>
            <w:pPr>
              <w:spacing w:after="0"/>
              <w:rPr>
                <w:sz w:val="24"/>
                <w:szCs w:val="24"/>
                <w:color w:val="auto"/>
              </w:rPr>
            </w:pPr>
          </w:p>
        </w:tc>
        <w:tc>
          <w:tcPr>
            <w:tcW w:w="5700" w:type="dxa"/>
            <w:vAlign w:val="bottom"/>
            <w:gridSpan w:val="5"/>
          </w:tcPr>
          <w:p>
            <w:pPr>
              <w:ind w:left="80"/>
              <w:spacing w:after="0"/>
              <w:rPr>
                <w:sz w:val="20"/>
                <w:szCs w:val="20"/>
                <w:color w:val="auto"/>
              </w:rPr>
            </w:pPr>
            <w:r>
              <w:rPr>
                <w:rFonts w:ascii="Arial" w:cs="Arial" w:eastAsia="Arial" w:hAnsi="Arial"/>
                <w:sz w:val="18"/>
                <w:szCs w:val="18"/>
                <w:color w:val="auto"/>
                <w:w w:val="96"/>
              </w:rPr>
              <w:t xml:space="preserve">Ö   </w:t>
            </w:r>
            <w:r>
              <w:rPr>
                <w:rFonts w:ascii="Arial" w:cs="Arial" w:eastAsia="Arial" w:hAnsi="Arial"/>
                <w:sz w:val="16"/>
                <w:szCs w:val="16"/>
                <w:b w:val="1"/>
                <w:bCs w:val="1"/>
                <w:i w:val="1"/>
                <w:iCs w:val="1"/>
                <w:color w:val="auto"/>
                <w:w w:val="96"/>
              </w:rPr>
              <w:t>We Have Majority Voting for Directors</w:t>
            </w:r>
            <w:r>
              <w:rPr>
                <w:rFonts w:ascii="Arial" w:cs="Arial" w:eastAsia="Arial" w:hAnsi="Arial"/>
                <w:sz w:val="16"/>
                <w:szCs w:val="16"/>
                <w:color w:val="auto"/>
                <w:w w:val="96"/>
              </w:rPr>
              <w:t>. We have adopted majority voting for</w:t>
            </w:r>
          </w:p>
        </w:tc>
        <w:tc>
          <w:tcPr>
            <w:tcW w:w="200" w:type="dxa"/>
            <w:vAlign w:val="bottom"/>
          </w:tcPr>
          <w:p>
            <w:pPr>
              <w:spacing w:after="0"/>
              <w:rPr>
                <w:sz w:val="24"/>
                <w:szCs w:val="24"/>
                <w:color w:val="auto"/>
              </w:rPr>
            </w:pPr>
          </w:p>
        </w:tc>
        <w:tc>
          <w:tcPr>
            <w:tcW w:w="5280" w:type="dxa"/>
            <w:vAlign w:val="bottom"/>
            <w:gridSpan w:val="2"/>
          </w:tcPr>
          <w:p>
            <w:pPr>
              <w:ind w:left="60"/>
              <w:spacing w:after="0"/>
              <w:rPr>
                <w:sz w:val="20"/>
                <w:szCs w:val="20"/>
                <w:color w:val="auto"/>
              </w:rPr>
            </w:pPr>
            <w:r>
              <w:rPr>
                <w:rFonts w:ascii="Arial" w:cs="Arial" w:eastAsia="Arial" w:hAnsi="Arial"/>
                <w:sz w:val="18"/>
                <w:szCs w:val="18"/>
                <w:color w:val="auto"/>
                <w:w w:val="91"/>
              </w:rPr>
              <w:t xml:space="preserve">Ö  </w:t>
            </w:r>
            <w:r>
              <w:rPr>
                <w:rFonts w:ascii="Arial" w:cs="Arial" w:eastAsia="Arial" w:hAnsi="Arial"/>
                <w:sz w:val="16"/>
                <w:szCs w:val="16"/>
                <w:b w:val="1"/>
                <w:bCs w:val="1"/>
                <w:i w:val="1"/>
                <w:iCs w:val="1"/>
                <w:color w:val="auto"/>
                <w:w w:val="91"/>
              </w:rPr>
              <w:t>We Have a Stock Ownership Policy</w:t>
            </w:r>
            <w:r>
              <w:rPr>
                <w:rFonts w:ascii="Arial" w:cs="Arial" w:eastAsia="Arial" w:hAnsi="Arial"/>
                <w:sz w:val="16"/>
                <w:szCs w:val="16"/>
                <w:color w:val="auto"/>
                <w:w w:val="91"/>
              </w:rPr>
              <w:t>. We require both our named executive</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directors pursuant to which nominees who fail to achieve an affirmative</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w w:val="97"/>
              </w:rPr>
              <w:t>officers and our directors to maintain a meaningful ownership stake at</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majority of votes cast must submit their resignation.</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rPr>
              <w:t>levels specified in our stock ownership policy</w:t>
            </w:r>
          </w:p>
        </w:tc>
      </w:tr>
      <w:tr>
        <w:trPr>
          <w:trHeight w:val="334"/>
        </w:trPr>
        <w:tc>
          <w:tcPr>
            <w:tcW w:w="240" w:type="dxa"/>
            <w:vAlign w:val="bottom"/>
          </w:tcPr>
          <w:p>
            <w:pPr>
              <w:spacing w:after="0"/>
              <w:rPr>
                <w:sz w:val="24"/>
                <w:szCs w:val="24"/>
                <w:color w:val="auto"/>
              </w:rPr>
            </w:pPr>
          </w:p>
        </w:tc>
        <w:tc>
          <w:tcPr>
            <w:tcW w:w="5700" w:type="dxa"/>
            <w:vAlign w:val="bottom"/>
            <w:gridSpan w:val="5"/>
          </w:tcPr>
          <w:p>
            <w:pPr>
              <w:ind w:left="80"/>
              <w:spacing w:after="0"/>
              <w:rPr>
                <w:sz w:val="20"/>
                <w:szCs w:val="20"/>
                <w:color w:val="auto"/>
              </w:rPr>
            </w:pPr>
            <w:r>
              <w:rPr>
                <w:rFonts w:ascii="Arial" w:cs="Arial" w:eastAsia="Arial" w:hAnsi="Arial"/>
                <w:sz w:val="18"/>
                <w:szCs w:val="18"/>
                <w:color w:val="auto"/>
                <w:w w:val="98"/>
              </w:rPr>
              <w:t xml:space="preserve">Ö   </w:t>
            </w:r>
            <w:r>
              <w:rPr>
                <w:rFonts w:ascii="Arial" w:cs="Arial" w:eastAsia="Arial" w:hAnsi="Arial"/>
                <w:sz w:val="16"/>
                <w:szCs w:val="16"/>
                <w:b w:val="1"/>
                <w:bCs w:val="1"/>
                <w:i w:val="1"/>
                <w:iCs w:val="1"/>
                <w:color w:val="auto"/>
                <w:w w:val="98"/>
              </w:rPr>
              <w:t>We Hold Annual Elections for our Directors.</w:t>
            </w:r>
            <w:r>
              <w:rPr>
                <w:rFonts w:ascii="Arial" w:cs="Arial" w:eastAsia="Arial" w:hAnsi="Arial"/>
                <w:sz w:val="18"/>
                <w:szCs w:val="18"/>
                <w:color w:val="auto"/>
                <w:w w:val="98"/>
              </w:rPr>
              <w:t xml:space="preserve"> </w:t>
            </w:r>
            <w:r>
              <w:rPr>
                <w:rFonts w:ascii="Arial" w:cs="Arial" w:eastAsia="Arial" w:hAnsi="Arial"/>
                <w:sz w:val="16"/>
                <w:szCs w:val="16"/>
                <w:color w:val="auto"/>
                <w:w w:val="98"/>
              </w:rPr>
              <w:t>We do not have a staggered</w:t>
            </w:r>
          </w:p>
        </w:tc>
        <w:tc>
          <w:tcPr>
            <w:tcW w:w="200" w:type="dxa"/>
            <w:vAlign w:val="bottom"/>
          </w:tcPr>
          <w:p>
            <w:pPr>
              <w:spacing w:after="0"/>
              <w:rPr>
                <w:sz w:val="24"/>
                <w:szCs w:val="24"/>
                <w:color w:val="auto"/>
              </w:rPr>
            </w:pPr>
          </w:p>
        </w:tc>
        <w:tc>
          <w:tcPr>
            <w:tcW w:w="5280" w:type="dxa"/>
            <w:vAlign w:val="bottom"/>
            <w:gridSpan w:val="2"/>
          </w:tcPr>
          <w:p>
            <w:pPr>
              <w:ind w:left="60"/>
              <w:spacing w:after="0"/>
              <w:rPr>
                <w:sz w:val="20"/>
                <w:szCs w:val="20"/>
                <w:color w:val="auto"/>
              </w:rPr>
            </w:pPr>
            <w:r>
              <w:rPr>
                <w:rFonts w:ascii="Arial" w:cs="Arial" w:eastAsia="Arial" w:hAnsi="Arial"/>
                <w:sz w:val="18"/>
                <w:szCs w:val="18"/>
                <w:color w:val="auto"/>
                <w:w w:val="94"/>
              </w:rPr>
              <w:t xml:space="preserve">Ö  </w:t>
            </w:r>
            <w:r>
              <w:rPr>
                <w:rFonts w:ascii="Arial" w:cs="Arial" w:eastAsia="Arial" w:hAnsi="Arial"/>
                <w:sz w:val="16"/>
                <w:szCs w:val="16"/>
                <w:b w:val="1"/>
                <w:bCs w:val="1"/>
                <w:i w:val="1"/>
                <w:iCs w:val="1"/>
                <w:color w:val="auto"/>
                <w:w w:val="94"/>
              </w:rPr>
              <w:t>Our Key Committees are Independent</w:t>
            </w:r>
            <w:r>
              <w:rPr>
                <w:rFonts w:ascii="Arial" w:cs="Arial" w:eastAsia="Arial" w:hAnsi="Arial"/>
                <w:sz w:val="16"/>
                <w:szCs w:val="16"/>
                <w:color w:val="auto"/>
                <w:w w:val="94"/>
              </w:rPr>
              <w:t>. We have fully independent Audit,</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6"/>
                <w:szCs w:val="16"/>
                <w:color w:val="auto"/>
              </w:rPr>
              <w:t>board.</w:t>
            </w:r>
          </w:p>
        </w:tc>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w w:val="93"/>
              </w:rPr>
              <w:t>Compensation and Nominating and Corporate Governance Committees.</w:t>
            </w:r>
          </w:p>
        </w:tc>
      </w:tr>
      <w:tr>
        <w:trPr>
          <w:trHeight w:val="334"/>
        </w:trPr>
        <w:tc>
          <w:tcPr>
            <w:tcW w:w="240" w:type="dxa"/>
            <w:vAlign w:val="bottom"/>
          </w:tcPr>
          <w:p>
            <w:pPr>
              <w:spacing w:after="0"/>
              <w:rPr>
                <w:sz w:val="24"/>
                <w:szCs w:val="24"/>
                <w:color w:val="auto"/>
              </w:rPr>
            </w:pPr>
          </w:p>
        </w:tc>
        <w:tc>
          <w:tcPr>
            <w:tcW w:w="5700" w:type="dxa"/>
            <w:vAlign w:val="bottom"/>
            <w:gridSpan w:val="5"/>
          </w:tcPr>
          <w:p>
            <w:pPr>
              <w:ind w:left="80"/>
              <w:spacing w:after="0"/>
              <w:rPr>
                <w:sz w:val="20"/>
                <w:szCs w:val="20"/>
                <w:color w:val="auto"/>
              </w:rPr>
            </w:pPr>
            <w:r>
              <w:rPr>
                <w:rFonts w:ascii="Arial" w:cs="Arial" w:eastAsia="Arial" w:hAnsi="Arial"/>
                <w:sz w:val="18"/>
                <w:szCs w:val="18"/>
                <w:color w:val="auto"/>
                <w:w w:val="93"/>
              </w:rPr>
              <w:t xml:space="preserve">Ö   </w:t>
            </w:r>
            <w:r>
              <w:rPr>
                <w:rFonts w:ascii="Arial" w:cs="Arial" w:eastAsia="Arial" w:hAnsi="Arial"/>
                <w:sz w:val="16"/>
                <w:szCs w:val="16"/>
                <w:b w:val="1"/>
                <w:bCs w:val="1"/>
                <w:i w:val="1"/>
                <w:iCs w:val="1"/>
                <w:color w:val="auto"/>
                <w:w w:val="93"/>
              </w:rPr>
              <w:t>We Measure Board Performance</w:t>
            </w:r>
            <w:r>
              <w:rPr>
                <w:rFonts w:ascii="Arial" w:cs="Arial" w:eastAsia="Arial" w:hAnsi="Arial"/>
                <w:sz w:val="16"/>
                <w:szCs w:val="16"/>
                <w:color w:val="auto"/>
                <w:w w:val="93"/>
              </w:rPr>
              <w:t>. We conduct regular evaluations of our Board</w:t>
            </w:r>
          </w:p>
        </w:tc>
        <w:tc>
          <w:tcPr>
            <w:tcW w:w="200" w:type="dxa"/>
            <w:vAlign w:val="bottom"/>
          </w:tcPr>
          <w:p>
            <w:pPr>
              <w:spacing w:after="0"/>
              <w:rPr>
                <w:sz w:val="24"/>
                <w:szCs w:val="24"/>
                <w:color w:val="auto"/>
              </w:rPr>
            </w:pPr>
          </w:p>
        </w:tc>
        <w:tc>
          <w:tcPr>
            <w:tcW w:w="5280" w:type="dxa"/>
            <w:vAlign w:val="bottom"/>
            <w:gridSpan w:val="2"/>
          </w:tcPr>
          <w:p>
            <w:pPr>
              <w:ind w:left="60"/>
              <w:spacing w:after="0"/>
              <w:rPr>
                <w:sz w:val="20"/>
                <w:szCs w:val="20"/>
                <w:color w:val="auto"/>
              </w:rPr>
            </w:pPr>
            <w:r>
              <w:rPr>
                <w:rFonts w:ascii="Arial" w:cs="Arial" w:eastAsia="Arial" w:hAnsi="Arial"/>
                <w:sz w:val="18"/>
                <w:szCs w:val="18"/>
                <w:color w:val="auto"/>
                <w:w w:val="93"/>
              </w:rPr>
              <w:t xml:space="preserve">Ö  </w:t>
            </w:r>
            <w:r>
              <w:rPr>
                <w:rFonts w:ascii="Arial" w:cs="Arial" w:eastAsia="Arial" w:hAnsi="Arial"/>
                <w:sz w:val="16"/>
                <w:szCs w:val="16"/>
                <w:b w:val="1"/>
                <w:bCs w:val="1"/>
                <w:i w:val="1"/>
                <w:iCs w:val="1"/>
                <w:color w:val="auto"/>
                <w:w w:val="93"/>
              </w:rPr>
              <w:t>We Do Not Have a “Poison Pill.”</w:t>
            </w:r>
            <w:r>
              <w:rPr>
                <w:rFonts w:ascii="Arial" w:cs="Arial" w:eastAsia="Arial" w:hAnsi="Arial"/>
                <w:sz w:val="18"/>
                <w:szCs w:val="18"/>
                <w:color w:val="auto"/>
                <w:w w:val="93"/>
              </w:rPr>
              <w:t xml:space="preserve"> </w:t>
            </w:r>
            <w:r>
              <w:rPr>
                <w:rFonts w:ascii="Arial" w:cs="Arial" w:eastAsia="Arial" w:hAnsi="Arial"/>
                <w:sz w:val="16"/>
                <w:szCs w:val="16"/>
                <w:color w:val="auto"/>
                <w:w w:val="93"/>
              </w:rPr>
              <w:t>We do not maintain a stockholder rights</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and Committees.</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rPr>
              <w:t>plan.</w:t>
            </w:r>
          </w:p>
        </w:tc>
      </w:tr>
      <w:tr>
        <w:trPr>
          <w:trHeight w:val="546"/>
        </w:trPr>
        <w:tc>
          <w:tcPr>
            <w:tcW w:w="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0"/>
        </w:trPr>
        <w:tc>
          <w:tcPr>
            <w:tcW w:w="5940" w:type="dxa"/>
            <w:vAlign w:val="bottom"/>
            <w:gridSpan w:val="6"/>
          </w:tcPr>
          <w:p>
            <w:pPr>
              <w:ind w:left="80"/>
              <w:spacing w:after="0"/>
              <w:rPr>
                <w:sz w:val="20"/>
                <w:szCs w:val="20"/>
                <w:color w:val="auto"/>
              </w:rPr>
            </w:pPr>
            <w:r>
              <w:rPr>
                <w:rFonts w:ascii="Arial" w:cs="Arial" w:eastAsia="Arial" w:hAnsi="Arial"/>
                <w:sz w:val="16"/>
                <w:szCs w:val="16"/>
                <w:color w:val="auto"/>
              </w:rPr>
              <w:t>2016 COMPENSATION PRACTICES HIGHLIGHTS</w:t>
            </w:r>
          </w:p>
        </w:tc>
        <w:tc>
          <w:tcPr>
            <w:tcW w:w="2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06"/>
        </w:trPr>
        <w:tc>
          <w:tcPr>
            <w:tcW w:w="5940" w:type="dxa"/>
            <w:vAlign w:val="bottom"/>
            <w:gridSpan w:val="6"/>
          </w:tcPr>
          <w:p>
            <w:pPr>
              <w:ind w:left="80"/>
              <w:spacing w:after="0"/>
              <w:rPr>
                <w:sz w:val="20"/>
                <w:szCs w:val="20"/>
                <w:color w:val="auto"/>
              </w:rPr>
            </w:pPr>
            <w:r>
              <w:rPr>
                <w:rFonts w:ascii="Arial" w:cs="Arial" w:eastAsia="Arial" w:hAnsi="Arial"/>
                <w:sz w:val="16"/>
                <w:szCs w:val="16"/>
                <w:color w:val="auto"/>
                <w:w w:val="99"/>
              </w:rPr>
              <w:t>The following summarizes key aspects of our compensation policies and programs:</w:t>
            </w:r>
          </w:p>
        </w:tc>
        <w:tc>
          <w:tcPr>
            <w:tcW w:w="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87"/>
        </w:trPr>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83"/>
        </w:trPr>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What We Do:</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What We Don’t Do:</w:t>
            </w:r>
          </w:p>
        </w:tc>
        <w:tc>
          <w:tcPr>
            <w:tcW w:w="760" w:type="dxa"/>
            <w:vAlign w:val="bottom"/>
          </w:tcPr>
          <w:p>
            <w:pPr>
              <w:spacing w:after="0"/>
              <w:rPr>
                <w:sz w:val="15"/>
                <w:szCs w:val="15"/>
                <w:color w:val="auto"/>
              </w:rPr>
            </w:pPr>
          </w:p>
        </w:tc>
      </w:tr>
      <w:tr>
        <w:trPr>
          <w:trHeight w:val="348"/>
        </w:trPr>
        <w:tc>
          <w:tcPr>
            <w:tcW w:w="1260" w:type="dxa"/>
            <w:vAlign w:val="bottom"/>
            <w:gridSpan w:val="3"/>
          </w:tcPr>
          <w:p>
            <w:pPr>
              <w:jc w:val="right"/>
              <w:ind w:right="219"/>
              <w:spacing w:after="0"/>
              <w:rPr>
                <w:sz w:val="20"/>
                <w:szCs w:val="20"/>
                <w:color w:val="auto"/>
              </w:rPr>
            </w:pPr>
            <w:r>
              <w:rPr>
                <w:rFonts w:ascii="Arial" w:cs="Arial" w:eastAsia="Arial" w:hAnsi="Arial"/>
                <w:sz w:val="16"/>
                <w:szCs w:val="16"/>
                <w:color w:val="auto"/>
              </w:rPr>
              <w:t>Ö</w:t>
            </w:r>
          </w:p>
        </w:tc>
        <w:tc>
          <w:tcPr>
            <w:tcW w:w="4680" w:type="dxa"/>
            <w:vAlign w:val="bottom"/>
            <w:gridSpan w:val="3"/>
          </w:tcPr>
          <w:p>
            <w:pPr>
              <w:ind w:left="120"/>
              <w:spacing w:after="0"/>
              <w:rPr>
                <w:sz w:val="20"/>
                <w:szCs w:val="20"/>
                <w:color w:val="auto"/>
              </w:rPr>
            </w:pPr>
            <w:r>
              <w:rPr>
                <w:rFonts w:ascii="Arial" w:cs="Arial" w:eastAsia="Arial" w:hAnsi="Arial"/>
                <w:sz w:val="16"/>
                <w:szCs w:val="16"/>
                <w:b w:val="1"/>
                <w:bCs w:val="1"/>
                <w:i w:val="1"/>
                <w:iCs w:val="1"/>
                <w:color w:val="auto"/>
              </w:rPr>
              <w:t xml:space="preserve">We Pay for Performance: </w:t>
            </w:r>
            <w:r>
              <w:rPr>
                <w:rFonts w:ascii="Arial" w:cs="Arial" w:eastAsia="Arial" w:hAnsi="Arial"/>
                <w:sz w:val="16"/>
                <w:szCs w:val="16"/>
                <w:color w:val="auto"/>
              </w:rPr>
              <w:t>A significant portion of our cash</w:t>
            </w:r>
          </w:p>
        </w:tc>
        <w:tc>
          <w:tcPr>
            <w:tcW w:w="200" w:type="dxa"/>
            <w:vAlign w:val="bottom"/>
          </w:tcPr>
          <w:p>
            <w:pPr>
              <w:ind w:left="60"/>
              <w:spacing w:after="0"/>
              <w:rPr>
                <w:sz w:val="20"/>
                <w:szCs w:val="20"/>
                <w:color w:val="auto"/>
              </w:rPr>
            </w:pPr>
            <w:r>
              <w:rPr>
                <w:rFonts w:ascii="Arial" w:cs="Arial" w:eastAsia="Arial" w:hAnsi="Arial"/>
                <w:sz w:val="16"/>
                <w:szCs w:val="16"/>
                <w:color w:val="auto"/>
              </w:rPr>
              <w:t>c</w:t>
            </w:r>
          </w:p>
        </w:tc>
        <w:tc>
          <w:tcPr>
            <w:tcW w:w="528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 xml:space="preserve">We Can Claw Back Compensation: </w:t>
            </w:r>
            <w:r>
              <w:rPr>
                <w:rFonts w:ascii="Arial" w:cs="Arial" w:eastAsia="Arial" w:hAnsi="Arial"/>
                <w:sz w:val="16"/>
                <w:szCs w:val="16"/>
                <w:color w:val="auto"/>
              </w:rPr>
              <w:t>We have the ability to</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compensation is based on achievement of key financial metrics</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recoup incentive compensation if the Company’s financial</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that are disclosed to our stockholders.</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results are restated or materially misstated due in whole or in</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part to misconduct by one or more of our named executive</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officers.</w:t>
            </w:r>
          </w:p>
        </w:tc>
      </w:tr>
      <w:tr>
        <w:trPr>
          <w:trHeight w:val="374"/>
        </w:trPr>
        <w:tc>
          <w:tcPr>
            <w:tcW w:w="1260" w:type="dxa"/>
            <w:vAlign w:val="bottom"/>
            <w:gridSpan w:val="3"/>
          </w:tcPr>
          <w:p>
            <w:pPr>
              <w:jc w:val="right"/>
              <w:ind w:right="219"/>
              <w:spacing w:after="0"/>
              <w:rPr>
                <w:sz w:val="20"/>
                <w:szCs w:val="20"/>
                <w:color w:val="auto"/>
              </w:rPr>
            </w:pPr>
            <w:r>
              <w:rPr>
                <w:rFonts w:ascii="Arial" w:cs="Arial" w:eastAsia="Arial" w:hAnsi="Arial"/>
                <w:sz w:val="16"/>
                <w:szCs w:val="16"/>
                <w:color w:val="auto"/>
              </w:rPr>
              <w:t>Ö</w:t>
            </w:r>
          </w:p>
        </w:tc>
        <w:tc>
          <w:tcPr>
            <w:tcW w:w="4680" w:type="dxa"/>
            <w:vAlign w:val="bottom"/>
            <w:gridSpan w:val="3"/>
          </w:tcPr>
          <w:p>
            <w:pPr>
              <w:ind w:left="120"/>
              <w:spacing w:after="0"/>
              <w:rPr>
                <w:sz w:val="20"/>
                <w:szCs w:val="20"/>
                <w:color w:val="auto"/>
              </w:rPr>
            </w:pPr>
            <w:r>
              <w:rPr>
                <w:rFonts w:ascii="Arial" w:cs="Arial" w:eastAsia="Arial" w:hAnsi="Arial"/>
                <w:sz w:val="16"/>
                <w:szCs w:val="16"/>
                <w:b w:val="1"/>
                <w:bCs w:val="1"/>
                <w:i w:val="1"/>
                <w:iCs w:val="1"/>
                <w:color w:val="auto"/>
                <w:w w:val="98"/>
              </w:rPr>
              <w:t>We Do Not Guarantee Salary Increases or Bonuses</w:t>
            </w:r>
            <w:r>
              <w:rPr>
                <w:rFonts w:ascii="Arial" w:cs="Arial" w:eastAsia="Arial" w:hAnsi="Arial"/>
                <w:sz w:val="16"/>
                <w:szCs w:val="16"/>
                <w:color w:val="auto"/>
                <w:w w:val="98"/>
              </w:rPr>
              <w:t>: We have</w:t>
            </w:r>
          </w:p>
        </w:tc>
        <w:tc>
          <w:tcPr>
            <w:tcW w:w="200" w:type="dxa"/>
            <w:vAlign w:val="bottom"/>
          </w:tcPr>
          <w:p>
            <w:pPr>
              <w:ind w:left="60"/>
              <w:spacing w:after="0"/>
              <w:rPr>
                <w:sz w:val="20"/>
                <w:szCs w:val="20"/>
                <w:color w:val="auto"/>
              </w:rPr>
            </w:pPr>
            <w:r>
              <w:rPr>
                <w:rFonts w:ascii="Arial" w:cs="Arial" w:eastAsia="Arial" w:hAnsi="Arial"/>
                <w:sz w:val="16"/>
                <w:szCs w:val="16"/>
                <w:color w:val="auto"/>
              </w:rPr>
              <w:t>c</w:t>
            </w:r>
          </w:p>
        </w:tc>
        <w:tc>
          <w:tcPr>
            <w:tcW w:w="528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 xml:space="preserve">We Do Not Have Tax Gross-Ups: </w:t>
            </w:r>
            <w:r>
              <w:rPr>
                <w:rFonts w:ascii="Arial" w:cs="Arial" w:eastAsia="Arial" w:hAnsi="Arial"/>
                <w:sz w:val="16"/>
                <w:szCs w:val="16"/>
                <w:color w:val="auto"/>
              </w:rPr>
              <w:t>We do not provide tax</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w w:val="96"/>
              </w:rPr>
              <w:t>raised the base salaries of our named executive officers only once</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gross-ups on any severance, change-in-control or other</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since 2013 and bonuses are strictly performance based.</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payments.</w:t>
            </w:r>
          </w:p>
        </w:tc>
      </w:tr>
      <w:tr>
        <w:trPr>
          <w:trHeight w:val="371"/>
        </w:trPr>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60" w:type="dxa"/>
            <w:vAlign w:val="bottom"/>
            <w:gridSpan w:val="2"/>
          </w:tcPr>
          <w:p>
            <w:pPr>
              <w:ind w:left="44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00" w:type="dxa"/>
            <w:vAlign w:val="bottom"/>
          </w:tcPr>
          <w:p>
            <w:pPr>
              <w:jc w:val="right"/>
              <w:ind w:right="119"/>
              <w:spacing w:after="0"/>
              <w:rPr>
                <w:sz w:val="20"/>
                <w:szCs w:val="20"/>
                <w:color w:val="auto"/>
              </w:rPr>
            </w:pPr>
            <w:r>
              <w:rPr>
                <w:rFonts w:ascii="Arial" w:cs="Arial" w:eastAsia="Arial" w:hAnsi="Arial"/>
                <w:sz w:val="16"/>
                <w:szCs w:val="16"/>
                <w:color w:val="auto"/>
              </w:rPr>
              <w:t>Ö</w:t>
            </w:r>
          </w:p>
        </w:tc>
        <w:tc>
          <w:tcPr>
            <w:tcW w:w="464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 xml:space="preserve">We Balance Our Incentive Compensation: </w:t>
            </w:r>
            <w:r>
              <w:rPr>
                <w:rFonts w:ascii="Arial" w:cs="Arial" w:eastAsia="Arial" w:hAnsi="Arial"/>
                <w:sz w:val="16"/>
                <w:szCs w:val="16"/>
                <w:color w:val="auto"/>
              </w:rPr>
              <w:t>Our incentive</w:t>
            </w:r>
          </w:p>
        </w:tc>
        <w:tc>
          <w:tcPr>
            <w:tcW w:w="500" w:type="dxa"/>
            <w:vAlign w:val="bottom"/>
          </w:tcPr>
          <w:p>
            <w:pPr>
              <w:ind w:left="160"/>
              <w:spacing w:after="0"/>
              <w:rPr>
                <w:sz w:val="20"/>
                <w:szCs w:val="20"/>
                <w:color w:val="auto"/>
              </w:rPr>
            </w:pPr>
            <w:r>
              <w:rPr>
                <w:rFonts w:ascii="Arial" w:cs="Arial" w:eastAsia="Arial" w:hAnsi="Arial"/>
                <w:sz w:val="16"/>
                <w:szCs w:val="16"/>
                <w:color w:val="auto"/>
              </w:rPr>
              <w:t>c</w:t>
            </w:r>
          </w:p>
        </w:tc>
        <w:tc>
          <w:tcPr>
            <w:tcW w:w="4360" w:type="dxa"/>
            <w:vAlign w:val="bottom"/>
          </w:tcPr>
          <w:p>
            <w:pPr>
              <w:ind w:left="280"/>
              <w:spacing w:after="0"/>
              <w:rPr>
                <w:sz w:val="20"/>
                <w:szCs w:val="20"/>
                <w:color w:val="auto"/>
              </w:rPr>
            </w:pPr>
            <w:r>
              <w:rPr>
                <w:rFonts w:ascii="Arial" w:cs="Arial" w:eastAsia="Arial" w:hAnsi="Arial"/>
                <w:sz w:val="16"/>
                <w:szCs w:val="16"/>
                <w:b w:val="1"/>
                <w:bCs w:val="1"/>
                <w:i w:val="1"/>
                <w:iCs w:val="1"/>
                <w:color w:val="auto"/>
                <w:w w:val="97"/>
              </w:rPr>
              <w:t>No Hedging, Short Sales, or Pledging</w:t>
            </w:r>
            <w:r>
              <w:rPr>
                <w:rFonts w:ascii="Arial" w:cs="Arial" w:eastAsia="Arial" w:hAnsi="Arial"/>
                <w:sz w:val="16"/>
                <w:szCs w:val="16"/>
                <w:color w:val="auto"/>
                <w:w w:val="97"/>
              </w:rPr>
              <w:t>. Under our insider</w:t>
            </w:r>
          </w:p>
        </w:tc>
      </w:tr>
      <w:tr>
        <w:trPr>
          <w:trHeight w:val="203"/>
        </w:trPr>
        <w:tc>
          <w:tcPr>
            <w:tcW w:w="7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Arial" w:cs="Arial" w:eastAsia="Arial" w:hAnsi="Arial"/>
                <w:sz w:val="16"/>
                <w:szCs w:val="16"/>
                <w:color w:val="auto"/>
              </w:rPr>
              <w:t>compensation programs provide a balance of short-term cash</w:t>
            </w:r>
          </w:p>
        </w:tc>
        <w:tc>
          <w:tcPr>
            <w:tcW w:w="50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Arial" w:cs="Arial" w:eastAsia="Arial" w:hAnsi="Arial"/>
                <w:sz w:val="16"/>
                <w:szCs w:val="16"/>
                <w:color w:val="auto"/>
                <w:w w:val="97"/>
              </w:rPr>
              <w:t>trading policy, our officers and directors are prohibited from</w:t>
            </w:r>
          </w:p>
        </w:tc>
      </w:tr>
      <w:tr>
        <w:trPr>
          <w:trHeight w:val="203"/>
        </w:trPr>
        <w:tc>
          <w:tcPr>
            <w:tcW w:w="7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Arial" w:cs="Arial" w:eastAsia="Arial" w:hAnsi="Arial"/>
                <w:sz w:val="16"/>
                <w:szCs w:val="16"/>
                <w:color w:val="auto"/>
              </w:rPr>
              <w:t>incentives that are based on achievement of annual financial</w:t>
            </w:r>
          </w:p>
        </w:tc>
        <w:tc>
          <w:tcPr>
            <w:tcW w:w="50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Arial" w:cs="Arial" w:eastAsia="Arial" w:hAnsi="Arial"/>
                <w:sz w:val="16"/>
                <w:szCs w:val="16"/>
                <w:color w:val="auto"/>
                <w:w w:val="99"/>
              </w:rPr>
              <w:t>hedging, effecting short sales of, and (except in extremely</w:t>
            </w:r>
          </w:p>
        </w:tc>
      </w:tr>
      <w:tr>
        <w:trPr>
          <w:trHeight w:val="206"/>
        </w:trPr>
        <w:tc>
          <w:tcPr>
            <w:tcW w:w="7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Arial" w:cs="Arial" w:eastAsia="Arial" w:hAnsi="Arial"/>
                <w:sz w:val="16"/>
                <w:szCs w:val="16"/>
                <w:color w:val="auto"/>
                <w:w w:val="94"/>
              </w:rPr>
              <w:t>metrics and time-based equity incentives that vest over five years.</w:t>
            </w:r>
          </w:p>
        </w:tc>
        <w:tc>
          <w:tcPr>
            <w:tcW w:w="50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Arial" w:cs="Arial" w:eastAsia="Arial" w:hAnsi="Arial"/>
                <w:sz w:val="16"/>
                <w:szCs w:val="16"/>
                <w:color w:val="auto"/>
              </w:rPr>
              <w:t>limited circumstances) pledging our stock.</w:t>
            </w:r>
          </w:p>
        </w:tc>
      </w:tr>
      <w:tr>
        <w:trPr>
          <w:trHeight w:val="374"/>
        </w:trPr>
        <w:tc>
          <w:tcPr>
            <w:tcW w:w="700" w:type="dxa"/>
            <w:vAlign w:val="bottom"/>
          </w:tcPr>
          <w:p>
            <w:pPr>
              <w:jc w:val="right"/>
              <w:ind w:right="119"/>
              <w:spacing w:after="0"/>
              <w:rPr>
                <w:sz w:val="20"/>
                <w:szCs w:val="20"/>
                <w:color w:val="auto"/>
              </w:rPr>
            </w:pPr>
            <w:r>
              <w:rPr>
                <w:rFonts w:ascii="Arial" w:cs="Arial" w:eastAsia="Arial" w:hAnsi="Arial"/>
                <w:sz w:val="16"/>
                <w:szCs w:val="16"/>
                <w:color w:val="auto"/>
              </w:rPr>
              <w:t>Ö</w:t>
            </w:r>
          </w:p>
        </w:tc>
        <w:tc>
          <w:tcPr>
            <w:tcW w:w="4640" w:type="dxa"/>
            <w:vAlign w:val="bottom"/>
          </w:tcPr>
          <w:p>
            <w:pPr>
              <w:ind w:left="220"/>
              <w:spacing w:after="0"/>
              <w:rPr>
                <w:sz w:val="20"/>
                <w:szCs w:val="20"/>
                <w:color w:val="auto"/>
              </w:rPr>
            </w:pPr>
            <w:r>
              <w:rPr>
                <w:rFonts w:ascii="Arial" w:cs="Arial" w:eastAsia="Arial" w:hAnsi="Arial"/>
                <w:sz w:val="16"/>
                <w:szCs w:val="16"/>
                <w:b w:val="1"/>
                <w:bCs w:val="1"/>
                <w:i w:val="1"/>
                <w:iCs w:val="1"/>
                <w:color w:val="auto"/>
                <w:w w:val="99"/>
              </w:rPr>
              <w:t xml:space="preserve">We Retain an Independent Compensation Consultant: </w:t>
            </w:r>
            <w:r>
              <w:rPr>
                <w:rFonts w:ascii="Arial" w:cs="Arial" w:eastAsia="Arial" w:hAnsi="Arial"/>
                <w:sz w:val="16"/>
                <w:szCs w:val="16"/>
                <w:color w:val="auto"/>
                <w:w w:val="99"/>
              </w:rPr>
              <w:t>Our</w:t>
            </w:r>
          </w:p>
        </w:tc>
        <w:tc>
          <w:tcPr>
            <w:tcW w:w="500" w:type="dxa"/>
            <w:vAlign w:val="bottom"/>
          </w:tcPr>
          <w:p>
            <w:pPr>
              <w:ind w:left="160"/>
              <w:spacing w:after="0"/>
              <w:rPr>
                <w:sz w:val="20"/>
                <w:szCs w:val="20"/>
                <w:color w:val="auto"/>
              </w:rPr>
            </w:pPr>
            <w:r>
              <w:rPr>
                <w:rFonts w:ascii="Arial" w:cs="Arial" w:eastAsia="Arial" w:hAnsi="Arial"/>
                <w:sz w:val="16"/>
                <w:szCs w:val="16"/>
                <w:color w:val="auto"/>
              </w:rPr>
              <w:t>c</w:t>
            </w:r>
          </w:p>
        </w:tc>
        <w:tc>
          <w:tcPr>
            <w:tcW w:w="4360" w:type="dxa"/>
            <w:vAlign w:val="bottom"/>
          </w:tcPr>
          <w:p>
            <w:pPr>
              <w:ind w:left="280"/>
              <w:spacing w:after="0"/>
              <w:rPr>
                <w:sz w:val="20"/>
                <w:szCs w:val="20"/>
                <w:color w:val="auto"/>
              </w:rPr>
            </w:pPr>
            <w:r>
              <w:rPr>
                <w:rFonts w:ascii="Arial" w:cs="Arial" w:eastAsia="Arial" w:hAnsi="Arial"/>
                <w:sz w:val="16"/>
                <w:szCs w:val="16"/>
                <w:b w:val="1"/>
                <w:bCs w:val="1"/>
                <w:i w:val="1"/>
                <w:iCs w:val="1"/>
                <w:color w:val="auto"/>
                <w:w w:val="99"/>
              </w:rPr>
              <w:t xml:space="preserve">We Do Not Provide Excessive Perquisites: </w:t>
            </w:r>
            <w:r>
              <w:rPr>
                <w:rFonts w:ascii="Arial" w:cs="Arial" w:eastAsia="Arial" w:hAnsi="Arial"/>
                <w:sz w:val="16"/>
                <w:szCs w:val="16"/>
                <w:color w:val="auto"/>
                <w:w w:val="99"/>
              </w:rPr>
              <w:t>Our named</w:t>
            </w:r>
          </w:p>
        </w:tc>
      </w:tr>
      <w:tr>
        <w:trPr>
          <w:trHeight w:val="203"/>
        </w:trPr>
        <w:tc>
          <w:tcPr>
            <w:tcW w:w="7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Arial" w:cs="Arial" w:eastAsia="Arial" w:hAnsi="Arial"/>
                <w:sz w:val="16"/>
                <w:szCs w:val="16"/>
                <w:color w:val="auto"/>
                <w:w w:val="95"/>
              </w:rPr>
              <w:t>Compensation Committee engages an independent consultant to</w:t>
            </w:r>
          </w:p>
        </w:tc>
        <w:tc>
          <w:tcPr>
            <w:tcW w:w="500" w:type="dxa"/>
            <w:vAlign w:val="bottom"/>
          </w:tcPr>
          <w:p>
            <w:pPr>
              <w:spacing w:after="0"/>
              <w:rPr>
                <w:sz w:val="17"/>
                <w:szCs w:val="17"/>
                <w:color w:val="auto"/>
              </w:rPr>
            </w:pPr>
          </w:p>
        </w:tc>
        <w:tc>
          <w:tcPr>
            <w:tcW w:w="4360" w:type="dxa"/>
            <w:vAlign w:val="bottom"/>
          </w:tcPr>
          <w:p>
            <w:pPr>
              <w:ind w:left="280"/>
              <w:spacing w:after="0"/>
              <w:rPr>
                <w:sz w:val="20"/>
                <w:szCs w:val="20"/>
                <w:color w:val="auto"/>
              </w:rPr>
            </w:pPr>
            <w:r>
              <w:rPr>
                <w:rFonts w:ascii="Arial" w:cs="Arial" w:eastAsia="Arial" w:hAnsi="Arial"/>
                <w:sz w:val="16"/>
                <w:szCs w:val="16"/>
                <w:color w:val="auto"/>
                <w:w w:val="99"/>
              </w:rPr>
              <w:t>executive officers receive limited perquisites and benefits.</w:t>
            </w:r>
          </w:p>
        </w:tc>
      </w:tr>
      <w:tr>
        <w:trPr>
          <w:trHeight w:val="203"/>
        </w:trPr>
        <w:tc>
          <w:tcPr>
            <w:tcW w:w="7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Arial" w:cs="Arial" w:eastAsia="Arial" w:hAnsi="Arial"/>
                <w:sz w:val="16"/>
                <w:szCs w:val="16"/>
                <w:color w:val="auto"/>
                <w:w w:val="97"/>
              </w:rPr>
              <w:t>provide guidance on peer group composition and compensation</w:t>
            </w:r>
          </w:p>
        </w:tc>
        <w:tc>
          <w:tcPr>
            <w:tcW w:w="50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levels.</w:t>
            </w:r>
          </w:p>
        </w:tc>
        <w:tc>
          <w:tcPr>
            <w:tcW w:w="50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18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Please see the </w:t>
      </w:r>
      <w:r>
        <w:rPr>
          <w:rFonts w:ascii="Arial" w:cs="Arial" w:eastAsia="Arial" w:hAnsi="Arial"/>
          <w:sz w:val="16"/>
          <w:szCs w:val="16"/>
          <w:i w:val="1"/>
          <w:iCs w:val="1"/>
          <w:color w:val="auto"/>
        </w:rPr>
        <w:t>General Information</w:t>
      </w:r>
      <w:r>
        <w:rPr>
          <w:rFonts w:ascii="Arial" w:cs="Arial" w:eastAsia="Arial" w:hAnsi="Arial"/>
          <w:sz w:val="16"/>
          <w:szCs w:val="16"/>
          <w:color w:val="auto"/>
        </w:rPr>
        <w:t xml:space="preserve"> section beginning on page 5 for important information about the proxy materials, voting, the annual meeting, Company documents, communications and the deadlines to submit stockholder proposals and director nominees for the 2018 Annual Meeting of Stockholders. Additional questions may be directed to our General Counsel, Grand Canyon Education, Inc., 3300 W. Camelback Road, Phoenix, Arizona 85017.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 More About Our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can learn more about the Company, view our governance materials and much more by visiting our website, </w:t>
      </w:r>
      <w:r>
        <w:rPr>
          <w:rFonts w:ascii="Arial" w:cs="Arial" w:eastAsia="Arial" w:hAnsi="Arial"/>
          <w:sz w:val="18"/>
          <w:szCs w:val="18"/>
          <w:i w:val="1"/>
          <w:iCs w:val="1"/>
          <w:color w:val="auto"/>
        </w:rPr>
        <w:t>www.gcu.edu</w:t>
      </w:r>
      <w:r>
        <w:rPr>
          <w:rFonts w:ascii="Arial" w:cs="Arial" w:eastAsia="Arial" w:hAnsi="Arial"/>
          <w:sz w:val="18"/>
          <w:szCs w:val="18"/>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right="240" w:firstLine="571"/>
        <w:spacing w:after="0" w:line="264"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Wednesday, June 14, 2017, at Grand Canyon University Antelope Reception Center on the campus of Grand Canyon University at 3300 W. Camelback Road, Phoenix, Arizona 85017, commencing at 10:00 a.m., local time, and at any adjournment or postponement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121"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made available to our stockholders on or about May 2, 2017,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7"/>
          <w:szCs w:val="17"/>
          <w:i w:val="1"/>
          <w:iCs w:val="1"/>
          <w:color w:val="auto"/>
        </w:rPr>
        <w:t>www.edocumentview.com/LOPE</w:t>
      </w:r>
      <w:r>
        <w:rPr>
          <w:rFonts w:ascii="Arial" w:cs="Arial" w:eastAsia="Arial" w:hAnsi="Arial"/>
          <w:sz w:val="17"/>
          <w:szCs w:val="17"/>
          <w:color w:val="auto"/>
        </w:rPr>
        <w:t xml:space="preserve"> or the Company’s Investor Relations website at </w:t>
      </w:r>
      <w:r>
        <w:rPr>
          <w:rFonts w:ascii="Arial" w:cs="Arial" w:eastAsia="Arial" w:hAnsi="Arial"/>
          <w:sz w:val="17"/>
          <w:szCs w:val="17"/>
          <w:i w:val="1"/>
          <w:iCs w:val="1"/>
          <w:color w:val="auto"/>
        </w:rPr>
        <w:t>www.gcu.edu</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121"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color w:val="auto"/>
        </w:rPr>
        <w:t>Only stockholders of record at the close of business on April 20, 2017, will be entitled to notice of and to vote at the Annual Meeting and any adjournment or postponement thereof. At the close of business on the record date, we had approximately 47,897,471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121"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Deadlines for Stockholder Proposals</w:t>
      </w:r>
    </w:p>
    <w:p>
      <w:pPr>
        <w:spacing w:after="0" w:line="121" w:lineRule="exact"/>
        <w:rPr>
          <w:sz w:val="20"/>
          <w:szCs w:val="20"/>
          <w:color w:val="auto"/>
        </w:rPr>
      </w:pPr>
    </w:p>
    <w:p>
      <w:pPr>
        <w:ind w:right="20" w:firstLine="571"/>
        <w:spacing w:after="0" w:line="269" w:lineRule="auto"/>
        <w:rPr>
          <w:sz w:val="20"/>
          <w:szCs w:val="20"/>
          <w:color w:val="auto"/>
        </w:rPr>
      </w:pPr>
      <w:r>
        <w:rPr>
          <w:rFonts w:ascii="Arial" w:cs="Arial" w:eastAsia="Arial" w:hAnsi="Arial"/>
          <w:sz w:val="17"/>
          <w:szCs w:val="17"/>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2018 Annual Meeting of Stockholders, the proposal must be received at our principal executive offices, addressed to our Secretary, not later than the close of business on January 4, 2018.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2018 Annual Meeting of Stockholders, proper notice of business that is not intended for inclusion in our proxy statement must be received not earlier than the close of business on February 17, 2018, nor later than the close of business on March 19, 2018.</w:t>
      </w:r>
    </w:p>
    <w:p>
      <w:pPr>
        <w:spacing w:after="0" w:line="2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w:t>
      </w:r>
    </w:p>
    <w:p>
      <w:pPr>
        <w:ind w:right="60"/>
        <w:spacing w:after="0" w:line="261" w:lineRule="auto"/>
        <w:rPr>
          <w:sz w:val="20"/>
          <w:szCs w:val="20"/>
          <w:color w:val="auto"/>
        </w:rPr>
      </w:pPr>
      <w:r>
        <w:rPr>
          <w:rFonts w:ascii="Arial" w:cs="Arial" w:eastAsia="Arial" w:hAnsi="Arial"/>
          <w:sz w:val="18"/>
          <w:szCs w:val="18"/>
          <w:color w:val="auto"/>
        </w:rPr>
        <w:t>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5). However, your record holder cannot vote your shares without your specific instructions on the election of directors (Proposal No. 1), the vote to approve our 2017 Equity Incentive Plan (Proposal No. 2), or on matters related to executive compensation, including the advisory votes described below on the compensation of our named executive officers and the frequency with which we hold advisory votes on the compensation of our named executive officers (Proposals Nos. 3 and 4).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6"/>
          <w:szCs w:val="16"/>
          <w:b w:val="1"/>
          <w:bCs w:val="1"/>
          <w:color w:val="auto"/>
        </w:rPr>
        <w:t>We encourage you to provide instructions to your bank, broker or other holder of record regarding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voting of your shares. </w:t>
      </w:r>
      <w:r>
        <w:rPr>
          <w:rFonts w:ascii="Arial" w:cs="Arial" w:eastAsia="Arial" w:hAnsi="Arial"/>
          <w:sz w:val="16"/>
          <w:szCs w:val="16"/>
          <w:color w:val="auto"/>
        </w:rPr>
        <w:t>Our stockholders have no dissenter’s or appraisal rights in connection with any of the proposals described herein.</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vote required to approve each of the proposals presented in this Proxy Statement is set forth below:</w:t>
      </w:r>
    </w:p>
    <w:p>
      <w:pPr>
        <w:spacing w:after="0" w:line="306" w:lineRule="exact"/>
        <w:rPr>
          <w:sz w:val="20"/>
          <w:szCs w:val="20"/>
          <w:color w:val="auto"/>
        </w:rPr>
      </w:pPr>
    </w:p>
    <w:p>
      <w:pPr>
        <w:ind w:left="1460" w:right="220" w:hanging="547"/>
        <w:spacing w:after="0" w:line="276" w:lineRule="auto"/>
        <w:tabs>
          <w:tab w:leader="none" w:pos="14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Election of Directors (Proposal No. 1)</w:t>
      </w:r>
      <w:r>
        <w:rPr>
          <w:rFonts w:ascii="Arial" w:cs="Arial" w:eastAsia="Arial" w:hAnsi="Arial"/>
          <w:sz w:val="17"/>
          <w:szCs w:val="17"/>
          <w:color w:val="auto"/>
        </w:rPr>
        <w:t>. The affirmative vote of a majority of the votes cast with respect to a nominee is required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253" w:lineRule="exact"/>
        <w:rPr>
          <w:rFonts w:ascii="Arial" w:cs="Arial" w:eastAsia="Arial" w:hAnsi="Arial"/>
          <w:sz w:val="17"/>
          <w:szCs w:val="17"/>
          <w:color w:val="auto"/>
        </w:rPr>
      </w:pPr>
    </w:p>
    <w:p>
      <w:pPr>
        <w:ind w:left="1460" w:right="60" w:hanging="547"/>
        <w:spacing w:after="0" w:line="259"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adoption of the 2017 Equity Incentive Plan (Proposal No. 2). </w:t>
      </w:r>
      <w:r>
        <w:rPr>
          <w:rFonts w:ascii="Arial" w:cs="Arial" w:eastAsia="Arial" w:hAnsi="Arial"/>
          <w:sz w:val="18"/>
          <w:szCs w:val="18"/>
          <w:color w:val="auto"/>
        </w:rPr>
        <w:t>Approval of the adoption of the 2017 Equity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67" w:lineRule="exact"/>
        <w:rPr>
          <w:rFonts w:ascii="Arial" w:cs="Arial" w:eastAsia="Arial" w:hAnsi="Arial"/>
          <w:sz w:val="18"/>
          <w:szCs w:val="18"/>
          <w:color w:val="auto"/>
        </w:rPr>
      </w:pPr>
    </w:p>
    <w:p>
      <w:pPr>
        <w:ind w:left="1460" w:right="20" w:hanging="547"/>
        <w:spacing w:after="0" w:line="273" w:lineRule="auto"/>
        <w:tabs>
          <w:tab w:leader="none" w:pos="14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Approval, on an advisory basis, of the compensation of our named executive officers (Proposal No. 3). </w:t>
      </w:r>
      <w:r>
        <w:rPr>
          <w:rFonts w:ascii="Arial" w:cs="Arial" w:eastAsia="Arial" w:hAnsi="Arial"/>
          <w:sz w:val="17"/>
          <w:szCs w:val="17"/>
          <w:color w:val="auto"/>
        </w:rPr>
        <w:t>Approval, on an advisory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p>
      <w:pPr>
        <w:spacing w:after="0" w:line="259" w:lineRule="exact"/>
        <w:rPr>
          <w:rFonts w:ascii="Arial" w:cs="Arial" w:eastAsia="Arial" w:hAnsi="Arial"/>
          <w:sz w:val="17"/>
          <w:szCs w:val="17"/>
          <w:color w:val="auto"/>
        </w:rPr>
      </w:pPr>
    </w:p>
    <w:p>
      <w:pPr>
        <w:ind w:left="1460" w:hanging="547"/>
        <w:spacing w:after="0" w:line="269" w:lineRule="auto"/>
        <w:tabs>
          <w:tab w:leader="none" w:pos="14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Approval, on an advisory basis, of the frequency of future advisory votes on the compensation of our named executive officers (Proposal No. 4). </w:t>
      </w:r>
      <w:r>
        <w:rPr>
          <w:rFonts w:ascii="Arial" w:cs="Arial" w:eastAsia="Arial" w:hAnsi="Arial"/>
          <w:sz w:val="17"/>
          <w:szCs w:val="17"/>
          <w:color w:val="auto"/>
        </w:rPr>
        <w:t>This matter is being submitted to enable stockholders to express a preference, on an advisory basis, as to whether future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votes on named executive officer compensation should be held every year, every two years, or every three years. The affirmative vote of a majority of the shares present in person or represented by proxy at the Annual Meeting and entitled to vote is required to approve the frequency of such future advisory votes. Broker non-votes will have no effect on the outcome of this proposal, while abstentions will have the effect of a vote against this proposal. If a majority of the shares present in person or represented by proxy at the Annual Meeting and entitled to vote do not vote in favor of one of the three frequencies, the frequency that receives the highest number of votes will be considered to be the frequency favored by stockholders. Although this vote is advisory and is not binding on our Board of Directors or Compensation Committee, the Board of Directors and the Compensation Committee will consider the voting results, along with other relevant factors, in connection with their determination of the frequency of future advisory votes on the compensation of our named executive officers.</w:t>
      </w:r>
    </w:p>
    <w:p>
      <w:pPr>
        <w:spacing w:after="0" w:line="264" w:lineRule="exact"/>
        <w:rPr>
          <w:rFonts w:ascii="Arial" w:cs="Arial" w:eastAsia="Arial" w:hAnsi="Arial"/>
          <w:sz w:val="17"/>
          <w:szCs w:val="17"/>
          <w:color w:val="auto"/>
        </w:rPr>
      </w:pPr>
    </w:p>
    <w:p>
      <w:pPr>
        <w:ind w:left="1460" w:right="80" w:hanging="547"/>
        <w:spacing w:after="0" w:line="276" w:lineRule="auto"/>
        <w:tabs>
          <w:tab w:leader="none" w:pos="14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Ratification of the appointment of the Independent Registered Public Accounting Firm (Proposal No. 5). </w:t>
      </w:r>
      <w:r>
        <w:rPr>
          <w:rFonts w:ascii="Arial" w:cs="Arial" w:eastAsia="Arial" w:hAnsi="Arial"/>
          <w:sz w:val="17"/>
          <w:szCs w:val="17"/>
          <w:color w:val="auto"/>
        </w:rPr>
        <w:t>Approval of the proposal to</w:t>
      </w:r>
      <w:r>
        <w:rPr>
          <w:rFonts w:ascii="Arial" w:cs="Arial" w:eastAsia="Arial" w:hAnsi="Arial"/>
          <w:sz w:val="17"/>
          <w:szCs w:val="17"/>
          <w:i w:val="1"/>
          <w:iCs w:val="1"/>
          <w:color w:val="auto"/>
        </w:rPr>
        <w:t xml:space="preserve"> </w:t>
      </w:r>
      <w:r>
        <w:rPr>
          <w:rFonts w:ascii="Arial" w:cs="Arial" w:eastAsia="Arial" w:hAnsi="Arial"/>
          <w:sz w:val="17"/>
          <w:szCs w:val="17"/>
          <w:color w:val="auto"/>
        </w:rPr>
        <w:t>ratify the Audit Committee’s appointment of KPMG LLP as our independent registered public accounting firm for the fiscal year ending December 31, 2017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121" w:lineRule="exact"/>
        <w:rPr>
          <w:sz w:val="20"/>
          <w:szCs w:val="20"/>
          <w:color w:val="auto"/>
        </w:rPr>
      </w:pPr>
    </w:p>
    <w:p>
      <w:pPr>
        <w:jc w:val="both"/>
        <w:ind w:firstLine="571"/>
        <w:spacing w:after="0" w:line="312" w:lineRule="auto"/>
        <w:rPr>
          <w:sz w:val="20"/>
          <w:szCs w:val="20"/>
          <w:color w:val="auto"/>
        </w:rPr>
      </w:pPr>
      <w:r>
        <w:rPr>
          <w:rFonts w:ascii="Arial" w:cs="Arial" w:eastAsia="Arial" w:hAnsi="Arial"/>
          <w:sz w:val="16"/>
          <w:szCs w:val="16"/>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420" w:firstLine="571"/>
        <w:spacing w:after="0" w:line="342" w:lineRule="auto"/>
        <w:rPr>
          <w:sz w:val="20"/>
          <w:szCs w:val="20"/>
          <w:color w:val="auto"/>
        </w:rPr>
      </w:pPr>
      <w:r>
        <w:rPr>
          <w:rFonts w:ascii="Arial" w:cs="Arial" w:eastAsia="Arial" w:hAnsi="Arial"/>
          <w:sz w:val="16"/>
          <w:szCs w:val="16"/>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121" w:lineRule="exact"/>
        <w:rPr>
          <w:sz w:val="20"/>
          <w:szCs w:val="20"/>
          <w:color w:val="auto"/>
        </w:rPr>
      </w:pPr>
    </w:p>
    <w:p>
      <w:pPr>
        <w:ind w:right="40" w:firstLine="571"/>
        <w:spacing w:after="0" w:line="276" w:lineRule="auto"/>
        <w:rPr>
          <w:sz w:val="20"/>
          <w:szCs w:val="20"/>
          <w:color w:val="auto"/>
        </w:rPr>
      </w:pPr>
      <w:r>
        <w:rPr>
          <w:rFonts w:ascii="Arial" w:cs="Arial" w:eastAsia="Arial" w:hAnsi="Arial"/>
          <w:sz w:val="17"/>
          <w:szCs w:val="17"/>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121"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During our 2016 fiscal year, our Board of Directors held five meetings and each of our directors attended more than 75% of such meetings. We do not have a formal policy regarding attendance of our directors at annual meetings of our stockholders, but we do encourage each of our directors to attend. All of our directors attended our 2016 annual meeting in person or telephonically.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60" w:firstLine="571"/>
        <w:spacing w:after="0" w:line="271" w:lineRule="auto"/>
        <w:rPr>
          <w:sz w:val="20"/>
          <w:szCs w:val="20"/>
          <w:color w:val="auto"/>
        </w:rPr>
      </w:pPr>
      <w:r>
        <w:rPr>
          <w:rFonts w:ascii="Arial" w:cs="Arial" w:eastAsia="Arial" w:hAnsi="Arial"/>
          <w:sz w:val="17"/>
          <w:szCs w:val="17"/>
          <w:color w:val="auto"/>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Brent D. Richardson, who served as our non-executive Chairman of the Board during 2016 and until he resigned from our Board on January 13, 2017, and Brian E. Mueller, who serves as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0" w:lineRule="exact"/>
        <w:rPr>
          <w:sz w:val="20"/>
          <w:szCs w:val="20"/>
          <w:color w:val="auto"/>
        </w:rPr>
      </w:pPr>
    </w:p>
    <w:p>
      <w:pPr>
        <w:ind w:right="20" w:firstLine="571"/>
        <w:spacing w:after="0" w:line="276" w:lineRule="auto"/>
        <w:rPr>
          <w:sz w:val="20"/>
          <w:szCs w:val="20"/>
          <w:color w:val="auto"/>
        </w:rPr>
      </w:pPr>
      <w:r>
        <w:rPr>
          <w:rFonts w:ascii="Arial" w:cs="Arial" w:eastAsia="Arial" w:hAnsi="Arial"/>
          <w:sz w:val="17"/>
          <w:szCs w:val="17"/>
          <w:color w:val="auto"/>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spacing w:after="0" w:line="213" w:lineRule="exact"/>
        <w:rPr>
          <w:sz w:val="20"/>
          <w:szCs w:val="20"/>
          <w:color w:val="auto"/>
        </w:rPr>
      </w:pPr>
    </w:p>
    <w:p>
      <w:pPr>
        <w:ind w:right="80" w:firstLine="571"/>
        <w:spacing w:after="0" w:line="286" w:lineRule="auto"/>
        <w:rPr>
          <w:sz w:val="20"/>
          <w:szCs w:val="20"/>
          <w:color w:val="auto"/>
        </w:rPr>
      </w:pPr>
      <w:r>
        <w:rPr>
          <w:rFonts w:ascii="Arial" w:cs="Arial" w:eastAsia="Arial" w:hAnsi="Arial"/>
          <w:sz w:val="16"/>
          <w:szCs w:val="16"/>
          <w:color w:val="auto"/>
        </w:rPr>
        <w:t>Since our initial public offering in November 2008 and through January 13, 2017, we separated the roles of Chief Executive Officer and Chairman of the Board. We did so based on an assessment made at the time that the two roles were different: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Our Chairman during that period,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Brent D. Richardson had been until June 2015 an employee of the Company and had never during his tenure as Chairman been considered “independent.” Consequently, at all times since our initial public offering, our Board has appointed one of our independent directors to serve as “lead independent director” and to preside at executive sessions of “non-management” directors.</w:t>
      </w:r>
    </w:p>
    <w:p>
      <w:pPr>
        <w:spacing w:after="0" w:line="217"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color w:val="auto"/>
        </w:rPr>
        <w:t>On January 13, 2017, Mr. Richardson resigned from the Board, and the remaining members of the Board selected Mr. Brian E. Mueller, our Chief Executive Officer, to serve in the role of Chairman of the Board. Accordingly, our current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spacing w:after="0" w:line="16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Importantly, all of our directors play an active role in overseeing the Company’s business both at the Board and committee levels. At least twice per year as part of regularly scheduled Board meetings,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2016, each director attended 100% of the meetings of the Board committees on which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 each of the standing committees, which are available in the Corporate Governance section of the Investor Relations page on our website at </w:t>
      </w:r>
      <w:r>
        <w:rPr>
          <w:rFonts w:ascii="Arial" w:cs="Arial" w:eastAsia="Arial" w:hAnsi="Arial"/>
          <w:sz w:val="18"/>
          <w:szCs w:val="18"/>
          <w:i w:val="1"/>
          <w:iCs w:val="1"/>
          <w:color w:val="auto"/>
        </w:rPr>
        <w:t>www.gcu.edu.</w:t>
      </w:r>
    </w:p>
    <w:p>
      <w:pPr>
        <w:spacing w:after="0" w:line="189"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during 2016 consisted of Messrs. Jack A. Henry (chair), Kevin F. Warren, and Bradley A. Casper,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whom our Board of Directors determined to be “independent,” as defined under and required by the rules of the Nasdaq Stock Market and the federal securities laws. Our Audit Committee met six times during 2016.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determined that each of Messrs. Henry, Warren and Casper qualified as an “audit committee financial expert,” as defined under applicable federal securities laws.</w:t>
      </w:r>
    </w:p>
    <w:p>
      <w:pPr>
        <w:spacing w:after="0" w:line="192" w:lineRule="exact"/>
        <w:rPr>
          <w:sz w:val="20"/>
          <w:szCs w:val="20"/>
          <w:color w:val="auto"/>
        </w:rPr>
      </w:pPr>
    </w:p>
    <w:p>
      <w:pPr>
        <w:ind w:right="60" w:firstLine="571"/>
        <w:spacing w:after="0" w:line="29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during 2016 consisted of Messrs. David J. Johnson (chair), Jack A. Henry, and Ms. Sara R.</w:t>
      </w:r>
      <w:r>
        <w:rPr>
          <w:rFonts w:ascii="Arial" w:cs="Arial" w:eastAsia="Arial" w:hAnsi="Arial"/>
          <w:sz w:val="16"/>
          <w:szCs w:val="16"/>
          <w:i w:val="1"/>
          <w:iCs w:val="1"/>
          <w:color w:val="auto"/>
        </w:rPr>
        <w:t xml:space="preserve"> </w:t>
      </w:r>
      <w:r>
        <w:rPr>
          <w:rFonts w:ascii="Arial" w:cs="Arial" w:eastAsia="Arial" w:hAnsi="Arial"/>
          <w:sz w:val="16"/>
          <w:szCs w:val="16"/>
          <w:color w:val="auto"/>
        </w:rPr>
        <w:t>Dial, each of whom the Board of Directors determined to be “independent,” as defined under and required by the rules of the Nasdaq Stock Market. Our Compensation Committee met six times during 2016.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58" w:lineRule="exact"/>
        <w:rPr>
          <w:sz w:val="20"/>
          <w:szCs w:val="20"/>
          <w:color w:val="auto"/>
        </w:rPr>
      </w:pPr>
    </w:p>
    <w:p>
      <w:pPr>
        <w:ind w:right="60" w:firstLine="571"/>
        <w:spacing w:after="0" w:line="312"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from time to time as its compensation consultant and advisor to:</w:t>
      </w:r>
    </w:p>
    <w:p>
      <w:pPr>
        <w:spacing w:after="0" w:line="79" w:lineRule="exact"/>
        <w:rPr>
          <w:sz w:val="20"/>
          <w:szCs w:val="20"/>
          <w:color w:val="auto"/>
        </w:rPr>
      </w:pPr>
    </w:p>
    <w:p>
      <w:pPr>
        <w:ind w:left="1120" w:right="240" w:hanging="545"/>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recommendations regarding executive compensation consistent with the Company’s business needs, pay philosophy, market trends and latest legal and regulatory considerations;</w:t>
      </w:r>
    </w:p>
    <w:p>
      <w:pPr>
        <w:spacing w:after="0" w:line="102" w:lineRule="exact"/>
        <w:rPr>
          <w:rFonts w:ascii="Arial" w:cs="Arial" w:eastAsia="Arial" w:hAnsi="Arial"/>
          <w:sz w:val="18"/>
          <w:szCs w:val="18"/>
          <w:color w:val="auto"/>
        </w:rPr>
      </w:pPr>
    </w:p>
    <w:p>
      <w:pPr>
        <w:ind w:left="1120" w:hanging="54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157" w:lineRule="exact"/>
        <w:rPr>
          <w:rFonts w:ascii="Arial" w:cs="Arial" w:eastAsia="Arial" w:hAnsi="Arial"/>
          <w:sz w:val="18"/>
          <w:szCs w:val="18"/>
          <w:color w:val="auto"/>
        </w:rPr>
      </w:pPr>
    </w:p>
    <w:p>
      <w:pPr>
        <w:ind w:left="1120" w:hanging="54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225" w:lineRule="exact"/>
        <w:rPr>
          <w:sz w:val="20"/>
          <w:szCs w:val="20"/>
          <w:color w:val="auto"/>
        </w:rPr>
      </w:pPr>
    </w:p>
    <w:p>
      <w:pPr>
        <w:ind w:right="80" w:firstLine="571"/>
        <w:spacing w:after="0" w:line="286" w:lineRule="auto"/>
        <w:rPr>
          <w:sz w:val="20"/>
          <w:szCs w:val="20"/>
          <w:color w:val="auto"/>
        </w:rPr>
      </w:pPr>
      <w:r>
        <w:rPr>
          <w:rFonts w:ascii="Arial" w:cs="Arial" w:eastAsia="Arial" w:hAnsi="Arial"/>
          <w:sz w:val="17"/>
          <w:szCs w:val="17"/>
          <w:color w:val="auto"/>
        </w:rPr>
        <w:t>In 2016, Mercer was engaged to provide market benchmark information regarding, and to advise on the competitiveness of, executive officer compensation. Also in 2016, Mercer recommended, and the Compensation Committee approved, a revised peer group of publicly traded companies, some of which are in the education industry, with median revenue near the Company’s revenue. The peer group consists of the following companies:</w:t>
      </w:r>
    </w:p>
    <w:p>
      <w:pPr>
        <w:sectPr>
          <w:pgSz w:w="11900" w:h="16838" w:orient="portrait"/>
          <w:cols w:equalWidth="0" w:num="1">
            <w:col w:w="11400"/>
          </w:cols>
          <w:pgMar w:left="240" w:top="459" w:right="259" w:bottom="1440" w:gutter="0" w:footer="0" w:header="0"/>
        </w:sectPr>
      </w:pPr>
    </w:p>
    <w:p>
      <w:pPr>
        <w:spacing w:after="0" w:line="1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Acxiom Corp.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EPAM Systems, Inc.</w:t>
      </w:r>
    </w:p>
    <w:p>
      <w:pPr>
        <w:spacing w:after="0" w:line="166" w:lineRule="exact"/>
        <w:rPr>
          <w:sz w:val="20"/>
          <w:szCs w:val="20"/>
          <w:color w:val="auto"/>
        </w:rPr>
      </w:pPr>
    </w:p>
    <w:p>
      <w:pPr>
        <w:sectPr>
          <w:pgSz w:w="11900" w:h="16838" w:orient="portrait"/>
          <w:cols w:equalWidth="0" w:num="4">
            <w:col w:w="1220" w:space="260"/>
            <w:col w:w="4160" w:space="720"/>
            <w:col w:w="60" w:space="280"/>
            <w:col w:w="4700"/>
          </w:cols>
          <w:pgMar w:left="240" w:top="459" w:right="25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Advisory Board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GoDaddy, Inc.</w:t>
      </w:r>
    </w:p>
    <w:p>
      <w:pPr>
        <w:spacing w:after="0" w:line="180" w:lineRule="exact"/>
        <w:rPr>
          <w:sz w:val="20"/>
          <w:szCs w:val="20"/>
          <w:color w:val="auto"/>
        </w:rPr>
      </w:pPr>
    </w:p>
    <w:p>
      <w:pPr>
        <w:sectPr>
          <w:pgSz w:w="11900" w:h="16838" w:orient="portrait"/>
          <w:cols w:equalWidth="0" w:num="4">
            <w:col w:w="1220" w:space="260"/>
            <w:col w:w="4160" w:space="720"/>
            <w:col w:w="60" w:space="280"/>
            <w:col w:w="470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   Apollo Education Group, Inc.</w:t>
            </w:r>
          </w:p>
        </w:tc>
        <w:tc>
          <w:tcPr>
            <w:tcW w:w="3840" w:type="dxa"/>
            <w:vAlign w:val="bottom"/>
            <w:gridSpan w:val="2"/>
          </w:tcPr>
          <w:p>
            <w:pPr>
              <w:ind w:left="1380"/>
              <w:spacing w:after="0"/>
              <w:rPr>
                <w:sz w:val="20"/>
                <w:szCs w:val="20"/>
                <w:color w:val="auto"/>
              </w:rPr>
            </w:pPr>
            <w:r>
              <w:rPr>
                <w:rFonts w:ascii="Arial" w:cs="Arial" w:eastAsia="Arial" w:hAnsi="Arial"/>
                <w:sz w:val="18"/>
                <w:szCs w:val="18"/>
                <w:color w:val="auto"/>
                <w:w w:val="97"/>
              </w:rPr>
              <w:t>•   Huron Consulting Group Inc.</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Blackbaud, Inc.</w:t>
            </w:r>
          </w:p>
        </w:tc>
        <w:tc>
          <w:tcPr>
            <w:tcW w:w="1580" w:type="dxa"/>
            <w:vAlign w:val="bottom"/>
          </w:tcPr>
          <w:p>
            <w:pPr>
              <w:ind w:left="1380"/>
              <w:spacing w:after="0"/>
              <w:rPr>
                <w:sz w:val="20"/>
                <w:szCs w:val="20"/>
                <w:color w:val="auto"/>
              </w:rPr>
            </w:pPr>
            <w:r>
              <w:rPr>
                <w:rFonts w:ascii="Arial" w:cs="Arial" w:eastAsia="Arial" w:hAnsi="Arial"/>
                <w:sz w:val="18"/>
                <w:szCs w:val="18"/>
                <w:color w:val="auto"/>
              </w:rPr>
              <w:t>•</w:t>
            </w:r>
          </w:p>
        </w:tc>
        <w:tc>
          <w:tcPr>
            <w:tcW w:w="2260" w:type="dxa"/>
            <w:vAlign w:val="bottom"/>
          </w:tcPr>
          <w:p>
            <w:pPr>
              <w:ind w:left="140"/>
              <w:spacing w:after="0"/>
              <w:rPr>
                <w:sz w:val="20"/>
                <w:szCs w:val="20"/>
                <w:color w:val="auto"/>
              </w:rPr>
            </w:pPr>
            <w:r>
              <w:rPr>
                <w:rFonts w:ascii="Arial" w:cs="Arial" w:eastAsia="Arial" w:hAnsi="Arial"/>
                <w:sz w:val="18"/>
                <w:szCs w:val="18"/>
                <w:color w:val="auto"/>
              </w:rPr>
              <w:t>j2 Global Inc.</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Capella Education Company</w:t>
            </w:r>
          </w:p>
        </w:tc>
        <w:tc>
          <w:tcPr>
            <w:tcW w:w="1580" w:type="dxa"/>
            <w:vAlign w:val="bottom"/>
          </w:tcPr>
          <w:p>
            <w:pPr>
              <w:ind w:left="1380"/>
              <w:spacing w:after="0"/>
              <w:rPr>
                <w:sz w:val="20"/>
                <w:szCs w:val="20"/>
                <w:color w:val="auto"/>
              </w:rPr>
            </w:pPr>
            <w:r>
              <w:rPr>
                <w:rFonts w:ascii="Arial" w:cs="Arial" w:eastAsia="Arial" w:hAnsi="Arial"/>
                <w:sz w:val="18"/>
                <w:szCs w:val="18"/>
                <w:color w:val="auto"/>
              </w:rPr>
              <w:t>•</w:t>
            </w:r>
          </w:p>
        </w:tc>
        <w:tc>
          <w:tcPr>
            <w:tcW w:w="2260" w:type="dxa"/>
            <w:vAlign w:val="bottom"/>
          </w:tcPr>
          <w:p>
            <w:pPr>
              <w:ind w:left="140"/>
              <w:spacing w:after="0"/>
              <w:rPr>
                <w:sz w:val="20"/>
                <w:szCs w:val="20"/>
                <w:color w:val="auto"/>
              </w:rPr>
            </w:pPr>
            <w:r>
              <w:rPr>
                <w:rFonts w:ascii="Arial" w:cs="Arial" w:eastAsia="Arial" w:hAnsi="Arial"/>
                <w:sz w:val="18"/>
                <w:szCs w:val="18"/>
                <w:color w:val="auto"/>
              </w:rPr>
              <w:t>Pegasystems, Inc.</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CEB Inc.</w:t>
            </w:r>
          </w:p>
        </w:tc>
        <w:tc>
          <w:tcPr>
            <w:tcW w:w="1580" w:type="dxa"/>
            <w:vAlign w:val="bottom"/>
          </w:tcPr>
          <w:p>
            <w:pPr>
              <w:ind w:left="1380"/>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WebMD Health Corp.</w:t>
            </w:r>
          </w:p>
        </w:tc>
      </w:tr>
    </w:tbl>
    <w:p>
      <w:pPr>
        <w:spacing w:after="0" w:line="121" w:lineRule="exact"/>
        <w:rPr>
          <w:sz w:val="20"/>
          <w:szCs w:val="20"/>
          <w:color w:val="auto"/>
        </w:rPr>
      </w:pPr>
    </w:p>
    <w:p>
      <w:pPr>
        <w:ind w:left="1480" w:hanging="331"/>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Devry Education Group Inc.</w:t>
      </w:r>
    </w:p>
    <w:p>
      <w:pPr>
        <w:spacing w:after="0" w:line="144" w:lineRule="exact"/>
        <w:rPr>
          <w:rFonts w:ascii="Arial" w:cs="Arial" w:eastAsia="Arial" w:hAnsi="Arial"/>
          <w:sz w:val="18"/>
          <w:szCs w:val="18"/>
          <w:color w:val="auto"/>
        </w:rPr>
      </w:pPr>
    </w:p>
    <w:p>
      <w:pPr>
        <w:ind w:left="1480" w:hanging="331"/>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Endurance International Group Holdings, Inc.</w:t>
      </w:r>
    </w:p>
    <w:p>
      <w:pPr>
        <w:spacing w:after="0" w:line="26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As a result of Mercer’s analysis of peer group compensation practices and the Compensation Committee’s assessment of management performance in 2016 and prior years, the Compensation Committee in October 2016 approved increases in executive management base salaries for Dr. Meyer, Mr. Bachus, Mr. Mildenhall and Mr. Roberts, effective January 1, 2017. See “Compensation Discussion and Analysis – Significant Events After December 31, 2016 - Base salary increases.”</w:t>
      </w:r>
    </w:p>
    <w:p>
      <w:pPr>
        <w:spacing w:after="0" w:line="22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Our Nominating and Corporate Governance Committee during 2016 consisted of Messrs.</w:t>
      </w:r>
      <w:r>
        <w:rPr>
          <w:rFonts w:ascii="Arial" w:cs="Arial" w:eastAsia="Arial" w:hAnsi="Arial"/>
          <w:sz w:val="18"/>
          <w:szCs w:val="18"/>
          <w:i w:val="1"/>
          <w:iCs w:val="1"/>
          <w:color w:val="auto"/>
        </w:rPr>
        <w:t xml:space="preserve"> </w:t>
      </w:r>
      <w:r>
        <w:rPr>
          <w:rFonts w:ascii="Arial" w:cs="Arial" w:eastAsia="Arial" w:hAnsi="Arial"/>
          <w:sz w:val="18"/>
          <w:szCs w:val="18"/>
          <w:color w:val="auto"/>
        </w:rPr>
        <w:t>Bradley A. Casper (chair), David J. Johnson, Kevin F. Warren and Ms. Sara R. Dial, each of whom our Board of Directors determined to be “independent,” as defined under and required by the rules of the Nasdaq Stock Market. Our Nominating and Corporate Governance Committee met four times during 2016.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w:t>
      </w:r>
    </w:p>
    <w:p>
      <w:pPr>
        <w:spacing w:after="0" w:line="219" w:lineRule="exact"/>
        <w:rPr>
          <w:sz w:val="20"/>
          <w:szCs w:val="20"/>
          <w:color w:val="auto"/>
        </w:rPr>
      </w:pPr>
    </w:p>
    <w:p>
      <w:pPr>
        <w:ind w:right="80" w:firstLine="571"/>
        <w:spacing w:after="0" w:line="302" w:lineRule="auto"/>
        <w:rPr>
          <w:sz w:val="20"/>
          <w:szCs w:val="20"/>
          <w:color w:val="auto"/>
        </w:rPr>
      </w:pPr>
      <w:r>
        <w:rPr>
          <w:rFonts w:ascii="Arial" w:cs="Arial" w:eastAsia="Arial" w:hAnsi="Arial"/>
          <w:sz w:val="16"/>
          <w:szCs w:val="16"/>
          <w:color w:val="auto"/>
        </w:rPr>
        <w:t>Reconstitution of Board Committees. Effective January 13, 2017, Messrs. Richardson and Casper resigned from their positions on the Board in order to focus on other business interests. Thereafter, effective January 18, 2017, the Board took action to appoint Mr. Mueller to the position of Chairman of the Board, to appoint Ms. Dial to the role of “lead independent director,” replacing Mr. Johnson, and to make the following changes to its Board committee assignments. Following such changes in committee assignments, each of the following Board committees have three members, all of whom are independent:</w:t>
      </w:r>
    </w:p>
    <w:p>
      <w:pPr>
        <w:spacing w:after="0" w:line="235"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Ms. Dial, an existing member of the Nominating and Corporate Governance Committee, was appointed as Chair of the committee;</w:t>
      </w:r>
    </w:p>
    <w:p>
      <w:pPr>
        <w:spacing w:after="0" w:line="34" w:lineRule="exact"/>
        <w:rPr>
          <w:rFonts w:ascii="Arial" w:cs="Arial" w:eastAsia="Arial" w:hAnsi="Arial"/>
          <w:sz w:val="17"/>
          <w:szCs w:val="17"/>
          <w:color w:val="auto"/>
        </w:rPr>
      </w:pPr>
    </w:p>
    <w:p>
      <w:pPr>
        <w:ind w:left="1460" w:hanging="547"/>
        <w:spacing w:after="0"/>
        <w:tabs>
          <w:tab w:leader="none" w:pos="1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Mr. Warren was appointed as a member and Chair of the Compensation Committee, replacing Mr. Johnson on such committee; and</w:t>
      </w:r>
    </w:p>
    <w:p>
      <w:pPr>
        <w:spacing w:after="0" w:line="20" w:lineRule="exact"/>
        <w:rPr>
          <w:rFonts w:ascii="Arial" w:cs="Arial" w:eastAsia="Arial" w:hAnsi="Arial"/>
          <w:sz w:val="17"/>
          <w:szCs w:val="17"/>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Johnson was appointed as a member of the Audit Committee.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80" w:firstLine="571"/>
        <w:spacing w:after="0" w:line="273" w:lineRule="auto"/>
        <w:rPr>
          <w:sz w:val="20"/>
          <w:szCs w:val="20"/>
          <w:color w:val="auto"/>
        </w:rPr>
      </w:pPr>
      <w:r>
        <w:rPr>
          <w:rFonts w:ascii="Arial" w:cs="Arial" w:eastAsia="Arial" w:hAnsi="Arial"/>
          <w:sz w:val="17"/>
          <w:szCs w:val="17"/>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7"/>
          <w:szCs w:val="17"/>
          <w:i w:val="1"/>
          <w:iCs w:val="1"/>
          <w:color w:val="auto"/>
        </w:rPr>
        <w:t>www.gcu.edu.</w:t>
      </w:r>
      <w:r>
        <w:rPr>
          <w:rFonts w:ascii="Arial" w:cs="Arial" w:eastAsia="Arial" w:hAnsi="Arial"/>
          <w:sz w:val="17"/>
          <w:szCs w:val="17"/>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80" w:firstLine="571"/>
        <w:spacing w:after="0" w:line="293" w:lineRule="auto"/>
        <w:rPr>
          <w:sz w:val="20"/>
          <w:szCs w:val="20"/>
          <w:color w:val="auto"/>
        </w:rPr>
      </w:pPr>
      <w:r>
        <w:rPr>
          <w:rFonts w:ascii="Arial" w:cs="Arial" w:eastAsia="Arial" w:hAnsi="Arial"/>
          <w:sz w:val="16"/>
          <w:szCs w:val="16"/>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160" w:firstLine="571"/>
        <w:spacing w:after="0" w:line="274"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makes such selections pursuant to the following process:</w:t>
      </w:r>
    </w:p>
    <w:p>
      <w:pPr>
        <w:ind w:left="1120" w:right="100" w:hanging="545"/>
        <w:spacing w:after="0" w:line="274"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identification of director candidates by our Nominating and Corporate Governance Committee based upon suggestions from current directors and senior management, recommendations by stockholders and/or use of a director search firm;</w:t>
      </w:r>
    </w:p>
    <w:p>
      <w:pPr>
        <w:ind w:left="1120" w:right="220" w:hanging="545"/>
        <w:spacing w:after="0" w:line="274"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of the candidates’ qualifications by our Nominating and Corporate Governance Committee to determine which candidates best meet our Board of Directors’ required and desired criteria;</w:t>
      </w:r>
    </w:p>
    <w:p>
      <w:pPr>
        <w:ind w:left="1120" w:right="320" w:hanging="545"/>
        <w:spacing w:after="0" w:line="274"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ind w:left="1120" w:right="40" w:hanging="545"/>
        <w:spacing w:after="0" w:line="308"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ind w:left="1120" w:hanging="545"/>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225" w:lineRule="exact"/>
        <w:rPr>
          <w:sz w:val="20"/>
          <w:szCs w:val="20"/>
          <w:color w:val="auto"/>
        </w:rPr>
      </w:pPr>
    </w:p>
    <w:p>
      <w:pPr>
        <w:jc w:val="both"/>
        <w:ind w:right="20" w:firstLine="571"/>
        <w:spacing w:after="0" w:line="257" w:lineRule="auto"/>
        <w:rPr>
          <w:sz w:val="20"/>
          <w:szCs w:val="20"/>
          <w:color w:val="auto"/>
        </w:rPr>
      </w:pPr>
      <w:r>
        <w:rPr>
          <w:rFonts w:ascii="Arial" w:cs="Arial" w:eastAsia="Arial" w:hAnsi="Arial"/>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13" w:lineRule="exact"/>
        <w:rPr>
          <w:sz w:val="20"/>
          <w:szCs w:val="20"/>
          <w:color w:val="auto"/>
        </w:rPr>
      </w:pPr>
    </w:p>
    <w:p>
      <w:pPr>
        <w:ind w:left="1120" w:hanging="54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49" w:lineRule="exact"/>
        <w:rPr>
          <w:rFonts w:ascii="Arial" w:cs="Arial" w:eastAsia="Arial" w:hAnsi="Arial"/>
          <w:sz w:val="18"/>
          <w:szCs w:val="18"/>
          <w:color w:val="auto"/>
        </w:rPr>
      </w:pPr>
    </w:p>
    <w:p>
      <w:pPr>
        <w:ind w:left="1120" w:right="640" w:hanging="545"/>
        <w:spacing w:after="0" w:line="27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ind w:left="1120" w:hanging="545"/>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the director/proposed nominee meets the independence requirements of the listing standards of the Nasdaq Stock Market;</w:t>
      </w:r>
    </w:p>
    <w:p>
      <w:pPr>
        <w:spacing w:after="0" w:line="61" w:lineRule="exact"/>
        <w:rPr>
          <w:rFonts w:ascii="Arial" w:cs="Arial" w:eastAsia="Arial" w:hAnsi="Arial"/>
          <w:sz w:val="17"/>
          <w:szCs w:val="17"/>
          <w:color w:val="auto"/>
        </w:rPr>
      </w:pPr>
    </w:p>
    <w:p>
      <w:pPr>
        <w:ind w:left="1120" w:hanging="54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49" w:lineRule="exact"/>
        <w:rPr>
          <w:rFonts w:ascii="Arial" w:cs="Arial" w:eastAsia="Arial" w:hAnsi="Arial"/>
          <w:sz w:val="18"/>
          <w:szCs w:val="18"/>
          <w:color w:val="auto"/>
        </w:rPr>
      </w:pPr>
    </w:p>
    <w:p>
      <w:pPr>
        <w:ind w:left="1120" w:right="460" w:hanging="545"/>
        <w:spacing w:after="0" w:line="27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ind w:left="1120" w:right="240" w:hanging="545"/>
        <w:spacing w:after="0" w:line="27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ind w:left="1120" w:right="280" w:hanging="545"/>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88"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2018 Annual Meeting of Stockholders, stockholder nominations must be received by January 4, 2018.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66" w:lineRule="auto"/>
        <w:rPr>
          <w:sz w:val="20"/>
          <w:szCs w:val="20"/>
          <w:color w:val="auto"/>
        </w:rPr>
      </w:pPr>
      <w:r>
        <w:rPr>
          <w:rFonts w:ascii="Arial" w:cs="Arial" w:eastAsia="Arial" w:hAnsi="Arial"/>
          <w:sz w:val="17"/>
          <w:szCs w:val="17"/>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Elections and Majority Voting</w:t>
      </w:r>
    </w:p>
    <w:p>
      <w:pPr>
        <w:spacing w:after="0" w:line="121" w:lineRule="exact"/>
        <w:rPr>
          <w:sz w:val="20"/>
          <w:szCs w:val="20"/>
          <w:color w:val="auto"/>
        </w:rPr>
      </w:pPr>
    </w:p>
    <w:p>
      <w:pPr>
        <w:ind w:right="80" w:firstLine="571"/>
        <w:spacing w:after="0" w:line="268" w:lineRule="auto"/>
        <w:rPr>
          <w:sz w:val="20"/>
          <w:szCs w:val="20"/>
          <w:color w:val="auto"/>
        </w:rPr>
      </w:pPr>
      <w:r>
        <w:rPr>
          <w:rFonts w:ascii="Arial" w:cs="Arial" w:eastAsia="Arial" w:hAnsi="Arial"/>
          <w:sz w:val="17"/>
          <w:szCs w:val="17"/>
          <w:color w:val="auto"/>
        </w:rPr>
        <w:t>Our directors are elected annually to serve until the next annual meeting of stockholders and until their successors are duly elected and qualified. Pursuant to an amendment to our bylaws adopted during 2014, at any meeting of stockholders for the election of one or more directors at which a quorum is present, each director shall be elected by the vote of a majority of the votes cast with respect to the director, provided that if the number of nominees exceeds the number of directors to be elected, the directors shall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shall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vote, the director shall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the committee’s recommendation and publicly disclose its decision and the rationale behind 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During 2016, Messrs. Johnson and Henry and Ms. Dial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Policy</w:t>
      </w:r>
    </w:p>
    <w:p>
      <w:pPr>
        <w:spacing w:after="0" w:line="121"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Arial" w:cs="Arial" w:eastAsia="Arial" w:hAnsi="Arial"/>
          <w:sz w:val="18"/>
          <w:szCs w:val="18"/>
          <w:i w:val="1"/>
          <w:iCs w:val="1"/>
          <w:color w:val="auto"/>
        </w:rPr>
        <w:t>www.gcu.edu</w:t>
      </w:r>
      <w:r>
        <w:rPr>
          <w:rFonts w:ascii="Arial" w:cs="Arial" w:eastAsia="Arial" w:hAnsi="Arial"/>
          <w:sz w:val="18"/>
          <w:szCs w:val="18"/>
          <w:color w:val="auto"/>
        </w:rPr>
        <w:t>, establishes the following ownership levels for each category of person covered by the policy:</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the required salary multiples for each category of person subject to the policy:</w:t>
      </w:r>
    </w:p>
    <w:p>
      <w:pPr>
        <w:spacing w:after="0" w:line="232" w:lineRule="exact"/>
        <w:rPr>
          <w:sz w:val="20"/>
          <w:szCs w:val="20"/>
          <w:color w:val="auto"/>
        </w:rPr>
      </w:pPr>
    </w:p>
    <w:tbl>
      <w:tblPr>
        <w:tblLayout w:type="fixed"/>
        <w:tblInd w:w="1450" w:type="dxa"/>
        <w:tblCellMar>
          <w:top w:w="0" w:type="dxa"/>
          <w:left w:w="0" w:type="dxa"/>
          <w:bottom w:w="0" w:type="dxa"/>
          <w:right w:w="0" w:type="dxa"/>
        </w:tblCellMar>
      </w:tblPr>
      <w:tr>
        <w:trPr>
          <w:trHeight w:val="230"/>
        </w:trPr>
        <w:tc>
          <w:tcPr>
            <w:tcW w:w="320" w:type="dxa"/>
            <w:vAlign w:val="bottom"/>
            <w:tcBorders>
              <w:top w:val="single" w:sz="8" w:color="auto"/>
              <w:left w:val="single" w:sz="8" w:color="auto"/>
            </w:tcBorders>
          </w:tcPr>
          <w:p>
            <w:pPr>
              <w:spacing w:after="0"/>
              <w:rPr>
                <w:sz w:val="19"/>
                <w:szCs w:val="19"/>
                <w:color w:val="auto"/>
              </w:rPr>
            </w:pPr>
          </w:p>
        </w:tc>
        <w:tc>
          <w:tcPr>
            <w:tcW w:w="3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Covered Person</w:t>
            </w:r>
          </w:p>
        </w:tc>
        <w:tc>
          <w:tcPr>
            <w:tcW w:w="80" w:type="dxa"/>
            <w:vAlign w:val="bottom"/>
            <w:tcBorders>
              <w:top w:val="single" w:sz="8" w:color="auto"/>
            </w:tcBorders>
          </w:tcPr>
          <w:p>
            <w:pPr>
              <w:spacing w:after="0"/>
              <w:rPr>
                <w:sz w:val="19"/>
                <w:szCs w:val="19"/>
                <w:color w:val="auto"/>
              </w:rPr>
            </w:pPr>
          </w:p>
        </w:tc>
        <w:tc>
          <w:tcPr>
            <w:tcW w:w="3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Required Salary Multiple</w:t>
            </w:r>
          </w:p>
        </w:tc>
        <w:tc>
          <w:tcPr>
            <w:tcW w:w="220" w:type="dxa"/>
            <w:vAlign w:val="bottom"/>
            <w:tcBorders>
              <w:top w:val="single" w:sz="8" w:color="auto"/>
              <w:right w:val="single" w:sz="8" w:color="auto"/>
            </w:tcBorders>
          </w:tcPr>
          <w:p>
            <w:pPr>
              <w:spacing w:after="0"/>
              <w:rPr>
                <w:sz w:val="19"/>
                <w:szCs w:val="19"/>
                <w:color w:val="auto"/>
              </w:rPr>
            </w:pPr>
          </w:p>
        </w:tc>
      </w:tr>
      <w:tr>
        <w:trPr>
          <w:trHeight w:val="224"/>
        </w:trPr>
        <w:tc>
          <w:tcPr>
            <w:tcW w:w="320" w:type="dxa"/>
            <w:vAlign w:val="bottom"/>
            <w:tcBorders>
              <w:left w:val="single" w:sz="8" w:color="auto"/>
            </w:tcBorders>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8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5x base salary</w:t>
            </w:r>
          </w:p>
        </w:tc>
        <w:tc>
          <w:tcPr>
            <w:tcW w:w="220" w:type="dxa"/>
            <w:vAlign w:val="bottom"/>
            <w:tcBorders>
              <w:right w:val="single" w:sz="8" w:color="auto"/>
            </w:tcBorders>
          </w:tcPr>
          <w:p>
            <w:pPr>
              <w:spacing w:after="0"/>
              <w:rPr>
                <w:sz w:val="19"/>
                <w:szCs w:val="19"/>
                <w:color w:val="auto"/>
              </w:rPr>
            </w:pPr>
          </w:p>
        </w:tc>
      </w:tr>
      <w:tr>
        <w:trPr>
          <w:trHeight w:val="431"/>
        </w:trPr>
        <w:tc>
          <w:tcPr>
            <w:tcW w:w="320" w:type="dxa"/>
            <w:vAlign w:val="bottom"/>
            <w:tcBorders>
              <w:left w:val="single" w:sz="8" w:color="auto"/>
            </w:tcBorders>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All other Named Executive Officers</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3x base salary</w:t>
            </w:r>
          </w:p>
        </w:tc>
        <w:tc>
          <w:tcPr>
            <w:tcW w:w="220" w:type="dxa"/>
            <w:vAlign w:val="bottom"/>
            <w:tcBorders>
              <w:right w:val="single" w:sz="8" w:color="auto"/>
            </w:tcBorders>
          </w:tcPr>
          <w:p>
            <w:pPr>
              <w:spacing w:after="0"/>
              <w:rPr>
                <w:sz w:val="24"/>
                <w:szCs w:val="24"/>
                <w:color w:val="auto"/>
              </w:rPr>
            </w:pPr>
          </w:p>
        </w:tc>
      </w:tr>
      <w:tr>
        <w:trPr>
          <w:trHeight w:val="422"/>
        </w:trPr>
        <w:tc>
          <w:tcPr>
            <w:tcW w:w="320" w:type="dxa"/>
            <w:vAlign w:val="bottom"/>
            <w:tcBorders>
              <w:left w:val="single" w:sz="8" w:color="auto"/>
            </w:tcBorders>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Outside Directors</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9"/>
              </w:rPr>
              <w:t>3x annual cash retainer</w:t>
            </w:r>
          </w:p>
        </w:tc>
        <w:tc>
          <w:tcPr>
            <w:tcW w:w="220" w:type="dxa"/>
            <w:vAlign w:val="bottom"/>
            <w:tcBorders>
              <w:right w:val="single" w:sz="8" w:color="auto"/>
            </w:tcBorders>
          </w:tcPr>
          <w:p>
            <w:pPr>
              <w:spacing w:after="0"/>
              <w:rPr>
                <w:sz w:val="24"/>
                <w:szCs w:val="24"/>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1"/>
              </w:rPr>
              <w:t>(exclusive of any cash retainer payable for service</w:t>
            </w:r>
          </w:p>
        </w:tc>
        <w:tc>
          <w:tcPr>
            <w:tcW w:w="220" w:type="dxa"/>
            <w:vAlign w:val="bottom"/>
            <w:tcBorders>
              <w:right w:val="single" w:sz="8" w:color="auto"/>
            </w:tcBorders>
          </w:tcPr>
          <w:p>
            <w:pPr>
              <w:spacing w:after="0"/>
              <w:rPr>
                <w:sz w:val="17"/>
                <w:szCs w:val="17"/>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1"/>
              </w:rPr>
              <w:t>as lead director, chairperson of the Board or any</w:t>
            </w:r>
          </w:p>
        </w:tc>
        <w:tc>
          <w:tcPr>
            <w:tcW w:w="220" w:type="dxa"/>
            <w:vAlign w:val="bottom"/>
            <w:tcBorders>
              <w:right w:val="single" w:sz="8" w:color="auto"/>
            </w:tcBorders>
          </w:tcPr>
          <w:p>
            <w:pPr>
              <w:spacing w:after="0"/>
              <w:rPr>
                <w:sz w:val="17"/>
                <w:szCs w:val="17"/>
                <w:color w:val="auto"/>
              </w:rPr>
            </w:pPr>
          </w:p>
        </w:tc>
      </w:tr>
      <w:tr>
        <w:trPr>
          <w:trHeight w:val="219"/>
        </w:trPr>
        <w:tc>
          <w:tcPr>
            <w:tcW w:w="320" w:type="dxa"/>
            <w:vAlign w:val="bottom"/>
            <w:tcBorders>
              <w:left w:val="single" w:sz="8" w:color="auto"/>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committee thereof)</w:t>
            </w:r>
          </w:p>
        </w:tc>
        <w:tc>
          <w:tcPr>
            <w:tcW w:w="220" w:type="dxa"/>
            <w:vAlign w:val="bottom"/>
            <w:tcBorders>
              <w:bottom w:val="single" w:sz="8" w:color="auto"/>
              <w:right w:val="single" w:sz="8" w:color="auto"/>
            </w:tcBorders>
          </w:tcPr>
          <w:p>
            <w:pPr>
              <w:spacing w:after="0"/>
              <w:rPr>
                <w:sz w:val="19"/>
                <w:szCs w:val="19"/>
                <w:color w:val="auto"/>
              </w:rPr>
            </w:pPr>
          </w:p>
        </w:tc>
      </w:tr>
    </w:tbl>
    <w:p>
      <w:pPr>
        <w:spacing w:after="0" w:line="2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policy, the following may be used in determining share ownership for purposes of the ownership requirement:</w:t>
      </w:r>
    </w:p>
    <w:p>
      <w:pPr>
        <w:spacing w:after="0" w:line="306" w:lineRule="exact"/>
        <w:rPr>
          <w:sz w:val="20"/>
          <w:szCs w:val="20"/>
          <w:color w:val="auto"/>
        </w:rPr>
      </w:pPr>
    </w:p>
    <w:p>
      <w:pPr>
        <w:ind w:left="1460" w:right="100" w:hanging="547"/>
        <w:spacing w:after="0" w:line="291" w:lineRule="auto"/>
        <w:tabs>
          <w:tab w:leader="none" w:pos="1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owned directly (including shares acquired through open market purchases or acquired and held upon, or subject to, vesting of restricted stock, restricted stock units or performance-based awards, and shares received and held upon exercise of stock option awards);</w:t>
      </w: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owned jointly with or separately by the director’s spouse;</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held in trust for the benefit of the Covered Person, or one or more family members of the Covered Person;</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held in qualified or nonqualified savings, profit-sharing, or deferred compensation accounts;</w:t>
      </w:r>
    </w:p>
    <w:p>
      <w:pPr>
        <w:spacing w:after="0" w:line="9" w:lineRule="exact"/>
        <w:rPr>
          <w:rFonts w:ascii="Arial" w:cs="Arial" w:eastAsia="Arial" w:hAnsi="Arial"/>
          <w:sz w:val="18"/>
          <w:szCs w:val="18"/>
          <w:color w:val="auto"/>
        </w:rPr>
      </w:pPr>
    </w:p>
    <w:p>
      <w:pPr>
        <w:ind w:left="1460" w:right="160" w:hanging="547"/>
        <w:spacing w:after="0" w:line="250"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underlying vested but unexercised stock options (based on the excess of the market price of the stock over the exercise price and after deducting any tax withholding obligations); and</w:t>
      </w: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underlying vested but unexercised warrants.</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person covered by the policy is expected to achieve the target ownership threshold within five years of the later of (i) January 26, 2017 and</w:t>
      </w:r>
    </w:p>
    <w:p>
      <w:pPr>
        <w:spacing w:after="0" w:line="46" w:lineRule="exact"/>
        <w:rPr>
          <w:sz w:val="20"/>
          <w:szCs w:val="20"/>
          <w:color w:val="auto"/>
        </w:rPr>
      </w:pPr>
    </w:p>
    <w:p>
      <w:pPr>
        <w:ind w:firstLine="8"/>
        <w:spacing w:after="0" w:line="270" w:lineRule="auto"/>
        <w:tabs>
          <w:tab w:leader="none" w:pos="2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2016, all persons covered by the policy were in compliance with the stock ownership requirements.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Anti-Hedging/Anti-Pledging Policy</w:t>
      </w:r>
    </w:p>
    <w:p>
      <w:pPr>
        <w:spacing w:after="0" w:line="121" w:lineRule="exact"/>
        <w:rPr>
          <w:sz w:val="20"/>
          <w:szCs w:val="20"/>
          <w:color w:val="auto"/>
        </w:rPr>
      </w:pPr>
    </w:p>
    <w:p>
      <w:pPr>
        <w:ind w:right="40" w:firstLine="571"/>
        <w:spacing w:after="0" w:line="268" w:lineRule="auto"/>
        <w:rPr>
          <w:sz w:val="20"/>
          <w:szCs w:val="20"/>
          <w:color w:val="auto"/>
        </w:rPr>
      </w:pPr>
      <w:r>
        <w:rPr>
          <w:rFonts w:ascii="Arial" w:cs="Arial" w:eastAsia="Arial" w:hAnsi="Arial"/>
          <w:sz w:val="17"/>
          <w:szCs w:val="17"/>
          <w:color w:val="auto"/>
        </w:rPr>
        <w:t>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70" w:lineRule="exact"/>
        <w:rPr>
          <w:sz w:val="20"/>
          <w:szCs w:val="20"/>
          <w:color w:val="auto"/>
        </w:rPr>
      </w:pPr>
    </w:p>
    <w:p>
      <w:pPr>
        <w:ind w:right="40" w:firstLine="799"/>
        <w:spacing w:after="0" w:line="287" w:lineRule="auto"/>
        <w:rPr>
          <w:sz w:val="20"/>
          <w:szCs w:val="20"/>
          <w:color w:val="auto"/>
        </w:rPr>
      </w:pPr>
      <w:r>
        <w:rPr>
          <w:rFonts w:ascii="Arial" w:cs="Arial" w:eastAsia="Arial" w:hAnsi="Arial"/>
          <w:sz w:val="16"/>
          <w:szCs w:val="16"/>
          <w:color w:val="auto"/>
        </w:rPr>
        <w:t>Effective January 26, 2017, the Board of Directors adopted an Incentive Compensation Clawback Policy that authorizes the Company to recover incentive compensation previously paid to its Section 16 officers. The policy provides that, in the event of a restatement of the Company’s financial statements for any fiscal year commencing after December 31, 2015 that is due to the misconduct of any employee, the Board or, if so designated by the Board, the Compensation Committee of the Board, is authorized to take action to recoup all or part of any incentive compensation received by a Section 16 officer of the Company. For purposes of this policy, incentive compensation means any cash compensation paid by or any equity compensation awarded by the Company that is based in whole or in part on the achievement of financial results by the Company, including, but not limited to, any bonus or other performance-based cash or equity arrangement or award, but excluding base salary. The policy defines misconduct as the willful commission of an illegal act, fraud, intentional misconduct or gross recklessness in the performance of a Section 16 officer’s duties and responsibilities, as determined by the Board in its sole discretion. In determining whether to take action to recoup any incentive compensation received by a Section 16 officer of the Company, the Board or, if so designated, the Compensation Committee of the Board, will take into consideration whether the Section 16 officer engaged in the misconduct or was in a position, including in a supervisory role, to have been able to have reasonably prevented the misconduct that caused the restatement.</w:t>
      </w:r>
    </w:p>
    <w:p>
      <w:pPr>
        <w:spacing w:after="0" w:line="20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As directed by the Dodd-Frank Act, the SEC has issued proposed rules which, if adopted in final form, would require issuers to seek recovery from executive officers in certain circumstances involving financial restatements. As of the date of this Proxy Statement, the SEC has not issued final rules implementing this portion of the Dodd-Frank Act. Once the SEC issues final rules regarding the required form of a clawback policy under the Dodd-Frank Act, we expect to amend our Incentive Compensation Clawback Policy accordingly.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62" w:lineRule="exact"/>
        <w:rPr>
          <w:sz w:val="20"/>
          <w:szCs w:val="20"/>
          <w:color w:val="auto"/>
        </w:rPr>
      </w:pPr>
    </w:p>
    <w:p>
      <w:pPr>
        <w:ind w:right="20" w:firstLine="571"/>
        <w:spacing w:after="0" w:line="271" w:lineRule="auto"/>
        <w:rPr>
          <w:sz w:val="20"/>
          <w:szCs w:val="20"/>
          <w:color w:val="auto"/>
        </w:rPr>
      </w:pPr>
      <w:r>
        <w:rPr>
          <w:rFonts w:ascii="Arial" w:cs="Arial" w:eastAsia="Arial" w:hAnsi="Arial"/>
          <w:sz w:val="17"/>
          <w:szCs w:val="17"/>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 one year anniversary of the date of grant, subject to accelerated vesting in the event of a change in</w:t>
      </w:r>
    </w:p>
    <w:p>
      <w:pPr>
        <w:ind w:right="20"/>
        <w:spacing w:after="0" w:line="268" w:lineRule="auto"/>
        <w:rPr>
          <w:sz w:val="20"/>
          <w:szCs w:val="20"/>
          <w:color w:val="auto"/>
        </w:rPr>
      </w:pPr>
      <w:r>
        <w:rPr>
          <w:rFonts w:ascii="Arial" w:cs="Arial" w:eastAsia="Arial" w:hAnsi="Arial"/>
          <w:sz w:val="17"/>
          <w:szCs w:val="17"/>
          <w:color w:val="auto"/>
        </w:rPr>
        <w:t>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Director Compensation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provides information regarding the compensation paid to our non-employee directors in 2016:</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rPr>
              <w:t>Fees Earned or</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 xml:space="preserve">Stock 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12"/>
                <w:szCs w:val="12"/>
                <w:b w:val="1"/>
                <w:bCs w:val="1"/>
                <w:color w:val="auto"/>
                <w:w w:val="91"/>
              </w:rPr>
              <w:t>(2)</w:t>
            </w:r>
          </w:p>
        </w:tc>
        <w:tc>
          <w:tcPr>
            <w:tcW w:w="5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5"/>
        </w:trPr>
        <w:tc>
          <w:tcPr>
            <w:tcW w:w="5380" w:type="dxa"/>
            <w:vAlign w:val="bottom"/>
            <w:gridSpan w:val="3"/>
            <w:vMerge w:val="continue"/>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David</w:t>
            </w:r>
          </w:p>
        </w:tc>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 Johnson</w:t>
            </w:r>
          </w:p>
        </w:tc>
        <w:tc>
          <w:tcPr>
            <w:tcW w:w="30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103,333</w:t>
            </w:r>
          </w:p>
        </w:tc>
        <w:tc>
          <w:tcPr>
            <w:tcW w:w="5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$178,333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Brent D. Richardson</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Henry</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70,000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60,000</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089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80" w:hanging="672"/>
        <w:spacing w:after="0" w:line="288" w:lineRule="auto"/>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table provides a breakdown of the cash compensation paid to our non-employee directors in 2016 in respect of their annual retainers for service on the Board of Directors, for service on Board committees, and for services as a Board committee chair or as lead independent director:</w:t>
      </w:r>
    </w:p>
    <w:tbl>
      <w:tblPr>
        <w:tblLayout w:type="fixed"/>
        <w:tblInd w:w="92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Board of</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Board</w:t>
            </w:r>
          </w:p>
        </w:tc>
        <w:tc>
          <w:tcPr>
            <w:tcW w:w="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Chair</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Directors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Committee</w:t>
            </w:r>
          </w:p>
        </w:tc>
        <w:tc>
          <w:tcPr>
            <w:tcW w:w="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5"/>
              </w:rPr>
              <w:t>Annual</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Annual Retainer</w:t>
            </w:r>
          </w:p>
        </w:tc>
        <w:tc>
          <w:tcPr>
            <w:tcW w:w="38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Annual Retainers</w:t>
            </w:r>
          </w:p>
        </w:tc>
        <w:tc>
          <w:tcPr>
            <w:tcW w:w="4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Retainer</w:t>
            </w:r>
          </w:p>
        </w:tc>
        <w:tc>
          <w:tcPr>
            <w:tcW w:w="46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900" w:type="dxa"/>
            <w:vAlign w:val="bottom"/>
            <w:gridSpan w:val="2"/>
            <w:shd w:val="clear" w:color="auto" w:fill="CCEEFF"/>
          </w:tcPr>
          <w:p>
            <w:pPr>
              <w:spacing w:after="0" w:line="183" w:lineRule="exact"/>
              <w:rPr>
                <w:sz w:val="20"/>
                <w:szCs w:val="20"/>
                <w:color w:val="auto"/>
              </w:rPr>
            </w:pPr>
            <w:r>
              <w:rPr>
                <w:rFonts w:ascii="Arial" w:cs="Arial" w:eastAsia="Arial" w:hAnsi="Arial"/>
                <w:sz w:val="13"/>
                <w:szCs w:val="13"/>
                <w:color w:val="auto"/>
              </w:rPr>
              <w:t>David J. Johnson</w:t>
            </w:r>
            <w:r>
              <w:rPr>
                <w:rFonts w:ascii="Arial" w:cs="Arial" w:eastAsia="Arial" w:hAnsi="Arial"/>
                <w:sz w:val="21"/>
                <w:szCs w:val="21"/>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43,333</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$ 103,333</w:t>
            </w:r>
          </w:p>
        </w:tc>
        <w:tc>
          <w:tcPr>
            <w:tcW w:w="100" w:type="dxa"/>
            <w:vAlign w:val="bottom"/>
            <w:shd w:val="clear" w:color="auto" w:fill="CCEEFF"/>
          </w:tcPr>
          <w:p>
            <w:pPr>
              <w:spacing w:after="0"/>
              <w:rPr>
                <w:sz w:val="15"/>
                <w:szCs w:val="15"/>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6"/>
                <w:szCs w:val="16"/>
                <w:color w:val="auto"/>
              </w:rPr>
              <w:t>Brent D. Richardson</w:t>
            </w: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Henry</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CEEFF"/>
          </w:tcPr>
          <w:p>
            <w:pPr>
              <w:spacing w:after="0"/>
              <w:rPr>
                <w:sz w:val="17"/>
                <w:szCs w:val="17"/>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6"/>
                <w:szCs w:val="16"/>
                <w:color w:val="auto"/>
              </w:rPr>
              <w:t>Bradley A. Casper</w:t>
            </w: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10,000</w:t>
            </w:r>
          </w:p>
        </w:tc>
        <w:tc>
          <w:tcPr>
            <w:tcW w:w="1240" w:type="dxa"/>
            <w:vAlign w:val="bottom"/>
            <w:gridSpan w:val="2"/>
          </w:tcPr>
          <w:p>
            <w:pPr>
              <w:jc w:val="right"/>
              <w:ind w:right="19"/>
              <w:spacing w:after="0"/>
              <w:rPr>
                <w:sz w:val="20"/>
                <w:szCs w:val="20"/>
                <w:color w:val="auto"/>
              </w:rPr>
            </w:pPr>
            <w:r>
              <w:rPr>
                <w:rFonts w:ascii="Arial" w:cs="Arial" w:eastAsia="Arial" w:hAnsi="Arial"/>
                <w:sz w:val="16"/>
                <w:szCs w:val="16"/>
                <w:color w:val="auto"/>
              </w:rPr>
              <w:t>10,000</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7"/>
                <w:szCs w:val="17"/>
                <w:color w:val="auto"/>
              </w:rPr>
            </w:pP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Kevin F. Warren</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17"/>
                <w:szCs w:val="17"/>
                <w:color w:val="auto"/>
              </w:rPr>
            </w:pPr>
          </w:p>
        </w:tc>
      </w:tr>
      <w:tr>
        <w:trPr>
          <w:trHeight w:val="206"/>
        </w:trPr>
        <w:tc>
          <w:tcPr>
            <w:tcW w:w="3900" w:type="dxa"/>
            <w:vAlign w:val="bottom"/>
            <w:gridSpan w:val="2"/>
          </w:tcPr>
          <w:p>
            <w:pPr>
              <w:spacing w:after="0"/>
              <w:rPr>
                <w:sz w:val="20"/>
                <w:szCs w:val="20"/>
                <w:color w:val="auto"/>
              </w:rPr>
            </w:pPr>
            <w:r>
              <w:rPr>
                <w:rFonts w:ascii="Arial" w:cs="Arial" w:eastAsia="Arial" w:hAnsi="Arial"/>
                <w:sz w:val="16"/>
                <w:szCs w:val="16"/>
                <w:color w:val="auto"/>
              </w:rPr>
              <w:t>Sara R. Dial</w:t>
            </w: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10,000</w:t>
            </w:r>
          </w:p>
        </w:tc>
        <w:tc>
          <w:tcPr>
            <w:tcW w:w="40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271780</wp:posOffset>
            </wp:positionV>
            <wp:extent cx="1080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80" w:hanging="454"/>
        <w:spacing w:after="0"/>
        <w:tabs>
          <w:tab w:leader="none" w:pos="1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amount for Mr. Johnson includes the additional annual retainer of $33,333 that he received in his capacity as lead independent director.</w:t>
      </w:r>
    </w:p>
    <w:p>
      <w:pPr>
        <w:spacing w:after="0" w:line="234" w:lineRule="exact"/>
        <w:rPr>
          <w:rFonts w:ascii="Arial" w:cs="Arial" w:eastAsia="Arial" w:hAnsi="Arial"/>
          <w:sz w:val="16"/>
          <w:szCs w:val="16"/>
          <w:color w:val="auto"/>
        </w:rPr>
      </w:pPr>
    </w:p>
    <w:p>
      <w:pPr>
        <w:ind w:left="460" w:right="520" w:hanging="452"/>
        <w:spacing w:after="0" w:line="278"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part of their annual retainer, a restricted stock grant valued at $75,000 on the date of grant, comprising 1,793 shares, was made to each of Messrs. Johnson, Richardson, Henry, Casper, Warren and Ms. Dial after our annual meeting of stockholders on June 16, 2016. These shares will vest on the earlier of the one year anniversary of the date of grant or immediately prior to the following year’s annual meeting of stockholders.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540" w:type="dxa"/>
            <w:vAlign w:val="bottom"/>
          </w:tcPr>
          <w:p>
            <w:pPr>
              <w:ind w:left="2080"/>
              <w:spacing w:after="0"/>
              <w:rPr>
                <w:sz w:val="20"/>
                <w:szCs w:val="20"/>
                <w:color w:val="auto"/>
              </w:rPr>
            </w:pPr>
            <w:r>
              <w:rPr>
                <w:rFonts w:ascii="Arial" w:cs="Arial" w:eastAsia="Arial" w:hAnsi="Arial"/>
                <w:sz w:val="18"/>
                <w:szCs w:val="18"/>
                <w:b w:val="1"/>
                <w:bCs w:val="1"/>
                <w:color w:val="auto"/>
              </w:rPr>
              <w:t>PROPOSAL NO. 1</w:t>
            </w:r>
          </w:p>
        </w:tc>
      </w:tr>
      <w:tr>
        <w:trPr>
          <w:trHeight w:val="234"/>
        </w:trPr>
        <w:tc>
          <w:tcPr>
            <w:tcW w:w="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540" w:type="dxa"/>
            <w:vAlign w:val="bottom"/>
          </w:tcPr>
          <w:p>
            <w:pPr>
              <w:ind w:left="1640"/>
              <w:spacing w:after="0"/>
              <w:rPr>
                <w:sz w:val="20"/>
                <w:szCs w:val="20"/>
                <w:color w:val="auto"/>
              </w:rPr>
            </w:pPr>
            <w:r>
              <w:rPr>
                <w:rFonts w:ascii="Arial" w:cs="Arial" w:eastAsia="Arial" w:hAnsi="Arial"/>
                <w:sz w:val="18"/>
                <w:szCs w:val="18"/>
                <w:b w:val="1"/>
                <w:bCs w:val="1"/>
                <w:color w:val="auto"/>
              </w:rPr>
              <w:t>ELECTION OF DIRECTORS</w:t>
            </w:r>
          </w:p>
        </w:tc>
      </w:tr>
      <w:tr>
        <w:trPr>
          <w:trHeight w:val="243"/>
        </w:trPr>
        <w:tc>
          <w:tcPr>
            <w:tcW w:w="2900" w:type="dxa"/>
            <w:vAlign w:val="bottom"/>
            <w:tcBorders>
              <w:bottom w:val="single" w:sz="8" w:color="auto"/>
            </w:tcBorders>
            <w:gridSpan w:val="2"/>
          </w:tcPr>
          <w:p>
            <w:pPr>
              <w:spacing w:after="0"/>
              <w:rPr>
                <w:sz w:val="21"/>
                <w:szCs w:val="21"/>
                <w:color w:val="auto"/>
              </w:rPr>
            </w:pPr>
          </w:p>
        </w:tc>
        <w:tc>
          <w:tcPr>
            <w:tcW w:w="8540" w:type="dxa"/>
            <w:vAlign w:val="bottom"/>
            <w:tcBorders>
              <w:bottom w:val="single" w:sz="8" w:color="auto"/>
            </w:tcBorders>
          </w:tcPr>
          <w:p>
            <w:pPr>
              <w:spacing w:after="0"/>
              <w:rPr>
                <w:sz w:val="21"/>
                <w:szCs w:val="21"/>
                <w:color w:val="auto"/>
              </w:rPr>
            </w:pPr>
          </w:p>
        </w:tc>
      </w:tr>
      <w:tr>
        <w:trPr>
          <w:trHeight w:val="406"/>
        </w:trPr>
        <w:tc>
          <w:tcPr>
            <w:tcW w:w="2900" w:type="dxa"/>
            <w:vAlign w:val="bottom"/>
            <w:tcBorders>
              <w:left w:val="single" w:sz="8" w:color="auto"/>
            </w:tcBorders>
            <w:gridSpan w:val="2"/>
          </w:tcPr>
          <w:p>
            <w:pPr>
              <w:ind w:left="4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What am I voting on?</w:t>
            </w: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Stockholders are being asked to elect five directors to serve for a one-year term.</w:t>
            </w:r>
          </w:p>
        </w:tc>
      </w:tr>
      <w:tr>
        <w:trPr>
          <w:trHeight w:val="428"/>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Voting recommendation:</w:t>
            </w: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3"/>
              </w:rPr>
              <w:t>Our Board of Directors unanimous recommends that you vote “</w:t>
            </w:r>
            <w:r>
              <w:rPr>
                <w:rFonts w:ascii="Arial" w:cs="Arial" w:eastAsia="Arial" w:hAnsi="Arial"/>
                <w:sz w:val="16"/>
                <w:szCs w:val="16"/>
                <w:b w:val="1"/>
                <w:bCs w:val="1"/>
                <w:color w:val="auto"/>
                <w:w w:val="93"/>
              </w:rPr>
              <w:t>FOR</w:t>
            </w:r>
            <w:r>
              <w:rPr>
                <w:rFonts w:ascii="Arial" w:cs="Arial" w:eastAsia="Arial" w:hAnsi="Arial"/>
                <w:sz w:val="16"/>
                <w:szCs w:val="16"/>
                <w:color w:val="auto"/>
                <w:w w:val="93"/>
              </w:rPr>
              <w:t>” the election of each director nominee. The Board and</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2"/>
              </w:rPr>
              <w:t>the Nominating and Corporate Governance Committee believe that the five director nominees each possess the necessary</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4"/>
              </w:rPr>
              <w:t>qualifications, attributes, skills and experiences to provide quality advice and counsel to the Company’s management and</w:t>
            </w:r>
          </w:p>
        </w:tc>
      </w:tr>
      <w:tr>
        <w:trPr>
          <w:trHeight w:val="206"/>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effectively oversee the business and the long-term interests of our stockholders.</w:t>
            </w:r>
          </w:p>
        </w:tc>
      </w:tr>
      <w:tr>
        <w:trPr>
          <w:trHeight w:val="415"/>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Vote required:</w:t>
            </w: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8"/>
              </w:rPr>
              <w:t>The affirmative vote of a majority of the votes cast at the Annual Meeting is required for the election of each director.</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2"/>
              </w:rPr>
              <w:t>Stockholders of the Company are not permitted to cumulate their votes for the election of directors. Abstentions and broker</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7"/>
              </w:rPr>
              <w:t>non-votes will have no effect on the results of the election of directors. Unless contrary instructions are given, shares</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5"/>
              </w:rPr>
              <w:t>represented by proxies solicited by the Board of Directors will be voted for the election of each of the director nominees</w:t>
            </w:r>
          </w:p>
        </w:tc>
      </w:tr>
      <w:tr>
        <w:trPr>
          <w:trHeight w:val="209"/>
        </w:trPr>
        <w:tc>
          <w:tcPr>
            <w:tcW w:w="700" w:type="dxa"/>
            <w:vAlign w:val="bottom"/>
            <w:tcBorders>
              <w:left w:val="single" w:sz="8" w:color="auto"/>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identified below.</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right="40" w:firstLine="571"/>
        <w:spacing w:after="0" w:line="273" w:lineRule="auto"/>
        <w:rPr>
          <w:sz w:val="20"/>
          <w:szCs w:val="20"/>
          <w:color w:val="auto"/>
        </w:rPr>
      </w:pPr>
      <w:r>
        <w:rPr>
          <w:rFonts w:ascii="Arial" w:cs="Arial" w:eastAsia="Arial" w:hAnsi="Arial"/>
          <w:sz w:val="17"/>
          <w:szCs w:val="17"/>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five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five persons named below for election as directors. Proxies solicited by our Board of Directors will, unless otherwise directed, be voted to elect the five nominees named below to constitute the entire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121" w:lineRule="exact"/>
        <w:rPr>
          <w:sz w:val="20"/>
          <w:szCs w:val="20"/>
          <w:color w:val="auto"/>
        </w:rPr>
      </w:pPr>
    </w:p>
    <w:p>
      <w:pPr>
        <w:ind w:right="120" w:firstLine="571"/>
        <w:spacing w:after="0" w:line="286" w:lineRule="auto"/>
        <w:rPr>
          <w:sz w:val="20"/>
          <w:szCs w:val="20"/>
          <w:color w:val="auto"/>
        </w:rPr>
      </w:pPr>
      <w:r>
        <w:rPr>
          <w:rFonts w:ascii="Arial" w:cs="Arial" w:eastAsia="Arial" w:hAnsi="Arial"/>
          <w:sz w:val="17"/>
          <w:szCs w:val="17"/>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53" w:lineRule="exact"/>
        <w:rPr>
          <w:sz w:val="20"/>
          <w:szCs w:val="20"/>
          <w:color w:val="auto"/>
        </w:rPr>
      </w:pPr>
    </w:p>
    <w:tbl>
      <w:tblPr>
        <w:tblLayout w:type="fixed"/>
        <w:tblInd w:w="820" w:type="dxa"/>
        <w:tblCellMar>
          <w:top w:w="0" w:type="dxa"/>
          <w:left w:w="0" w:type="dxa"/>
          <w:bottom w:w="0" w:type="dxa"/>
          <w:right w:w="0" w:type="dxa"/>
        </w:tblCellMar>
      </w:tblPr>
      <w:tr>
        <w:trPr>
          <w:trHeight w:val="224"/>
        </w:trPr>
        <w:tc>
          <w:tcPr>
            <w:tcW w:w="19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Age</w:t>
            </w:r>
          </w:p>
        </w:tc>
        <w:tc>
          <w:tcPr>
            <w:tcW w:w="3280" w:type="dxa"/>
            <w:vAlign w:val="bottom"/>
            <w:gridSpan w:val="2"/>
          </w:tcPr>
          <w:p>
            <w:pPr>
              <w:ind w:left="1260"/>
              <w:spacing w:after="0"/>
              <w:rPr>
                <w:sz w:val="20"/>
                <w:szCs w:val="20"/>
                <w:color w:val="auto"/>
              </w:rPr>
            </w:pPr>
            <w:r>
              <w:rPr>
                <w:rFonts w:ascii="Arial" w:cs="Arial" w:eastAsia="Arial" w:hAnsi="Arial"/>
                <w:sz w:val="16"/>
                <w:szCs w:val="16"/>
                <w:b w:val="1"/>
                <w:bCs w:val="1"/>
                <w:color w:val="auto"/>
              </w:rPr>
              <w:t>Position</w:t>
            </w:r>
          </w:p>
        </w:tc>
        <w:tc>
          <w:tcPr>
            <w:tcW w:w="4760" w:type="dxa"/>
            <w:vAlign w:val="bottom"/>
          </w:tcPr>
          <w:p>
            <w:pPr>
              <w:ind w:left="1360"/>
              <w:spacing w:after="0"/>
              <w:rPr>
                <w:sz w:val="20"/>
                <w:szCs w:val="20"/>
                <w:color w:val="auto"/>
              </w:rPr>
            </w:pPr>
            <w:r>
              <w:rPr>
                <w:rFonts w:ascii="Arial" w:cs="Arial" w:eastAsia="Arial" w:hAnsi="Arial"/>
                <w:sz w:val="16"/>
                <w:szCs w:val="16"/>
                <w:b w:val="1"/>
                <w:bCs w:val="1"/>
                <w:color w:val="auto"/>
              </w:rPr>
              <w:t>Committee Membership/Role</w:t>
            </w:r>
          </w:p>
        </w:tc>
      </w:tr>
      <w:tr>
        <w:trPr>
          <w:trHeight w:val="192"/>
        </w:trPr>
        <w:tc>
          <w:tcPr>
            <w:tcW w:w="1920" w:type="dxa"/>
            <w:vAlign w:val="bottom"/>
          </w:tcPr>
          <w:p>
            <w:pPr>
              <w:spacing w:after="0"/>
              <w:rPr>
                <w:sz w:val="20"/>
                <w:szCs w:val="20"/>
                <w:color w:val="auto"/>
              </w:rPr>
            </w:pPr>
            <w:r>
              <w:rPr>
                <w:rFonts w:ascii="Arial" w:cs="Arial" w:eastAsia="Arial" w:hAnsi="Arial"/>
                <w:sz w:val="16"/>
                <w:szCs w:val="16"/>
                <w:color w:val="auto"/>
              </w:rPr>
              <w:t>Brian E. Mueller</w:t>
            </w: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63</w:t>
            </w:r>
          </w:p>
        </w:tc>
        <w:tc>
          <w:tcPr>
            <w:tcW w:w="200" w:type="dxa"/>
            <w:vAlign w:val="bottom"/>
          </w:tcPr>
          <w:p>
            <w:pPr>
              <w:spacing w:after="0"/>
              <w:rPr>
                <w:sz w:val="16"/>
                <w:szCs w:val="16"/>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Chairman, Chief Executive Officer, and</w:t>
            </w:r>
          </w:p>
        </w:tc>
        <w:tc>
          <w:tcPr>
            <w:tcW w:w="200" w:type="dxa"/>
            <w:vAlign w:val="bottom"/>
          </w:tcPr>
          <w:p>
            <w:pPr>
              <w:spacing w:after="0"/>
              <w:rPr>
                <w:sz w:val="16"/>
                <w:szCs w:val="16"/>
                <w:color w:val="auto"/>
              </w:rPr>
            </w:pPr>
          </w:p>
        </w:tc>
        <w:tc>
          <w:tcPr>
            <w:tcW w:w="476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None</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President of Grand Canyon University</w:t>
            </w:r>
          </w:p>
        </w:tc>
        <w:tc>
          <w:tcPr>
            <w:tcW w:w="4760" w:type="dxa"/>
            <w:vAlign w:val="bottom"/>
          </w:tcPr>
          <w:p>
            <w:pPr>
              <w:spacing w:after="0"/>
              <w:rPr>
                <w:sz w:val="17"/>
                <w:szCs w:val="17"/>
                <w:color w:val="auto"/>
              </w:rPr>
            </w:pPr>
          </w:p>
        </w:tc>
      </w:tr>
      <w:tr>
        <w:trPr>
          <w:trHeight w:val="388"/>
        </w:trPr>
        <w:tc>
          <w:tcPr>
            <w:tcW w:w="1920" w:type="dxa"/>
            <w:vAlign w:val="bottom"/>
          </w:tcPr>
          <w:p>
            <w:pPr>
              <w:spacing w:after="0"/>
              <w:rPr>
                <w:sz w:val="20"/>
                <w:szCs w:val="20"/>
                <w:color w:val="auto"/>
              </w:rPr>
            </w:pPr>
            <w:r>
              <w:rPr>
                <w:rFonts w:ascii="Arial" w:cs="Arial" w:eastAsia="Arial" w:hAnsi="Arial"/>
                <w:sz w:val="16"/>
                <w:szCs w:val="16"/>
                <w:color w:val="auto"/>
              </w:rPr>
              <w:t>Sara R. Dial</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2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4760" w:type="dxa"/>
            <w:vAlign w:val="bottom"/>
          </w:tcPr>
          <w:p>
            <w:pPr>
              <w:ind w:left="320"/>
              <w:spacing w:after="0"/>
              <w:rPr>
                <w:sz w:val="20"/>
                <w:szCs w:val="20"/>
                <w:color w:val="auto"/>
              </w:rPr>
            </w:pPr>
            <w:r>
              <w:rPr>
                <w:rFonts w:ascii="Arial" w:cs="Arial" w:eastAsia="Arial" w:hAnsi="Arial"/>
                <w:sz w:val="16"/>
                <w:szCs w:val="16"/>
                <w:color w:val="auto"/>
              </w:rPr>
              <w:t>Nominating and Corporate Governance (chair)</w:t>
            </w:r>
          </w:p>
        </w:tc>
      </w:tr>
      <w:tr>
        <w:trPr>
          <w:trHeight w:val="203"/>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Compensation</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Lead Independent Director</w:t>
            </w:r>
          </w:p>
        </w:tc>
      </w:tr>
      <w:tr>
        <w:trPr>
          <w:trHeight w:val="212"/>
        </w:trPr>
        <w:tc>
          <w:tcPr>
            <w:tcW w:w="1920" w:type="dxa"/>
            <w:vAlign w:val="bottom"/>
          </w:tcPr>
          <w:p>
            <w:pPr>
              <w:spacing w:after="0"/>
              <w:rPr>
                <w:sz w:val="20"/>
                <w:szCs w:val="20"/>
                <w:color w:val="auto"/>
              </w:rPr>
            </w:pPr>
            <w:r>
              <w:rPr>
                <w:rFonts w:ascii="Arial" w:cs="Arial" w:eastAsia="Arial" w:hAnsi="Arial"/>
                <w:sz w:val="16"/>
                <w:szCs w:val="16"/>
                <w:color w:val="auto"/>
              </w:rPr>
              <w:t>Jack A. Henry</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73</w:t>
            </w:r>
          </w:p>
        </w:tc>
        <w:tc>
          <w:tcPr>
            <w:tcW w:w="2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4760" w:type="dxa"/>
            <w:vAlign w:val="bottom"/>
          </w:tcPr>
          <w:p>
            <w:pPr>
              <w:ind w:left="320"/>
              <w:spacing w:after="0"/>
              <w:rPr>
                <w:sz w:val="20"/>
                <w:szCs w:val="20"/>
                <w:color w:val="auto"/>
              </w:rPr>
            </w:pPr>
            <w:r>
              <w:rPr>
                <w:rFonts w:ascii="Arial" w:cs="Arial" w:eastAsia="Arial" w:hAnsi="Arial"/>
                <w:sz w:val="16"/>
                <w:szCs w:val="16"/>
                <w:color w:val="auto"/>
              </w:rPr>
              <w:t>Audit (chair)</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Compensation</w:t>
            </w:r>
          </w:p>
        </w:tc>
      </w:tr>
      <w:tr>
        <w:trPr>
          <w:trHeight w:val="212"/>
        </w:trPr>
        <w:tc>
          <w:tcPr>
            <w:tcW w:w="1920" w:type="dxa"/>
            <w:vAlign w:val="bottom"/>
          </w:tcPr>
          <w:p>
            <w:pPr>
              <w:spacing w:after="0"/>
              <w:rPr>
                <w:sz w:val="20"/>
                <w:szCs w:val="20"/>
                <w:color w:val="auto"/>
              </w:rPr>
            </w:pPr>
            <w:r>
              <w:rPr>
                <w:rFonts w:ascii="Arial" w:cs="Arial" w:eastAsia="Arial" w:hAnsi="Arial"/>
                <w:sz w:val="16"/>
                <w:szCs w:val="16"/>
                <w:color w:val="auto"/>
              </w:rPr>
              <w:t>Kevin F. Warren</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2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4760" w:type="dxa"/>
            <w:vAlign w:val="bottom"/>
          </w:tcPr>
          <w:p>
            <w:pPr>
              <w:ind w:left="320"/>
              <w:spacing w:after="0"/>
              <w:rPr>
                <w:sz w:val="20"/>
                <w:szCs w:val="20"/>
                <w:color w:val="auto"/>
              </w:rPr>
            </w:pPr>
            <w:r>
              <w:rPr>
                <w:rFonts w:ascii="Arial" w:cs="Arial" w:eastAsia="Arial" w:hAnsi="Arial"/>
                <w:sz w:val="16"/>
                <w:szCs w:val="16"/>
                <w:color w:val="auto"/>
              </w:rPr>
              <w:t>Compensation (chair)</w:t>
            </w:r>
          </w:p>
        </w:tc>
      </w:tr>
      <w:tr>
        <w:trPr>
          <w:trHeight w:val="203"/>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Nominating and Corporate Governance</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Audit</w:t>
            </w:r>
          </w:p>
        </w:tc>
      </w:tr>
      <w:tr>
        <w:trPr>
          <w:trHeight w:val="212"/>
        </w:trPr>
        <w:tc>
          <w:tcPr>
            <w:tcW w:w="1920" w:type="dxa"/>
            <w:vAlign w:val="bottom"/>
          </w:tcPr>
          <w:p>
            <w:pPr>
              <w:spacing w:after="0"/>
              <w:rPr>
                <w:sz w:val="20"/>
                <w:szCs w:val="20"/>
                <w:color w:val="auto"/>
              </w:rPr>
            </w:pPr>
            <w:r>
              <w:rPr>
                <w:rFonts w:ascii="Arial" w:cs="Arial" w:eastAsia="Arial" w:hAnsi="Arial"/>
                <w:sz w:val="16"/>
                <w:szCs w:val="16"/>
                <w:color w:val="auto"/>
              </w:rPr>
              <w:t>David J. Johnson</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70</w:t>
            </w:r>
          </w:p>
        </w:tc>
        <w:tc>
          <w:tcPr>
            <w:tcW w:w="2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4760" w:type="dxa"/>
            <w:vAlign w:val="bottom"/>
          </w:tcPr>
          <w:p>
            <w:pPr>
              <w:ind w:left="320"/>
              <w:spacing w:after="0"/>
              <w:rPr>
                <w:sz w:val="20"/>
                <w:szCs w:val="20"/>
                <w:color w:val="auto"/>
              </w:rPr>
            </w:pPr>
            <w:r>
              <w:rPr>
                <w:rFonts w:ascii="Arial" w:cs="Arial" w:eastAsia="Arial" w:hAnsi="Arial"/>
                <w:sz w:val="16"/>
                <w:szCs w:val="16"/>
                <w:color w:val="auto"/>
              </w:rPr>
              <w:t>Compensation</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Nominating and Corporate Governance</w:t>
            </w: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40"/>
          </w:cols>
          <w:pgMar w:left="240" w:top="459" w:right="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20" w:firstLine="450"/>
        <w:spacing w:after="0" w:line="285" w:lineRule="auto"/>
        <w:rPr>
          <w:sz w:val="20"/>
          <w:szCs w:val="20"/>
          <w:color w:val="auto"/>
        </w:rPr>
      </w:pPr>
      <w:r>
        <w:rPr>
          <w:rFonts w:ascii="Arial" w:cs="Arial" w:eastAsia="Arial" w:hAnsi="Arial"/>
          <w:sz w:val="16"/>
          <w:szCs w:val="16"/>
          <w:i w:val="1"/>
          <w:iCs w:val="1"/>
          <w:color w:val="auto"/>
        </w:rPr>
        <w:t xml:space="preserve">Brian E. Mueller </w:t>
      </w:r>
      <w:r>
        <w:rPr>
          <w:rFonts w:ascii="Arial" w:cs="Arial" w:eastAsia="Arial" w:hAnsi="Arial"/>
          <w:sz w:val="16"/>
          <w:szCs w:val="16"/>
          <w:color w:val="auto"/>
        </w:rPr>
        <w:t>has been serving as our Chief Executive Officer since July 1, 2008, as a director since March 2009,</w:t>
      </w:r>
      <w:r>
        <w:rPr>
          <w:rFonts w:ascii="Arial" w:cs="Arial" w:eastAsia="Arial" w:hAnsi="Arial"/>
          <w:sz w:val="16"/>
          <w:szCs w:val="16"/>
          <w:i w:val="1"/>
          <w:iCs w:val="1"/>
          <w:color w:val="auto"/>
        </w:rPr>
        <w:t xml:space="preserve"> </w:t>
      </w:r>
      <w:r>
        <w:rPr>
          <w:rFonts w:ascii="Arial" w:cs="Arial" w:eastAsia="Arial" w:hAnsi="Arial"/>
          <w:sz w:val="16"/>
          <w:szCs w:val="16"/>
          <w:color w:val="auto"/>
        </w:rPr>
        <w:t>as the President of Grand Canyon University since September 1, 2012, and as the Chairman of our Board since January 2017. Mr. Mueller has been serving as the President of the Grand Canyon University Foundation, a foundation formed to benefit public charities, since its formation in 2010 and as the President of GCU Community Fund, an entity formed to provide seed funding for entrepreneurial ventures initiated by Grand Canyon University students, since its formation in 2014.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-2209800</wp:posOffset>
            </wp:positionV>
            <wp:extent cx="1235075" cy="1646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58" w:lineRule="exact"/>
        <w:rPr>
          <w:sz w:val="20"/>
          <w:szCs w:val="20"/>
          <w:color w:val="auto"/>
        </w:rPr>
      </w:pPr>
    </w:p>
    <w:p>
      <w:pPr>
        <w:ind w:left="2520" w:firstLine="450"/>
        <w:spacing w:after="0" w:line="285"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serving as a member of our Board of Directors since March 2013, and as the lead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since January 2017. Ms. Dial has served as President and Chief Executive Officer of Sara Dial &amp; Associates, an economic development consulting firm specializing in site selection and government relations since 1996. She has led high profile economic development initiatives in Arizona including the creation and implementation of an urban revitalization model, the “Discovery Triangle” and the restructuring of Arizona’s statewide economic development organization under Governor Brewer, resulting in the creation of the agency now known as the Arizona Commerce Authority. From 2002 through 2003, Ms. Dial also served as the Chief Executive of Social Venture Partners Arizona, a philanthropic foundation using a venture capital approach to giving. In 2004, Ms. Dial was elected as Chairman of the Board of Social Venture Partners Arizona. From 1993 to 1996, Ms. Dial served as the director of the Arizona Department of Commerce, having previously served as the finance director from 1991 to 1993. Prior to her work in the public sector, Ms. Dial worked in the investment banking industry at Rauscher Pierces Refsnes, Boettcher and Company and Kemper Securities Group, focusing on municipal finance. Currently, Ms. Dial is a director for Mobile Mini, Inc., a publicly traded provider of portable storage solutions, and she also sits on the local advisory board of BBVA Compass Bank. Ms. Dial was previously a member of the board of trustees at Seattle Pacific University. Ms. Dial is a graduate of Stanford University with a Bachelor of Arts degree in international relations. We believe Ms. Dial’s extensive experience with government, higher education and economic development provides a tremendous resource to our Board of Directors and management team, particularly in the areas of government relations,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-2348865</wp:posOffset>
            </wp:positionV>
            <wp:extent cx="1235075" cy="1646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55" w:lineRule="exact"/>
        <w:rPr>
          <w:sz w:val="20"/>
          <w:szCs w:val="20"/>
          <w:color w:val="auto"/>
        </w:rPr>
      </w:pPr>
    </w:p>
    <w:p>
      <w:pPr>
        <w:ind w:left="2520" w:right="120" w:firstLine="450"/>
        <w:spacing w:after="0" w:line="288"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w:t>
      </w:r>
      <w:r>
        <w:rPr>
          <w:rFonts w:ascii="Arial" w:cs="Arial" w:eastAsia="Arial" w:hAnsi="Arial"/>
          <w:sz w:val="16"/>
          <w:szCs w:val="16"/>
          <w:i w:val="1"/>
          <w:iCs w:val="1"/>
          <w:color w:val="auto"/>
        </w:rPr>
        <w:t xml:space="preserve"> </w:t>
      </w:r>
      <w:r>
        <w:rPr>
          <w:rFonts w:ascii="Arial" w:cs="Arial" w:eastAsia="Arial" w:hAnsi="Arial"/>
          <w:sz w:val="16"/>
          <w:szCs w:val="16"/>
          <w:color w:val="auto"/>
        </w:rPr>
        <w:t>Mr. Henry has served as the Managing 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 of directors and as chair of the audit committee of TPI Composites, Inc., a manufacturer of composite wind blades, on the boards of directors and audit committees of several private companies, and as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-1391920</wp:posOffset>
            </wp:positionV>
            <wp:extent cx="1235075" cy="1646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520" w:firstLine="450"/>
        <w:spacing w:after="0" w:line="286" w:lineRule="auto"/>
        <w:rPr>
          <w:sz w:val="20"/>
          <w:szCs w:val="20"/>
          <w:color w:val="auto"/>
        </w:rPr>
      </w:pPr>
      <w:r>
        <w:rPr>
          <w:rFonts w:ascii="Arial" w:cs="Arial" w:eastAsia="Arial" w:hAnsi="Arial"/>
          <w:sz w:val="16"/>
          <w:szCs w:val="16"/>
          <w:i w:val="1"/>
          <w:iCs w:val="1"/>
          <w:color w:val="auto"/>
        </w:rPr>
        <w:t xml:space="preserve">Kevin F. Warren </w:t>
      </w:r>
      <w:r>
        <w:rPr>
          <w:rFonts w:ascii="Arial" w:cs="Arial" w:eastAsia="Arial" w:hAnsi="Arial"/>
          <w:sz w:val="16"/>
          <w:szCs w:val="16"/>
          <w:color w:val="auto"/>
        </w:rPr>
        <w:t>has been serving as a member of our Board of Directors since September 2012. Mr. Warren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senior officer for the Minnesota Vikings, a National Football League franchise, since 2005 and currently serves as the club’s Chief Operating Officer, with responsibility for the day-to-day business operations. Prior to joining the Vikings, from 2003 to 2005, Mr. Warren worked with the international law firm of Greenberg Traurig, which included working with the Wilf ownership group during its acquisition of the Vikings. From 2001 to 2003, Mr. Warren served as Senior Vice President of Business Operations &amp; General Counsel for the Detroit Lions. Prior to that time, Mr. Warren worked with the St. Louis Rams, as Vice President of Football Administration in 2001 and as Vice President of Player Development &amp; Football Legal Counsel from 1997 to 2000. Mr. Warren earned his bachelor’s degree in business administration from Grand Canyon University and, in March 2012, was inducted into the Grand Canyon University Athletics Hall of Fame. Mr. Warren earned his master’s degree in business administration from Arizona State University, and his Juris Doctorate degree from the University of Notre Dame School of Law. We believe Mr. Warren’s extensive experience with legal, financial and marketing matters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-1800225</wp:posOffset>
            </wp:positionV>
            <wp:extent cx="1235075" cy="16465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55" w:lineRule="exact"/>
        <w:rPr>
          <w:sz w:val="20"/>
          <w:szCs w:val="20"/>
          <w:color w:val="auto"/>
        </w:rPr>
      </w:pPr>
    </w:p>
    <w:p>
      <w:pPr>
        <w:ind w:left="2520" w:right="20" w:firstLine="450"/>
        <w:spacing w:after="0" w:line="286" w:lineRule="auto"/>
        <w:rPr>
          <w:sz w:val="20"/>
          <w:szCs w:val="20"/>
          <w:color w:val="auto"/>
        </w:rPr>
      </w:pPr>
      <w:r>
        <w:rPr>
          <w:rFonts w:ascii="Arial" w:cs="Arial" w:eastAsia="Arial" w:hAnsi="Arial"/>
          <w:sz w:val="16"/>
          <w:szCs w:val="16"/>
          <w:i w:val="1"/>
          <w:iCs w:val="1"/>
          <w:color w:val="auto"/>
        </w:rPr>
        <w:t xml:space="preserve">David J. Johnson </w:t>
      </w:r>
      <w:r>
        <w:rPr>
          <w:rFonts w:ascii="Arial" w:cs="Arial" w:eastAsia="Arial" w:hAnsi="Arial"/>
          <w:sz w:val="16"/>
          <w:szCs w:val="16"/>
          <w:color w:val="auto"/>
        </w:rPr>
        <w:t>has been serving as a member of our Board of Directors since November 2008. From 1997 to</w:t>
      </w:r>
      <w:r>
        <w:rPr>
          <w:rFonts w:ascii="Arial" w:cs="Arial" w:eastAsia="Arial" w:hAnsi="Arial"/>
          <w:sz w:val="16"/>
          <w:szCs w:val="16"/>
          <w:i w:val="1"/>
          <w:iCs w:val="1"/>
          <w:color w:val="auto"/>
        </w:rPr>
        <w:t xml:space="preserve"> </w:t>
      </w:r>
      <w:r>
        <w:rPr>
          <w:rFonts w:ascii="Arial" w:cs="Arial" w:eastAsia="Arial" w:hAnsi="Arial"/>
          <w:sz w:val="16"/>
          <w:szCs w:val="16"/>
          <w:color w:val="auto"/>
        </w:rPr>
        <w:t>2006, Mr. Johnson served as Chief 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currently serves as a director of Red Lion Hotels Corporation, a hospitality company.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-1800225</wp:posOffset>
            </wp:positionV>
            <wp:extent cx="1235075" cy="1646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51" w:lineRule="exact"/>
        <w:rPr>
          <w:sz w:val="20"/>
          <w:szCs w:val="20"/>
          <w:color w:val="auto"/>
        </w:rPr>
      </w:pPr>
    </w:p>
    <w:p>
      <w:pPr>
        <w:ind w:right="260" w:firstLine="571"/>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five nominees listed above to constitute our Board of Directors.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80" w:type="dxa"/>
            <w:vAlign w:val="bottom"/>
          </w:tcPr>
          <w:p>
            <w:pPr>
              <w:ind w:left="2420"/>
              <w:spacing w:after="0"/>
              <w:rPr>
                <w:sz w:val="20"/>
                <w:szCs w:val="20"/>
                <w:color w:val="auto"/>
              </w:rPr>
            </w:pPr>
            <w:r>
              <w:rPr>
                <w:rFonts w:ascii="Arial" w:cs="Arial" w:eastAsia="Arial" w:hAnsi="Arial"/>
                <w:sz w:val="18"/>
                <w:szCs w:val="18"/>
                <w:b w:val="1"/>
                <w:bCs w:val="1"/>
                <w:color w:val="auto"/>
              </w:rPr>
              <w:t>PROPOSAL NO. 2</w:t>
            </w:r>
          </w:p>
        </w:tc>
      </w:tr>
      <w:tr>
        <w:trPr>
          <w:trHeight w:val="234"/>
        </w:trPr>
        <w:tc>
          <w:tcPr>
            <w:tcW w:w="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880" w:type="dxa"/>
            <w:vAlign w:val="bottom"/>
          </w:tcPr>
          <w:p>
            <w:pPr>
              <w:ind w:left="60"/>
              <w:spacing w:after="0"/>
              <w:rPr>
                <w:sz w:val="20"/>
                <w:szCs w:val="20"/>
                <w:color w:val="auto"/>
              </w:rPr>
            </w:pPr>
            <w:r>
              <w:rPr>
                <w:rFonts w:ascii="Arial" w:cs="Arial" w:eastAsia="Arial" w:hAnsi="Arial"/>
                <w:sz w:val="18"/>
                <w:szCs w:val="18"/>
                <w:b w:val="1"/>
                <w:bCs w:val="1"/>
                <w:color w:val="auto"/>
              </w:rPr>
              <w:t>APPROVAL OF THE ADOPTION OF THE 2017 EQUITY INCENTIVE PLAN</w:t>
            </w:r>
          </w:p>
        </w:tc>
      </w:tr>
      <w:tr>
        <w:trPr>
          <w:trHeight w:val="243"/>
        </w:trPr>
        <w:tc>
          <w:tcPr>
            <w:tcW w:w="2560" w:type="dxa"/>
            <w:vAlign w:val="bottom"/>
            <w:tcBorders>
              <w:bottom w:val="single" w:sz="8" w:color="auto"/>
            </w:tcBorders>
            <w:gridSpan w:val="2"/>
          </w:tcPr>
          <w:p>
            <w:pPr>
              <w:spacing w:after="0"/>
              <w:rPr>
                <w:sz w:val="21"/>
                <w:szCs w:val="21"/>
                <w:color w:val="auto"/>
              </w:rPr>
            </w:pPr>
          </w:p>
        </w:tc>
        <w:tc>
          <w:tcPr>
            <w:tcW w:w="8880" w:type="dxa"/>
            <w:vAlign w:val="bottom"/>
            <w:tcBorders>
              <w:bottom w:val="single" w:sz="8" w:color="auto"/>
            </w:tcBorders>
          </w:tcPr>
          <w:p>
            <w:pPr>
              <w:spacing w:after="0"/>
              <w:rPr>
                <w:sz w:val="21"/>
                <w:szCs w:val="21"/>
                <w:color w:val="auto"/>
              </w:rPr>
            </w:pPr>
          </w:p>
        </w:tc>
      </w:tr>
      <w:tr>
        <w:trPr>
          <w:trHeight w:val="402"/>
        </w:trPr>
        <w:tc>
          <w:tcPr>
            <w:tcW w:w="2560" w:type="dxa"/>
            <w:vAlign w:val="bottom"/>
            <w:tcBorders>
              <w:left w:val="single" w:sz="8" w:color="auto"/>
            </w:tcBorders>
            <w:gridSpan w:val="2"/>
          </w:tcPr>
          <w:p>
            <w:pPr>
              <w:ind w:left="4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What am I voting on?</w:t>
            </w:r>
          </w:p>
        </w:tc>
        <w:tc>
          <w:tcPr>
            <w:tcW w:w="888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w w:val="96"/>
              </w:rPr>
              <w:t>Stockholders are being asked to approve the adoption of our 2017 Equity Incentive Plan (including, without limitation,</w:t>
            </w:r>
          </w:p>
        </w:tc>
      </w:tr>
      <w:tr>
        <w:trPr>
          <w:trHeight w:val="206"/>
        </w:trPr>
        <w:tc>
          <w:tcPr>
            <w:tcW w:w="700" w:type="dxa"/>
            <w:vAlign w:val="bottom"/>
            <w:tcBorders>
              <w:lef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888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w w:val="97"/>
              </w:rPr>
              <w:t>certain material terms of the 2017 Plan for purposes of Section 162(m) of the Internal Revenue Code, as amended).</w:t>
            </w:r>
          </w:p>
        </w:tc>
      </w:tr>
      <w:tr>
        <w:trPr>
          <w:trHeight w:val="428"/>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860" w:type="dxa"/>
            <w:vAlign w:val="bottom"/>
          </w:tcPr>
          <w:p>
            <w:pPr>
              <w:ind w:left="140"/>
              <w:spacing w:after="0"/>
              <w:rPr>
                <w:sz w:val="20"/>
                <w:szCs w:val="20"/>
                <w:color w:val="auto"/>
              </w:rPr>
            </w:pPr>
            <w:r>
              <w:rPr>
                <w:rFonts w:ascii="Arial" w:cs="Arial" w:eastAsia="Arial" w:hAnsi="Arial"/>
                <w:sz w:val="16"/>
                <w:szCs w:val="16"/>
                <w:b w:val="1"/>
                <w:bCs w:val="1"/>
                <w:i w:val="1"/>
                <w:iCs w:val="1"/>
                <w:color w:val="auto"/>
                <w:w w:val="90"/>
              </w:rPr>
              <w:t>Voting recommendation:</w:t>
            </w:r>
          </w:p>
        </w:tc>
        <w:tc>
          <w:tcPr>
            <w:tcW w:w="888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w w:val="98"/>
              </w:rPr>
              <w:t>Our Board of Directors unanimously recommends that you vote “</w:t>
            </w:r>
            <w:r>
              <w:rPr>
                <w:rFonts w:ascii="Arial" w:cs="Arial" w:eastAsia="Arial" w:hAnsi="Arial"/>
                <w:sz w:val="16"/>
                <w:szCs w:val="16"/>
                <w:b w:val="1"/>
                <w:bCs w:val="1"/>
                <w:color w:val="auto"/>
                <w:w w:val="98"/>
              </w:rPr>
              <w:t>FOR</w:t>
            </w:r>
            <w:r>
              <w:rPr>
                <w:rFonts w:ascii="Arial" w:cs="Arial" w:eastAsia="Arial" w:hAnsi="Arial"/>
                <w:sz w:val="16"/>
                <w:szCs w:val="16"/>
                <w:color w:val="auto"/>
                <w:w w:val="98"/>
              </w:rPr>
              <w:t>” approval of the adoption of our 2017 Equity</w:t>
            </w:r>
          </w:p>
        </w:tc>
      </w:tr>
      <w:tr>
        <w:trPr>
          <w:trHeight w:val="203"/>
        </w:trPr>
        <w:tc>
          <w:tcPr>
            <w:tcW w:w="700" w:type="dxa"/>
            <w:vAlign w:val="bottom"/>
            <w:tcBorders>
              <w:lef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888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w w:val="96"/>
              </w:rPr>
              <w:t>Incentive Plan (including, without limitation, certain material terms of the 2017 Plan for purposes of Section 162(m) of</w:t>
            </w:r>
          </w:p>
        </w:tc>
      </w:tr>
      <w:tr>
        <w:trPr>
          <w:trHeight w:val="206"/>
        </w:trPr>
        <w:tc>
          <w:tcPr>
            <w:tcW w:w="700" w:type="dxa"/>
            <w:vAlign w:val="bottom"/>
            <w:tcBorders>
              <w:lef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888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the Internal Revenue Code, as amended).</w:t>
            </w:r>
          </w:p>
        </w:tc>
      </w:tr>
      <w:tr>
        <w:trPr>
          <w:trHeight w:val="415"/>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86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Vote required:</w:t>
            </w:r>
          </w:p>
        </w:tc>
        <w:tc>
          <w:tcPr>
            <w:tcW w:w="888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w w:val="98"/>
              </w:rPr>
              <w:t>The affirmative vote of the majority of shares present in person or represented by proxy at the Annual Meeting and</w:t>
            </w:r>
          </w:p>
        </w:tc>
      </w:tr>
      <w:tr>
        <w:trPr>
          <w:trHeight w:val="203"/>
        </w:trPr>
        <w:tc>
          <w:tcPr>
            <w:tcW w:w="700" w:type="dxa"/>
            <w:vAlign w:val="bottom"/>
            <w:tcBorders>
              <w:lef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888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w w:val="97"/>
              </w:rPr>
              <w:t>entitled to vote. Broker non-votes will have no effect on the outcome of this proposal, while abstentions will have the</w:t>
            </w:r>
          </w:p>
        </w:tc>
      </w:tr>
      <w:tr>
        <w:trPr>
          <w:trHeight w:val="209"/>
        </w:trPr>
        <w:tc>
          <w:tcPr>
            <w:tcW w:w="700" w:type="dxa"/>
            <w:vAlign w:val="bottom"/>
            <w:tcBorders>
              <w:left w:val="single" w:sz="8" w:color="auto"/>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6"/>
                <w:szCs w:val="16"/>
                <w:color w:val="auto"/>
              </w:rPr>
              <w:t>effect of a vote against this proposal.</w:t>
            </w:r>
          </w:p>
        </w:tc>
      </w:tr>
    </w:tbl>
    <w:p>
      <w:pPr>
        <w:spacing w:after="0" w:line="310" w:lineRule="exact"/>
        <w:rPr>
          <w:sz w:val="20"/>
          <w:szCs w:val="20"/>
          <w:color w:val="auto"/>
        </w:rPr>
      </w:pPr>
    </w:p>
    <w:p>
      <w:pPr>
        <w:ind w:right="120" w:firstLine="799"/>
        <w:spacing w:after="0" w:line="257" w:lineRule="auto"/>
        <w:rPr>
          <w:sz w:val="20"/>
          <w:szCs w:val="20"/>
          <w:color w:val="auto"/>
        </w:rPr>
      </w:pPr>
      <w:r>
        <w:rPr>
          <w:rFonts w:ascii="Arial" w:cs="Arial" w:eastAsia="Arial" w:hAnsi="Arial"/>
          <w:sz w:val="18"/>
          <w:szCs w:val="18"/>
          <w:color w:val="auto"/>
        </w:rPr>
        <w:t>At the Annual Meeting, stockholders will be asked to approve the Grand Canyon Education, Inc. 2017 Equity Incentive Plan (the “2017 Plan”). The Board of Directors adopted the 2017 Plan on January 26, 2017, subject to and effective upon its approval by our stockholders. The 2017 Plan is intended to replace our 2008 Equity Incentive Plan (the “Predecessor Plan”), which would otherwise terminate automatically on the tenth anniversary of its initial adoption in May 2008. If the stockholders approve the 2017 Plan, it will become effective on the day of the Annual Meeting, and no further awards will be granted under the Predecessor Plan, which will be terminated.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ind w:right="40" w:firstLine="799"/>
        <w:spacing w:after="0" w:line="272" w:lineRule="auto"/>
        <w:rPr>
          <w:sz w:val="20"/>
          <w:szCs w:val="20"/>
          <w:color w:val="auto"/>
        </w:rPr>
      </w:pPr>
      <w:r>
        <w:rPr>
          <w:rFonts w:ascii="Arial" w:cs="Arial" w:eastAsia="Arial" w:hAnsi="Arial"/>
          <w:sz w:val="17"/>
          <w:szCs w:val="17"/>
          <w:color w:val="auto"/>
        </w:rPr>
        <w:t>We operate in a challenging marketplace in which our success depends to a great extent on our ability to attract and retain employees, directors and other service providers of the highest caliber. One of the tools our Board of Directors regards as essential in addressing these human resource challenges is a competitive equity incentive program. Our employee equity incentive program provides a range of incentive tools and sufficient flexibility to permit the Board’s Compensation Committee to implement the program in ways that will make the most effective use of the shares our stockholders authorize for incentive purposes. We intend to use these incentives to attract new key employees and to continue to retain existing key employees, directors and other service providers for the long-term benefit of the Company and its stockholders. If the stockholders do not approve the 2017 Plan, we will be unable to continue our employee stock incentive program after May 12,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Requested Share Authorization</w:t>
      </w:r>
    </w:p>
    <w:p>
      <w:pPr>
        <w:spacing w:after="0" w:line="229" w:lineRule="exact"/>
        <w:rPr>
          <w:sz w:val="20"/>
          <w:szCs w:val="20"/>
          <w:color w:val="auto"/>
        </w:rPr>
      </w:pPr>
    </w:p>
    <w:p>
      <w:pPr>
        <w:jc w:val="both"/>
        <w:ind w:right="140" w:firstLine="799"/>
        <w:spacing w:after="0" w:line="264" w:lineRule="auto"/>
        <w:rPr>
          <w:sz w:val="20"/>
          <w:szCs w:val="20"/>
          <w:color w:val="auto"/>
        </w:rPr>
      </w:pPr>
      <w:r>
        <w:rPr>
          <w:rFonts w:ascii="Arial" w:cs="Arial" w:eastAsia="Arial" w:hAnsi="Arial"/>
          <w:sz w:val="18"/>
          <w:szCs w:val="18"/>
          <w:color w:val="auto"/>
        </w:rPr>
        <w:t>The 2017 Plan authorizes the Compensation Committee to provide incentive compensation in the form of stock options, stock appreciation rights, restricted stock and stock units, performance shares and units, other stock-based awards and cash-based awards. Under the 2017 Plan, we will be authorized to issue up to 2,000,000 shares, increased by not more than 1,000,000 shares comprised of:</w:t>
      </w:r>
    </w:p>
    <w:p>
      <w:pPr>
        <w:spacing w:after="0" w:line="208" w:lineRule="exact"/>
        <w:rPr>
          <w:sz w:val="20"/>
          <w:szCs w:val="20"/>
          <w:color w:val="auto"/>
        </w:rPr>
      </w:pPr>
    </w:p>
    <w:p>
      <w:pPr>
        <w:ind w:left="1480" w:right="480" w:hanging="446"/>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subject to any option or other award outstanding under the Predecessor Plan that expires or is forfeited for any reason after the Annual Meeting;</w:t>
      </w:r>
    </w:p>
    <w:p>
      <w:pPr>
        <w:spacing w:after="0" w:line="197" w:lineRule="exact"/>
        <w:rPr>
          <w:rFonts w:ascii="Arial" w:cs="Arial" w:eastAsia="Arial" w:hAnsi="Arial"/>
          <w:sz w:val="18"/>
          <w:szCs w:val="18"/>
          <w:color w:val="auto"/>
        </w:rPr>
      </w:pPr>
    </w:p>
    <w:p>
      <w:pPr>
        <w:ind w:left="1480" w:right="320" w:hanging="446"/>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unvested shares acquired under the Predecessor Plan that are forfeited and reacquired by the Company after the Annual Meeting for an amount not greater than their holder’s purchase price; and</w:t>
      </w:r>
    </w:p>
    <w:p>
      <w:pPr>
        <w:spacing w:after="0" w:line="197" w:lineRule="exact"/>
        <w:rPr>
          <w:rFonts w:ascii="Arial" w:cs="Arial" w:eastAsia="Arial" w:hAnsi="Arial"/>
          <w:sz w:val="18"/>
          <w:szCs w:val="18"/>
          <w:color w:val="auto"/>
        </w:rPr>
      </w:pPr>
    </w:p>
    <w:p>
      <w:pPr>
        <w:ind w:left="1480" w:right="140" w:hanging="446"/>
        <w:spacing w:after="0" w:line="342" w:lineRule="auto"/>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of shares withheld or reacquired by the Company after the Annual Meeting in satisfaction of the Company’s tax withholding obligations pursuant to an award, other than an option or stock appreciation right, granted under the Predecessor Plan.</w:t>
      </w:r>
    </w:p>
    <w:p>
      <w:pPr>
        <w:spacing w:after="0" w:line="124" w:lineRule="exact"/>
        <w:rPr>
          <w:sz w:val="20"/>
          <w:szCs w:val="20"/>
          <w:color w:val="auto"/>
        </w:rPr>
      </w:pPr>
    </w:p>
    <w:p>
      <w:pPr>
        <w:ind w:right="180" w:firstLine="799"/>
        <w:spacing w:after="0" w:line="259" w:lineRule="auto"/>
        <w:rPr>
          <w:sz w:val="20"/>
          <w:szCs w:val="20"/>
          <w:color w:val="auto"/>
        </w:rPr>
      </w:pPr>
      <w:r>
        <w:rPr>
          <w:rFonts w:ascii="Arial" w:cs="Arial" w:eastAsia="Arial" w:hAnsi="Arial"/>
          <w:sz w:val="18"/>
          <w:szCs w:val="18"/>
          <w:color w:val="auto"/>
        </w:rPr>
        <w:t>As of March 31, 2017, options were outstanding under the Predecessor Plan for a total of 1,028,644 shares of our common stock with a weighted average exercise price of $15.84 per share and weighted average expected remaining term of approximately 2.95 years, and a total of 807,295 shares remained subject to unvested awards of restricted stock and restricted stock units outstanding under the Predecessor Plan. The Predecessor Plan will be terminated upon stockholder approval of the 2017 Plan.</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40"/>
          </w:cols>
          <w:pgMar w:left="240" w:top="459" w:right="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Practices under the Predecessor Plan</w:t>
      </w:r>
    </w:p>
    <w:p>
      <w:pPr>
        <w:spacing w:after="0" w:line="229" w:lineRule="exact"/>
        <w:rPr>
          <w:sz w:val="20"/>
          <w:szCs w:val="20"/>
          <w:color w:val="auto"/>
        </w:rPr>
      </w:pPr>
    </w:p>
    <w:p>
      <w:pPr>
        <w:jc w:val="both"/>
        <w:ind w:right="100" w:firstLine="799"/>
        <w:spacing w:after="0" w:line="279" w:lineRule="auto"/>
        <w:rPr>
          <w:sz w:val="20"/>
          <w:szCs w:val="20"/>
          <w:color w:val="auto"/>
        </w:rPr>
      </w:pPr>
      <w:r>
        <w:rPr>
          <w:rFonts w:ascii="Arial" w:cs="Arial" w:eastAsia="Arial" w:hAnsi="Arial"/>
          <w:sz w:val="17"/>
          <w:szCs w:val="17"/>
          <w:color w:val="auto"/>
        </w:rPr>
        <w:t>Common measures of a stock plan’s cost include burn rate (as calculated by Institutional Shareholder Services, Inc.), equity run rate, dilution and overhang. The burn rate refers to how fast a company uses the supply of shares authorized for issuance under its stock plan. Dilution measures the degree to which stockholder ownership has been diluted by stock-based compensation awarded under stock plans, while overhang measures the number of shares that may be awarded under stock plans in the future relative to a company’s outstanding shares.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shows how our key equity metrics have changed over the past three years:</w:t>
      </w:r>
    </w:p>
    <w:p>
      <w:pPr>
        <w:spacing w:after="0" w:line="253" w:lineRule="exact"/>
        <w:rPr>
          <w:sz w:val="20"/>
          <w:szCs w:val="20"/>
          <w:color w:val="auto"/>
        </w:rPr>
      </w:pPr>
    </w:p>
    <w:tbl>
      <w:tblPr>
        <w:tblLayout w:type="fixed"/>
        <w:tblInd w:w="800" w:type="dxa"/>
        <w:tblCellMar>
          <w:top w:w="0" w:type="dxa"/>
          <w:left w:w="0" w:type="dxa"/>
          <w:bottom w:w="0" w:type="dxa"/>
          <w:right w:w="0" w:type="dxa"/>
        </w:tblCellMar>
      </w:tblPr>
      <w:tr>
        <w:trPr>
          <w:trHeight w:val="223"/>
        </w:trPr>
        <w:tc>
          <w:tcPr>
            <w:tcW w:w="1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b w:val="1"/>
                <w:bCs w:val="1"/>
                <w:color w:val="auto"/>
                <w:w w:val="94"/>
              </w:rPr>
              <w:t>Key Equity Metrics</w:t>
            </w:r>
          </w:p>
        </w:tc>
        <w:tc>
          <w:tcPr>
            <w:tcW w:w="60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2015</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9"/>
                <w:szCs w:val="19"/>
                <w:color w:val="auto"/>
              </w:rPr>
            </w:pPr>
          </w:p>
        </w:tc>
      </w:tr>
      <w:tr>
        <w:trPr>
          <w:trHeight w:val="189"/>
        </w:trPr>
        <w:tc>
          <w:tcPr>
            <w:tcW w:w="120" w:type="dxa"/>
            <w:vAlign w:val="bottom"/>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Burn Rate</w:t>
            </w:r>
          </w:p>
        </w:tc>
        <w:tc>
          <w:tcPr>
            <w:tcW w:w="57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74%</w:t>
            </w: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76%</w:t>
            </w: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49%</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Dilution</w:t>
            </w:r>
          </w:p>
        </w:tc>
        <w:tc>
          <w:tcPr>
            <w:tcW w:w="6360" w:type="dxa"/>
            <w:vAlign w:val="bottom"/>
            <w:gridSpan w:val="4"/>
          </w:tcPr>
          <w:p>
            <w:pPr>
              <w:jc w:val="right"/>
              <w:ind w:right="280"/>
              <w:spacing w:after="0"/>
              <w:rPr>
                <w:sz w:val="20"/>
                <w:szCs w:val="20"/>
                <w:color w:val="auto"/>
              </w:rPr>
            </w:pPr>
            <w:r>
              <w:rPr>
                <w:rFonts w:ascii="Arial" w:cs="Arial" w:eastAsia="Arial" w:hAnsi="Arial"/>
                <w:sz w:val="16"/>
                <w:szCs w:val="16"/>
                <w:color w:val="auto"/>
              </w:rPr>
              <w:t>7.46%</w:t>
            </w: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6.99%</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4.76%</w:t>
            </w:r>
          </w:p>
        </w:tc>
      </w:tr>
      <w:tr>
        <w:trPr>
          <w:trHeight w:val="203"/>
        </w:trPr>
        <w:tc>
          <w:tcPr>
            <w:tcW w:w="120" w:type="dxa"/>
            <w:vAlign w:val="bottom"/>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Overhang</w:t>
            </w:r>
          </w:p>
        </w:tc>
        <w:tc>
          <w:tcPr>
            <w:tcW w:w="636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19.39%</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18.49%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15.78%</w:t>
            </w:r>
          </w:p>
        </w:tc>
      </w:tr>
      <w:tr>
        <w:trPr>
          <w:trHeight w:val="257"/>
        </w:trPr>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47" w:lineRule="exact"/>
        <w:rPr>
          <w:sz w:val="20"/>
          <w:szCs w:val="20"/>
          <w:color w:val="auto"/>
        </w:rPr>
      </w:pPr>
    </w:p>
    <w:p>
      <w:pPr>
        <w:ind w:left="1260" w:hanging="455"/>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did not grant any stock options during the three-year period in the table.</w:t>
      </w:r>
    </w:p>
    <w:p>
      <w:pPr>
        <w:spacing w:after="0" w:line="262" w:lineRule="exact"/>
        <w:rPr>
          <w:sz w:val="20"/>
          <w:szCs w:val="20"/>
          <w:color w:val="auto"/>
        </w:rPr>
      </w:pPr>
    </w:p>
    <w:p>
      <w:pPr>
        <w:ind w:left="1260" w:right="860" w:hanging="455"/>
        <w:spacing w:after="0" w:line="293"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Burn rate is calculated by dividing (a) the gross number of shares subject to equity awards granted during the year multiplied by the applicable multiplier for full value awards, by (b) the weighted-average number of shares outstanding during the year.</w:t>
      </w:r>
    </w:p>
    <w:p>
      <w:pPr>
        <w:spacing w:after="0" w:line="199" w:lineRule="exact"/>
        <w:rPr>
          <w:rFonts w:ascii="Arial" w:cs="Arial" w:eastAsia="Arial" w:hAnsi="Arial"/>
          <w:sz w:val="16"/>
          <w:szCs w:val="16"/>
          <w:color w:val="auto"/>
        </w:rPr>
      </w:pPr>
    </w:p>
    <w:p>
      <w:pPr>
        <w:ind w:left="1260" w:right="740" w:hanging="455"/>
        <w:spacing w:after="0" w:line="293"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Dilution is calculated by dividing the number of shares subject to equity awards outstanding at the end of the fiscal year by the number of shares outstanding at the end of the fiscal year.</w:t>
      </w:r>
    </w:p>
    <w:p>
      <w:pPr>
        <w:spacing w:after="0" w:line="199" w:lineRule="exact"/>
        <w:rPr>
          <w:rFonts w:ascii="Arial" w:cs="Arial" w:eastAsia="Arial" w:hAnsi="Arial"/>
          <w:sz w:val="16"/>
          <w:szCs w:val="16"/>
          <w:color w:val="auto"/>
        </w:rPr>
      </w:pPr>
    </w:p>
    <w:p>
      <w:pPr>
        <w:ind w:left="1260" w:right="820" w:hanging="455"/>
        <w:spacing w:after="0" w:line="329" w:lineRule="auto"/>
        <w:tabs>
          <w:tab w:leader="none" w:pos="12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Overhang is calculated by dividing (a) the sum of (i) the number of shares subject to equity awards outstanding at the end of the fiscal year and (ii) the number of shares available for future grants, by (b) the number of shares outstanding at the end of the fiscal year.</w:t>
      </w:r>
    </w:p>
    <w:p>
      <w:pPr>
        <w:spacing w:after="0" w:line="144"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In operating our Predecessor Plan, the Compensation Committee has monitored and managed its burn rate and dilution to reasonable levels. Our average annual burn rate for the three years ended December 31, 2016 was 1.66%, which is well under the mean for our industry of 2.47%, and well less than half of the 4.02% 2017 burn rate cap for our industry, each as established by Institutional Shareholder Services Inc. It is also important to note that the maximum aggregate number of shares we are requesting our stockholders to authorize under the 2017 Plan (3,000,000) is substantially less than the number of shares that remained available for grant under the Predecessor Plan as of December 31, 2016 (5,242,057) and would represent about 6.37% of the number of shares of our common stock outstanding on December 31, 2016, determined on a fully diluted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Considered by Board</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Board of Directors considered a number of factors in determining the appropriate size of the 2017 Plan share authorization:</w:t>
      </w:r>
    </w:p>
    <w:p>
      <w:pPr>
        <w:spacing w:after="0" w:line="252" w:lineRule="exact"/>
        <w:rPr>
          <w:sz w:val="20"/>
          <w:szCs w:val="20"/>
          <w:color w:val="auto"/>
        </w:rPr>
      </w:pPr>
    </w:p>
    <w:p>
      <w:pPr>
        <w:ind w:left="1480" w:right="2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use of restricted stock, and not options, in its equity incentive grants over the past five years and its intention to continue to use restricted stock in the future;</w:t>
      </w:r>
    </w:p>
    <w:p>
      <w:pPr>
        <w:spacing w:after="0" w:line="197"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historical grant practices, including the Company’s average annual burn rate over the past three years, as detailed above, in relation to the Company’s expected future annual burn rate; and</w:t>
      </w:r>
    </w:p>
    <w:p>
      <w:pPr>
        <w:spacing w:after="0" w:line="197"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desire to authorize a number of shares sufficient to provide for a reasonable incentive program for the next three to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Because the 2017 Plan has a ten year term, the Board expects that the stockholders will have future opportunities to reconsider the 2017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2017 Plan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Key features of the 2017 Plan of particular interest to our stockholders reflect the following best practices:</w:t>
      </w:r>
    </w:p>
    <w:p>
      <w:pPr>
        <w:spacing w:after="0" w:line="252"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2017 Plan prohibits the repricing of stock options and stock appreciation rights without the approval of our stockholders.</w:t>
      </w:r>
    </w:p>
    <w:p>
      <w:pPr>
        <w:spacing w:after="0" w:line="252"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discount from fair market value is permitted in setting the exercise price of stock options and stock appreciation rights.</w:t>
      </w:r>
    </w:p>
    <w:p>
      <w:pPr>
        <w:spacing w:after="0" w:line="252" w:lineRule="exact"/>
        <w:rPr>
          <w:rFonts w:ascii="Arial" w:cs="Arial" w:eastAsia="Arial" w:hAnsi="Arial"/>
          <w:sz w:val="18"/>
          <w:szCs w:val="18"/>
          <w:color w:val="auto"/>
        </w:rPr>
      </w:pPr>
    </w:p>
    <w:p>
      <w:pPr>
        <w:ind w:left="1480" w:right="280" w:hanging="446"/>
        <w:spacing w:after="0" w:line="308" w:lineRule="auto"/>
        <w:tabs>
          <w:tab w:leader="none" w:pos="1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2017 Plan generally provides for gross share counting. The number of shares remaining available for grant under the 2017 Plan is reduced by the gross number of shares subject to options and stock appreciation rights settled on a net basis.</w:t>
      </w:r>
    </w:p>
    <w:p>
      <w:pPr>
        <w:spacing w:after="0" w:line="173" w:lineRule="exact"/>
        <w:rPr>
          <w:rFonts w:ascii="Arial" w:cs="Arial" w:eastAsia="Arial" w:hAnsi="Arial"/>
          <w:sz w:val="17"/>
          <w:szCs w:val="17"/>
          <w:color w:val="auto"/>
        </w:rPr>
      </w:pPr>
    </w:p>
    <w:p>
      <w:pPr>
        <w:ind w:left="1480" w:right="2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shares of our common stock we repurchase in the open market with option exercise proceeds will not increase the maximum number of shares that may be issued under the 2017 Plan.</w:t>
      </w:r>
    </w:p>
    <w:p>
      <w:pPr>
        <w:spacing w:after="0" w:line="197"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of shares for which awards may be granted to any nonemployee member of our Board of Directors in a fiscal year is limited.</w:t>
      </w:r>
    </w:p>
    <w:p>
      <w:pPr>
        <w:spacing w:after="0" w:line="275" w:lineRule="exact"/>
        <w:rPr>
          <w:rFonts w:ascii="Arial" w:cs="Arial" w:eastAsia="Arial" w:hAnsi="Arial"/>
          <w:sz w:val="16"/>
          <w:szCs w:val="16"/>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2017 Plan requires each award to have a minimum vesting period of one year, except for 5% of the authorized shares.</w:t>
      </w:r>
    </w:p>
    <w:p>
      <w:pPr>
        <w:spacing w:after="0" w:line="252"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2017 Plan does not contain a “liberal” change in control definition (e.g., mergers require actual consummation).</w:t>
      </w:r>
    </w:p>
    <w:p>
      <w:pPr>
        <w:spacing w:after="0" w:line="252" w:lineRule="exact"/>
        <w:rPr>
          <w:rFonts w:ascii="Arial" w:cs="Arial" w:eastAsia="Arial" w:hAnsi="Arial"/>
          <w:sz w:val="18"/>
          <w:szCs w:val="18"/>
          <w:color w:val="auto"/>
        </w:rPr>
      </w:pPr>
    </w:p>
    <w:p>
      <w:pPr>
        <w:ind w:left="1480" w:right="40" w:hanging="446"/>
        <w:spacing w:after="0" w:line="264"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 awards require the achievement of pre-established goals. The 2017 Plan establishes a list of measures of business and financial performance from which the Compensation Committee may construct predetermined performance goals that must be met for an award to vest.</w:t>
      </w:r>
    </w:p>
    <w:p>
      <w:pPr>
        <w:spacing w:after="0" w:line="208"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2017 Plan has a fixed term of ten years.</w:t>
      </w:r>
    </w:p>
    <w:p>
      <w:pPr>
        <w:spacing w:after="0" w:line="225" w:lineRule="exact"/>
        <w:rPr>
          <w:sz w:val="20"/>
          <w:szCs w:val="20"/>
          <w:color w:val="auto"/>
        </w:rPr>
      </w:pPr>
    </w:p>
    <w:p>
      <w:pPr>
        <w:ind w:right="140" w:firstLine="799"/>
        <w:spacing w:after="0" w:line="342" w:lineRule="auto"/>
        <w:rPr>
          <w:sz w:val="20"/>
          <w:szCs w:val="20"/>
          <w:color w:val="auto"/>
        </w:rPr>
      </w:pPr>
      <w:r>
        <w:rPr>
          <w:rFonts w:ascii="Arial" w:cs="Arial" w:eastAsia="Arial" w:hAnsi="Arial"/>
          <w:sz w:val="16"/>
          <w:szCs w:val="16"/>
          <w:color w:val="auto"/>
        </w:rPr>
        <w:t>In addition, our Board of Directors has adopted director and officer stock ownership guidelines and an incentive based compensation recoupment policy that applies to awards granted under the 2017 Plan. See the description of these policies in “Compensation Discussion and Analysis.”</w:t>
      </w:r>
    </w:p>
    <w:p>
      <w:pPr>
        <w:spacing w:after="0" w:line="124"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The 2017 Plan is designed to preserve the Company’s ability to deduct in full for federal income tax purposes the compensation recognized by its executive officers in connection with certain types of awards. Section 162(m) of the Internal Revenue Code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would generally limit us from taking a corporate tax deduction for annual compensation exceeding $1 million paid to any of our “covered employees,” consisting of the chief executive officer and any of the three other most highly compensated officers other than the chief financial officer. However, qualified performance-based compensation is excluded from this limit. To enable compensation in connection with stock options, stock appreciation rights, certain restricted stock and restricted stock unit awards, performance shares, performance units and certain other stock-based awards and cash-based awards granted under the 2017 Plan to qualify as “performance-based” within the meaning of Section 162(m), the stockholders are being asked to approve certain material terms of the 2017 Plan. By approving the 2017 Plan, the stockholders will be specifically approving, among other things:</w:t>
      </w:r>
    </w:p>
    <w:p>
      <w:pPr>
        <w:spacing w:after="0" w:line="206"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eligibility requirements for participation in the 2017 Plan;</w:t>
      </w:r>
    </w:p>
    <w:p>
      <w:pPr>
        <w:spacing w:after="0" w:line="252"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maximum numbers of shares for which stock-based awards intended to qualify as performance-based may be granted to an employee in any fiscal year;</w:t>
      </w:r>
    </w:p>
    <w:p>
      <w:pPr>
        <w:spacing w:after="0" w:line="197" w:lineRule="exact"/>
        <w:rPr>
          <w:rFonts w:ascii="Arial" w:cs="Arial" w:eastAsia="Arial" w:hAnsi="Arial"/>
          <w:sz w:val="18"/>
          <w:szCs w:val="18"/>
          <w:color w:val="auto"/>
        </w:rPr>
      </w:pPr>
    </w:p>
    <w:p>
      <w:pPr>
        <w:ind w:left="1480" w:right="160" w:hanging="446"/>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maximum dollar amount that a participant may receive under a cash-based award intended to qualify as performance-based for each fiscal year contained in the performance period;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446"/>
        <w:spacing w:after="0" w:line="264"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measures that may be used by the Compensation Committee to establish the performance goals applicable to the grant or vesting of awards of restricted stock, restricted stock units, performance shares, performance units, other stock-based awards and cash-based awards that are intended to result in qualified performance-based compensation.</w:t>
      </w:r>
    </w:p>
    <w:p>
      <w:pPr>
        <w:spacing w:after="0" w:line="181"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While we believe that compensation provided by such awards under the 2017 Plan generally will be deductible by the Company for federal income tax purposes, under certain circumstances, such as a change in control of the Company, compensation paid in settlement of certain awards may not qualify as performance-based. Further, the Compensation Committee will retain the discretion to grant awards to covered employees that are not intended to qualify for deduction in full under Section 162(m).</w:t>
      </w:r>
    </w:p>
    <w:p>
      <w:pPr>
        <w:spacing w:after="0" w:line="187" w:lineRule="exact"/>
        <w:rPr>
          <w:sz w:val="20"/>
          <w:szCs w:val="20"/>
          <w:color w:val="auto"/>
        </w:rPr>
      </w:pPr>
    </w:p>
    <w:p>
      <w:pPr>
        <w:ind w:right="260" w:firstLine="799"/>
        <w:spacing w:after="0" w:line="264" w:lineRule="auto"/>
        <w:rPr>
          <w:sz w:val="20"/>
          <w:szCs w:val="20"/>
          <w:color w:val="auto"/>
        </w:rPr>
      </w:pPr>
      <w:r>
        <w:rPr>
          <w:rFonts w:ascii="Arial" w:cs="Arial" w:eastAsia="Arial" w:hAnsi="Arial"/>
          <w:sz w:val="18"/>
          <w:szCs w:val="18"/>
          <w:color w:val="auto"/>
        </w:rPr>
        <w:t>The Board of Directors believes that the 2017 Plan will serve a critical role in attracting and retaining the high caliber employees, directors, and consultants essential to our success and in motivating these individuals to strive to meet our goals. Therefore, the Board urges you to vote to approve the adoption of the 2017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2017 Plan</w:t>
      </w:r>
    </w:p>
    <w:p>
      <w:pPr>
        <w:spacing w:after="0" w:line="229" w:lineRule="exact"/>
        <w:rPr>
          <w:sz w:val="20"/>
          <w:szCs w:val="20"/>
          <w:color w:val="auto"/>
        </w:rPr>
      </w:pPr>
    </w:p>
    <w:p>
      <w:pPr>
        <w:ind w:right="240" w:firstLine="799"/>
        <w:spacing w:after="0" w:line="277" w:lineRule="auto"/>
        <w:rPr>
          <w:sz w:val="20"/>
          <w:szCs w:val="20"/>
          <w:color w:val="auto"/>
        </w:rPr>
      </w:pPr>
      <w:r>
        <w:rPr>
          <w:rFonts w:ascii="Arial" w:cs="Arial" w:eastAsia="Arial" w:hAnsi="Arial"/>
          <w:sz w:val="18"/>
          <w:szCs w:val="18"/>
          <w:color w:val="auto"/>
        </w:rPr>
        <w:t xml:space="preserve">The following summary of the 2017 Plan is qualified in its entirety by the specific language of the 2017 Plan, a copy of which is attached to this proxy statement as </w:t>
      </w:r>
      <w:r>
        <w:rPr>
          <w:rFonts w:ascii="Arial" w:cs="Arial" w:eastAsia="Arial" w:hAnsi="Arial"/>
          <w:sz w:val="18"/>
          <w:szCs w:val="18"/>
          <w:i w:val="1"/>
          <w:iCs w:val="1"/>
          <w:color w:val="auto"/>
        </w:rPr>
        <w:t>Appendix A</w:t>
      </w:r>
      <w:r>
        <w:rPr>
          <w:rFonts w:ascii="Arial" w:cs="Arial" w:eastAsia="Arial" w:hAnsi="Arial"/>
          <w:sz w:val="18"/>
          <w:szCs w:val="18"/>
          <w:color w:val="auto"/>
        </w:rPr>
        <w:t>.</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purpose of the 2017 Plan is to advance the interests of the Company and its stockholders by providing an incentive program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enable the Company to attract and retain employees, directors and consultants and to provide them with an equity interest in the growth and profitability of the Company. These incentives are provided through the grant of stock options, stock appreciation rights, restricted stock, restricted stock units, performance shares, performance units, other stock-based awards and cash-based awards.</w:t>
      </w:r>
    </w:p>
    <w:p>
      <w:pPr>
        <w:spacing w:after="0" w:line="187" w:lineRule="exact"/>
        <w:rPr>
          <w:sz w:val="20"/>
          <w:szCs w:val="20"/>
          <w:color w:val="auto"/>
        </w:rPr>
      </w:pPr>
    </w:p>
    <w:p>
      <w:pPr>
        <w:ind w:right="20" w:firstLine="799"/>
        <w:spacing w:after="0" w:line="279"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The maximum aggregate number of shares authorized for issuance under the 2017 Plan is the sum of 2,000,000 shares plus up</w:t>
      </w:r>
      <w:r>
        <w:rPr>
          <w:rFonts w:ascii="Arial" w:cs="Arial" w:eastAsia="Arial" w:hAnsi="Arial"/>
          <w:sz w:val="17"/>
          <w:szCs w:val="17"/>
          <w:i w:val="1"/>
          <w:iCs w:val="1"/>
          <w:color w:val="auto"/>
        </w:rPr>
        <w:t xml:space="preserve"> </w:t>
      </w:r>
      <w:r>
        <w:rPr>
          <w:rFonts w:ascii="Arial" w:cs="Arial" w:eastAsia="Arial" w:hAnsi="Arial"/>
          <w:sz w:val="17"/>
          <w:szCs w:val="17"/>
          <w:color w:val="auto"/>
        </w:rPr>
        <w:t>to 1,000,000 additional shares that are subject to options and other awards currently outstanding under the Predecessor Plan or were acquired pursuant to awards granted under the Predecessor Plan and remain unvested, to the extent that after the Annual Meeting such awards expire or are forfeited for any reason or such unvested shares are forfeited and reacquired by the Company for not more than their holder’s purchase price.</w:t>
      </w:r>
    </w:p>
    <w:p>
      <w:pPr>
        <w:spacing w:after="0" w:line="171"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As of March 31, 2017, 5,215,035 shares remained available for grant under the Predecessor Plan. If the stockholders approve adoption of the 2017 Plan, the Board of Directors will immediately terminate the Predecessor Plan, and any of these shares that are not then subject to outstanding awards will cease to be available for grant. As of March 31, 2017, 1,835,939 shares remained subject to unexercised options and other unvested awards subject to potential forfeiture under the Predecessor Plan.</w:t>
      </w:r>
    </w:p>
    <w:p>
      <w:pPr>
        <w:spacing w:after="0" w:line="187"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i w:val="1"/>
          <w:iCs w:val="1"/>
          <w:color w:val="auto"/>
        </w:rPr>
        <w:t xml:space="preserve">Share Counting. </w:t>
      </w:r>
      <w:r>
        <w:rPr>
          <w:rFonts w:ascii="Arial" w:cs="Arial" w:eastAsia="Arial" w:hAnsi="Arial"/>
          <w:sz w:val="17"/>
          <w:szCs w:val="17"/>
          <w:color w:val="auto"/>
        </w:rPr>
        <w:t>Each share made subject to an award will reduce the number of shares remaining available for grant under the 2017 Plan by one</w:t>
      </w:r>
      <w:r>
        <w:rPr>
          <w:rFonts w:ascii="Arial" w:cs="Arial" w:eastAsia="Arial" w:hAnsi="Arial"/>
          <w:sz w:val="17"/>
          <w:szCs w:val="17"/>
          <w:i w:val="1"/>
          <w:iCs w:val="1"/>
          <w:color w:val="auto"/>
        </w:rPr>
        <w:t xml:space="preserve"> </w:t>
      </w:r>
      <w:r>
        <w:rPr>
          <w:rFonts w:ascii="Arial" w:cs="Arial" w:eastAsia="Arial" w:hAnsi="Arial"/>
          <w:sz w:val="17"/>
          <w:szCs w:val="17"/>
          <w:color w:val="auto"/>
        </w:rPr>
        <w:t>share. If any award granted under the 2017 Plan expires or otherwise terminates for any reason without having been exercised or settled in full, or if shares subject to forfeiture or repurchase are forfeited or repurchased by the Company for not more than the participant’s purchase price, any such shares reacquired or subject to a terminated award will again become available for issuance under the 2017 Plan. Shares will not be treated as having been issued under the 2017 Plan and will therefore not reduce the number of shares available for issuance to the extent an award is settled in cash. Shares that are withheld or that are tendered in payment of the exercise price of an option will not be made available for new awards under the 2017 Plan. Shares purchased in the open market with option exercise proceeds will not increase the maximum number of shares that may be issued under the 2017 Plan. Shares withheld or reacquired by the Company in satisfaction of a tax withholding obligation in connection with the vesting or settlement of any full value award will not again be available for the future grant of awards. Upon the exercise of a stock appreciation right or net-exercise of an option, the number of shares available under the 2017 Plan will be reduced by the gross number of shares for which the award is exercised.</w:t>
      </w:r>
    </w:p>
    <w:p>
      <w:pPr>
        <w:spacing w:after="0" w:line="178"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i w:val="1"/>
          <w:iCs w:val="1"/>
          <w:color w:val="auto"/>
        </w:rPr>
        <w:t xml:space="preserve">Adjustments for Capital Structure Changes. </w:t>
      </w:r>
      <w:r>
        <w:rPr>
          <w:rFonts w:ascii="Arial" w:cs="Arial" w:eastAsia="Arial" w:hAnsi="Arial"/>
          <w:sz w:val="16"/>
          <w:szCs w:val="16"/>
          <w:color w:val="auto"/>
        </w:rPr>
        <w:t>Appropriate and proportionate adjustments will be made to the number of shares authorized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2017 Plan, to the numerical limits on certain types of awards described below, and to outstanding awards in the event of any change in our common stock through merger, consolidation, reorganization, reincorporation, recapitalization, reclassification, stock dividend, stock split, reverse stock split, split-up, split-off, spin-off, combination of shares, exchange of shares or similar change in our capital structure, or if we make a distribution to our stockholders in a form other than common stock (excluding regular, periodic cash dividends) that has a material effect on the fair market value of our common stock. In such circumstances, the Compensation Committee also has the discretion under the 2017 Plan to adjust other terms of outstanding awards as it deems appropriate.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8"/>
          <w:szCs w:val="18"/>
          <w:i w:val="1"/>
          <w:iCs w:val="1"/>
          <w:color w:val="auto"/>
        </w:rPr>
        <w:t xml:space="preserve">Nonemployee Director Award Limits. </w:t>
      </w:r>
      <w:r>
        <w:rPr>
          <w:rFonts w:ascii="Arial" w:cs="Arial" w:eastAsia="Arial" w:hAnsi="Arial"/>
          <w:sz w:val="18"/>
          <w:szCs w:val="18"/>
          <w:color w:val="auto"/>
        </w:rPr>
        <w:t>A nonemployee director may not be granted awards under the 2017 Plan in any fiscal year for more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determined by dividing $200,000 by the fair market value of a share of our common stock on the last trading day immediately preceding the applicable grant date.</w:t>
      </w:r>
    </w:p>
    <w:p>
      <w:pPr>
        <w:spacing w:after="0" w:line="114" w:lineRule="exact"/>
        <w:rPr>
          <w:sz w:val="20"/>
          <w:szCs w:val="20"/>
          <w:color w:val="auto"/>
        </w:rPr>
      </w:pPr>
    </w:p>
    <w:p>
      <w:pPr>
        <w:jc w:val="both"/>
        <w:ind w:right="240" w:firstLine="799"/>
        <w:spacing w:after="0" w:line="264" w:lineRule="auto"/>
        <w:rPr>
          <w:sz w:val="20"/>
          <w:szCs w:val="20"/>
          <w:color w:val="auto"/>
        </w:rPr>
      </w:pPr>
      <w:r>
        <w:rPr>
          <w:rFonts w:ascii="Arial" w:cs="Arial" w:eastAsia="Arial" w:hAnsi="Arial"/>
          <w:sz w:val="18"/>
          <w:szCs w:val="18"/>
          <w:i w:val="1"/>
          <w:iCs w:val="1"/>
          <w:color w:val="auto"/>
        </w:rPr>
        <w:t xml:space="preserve">Other Award Limits. </w:t>
      </w:r>
      <w:r>
        <w:rPr>
          <w:rFonts w:ascii="Arial" w:cs="Arial" w:eastAsia="Arial" w:hAnsi="Arial"/>
          <w:sz w:val="18"/>
          <w:szCs w:val="18"/>
          <w:color w:val="auto"/>
        </w:rPr>
        <w:t>To enable compensation provided in connection with certain types of awards intended by the Compensation Committee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“performance-based” within the meaning of Section 162(m) of the Code, the 2017 Plan establishes a limit on the maximum aggregate number of shares or dollar value for which such awards may be granted to an employee in any fiscal year, as follows:</w:t>
      </w:r>
    </w:p>
    <w:p>
      <w:pPr>
        <w:spacing w:after="0" w:line="114" w:lineRule="exact"/>
        <w:rPr>
          <w:sz w:val="20"/>
          <w:szCs w:val="20"/>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more than 2,000,000 shares under stock-based awards.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more than $5,000,000 for each full fiscal year contained in the performance period under cash-based awards.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comply with applicable tax rules, the 2017 Plan also limits to 3,000,000 the number of shares that may be issued upon the exercise of incentive stock options granted under the 2017 Plan.</w:t>
      </w:r>
    </w:p>
    <w:p>
      <w:pPr>
        <w:spacing w:after="0" w:line="89" w:lineRule="exact"/>
        <w:rPr>
          <w:sz w:val="20"/>
          <w:szCs w:val="20"/>
          <w:color w:val="auto"/>
        </w:rPr>
      </w:pPr>
    </w:p>
    <w:p>
      <w:pPr>
        <w:ind w:right="60" w:firstLine="799"/>
        <w:spacing w:after="0" w:line="25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2017 Plan generally will be administered by the Compensation Committee of the Board of Directors, although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retains the right to appoint another of its committees to administer the 2017 Plan or to administer the 2017 Plan directly. In the case of awards intended to qualify for the performance-based compensation exemption under Section 162(m) of the Code, administration of the 2017 Plan must be by a compensation committee comprised solely of two or more “outside directors” within the meaning of Section 162(m). (For purposes of this summary, the term “Committee” will refer to either such duly appointed committee or the Board of Directors.) Subject to the provisions of the 2017 Plan, the Committee determines in its discretion the persons to whom and the times at which awards are granted, the types and sizes of awards, and all of their terms and conditions. The Committee may, subject to certain limitations on the exercise of its discretion required by Section 162(m) or otherwise provided by the 2017 Plan, amend, cancel or renew any award, waive any restrictions or conditions applicable to any award, and accelerate, continue, extend or defer the vesting of any award.</w:t>
      </w:r>
    </w:p>
    <w:p>
      <w:pPr>
        <w:spacing w:after="0" w:line="130"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The 2017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2017 Plan. All awards granted under the 2017 Plan will be evidenced by a written or digitally signed agreement between the Company and the participant specifying the terms and conditions of the award, consistent with the requirements of the 2017 Plan. The Committee will interpret the 2017 Plan and awards granted thereunder, and all determinations of the Committee generally will be final and binding on all persons having an interest in the 2017 Plan or any award.</w:t>
      </w:r>
    </w:p>
    <w:p>
      <w:pPr>
        <w:spacing w:after="0" w:line="126"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i w:val="1"/>
          <w:iCs w:val="1"/>
          <w:color w:val="auto"/>
        </w:rPr>
        <w:t xml:space="preserve">Prohibition of Option and SAR Repricing. </w:t>
      </w:r>
      <w:r>
        <w:rPr>
          <w:rFonts w:ascii="Arial" w:cs="Arial" w:eastAsia="Arial" w:hAnsi="Arial"/>
          <w:sz w:val="18"/>
          <w:szCs w:val="18"/>
          <w:color w:val="auto"/>
        </w:rPr>
        <w:t>The 2017 Plan expressly provides that, without the approval of a majority of the votes cast in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by 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 value awards in exchange for the cancellation of such outstanding options or stock appreciation rights, or (3) the cancellation of such outstanding options or stock appreciation rights in exchange for payments in cash.</w:t>
      </w:r>
    </w:p>
    <w:p>
      <w:pPr>
        <w:spacing w:after="0" w:line="112" w:lineRule="exact"/>
        <w:rPr>
          <w:sz w:val="20"/>
          <w:szCs w:val="20"/>
          <w:color w:val="auto"/>
        </w:rPr>
      </w:pPr>
    </w:p>
    <w:p>
      <w:pPr>
        <w:ind w:right="380" w:firstLine="799"/>
        <w:spacing w:after="0" w:line="342" w:lineRule="auto"/>
        <w:rPr>
          <w:sz w:val="20"/>
          <w:szCs w:val="20"/>
          <w:color w:val="auto"/>
        </w:rPr>
      </w:pPr>
      <w:r>
        <w:rPr>
          <w:rFonts w:ascii="Arial" w:cs="Arial" w:eastAsia="Arial" w:hAnsi="Arial"/>
          <w:sz w:val="16"/>
          <w:szCs w:val="16"/>
          <w:i w:val="1"/>
          <w:iCs w:val="1"/>
          <w:color w:val="auto"/>
        </w:rPr>
        <w:t xml:space="preserve">Minimum Vesting. </w:t>
      </w:r>
      <w:r>
        <w:rPr>
          <w:rFonts w:ascii="Arial" w:cs="Arial" w:eastAsia="Arial" w:hAnsi="Arial"/>
          <w:sz w:val="16"/>
          <w:szCs w:val="16"/>
          <w:color w:val="auto"/>
        </w:rPr>
        <w:t>No more than 5% of the aggregate number of shares authorized under the 2017 Plan may be issued pursuant to awards that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service-based vesting over a period of less than one year or performance-based vesting over a performance period of less than one year.</w:t>
      </w:r>
    </w:p>
    <w:p>
      <w:pPr>
        <w:spacing w:after="0" w:line="56"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may be granted to employees, directors and consultants of the Company or any present or future parent or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or other affiliated entity of the Company. Incentive stock options may be granted only to employees who, as of the time of grant, are employees of the Company or any parent or subsidiary corporation of the Company. As of March 31, 2017, we had approximately 4,000 employees, including the five named executive officers, and four non-employee directors who would be eligible under the 2017 Plan.</w:t>
      </w:r>
    </w:p>
    <w:p>
      <w:pPr>
        <w:spacing w:after="0" w:line="11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Committee may grant nonstatutory stock options, incentive stock options within the meaning of Section 422 of the Code, or</w:t>
      </w:r>
      <w:r>
        <w:rPr>
          <w:rFonts w:ascii="Arial" w:cs="Arial" w:eastAsia="Arial" w:hAnsi="Arial"/>
          <w:sz w:val="18"/>
          <w:szCs w:val="18"/>
          <w:i w:val="1"/>
          <w:iCs w:val="1"/>
          <w:color w:val="auto"/>
        </w:rPr>
        <w:t xml:space="preserve"> </w:t>
      </w:r>
      <w:r>
        <w:rPr>
          <w:rFonts w:ascii="Arial" w:cs="Arial" w:eastAsia="Arial" w:hAnsi="Arial"/>
          <w:sz w:val="18"/>
          <w:szCs w:val="18"/>
          <w:color w:val="auto"/>
        </w:rPr>
        <w:t>any combination of these. The exercise price of each option may not be less than the fair market value of a share of our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w:t>
      </w:r>
      <w:r>
        <w:rPr>
          <w:rFonts w:ascii="Arial" w:cs="Arial" w:eastAsia="Arial" w:hAnsi="Arial"/>
          <w:sz w:val="18"/>
          <w:szCs w:val="18"/>
          <w:b w:val="1"/>
          <w:bCs w:val="1"/>
          <w:i w:val="1"/>
          <w:iCs w:val="1"/>
          <w:color w:val="auto"/>
        </w:rPr>
        <w:t>10% Stockholder</w:t>
      </w:r>
      <w:r>
        <w:rPr>
          <w:rFonts w:ascii="Arial" w:cs="Arial" w:eastAsia="Arial" w:hAnsi="Arial"/>
          <w:sz w:val="18"/>
          <w:szCs w:val="18"/>
          <w:color w:val="auto"/>
        </w:rPr>
        <w:t>”) must have an exercise price equal to at least 110% of the fair market value of a share of common stock on the date of grant. On March 31, 2017, the closing price of our common stock as reported on the NASDAQ Global Select Market was $71.61 per share.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The 2017 Plan provides that the option exercise price may be paid in cash, by check, or cash equivalent; by means of a broker-assisted cashless exercise; by means of a net-exercise procedure; to the extent legally permitted, by tender to the Company of shares of common stock owned by the participant having a fair market value not less than the exercise price; by such other lawful consideration as approved by the Committee; or by any combination of these. Nevertheless, the Committee may restrict the forms of payment permitted in connection with any option grant. No option may be exercised unless the participant has made adequate provision for federal, state, local and foreign taxes, if any, relating to the exercise of the option, including, if permitted or required by the Company, through the participant’s surrender of a portion of the option shares to the Company.</w:t>
      </w:r>
    </w:p>
    <w:p>
      <w:pPr>
        <w:spacing w:after="0" w:line="178" w:lineRule="exact"/>
        <w:rPr>
          <w:sz w:val="20"/>
          <w:szCs w:val="20"/>
          <w:color w:val="auto"/>
        </w:rPr>
      </w:pPr>
    </w:p>
    <w:p>
      <w:pPr>
        <w:ind w:right="20" w:firstLine="799"/>
        <w:spacing w:after="0" w:line="297" w:lineRule="auto"/>
        <w:rPr>
          <w:sz w:val="20"/>
          <w:szCs w:val="20"/>
          <w:color w:val="auto"/>
        </w:rPr>
      </w:pPr>
      <w:r>
        <w:rPr>
          <w:rFonts w:ascii="Arial" w:cs="Arial" w:eastAsia="Arial" w:hAnsi="Arial"/>
          <w:sz w:val="16"/>
          <w:szCs w:val="16"/>
          <w:color w:val="auto"/>
        </w:rPr>
        <w:t>Options will become vested and exercisable at such times or upon such events and subject to such terms, conditions, performance criteria or restrictions as specified by the Committee. The maximum term of any option granted under the 2017 Plan is ten years, provided that an incentive stock option granted to a 10% Stockholder must have a term not exceeding five years. Unless otherwise permitted by the Committee, an option generally will remain exercisable for three months following the participant’s termination of service, provided that if service terminates as a result of the participant’s death or disability, the option generally will remain exercisable for 12 months, but in any event the option must be exercised no later than its expiration date.</w:t>
      </w:r>
    </w:p>
    <w:p>
      <w:pPr>
        <w:spacing w:after="0" w:line="158" w:lineRule="exact"/>
        <w:rPr>
          <w:sz w:val="20"/>
          <w:szCs w:val="20"/>
          <w:color w:val="auto"/>
        </w:rPr>
      </w:pPr>
    </w:p>
    <w:p>
      <w:pPr>
        <w:ind w:right="280" w:firstLine="799"/>
        <w:spacing w:after="0" w:line="312" w:lineRule="auto"/>
        <w:rPr>
          <w:sz w:val="20"/>
          <w:szCs w:val="20"/>
          <w:color w:val="auto"/>
        </w:rPr>
      </w:pPr>
      <w:r>
        <w:rPr>
          <w:rFonts w:ascii="Arial" w:cs="Arial" w:eastAsia="Arial" w:hAnsi="Arial"/>
          <w:sz w:val="16"/>
          <w:szCs w:val="16"/>
          <w:color w:val="auto"/>
        </w:rPr>
        <w:t>Options are nontransferable by the participant other than by will or by the laws of descent and distribution, and are exercisable during the participant’s lifetime only by the participant. However, an option may be assigned or transferred to certain family members or trusts for their benefit to the extent permitted by the Committee and, in the case of an incentive stock option, only to the extent that the transfer will not terminate its tax qualification.</w:t>
      </w:r>
    </w:p>
    <w:p>
      <w:pPr>
        <w:spacing w:after="0" w:line="147"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 Committee may grant stock appreciation rights either in tandem with a related option (a “Tandem SAR”) or</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independently of any option (a “Freestanding SAR”). A Tandem SAR requires the option holder to elect between the exercise of the underlying option for shares of common stock or the surrender of the option and the exercise of the related stock appreciation right. A Tandem SAR is exercisable only at the time and only to the extent that the related stock option is exercisable, while a Freestanding SAR is exercisable at such times or upon such events and subject to such terms, conditions, performance criteria or restrictions as specified by the Committee. The exercise price of each stock appreciation right may not be less than the fair market value of a share of our common stock on the date of grant.</w:t>
      </w:r>
    </w:p>
    <w:p>
      <w:pPr>
        <w:spacing w:after="0" w:line="178" w:lineRule="exact"/>
        <w:rPr>
          <w:sz w:val="20"/>
          <w:szCs w:val="20"/>
          <w:color w:val="auto"/>
        </w:rPr>
      </w:pPr>
    </w:p>
    <w:p>
      <w:pPr>
        <w:ind w:right="40" w:firstLine="799"/>
        <w:spacing w:after="0" w:line="276" w:lineRule="auto"/>
        <w:rPr>
          <w:sz w:val="20"/>
          <w:szCs w:val="20"/>
          <w:color w:val="auto"/>
        </w:rPr>
      </w:pPr>
      <w:r>
        <w:rPr>
          <w:rFonts w:ascii="Arial" w:cs="Arial" w:eastAsia="Arial" w:hAnsi="Arial"/>
          <w:sz w:val="17"/>
          <w:szCs w:val="17"/>
          <w:color w:val="auto"/>
        </w:rPr>
        <w:t>Upon the exercise of any stock appreciation right, the participant is entitled to receive an amount equal to the excess of the fair market value of the underlying shares of common stock as to which the right is exercised over the aggregate exercise price for such shares. Payment of this amount upon the exercise of a Tandem SAR may be made only in shares of common stock whose fair market value on the exercise date equals the payment amount. At the Committee’s discretion, payment of this amount upon the exercise of a Freestanding SAR may be made in cash or shares of common stock. The maximum term of any stock appreciation right granted under the 2017 Plan is ten years.</w:t>
      </w:r>
    </w:p>
    <w:p>
      <w:pPr>
        <w:spacing w:after="0" w:line="173" w:lineRule="exact"/>
        <w:rPr>
          <w:sz w:val="20"/>
          <w:szCs w:val="20"/>
          <w:color w:val="auto"/>
        </w:rPr>
      </w:pPr>
    </w:p>
    <w:p>
      <w:pPr>
        <w:ind w:right="80" w:firstLine="799"/>
        <w:spacing w:after="0" w:line="279" w:lineRule="auto"/>
        <w:rPr>
          <w:sz w:val="20"/>
          <w:szCs w:val="20"/>
          <w:color w:val="auto"/>
        </w:rPr>
      </w:pPr>
      <w:r>
        <w:rPr>
          <w:rFonts w:ascii="Arial" w:cs="Arial" w:eastAsia="Arial" w:hAnsi="Arial"/>
          <w:sz w:val="17"/>
          <w:szCs w:val="17"/>
          <w:color w:val="auto"/>
        </w:rPr>
        <w:t>Stock appreciation rights are generally nontransferable by the participant other than by will or by the laws of descent and distribution, and are generally exercisable during the participant’s lifetime only by the participant. If permitted by the Committee, a Tandem SAR related to a nonstatutory stock option and a Freestanding SAR may be assigned or transferred to certain family members or trusts for their benefit to the extent permitted by the Committee. Other terms of stock appreciation rights are generally similar to the terms of comparable stock options.</w:t>
      </w:r>
    </w:p>
    <w:p>
      <w:pPr>
        <w:spacing w:after="0" w:line="171"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The Committee may grant restricted stock awards under the 2017 Plan either in the form of a restricted stock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right, giving a participant an immediate right to purchase common stock, or in the form of a restricted stock bonus, in which stock is issued in consideration for services to the Company rendered by the participant. The Committee determines the purchase price payable under restricted stock purchase awards, which may be less than the then current fair market value of our common stock. Restricted stock awards may be subject to vesting conditions based on such service or performance criteria as the Committee specifies, including the attainment of one or more performance goals similar to those described below in connection with performance awards. Shares acquired pursuant to a restricted stock award may not be transferred by the participant until vested. Unless otherwise provided by the Committee, a participant will forfeit any shares of restricted stock as to which the vesting restrictions have not lapsed prior to the participant’s termination of service. Participants holding restricted stock will have the right to vote the shares and to receive any dividends paid, except that dividends or other distributions paid in shares will be subject to the same restrictions as the original award and dividends paid in cash may be made subject to such restrictions. The Company may require repayment of dividends received in cash with respect to unvested shares subsequently forfeited upon the participant’s termination of service.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87"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The Committee may grant restricted stock units under the 2017 Plan, which represent rights to receive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a 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the attainment of one or more performance goals similar to those described below in connection with performance awards, or may make the awards subject to vesting conditions similar to those applicable to restricted stock awards. Restricted stock units may not be transferred by the participant. Unless otherwise provided by the Committee, a participant will forfeit any restricted stock units which have not vested prior to the participant’s termination of service. Participants have no voting rights or rights to receive cash dividends with respect to restricted stock unit awards until shares of common stock are issued in settlement of such awards. However, the Committee may grant restricted stock units that entitle their holders to dividend equivalent rights, which are rights to receive cash or additional restricted stock units whose value is equal to any cash dividends the Company pays. Dividend equivalent rights may be made subject to the same vesting conditions and settlement terms as the original award. However, if dividend equivalents are paid in cash with respect to unvested restricted stock units and those units are subsequently forfeited upon the participant’s termination of service, the Company may require repayment of the cash dividend equivalents applicable to the forfeited units.</w:t>
      </w:r>
    </w:p>
    <w:p>
      <w:pPr>
        <w:spacing w:after="0" w:line="169" w:lineRule="exact"/>
        <w:rPr>
          <w:sz w:val="20"/>
          <w:szCs w:val="20"/>
          <w:color w:val="auto"/>
        </w:rPr>
      </w:pPr>
    </w:p>
    <w:p>
      <w:pPr>
        <w:ind w:right="40" w:firstLine="799"/>
        <w:spacing w:after="0" w:line="271"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The Committee may grant performance awards subject to such conditions and the attainment of such performance goals</w:t>
      </w:r>
      <w:r>
        <w:rPr>
          <w:rFonts w:ascii="Arial" w:cs="Arial" w:eastAsia="Arial" w:hAnsi="Arial"/>
          <w:sz w:val="17"/>
          <w:szCs w:val="17"/>
          <w:i w:val="1"/>
          <w:iCs w:val="1"/>
          <w:color w:val="auto"/>
        </w:rPr>
        <w:t xml:space="preserve"> </w:t>
      </w:r>
      <w:r>
        <w:rPr>
          <w:rFonts w:ascii="Arial" w:cs="Arial" w:eastAsia="Arial" w:hAnsi="Arial"/>
          <w:sz w:val="17"/>
          <w:szCs w:val="17"/>
          <w:color w:val="auto"/>
        </w:rPr>
        <w:t>over such periods as the Committee determines in writing and sets forth in a written agreement between the Company and the participant. These awards may be designated as performance shares or performance units, which consist of unfunded bookkeeping entries generally having initial values equal to the fair market value determined on the grant date of a share of common stock in the case of performance shares and a monetary value established by the Committee at the time of grant in the case of performance units. Performance awards will specify a predetermined amount of performance shares or performance units that may be earned by the participant to the extent that one or more performance goals are attained within a predetermined performance period. To the extent earned, performance awards may be settled in cash, shares of common stock (including shares of restricted stock that are subject to additional vesting) or any combination of these.</w:t>
      </w:r>
    </w:p>
    <w:p>
      <w:pPr>
        <w:spacing w:after="0" w:line="179" w:lineRule="exact"/>
        <w:rPr>
          <w:sz w:val="20"/>
          <w:szCs w:val="20"/>
          <w:color w:val="auto"/>
        </w:rPr>
      </w:pPr>
    </w:p>
    <w:p>
      <w:pPr>
        <w:ind w:right="60" w:firstLine="799"/>
        <w:spacing w:after="0" w:line="288" w:lineRule="auto"/>
        <w:rPr>
          <w:sz w:val="20"/>
          <w:szCs w:val="20"/>
          <w:color w:val="auto"/>
        </w:rPr>
      </w:pPr>
      <w:r>
        <w:rPr>
          <w:rFonts w:ascii="Arial" w:cs="Arial" w:eastAsia="Arial" w:hAnsi="Arial"/>
          <w:sz w:val="16"/>
          <w:szCs w:val="16"/>
          <w:color w:val="auto"/>
        </w:rPr>
        <w:t>Prior to the beginning of the applicable performance period or such later date as permitted under Section 162(m) of the Code, the Committee will establish one or more performance goals applicable to the award. Performance goals will be based on the attainment of specified target levels with respect to one or more measures of business or financial performance of the Company and each subsidiary corporation consolidated with the Company for financial reporting purposes, or such division or business unit of the Company as may be selected by the Committee. The Committee, in its discretion, may base performance goals on one or more of the following such measures: revenue; sales; expenses; operating income; gross margin; operating margin; earnings before any one or more of: stock-based compensation expense, interest, taxes, depreciation and amortization; pre-tax profit; adjusted pre-tax profit; net operating income; net income; economic value added; free cash flow; operating cash flow; balance of cash, cash equivalents and marketable securities; stock price; earnings per share; return on stockholder equity; return on capital; return on assets; return on investment; total stockholder return, employee satisfaction; employee retention; market share; customer satisfaction; product development; research and development expense; completion of an identified special project and completion of a joint venture or other corporate transaction.</w:t>
      </w:r>
    </w:p>
    <w:p>
      <w:pPr>
        <w:spacing w:after="0" w:line="16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target levels with respect to these performance measures may be expressed on an absolute basis or relative to an index, budget or other standard specified by the Committee. The degree of attainment of performance measures will be calculated in accordance with the Company’s financial statements, generally accepted accounting principles, if applicable, or other methodology established by the Committee, but prior to the accrual or payment of any performance award for the same performance period, and, according to criteria established by the Committee, excluding the effect (whether positive or negative) of changes in accounting standards or any unusual or infrequently occurring event or transaction occurring after the establishment of the performance goals applicable to a performance award.</w:t>
      </w:r>
    </w:p>
    <w:p>
      <w:pPr>
        <w:spacing w:after="0" w:line="193"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Following completion of the applicable performance period, the Committee will certify in writing the extent to which the applicable performance goals have been attained and the resulting value to be paid to the participant. The Committee retains the discretion to eliminate or reduce, but not increase, the amount that would otherwise be payable on the basis of the performance goals attained to a participant who is a “covered employee” within the meaning of Section 162(m) of the Code. However, no such reduction may increase the amount paid to any other participant. The Committee may make positive or negative adjustments to performance award payments to participants other than covered employees to reflect the participant’s individual job performance or other factors determined by the Committee. In its discretion, the Committee may provide for a participant awarded performance shares to receive dividend equivalent rights with respect to cash dividends paid on the Company’s common stock to the extent that the performance shares become vested. The Committee may provide for performance award payments in lump sums or installments.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Unless otherwise provided by the Committee, if a participant’s service terminates due to the participant’s death or disability prior to completion of the applicable performance period, the final award value will be determined at the end of the performance period on the basis of the performance goals attained during the entire performance period but will be prorated for the number of days of the participant’s service during the performance period. The Committee may provide similar treatment for a participant whose service is involuntarily terminated. If a participant’s service terminates prior to completion of the applicable performance period for any other reason, the 2017 Plan provides that the performance award will be forfeited. No performance award may be sold or transferred other than by will or the laws of descent and distribution prior to the end of the applicable performance period.</w:t>
      </w:r>
    </w:p>
    <w:p>
      <w:pPr>
        <w:spacing w:after="0" w:line="165"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i w:val="1"/>
          <w:iCs w:val="1"/>
          <w:color w:val="auto"/>
        </w:rPr>
        <w:t xml:space="preserve">Cash-Based Awards and Other Stock-Based Awards. </w:t>
      </w:r>
      <w:r>
        <w:rPr>
          <w:rFonts w:ascii="Arial" w:cs="Arial" w:eastAsia="Arial" w:hAnsi="Arial"/>
          <w:sz w:val="18"/>
          <w:szCs w:val="18"/>
          <w:color w:val="auto"/>
        </w:rPr>
        <w:t>The Committee may grant cash-based awards or other stock-based awards in such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and subject to such terms and conditions as the Committee determines. Cash-based awards will specify a monetary payment or range of payments, while other stock-based awards will specify a number of shares or units based 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or shares of common stock, as determined by the Committee. A participant will have no voting rights with respect to any such award unless and until shares are issued pursuant to the award. The Committee may grant dividend equivalent rights with respect to other stock-based awards. The effect on such awards of the participant’s termination of service will be determined by the Committee and set forth in the participant’s award agreement.</w:t>
      </w:r>
    </w:p>
    <w:p>
      <w:pPr>
        <w:spacing w:after="0" w:line="192" w:lineRule="exact"/>
        <w:rPr>
          <w:sz w:val="20"/>
          <w:szCs w:val="20"/>
          <w:color w:val="auto"/>
        </w:rPr>
      </w:pPr>
    </w:p>
    <w:p>
      <w:pPr>
        <w:ind w:firstLine="799"/>
        <w:spacing w:after="0" w:line="284"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Unless otherwise defined in a participant’s award or other agreement with the Company, the 2017 Plan provides that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occurs upon (a) a person or entity (with certain exceptions described in the 2017 Plan) becoming the direct or indirect beneficial owner of more than 50% of the Company’s voting stock; (b) stockholder approval of a liquidation or dissolution of the Company; or (c) the occurrence of any of the following events upon which the stockholders of the Company immediately before the event do not retain immediately after the event direct or indirect beneficial ownership of more than 50% of the voting securities of the Company, its successor or the entity to which the assets of the company were transferred: (i) a sale or exchange by the stockholders in a single transaction or series of related transactions of more than 50% of the Company’s voting stock;</w:t>
      </w:r>
    </w:p>
    <w:p>
      <w:pPr>
        <w:spacing w:after="0" w:line="5" w:lineRule="exact"/>
        <w:rPr>
          <w:sz w:val="20"/>
          <w:szCs w:val="20"/>
          <w:color w:val="auto"/>
        </w:rPr>
      </w:pPr>
    </w:p>
    <w:p>
      <w:pPr>
        <w:ind w:right="280" w:firstLine="8"/>
        <w:spacing w:after="0" w:line="261"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a party; or (iii) the sale, exchange or transfer of all or substantially all of the assets of the Company (other than a sale, exchange or transfer to one or more subsidiaries of the Company).</w:t>
      </w:r>
    </w:p>
    <w:p>
      <w:pPr>
        <w:spacing w:after="0" w:line="184" w:lineRule="exact"/>
        <w:rPr>
          <w:sz w:val="20"/>
          <w:szCs w:val="20"/>
          <w:color w:val="auto"/>
        </w:rPr>
      </w:pPr>
    </w:p>
    <w:p>
      <w:pPr>
        <w:ind w:right="100" w:firstLine="799"/>
        <w:spacing w:after="0" w:line="297" w:lineRule="auto"/>
        <w:rPr>
          <w:sz w:val="20"/>
          <w:szCs w:val="20"/>
          <w:color w:val="auto"/>
        </w:rPr>
      </w:pPr>
      <w:r>
        <w:rPr>
          <w:rFonts w:ascii="Arial" w:cs="Arial" w:eastAsia="Arial" w:hAnsi="Arial"/>
          <w:sz w:val="16"/>
          <w:szCs w:val="16"/>
          <w:color w:val="auto"/>
        </w:rPr>
        <w:t>If a Change in Control occurs, the surviving, continuing, successor or purchasing entity or its parent may, without the consent of any participant, either assume or continue outstanding awards or substitute substantially equivalent awards for its stock. If so determined by the Committee, stock-based awards will be deemed assumed if, for each share subject to the award prior to the Change in Control, its holder is given the right to receive the same amount of consideration that a stockholder would receive as a result of the Change in Control. Any awards which are not assumed or continued in connection with a Change in Control or exercised or settled prior to the Change in Control will terminate effective as of the time of the Change in Control.</w:t>
      </w:r>
    </w:p>
    <w:p>
      <w:pPr>
        <w:spacing w:after="0" w:line="158"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Subject to the restrictions of Section 409A of the Code, the Committee may provide for the acceleration of vesting or settlement of any or all outstanding awards upon such terms and to such extent as it determines. The vesting of all awards held by non-employee directors will be accelerated in full upon a Change in Control.</w:t>
      </w:r>
    </w:p>
    <w:p>
      <w:pPr>
        <w:spacing w:after="0" w:line="181" w:lineRule="exact"/>
        <w:rPr>
          <w:sz w:val="20"/>
          <w:szCs w:val="20"/>
          <w:color w:val="auto"/>
        </w:rPr>
      </w:pPr>
    </w:p>
    <w:p>
      <w:pPr>
        <w:ind w:right="20" w:firstLine="799"/>
        <w:spacing w:after="0" w:line="279" w:lineRule="auto"/>
        <w:rPr>
          <w:sz w:val="20"/>
          <w:szCs w:val="20"/>
          <w:color w:val="auto"/>
        </w:rPr>
      </w:pPr>
      <w:r>
        <w:rPr>
          <w:rFonts w:ascii="Arial" w:cs="Arial" w:eastAsia="Arial" w:hAnsi="Arial"/>
          <w:sz w:val="17"/>
          <w:szCs w:val="17"/>
          <w:color w:val="auto"/>
        </w:rPr>
        <w:t>The 2017 Plan also authorizes the Committee, in its discretion and without the consent of any participant, to cancel each or any award denominated in shares of stock upon a Change in Control in exchange for a payment to the participant with respect each vested share (and each unvested share if so determined by the Committee) subject to the cancelled award of an amount equal to the excess of the consideration to be paid per share of common stock in the Change in Control transaction over the exercise or purchase price per share, if any, under the award.</w:t>
      </w:r>
    </w:p>
    <w:p>
      <w:pPr>
        <w:spacing w:after="0" w:line="171" w:lineRule="exact"/>
        <w:rPr>
          <w:sz w:val="20"/>
          <w:szCs w:val="20"/>
          <w:color w:val="auto"/>
        </w:rPr>
      </w:pPr>
    </w:p>
    <w:p>
      <w:pPr>
        <w:ind w:right="60" w:firstLine="799"/>
        <w:spacing w:after="0" w:line="297" w:lineRule="auto"/>
        <w:rPr>
          <w:sz w:val="20"/>
          <w:szCs w:val="20"/>
          <w:color w:val="auto"/>
        </w:rPr>
      </w:pPr>
      <w:r>
        <w:rPr>
          <w:rFonts w:ascii="Arial" w:cs="Arial" w:eastAsia="Arial" w:hAnsi="Arial"/>
          <w:sz w:val="16"/>
          <w:szCs w:val="16"/>
          <w:i w:val="1"/>
          <w:iCs w:val="1"/>
          <w:color w:val="auto"/>
        </w:rPr>
        <w:t xml:space="preserve">Awards Subject to Section 409A of the Code. </w:t>
      </w:r>
      <w:r>
        <w:rPr>
          <w:rFonts w:ascii="Arial" w:cs="Arial" w:eastAsia="Arial" w:hAnsi="Arial"/>
          <w:sz w:val="16"/>
          <w:szCs w:val="16"/>
          <w:color w:val="auto"/>
        </w:rPr>
        <w:t>Certain awards granted under the 2017 Plan may be deemed to constitute “deferred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409A of the Code, which provides rules regarding the taxation of nonqualified deferred compensation plans, and the regulations and other administrative guidance issued pursuant to Section 409A. Any such awards will be required to comply with the requirements of Section 409A. Notwithstanding any provision of the 2017 Plan to the contrary, the Committee is authorized, in its sole discretion and without the consent of any participant, to amend the 2017 Plan or any award agreement as it deems necessary or advisable to comply with Section 409A.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i w:val="1"/>
          <w:iCs w:val="1"/>
          <w:color w:val="auto"/>
        </w:rPr>
        <w:t xml:space="preserve">Amendment, Suspension or Termination. </w:t>
      </w:r>
      <w:r>
        <w:rPr>
          <w:rFonts w:ascii="Arial" w:cs="Arial" w:eastAsia="Arial" w:hAnsi="Arial"/>
          <w:sz w:val="16"/>
          <w:szCs w:val="16"/>
          <w:color w:val="auto"/>
        </w:rPr>
        <w:t>The 2017 Plan will continue in effect until its termination by the Committee, provided that no awards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granted under the 2017 Plan following the tenth anniversary of the 2017 Plan’s effective date, which will be the date on which it is approved by the stockholders. The Committee may amend, suspend or terminate the 2017 Plan at any time, provided that no amendment may be made without stockholder approval that would increase the maximum aggregate number of shares of stock authorized for issuance under the 2017 Plan, change the class of persons eligible to receive incentive stock options or require stockholder approval under any applicable law or the rules of any stock exchange on which the Company’s shares are then listed. No amendment, suspension or termination of the 2017 Plan may affect any outstanding award unless expressly provided by the Committee, and, in any event, may not have a materially adverse effect an outstanding award without the consent of the participant unless necessary to comply with any applicable law, regulation or rule, including, but not limited to, Section 409A of the Code.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229" w:lineRule="exact"/>
        <w:rPr>
          <w:sz w:val="20"/>
          <w:szCs w:val="20"/>
          <w:color w:val="auto"/>
        </w:rPr>
      </w:pPr>
    </w:p>
    <w:p>
      <w:pPr>
        <w:ind w:firstLine="799"/>
        <w:spacing w:after="0" w:line="342" w:lineRule="auto"/>
        <w:rPr>
          <w:sz w:val="20"/>
          <w:szCs w:val="20"/>
          <w:color w:val="auto"/>
        </w:rPr>
      </w:pPr>
      <w:r>
        <w:rPr>
          <w:rFonts w:ascii="Arial" w:cs="Arial" w:eastAsia="Arial" w:hAnsi="Arial"/>
          <w:sz w:val="16"/>
          <w:szCs w:val="16"/>
          <w:color w:val="auto"/>
        </w:rPr>
        <w:t>The following summary is intended only as a general guide to the U.S. federal income tax consequences of participation in the 2017 Plan and does not attempt to describe all possible federal or other tax consequences of such participation or tax consequences based on particular circumstances.</w:t>
      </w:r>
    </w:p>
    <w:p>
      <w:pPr>
        <w:spacing w:after="0" w:line="124" w:lineRule="exact"/>
        <w:rPr>
          <w:sz w:val="20"/>
          <w:szCs w:val="20"/>
          <w:color w:val="auto"/>
        </w:rPr>
      </w:pPr>
    </w:p>
    <w:p>
      <w:pPr>
        <w:ind w:right="60" w:firstLine="799"/>
        <w:spacing w:after="0" w:line="288"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recognizes no taxable income for regular income tax purposes as a result of the grant or exercise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 qualifying under Section 422 of the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169" w:lineRule="exact"/>
        <w:rPr>
          <w:sz w:val="20"/>
          <w:szCs w:val="20"/>
          <w:color w:val="auto"/>
        </w:rPr>
      </w:pPr>
    </w:p>
    <w:p>
      <w:pPr>
        <w:ind w:right="80" w:firstLine="799"/>
        <w:spacing w:after="0" w:line="276" w:lineRule="auto"/>
        <w:rPr>
          <w:sz w:val="20"/>
          <w:szCs w:val="20"/>
          <w:color w:val="auto"/>
        </w:rPr>
      </w:pPr>
      <w:r>
        <w:rPr>
          <w:rFonts w:ascii="Arial" w:cs="Arial" w:eastAsia="Arial" w:hAnsi="Arial"/>
          <w:sz w:val="17"/>
          <w:szCs w:val="17"/>
          <w:color w:val="auto"/>
        </w:rPr>
        <w:t>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w:t>
      </w:r>
    </w:p>
    <w:p>
      <w:pPr>
        <w:spacing w:after="0" w:line="173"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Options not designated or qualifying as incentive stock options are nonstatutory stock options having no special tax</w:t>
      </w:r>
      <w:r>
        <w:rPr>
          <w:rFonts w:ascii="Arial" w:cs="Arial" w:eastAsia="Arial" w:hAnsi="Arial"/>
          <w:sz w:val="18"/>
          <w:szCs w:val="18"/>
          <w:i w:val="1"/>
          <w:iCs w:val="1"/>
          <w:color w:val="auto"/>
        </w:rPr>
        <w:t xml:space="preserve"> </w:t>
      </w:r>
      <w:r>
        <w:rPr>
          <w:rFonts w:ascii="Arial" w:cs="Arial" w:eastAsia="Arial" w:hAnsi="Arial"/>
          <w:sz w:val="18"/>
          <w:szCs w:val="18"/>
          <w:color w:val="auto"/>
        </w:rPr>
        <w:t>status. A participant generally recognizes no taxable income upon receipt of such an option. Upon exercising a nonstatutory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nonstatutory stock option, any gain or loss, based on the difference between the sale price and the fair market value of the shares on the exercise date, will be taxed as capital gain or loss. We generally should be entitled to a tax deduction equal to the amount of ordinary income recognized by the participant as a result of the exercise of a nonstatutory stock option, except to the extent such deduction is limited by applicable provisions of the Code.</w:t>
      </w:r>
    </w:p>
    <w:p>
      <w:pPr>
        <w:spacing w:after="0" w:line="192"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recognizes no taxable income upon the receipt of a stock appreciation right. Upon the exercise of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the participant generally will recognize ordinary income in an amount equal to the excess of the fair market value of the underlying shares of common stock on the exercise date over the exercise price. If the participant is an employee, such ordinary income generally is subject to withholding of income and employment taxes. We generally should be entitled to a deduction equal to the amount of ordinary income recognized by the participant in connection with the exercise of the stock appreciation right, except to the extent such deduction is limited by applicable provisions of the Code.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participant acquiring restricted stock generally will recognize ordinary income equal to the excess of the fair market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(e.g., when they become vested). If the determination date follows the date on which the participant acquires the shares, the participant may elect, pursuant to Section 83(b) of the Code, to designate the date of acquisition as the determination date by filing an election with the Internal Revenue Service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of the shares on the determination date,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183" w:lineRule="exact"/>
        <w:rPr>
          <w:sz w:val="20"/>
          <w:szCs w:val="20"/>
          <w:color w:val="auto"/>
        </w:rPr>
      </w:pPr>
    </w:p>
    <w:p>
      <w:pPr>
        <w:ind w:right="140" w:firstLine="799"/>
        <w:spacing w:after="0" w:line="270" w:lineRule="auto"/>
        <w:rPr>
          <w:sz w:val="20"/>
          <w:szCs w:val="20"/>
          <w:color w:val="auto"/>
        </w:rPr>
      </w:pPr>
      <w:r>
        <w:rPr>
          <w:rFonts w:ascii="Arial" w:cs="Arial" w:eastAsia="Arial" w:hAnsi="Arial"/>
          <w:sz w:val="17"/>
          <w:szCs w:val="17"/>
          <w:i w:val="1"/>
          <w:iCs w:val="1"/>
          <w:color w:val="auto"/>
        </w:rPr>
        <w:t xml:space="preserve">Restricted Stock Unit, Performance, Cash-Based and Other Stock-Based Awards. </w:t>
      </w:r>
      <w:r>
        <w:rPr>
          <w:rFonts w:ascii="Arial" w:cs="Arial" w:eastAsia="Arial" w:hAnsi="Arial"/>
          <w:sz w:val="17"/>
          <w:szCs w:val="17"/>
          <w:color w:val="auto"/>
        </w:rPr>
        <w:t>A participant generally will recognize no income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a restricted stock unit, performance share, performance unit, cash-based or other stock-based award. Upon the settlement of such awards, participants normally will recognize ordinary income in the year of settlement in an amount equal to the cash received and the fair market value of any substantially vested shares of stock received. If the participant is an employee, such ordinary income generally is subject to withholding of income and employment taxes. If the participant receives shares of restricted stock, the participant generally will be taxed in the same manner as described above under “Restricted Stock.” Upon the sale of any shares received, any gain or loss, based on the difference between the sale price and the fair market value of the shares on the determination date (as defined above under “Restricted Stock”),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2017 Plan Benefits</w:t>
      </w:r>
    </w:p>
    <w:p>
      <w:pPr>
        <w:spacing w:after="0" w:line="229" w:lineRule="exact"/>
        <w:rPr>
          <w:sz w:val="20"/>
          <w:szCs w:val="20"/>
          <w:color w:val="auto"/>
        </w:rPr>
      </w:pPr>
    </w:p>
    <w:p>
      <w:pPr>
        <w:ind w:right="600" w:firstLine="799"/>
        <w:spacing w:after="0" w:line="277" w:lineRule="auto"/>
        <w:rPr>
          <w:sz w:val="20"/>
          <w:szCs w:val="20"/>
          <w:color w:val="auto"/>
        </w:rPr>
      </w:pPr>
      <w:r>
        <w:rPr>
          <w:rFonts w:ascii="Arial" w:cs="Arial" w:eastAsia="Arial" w:hAnsi="Arial"/>
          <w:sz w:val="18"/>
          <w:szCs w:val="18"/>
          <w:color w:val="auto"/>
        </w:rPr>
        <w:t>No awards will be granted under the 2017 Plan prior to its approval by the stockholders of the Company. All awards will be granted at the discretion of the Committee, and, accordingly, are not yet determinable.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229" w:lineRule="exact"/>
        <w:rPr>
          <w:sz w:val="20"/>
          <w:szCs w:val="20"/>
          <w:color w:val="auto"/>
        </w:rPr>
      </w:pPr>
    </w:p>
    <w:p>
      <w:pPr>
        <w:ind w:right="200" w:firstLine="799"/>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shares present or represented by proxy and entitled to vote on this proposal. If you hold your shares in your own name and abstain from voting on this matter, your abstention will have the same effect as a negative vote. If you hold your shares through a broker and you do not instruct the broker on how to vote on this proposal, your broker will not have authority to vote your shares. Broker non-votes will have no effect on the outcome of this vote. Abstentions and broker non-votes will each be counted as present for purposes of determining the presence of a quorum.</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Board believes that the proposed adoption of the 2017 Plan is in the best interests of the Company and its stockholders for the reasons stated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right="140" w:firstLine="799"/>
        <w:spacing w:after="0" w:line="347" w:lineRule="auto"/>
        <w:rPr>
          <w:sz w:val="20"/>
          <w:szCs w:val="20"/>
          <w:color w:val="auto"/>
        </w:rPr>
      </w:pPr>
      <w:r>
        <w:rPr>
          <w:rFonts w:ascii="Arial" w:cs="Arial" w:eastAsia="Arial" w:hAnsi="Arial"/>
          <w:sz w:val="16"/>
          <w:szCs w:val="16"/>
          <w:b w:val="1"/>
          <w:bCs w:val="1"/>
          <w:color w:val="auto"/>
        </w:rPr>
        <w:t xml:space="preserve">Our Board of Directors unanimously recommends that the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approval of the adoption of the 2017 Plan (including, without limitation, certain material terms of such plan for purposes of the Section 162(m) of the Internal Revenue Code of 1986, as amended).</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422"/>
        </w:trPr>
        <w:tc>
          <w:tcPr>
            <w:tcW w:w="720" w:type="dxa"/>
            <w:vAlign w:val="bottom"/>
            <w:tcBorders>
              <w:top w:val="single" w:sz="8" w:color="auto"/>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i w:val="1"/>
                <w:iCs w:val="1"/>
                <w:color w:val="auto"/>
              </w:rPr>
              <w:t>What am I voting on?</w:t>
            </w:r>
          </w:p>
        </w:tc>
        <w:tc>
          <w:tcPr>
            <w:tcW w:w="852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color w:val="auto"/>
                <w:w w:val="97"/>
              </w:rPr>
              <w:t>Stockholders are being asked to approve, on an advisory basis, the compensation of the named executive officers as</w:t>
            </w:r>
          </w:p>
        </w:tc>
      </w:tr>
      <w:tr>
        <w:trPr>
          <w:trHeight w:val="203"/>
        </w:trPr>
        <w:tc>
          <w:tcPr>
            <w:tcW w:w="72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2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w w:val="97"/>
              </w:rPr>
              <w:t>described in the Compensation Discussion and Analysis section beginning on page 33 and the related tables section</w:t>
            </w:r>
          </w:p>
        </w:tc>
      </w:tr>
      <w:tr>
        <w:trPr>
          <w:trHeight w:val="206"/>
        </w:trPr>
        <w:tc>
          <w:tcPr>
            <w:tcW w:w="72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2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beginning on page 45.</w:t>
            </w:r>
          </w:p>
        </w:tc>
      </w:tr>
      <w:tr>
        <w:trPr>
          <w:trHeight w:val="428"/>
        </w:trPr>
        <w:tc>
          <w:tcPr>
            <w:tcW w:w="72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Voting recommendation:</w:t>
            </w:r>
          </w:p>
        </w:tc>
        <w:tc>
          <w:tcPr>
            <w:tcW w:w="852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w w:val="94"/>
              </w:rPr>
              <w:t>Our Board of Directors unanimously recommends that you vote “</w:t>
            </w:r>
            <w:r>
              <w:rPr>
                <w:rFonts w:ascii="Arial" w:cs="Arial" w:eastAsia="Arial" w:hAnsi="Arial"/>
                <w:sz w:val="16"/>
                <w:szCs w:val="16"/>
                <w:b w:val="1"/>
                <w:bCs w:val="1"/>
                <w:color w:val="auto"/>
                <w:w w:val="94"/>
              </w:rPr>
              <w:t>FOR</w:t>
            </w:r>
            <w:r>
              <w:rPr>
                <w:rFonts w:ascii="Arial" w:cs="Arial" w:eastAsia="Arial" w:hAnsi="Arial"/>
                <w:sz w:val="16"/>
                <w:szCs w:val="16"/>
                <w:color w:val="auto"/>
                <w:w w:val="94"/>
              </w:rPr>
              <w:t>” the advisory vote to approve the compensation of</w:t>
            </w:r>
          </w:p>
        </w:tc>
      </w:tr>
      <w:tr>
        <w:trPr>
          <w:trHeight w:val="203"/>
        </w:trPr>
        <w:tc>
          <w:tcPr>
            <w:tcW w:w="72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2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our named executive officers. The Compensation Committee takes very seriously its role in the governance of the</w:t>
            </w:r>
          </w:p>
        </w:tc>
      </w:tr>
      <w:tr>
        <w:trPr>
          <w:trHeight w:val="203"/>
        </w:trPr>
        <w:tc>
          <w:tcPr>
            <w:tcW w:w="72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2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w w:val="94"/>
              </w:rPr>
              <w:t>Company’s compensation programs and will take into account the outcome of the advisory vote when considering future</w:t>
            </w:r>
          </w:p>
        </w:tc>
      </w:tr>
      <w:tr>
        <w:trPr>
          <w:trHeight w:val="206"/>
        </w:trPr>
        <w:tc>
          <w:tcPr>
            <w:tcW w:w="72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2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executive compensation decisions.</w:t>
            </w:r>
          </w:p>
        </w:tc>
      </w:tr>
      <w:tr>
        <w:trPr>
          <w:trHeight w:val="428"/>
        </w:trPr>
        <w:tc>
          <w:tcPr>
            <w:tcW w:w="72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Vote required:</w:t>
            </w:r>
          </w:p>
        </w:tc>
        <w:tc>
          <w:tcPr>
            <w:tcW w:w="852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w w:val="93"/>
              </w:rPr>
              <w:t>The affirmative vote of the majority of shares present in person or represented by proxy at the Annual Meeting and entitled</w:t>
            </w:r>
          </w:p>
        </w:tc>
      </w:tr>
      <w:tr>
        <w:trPr>
          <w:trHeight w:val="203"/>
        </w:trPr>
        <w:tc>
          <w:tcPr>
            <w:tcW w:w="72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2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w w:val="96"/>
              </w:rPr>
              <w:t>to vote. Broker non-votes will have no effect on the outcome of this proposal, while abstentions will have the effect of a</w:t>
            </w:r>
          </w:p>
        </w:tc>
      </w:tr>
      <w:tr>
        <w:trPr>
          <w:trHeight w:val="219"/>
        </w:trPr>
        <w:tc>
          <w:tcPr>
            <w:tcW w:w="720" w:type="dxa"/>
            <w:vAlign w:val="bottom"/>
            <w:tcBorders>
              <w:left w:val="single" w:sz="8" w:color="auto"/>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8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vote against this proposal.</w:t>
            </w:r>
          </w:p>
        </w:tc>
      </w:tr>
    </w:tbl>
    <w:p>
      <w:pPr>
        <w:spacing w:after="0" w:line="202" w:lineRule="exact"/>
        <w:rPr>
          <w:sz w:val="20"/>
          <w:szCs w:val="20"/>
          <w:color w:val="auto"/>
        </w:rPr>
      </w:pPr>
    </w:p>
    <w:p>
      <w:pPr>
        <w:ind w:right="300" w:firstLine="571"/>
        <w:spacing w:after="0" w:line="257" w:lineRule="auto"/>
        <w:rPr>
          <w:sz w:val="20"/>
          <w:szCs w:val="20"/>
          <w:color w:val="auto"/>
        </w:rPr>
      </w:pPr>
      <w:r>
        <w:rPr>
          <w:rFonts w:ascii="Arial" w:cs="Arial" w:eastAsia="Arial" w:hAnsi="Arial"/>
          <w:sz w:val="18"/>
          <w:szCs w:val="18"/>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2011 Annual Meeting, our stockholders voted in favor of holding Say-On-Pay votes annually. In light of this result and other factors considered by the Board, the Board has determined that the Company will hold Say-On-Pay votes on an annual basis.</w:t>
      </w:r>
    </w:p>
    <w:p>
      <w:pPr>
        <w:spacing w:after="0" w:line="188"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Compensation Discussion and Analysis section starting on page 33 of this proxy statement for a detailed discussion about our executive compensation programs, including information about the fiscal year 2016 compensation of our named executive officers.</w:t>
      </w:r>
    </w:p>
    <w:p>
      <w:pPr>
        <w:spacing w:after="0" w:line="158"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Compensation Discussion and Analysis section starting on page 33 of this proxy statement provides a more detailed discussion of our executive compensation program. We believe that the compensation program we follow helps us achieve our principal compensation objectives.</w:t>
      </w:r>
    </w:p>
    <w:p>
      <w:pPr>
        <w:spacing w:after="0" w:line="193"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 vote solicited by this Proposal No. 3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 In 2016, our Say-on-Pay proposal received the support of 95.0% of the shares voted, which we believe indicates strong support for our compensation program and practices. Nevertheless, we will continue to solicit feedback, engage with our investors, and evaluate the effectiveness of our pay practices in aligning management and stockholder interests.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Stockholders will be asked at the Annual Meeting to approve the following resolution pursuant to this Proposal No. 3:</w:t>
      </w:r>
    </w:p>
    <w:p>
      <w:pPr>
        <w:spacing w:after="0" w:line="225" w:lineRule="exact"/>
        <w:rPr>
          <w:sz w:val="20"/>
          <w:szCs w:val="20"/>
          <w:color w:val="auto"/>
        </w:rPr>
      </w:pPr>
    </w:p>
    <w:p>
      <w:pPr>
        <w:ind w:right="460" w:firstLine="571"/>
        <w:spacing w:after="0" w:line="264" w:lineRule="auto"/>
        <w:rPr>
          <w:sz w:val="20"/>
          <w:szCs w:val="20"/>
          <w:color w:val="auto"/>
        </w:rPr>
      </w:pPr>
      <w:r>
        <w:rPr>
          <w:rFonts w:ascii="Arial" w:cs="Arial" w:eastAsia="Arial" w:hAnsi="Arial"/>
          <w:sz w:val="18"/>
          <w:szCs w:val="18"/>
          <w:color w:val="auto"/>
        </w:rPr>
        <w:t>“RESOLVED, that the stockholders of Grand Canyon Education, Inc. approve, on an advisory basis, the compensation of the Company’s named executive officers, disclosed pursuant to Item 402 of Regulation S-K in the Company’s definitive proxy statement for the 2017 Annual Meeting of Stockholders.”</w:t>
      </w:r>
    </w:p>
    <w:p>
      <w:pPr>
        <w:spacing w:after="0" w:line="177" w:lineRule="exact"/>
        <w:rPr>
          <w:sz w:val="20"/>
          <w:szCs w:val="20"/>
          <w:color w:val="auto"/>
        </w:rPr>
      </w:pPr>
    </w:p>
    <w:p>
      <w:pPr>
        <w:ind w:right="380" w:firstLine="571"/>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459" w:right="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60" w:firstLine="571"/>
        <w:spacing w:after="0" w:line="264"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Brian E. Mueller, our Chairman and our Chief Executive Officer and President of Grand Canyon University,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tcPr>
          <w:p>
            <w:pPr>
              <w:jc w:val="center"/>
              <w:ind w:left="534"/>
              <w:spacing w:after="0"/>
              <w:rPr>
                <w:sz w:val="20"/>
                <w:szCs w:val="20"/>
                <w:color w:val="auto"/>
              </w:rPr>
            </w:pPr>
            <w:r>
              <w:rPr>
                <w:rFonts w:ascii="Arial" w:cs="Arial" w:eastAsia="Arial" w:hAnsi="Arial"/>
                <w:sz w:val="14"/>
                <w:szCs w:val="14"/>
                <w:b w:val="1"/>
                <w:bCs w:val="1"/>
                <w:color w:val="auto"/>
                <w:w w:val="90"/>
              </w:rPr>
              <w:t>Age</w:t>
            </w:r>
          </w:p>
        </w:tc>
        <w:tc>
          <w:tcPr>
            <w:tcW w:w="4800" w:type="dxa"/>
            <w:vAlign w:val="bottom"/>
          </w:tcPr>
          <w:p>
            <w:pPr>
              <w:ind w:left="9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Dr. W. Stan Meyer</w:t>
            </w:r>
          </w:p>
        </w:tc>
        <w:tc>
          <w:tcPr>
            <w:tcW w:w="2660" w:type="dxa"/>
            <w:vAlign w:val="bottom"/>
          </w:tcPr>
          <w:p>
            <w:pPr>
              <w:jc w:val="center"/>
              <w:ind w:left="514"/>
              <w:spacing w:after="0"/>
              <w:rPr>
                <w:sz w:val="20"/>
                <w:szCs w:val="20"/>
                <w:color w:val="auto"/>
              </w:rPr>
            </w:pPr>
            <w:r>
              <w:rPr>
                <w:rFonts w:ascii="Arial" w:cs="Arial" w:eastAsia="Arial" w:hAnsi="Arial"/>
                <w:sz w:val="18"/>
                <w:szCs w:val="18"/>
                <w:color w:val="auto"/>
                <w:w w:val="89"/>
              </w:rPr>
              <w:t>56</w:t>
            </w:r>
          </w:p>
        </w:tc>
        <w:tc>
          <w:tcPr>
            <w:tcW w:w="4800" w:type="dxa"/>
            <w:vAlign w:val="bottom"/>
          </w:tcPr>
          <w:p>
            <w:pPr>
              <w:ind w:left="920"/>
              <w:spacing w:after="0"/>
              <w:rPr>
                <w:sz w:val="20"/>
                <w:szCs w:val="20"/>
                <w:color w:val="auto"/>
              </w:rPr>
            </w:pPr>
            <w:r>
              <w:rPr>
                <w:rFonts w:ascii="Arial" w:cs="Arial" w:eastAsia="Arial" w:hAnsi="Arial"/>
                <w:sz w:val="18"/>
                <w:szCs w:val="18"/>
                <w:color w:val="auto"/>
              </w:rPr>
              <w:t>Chief Operating Officer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Daniel E. Bachus</w:t>
            </w:r>
          </w:p>
        </w:tc>
        <w:tc>
          <w:tcPr>
            <w:tcW w:w="2660" w:type="dxa"/>
            <w:vAlign w:val="bottom"/>
          </w:tcPr>
          <w:p>
            <w:pPr>
              <w:jc w:val="center"/>
              <w:ind w:left="514"/>
              <w:spacing w:after="0"/>
              <w:rPr>
                <w:sz w:val="20"/>
                <w:szCs w:val="20"/>
                <w:color w:val="auto"/>
              </w:rPr>
            </w:pPr>
            <w:r>
              <w:rPr>
                <w:rFonts w:ascii="Arial" w:cs="Arial" w:eastAsia="Arial" w:hAnsi="Arial"/>
                <w:sz w:val="18"/>
                <w:szCs w:val="18"/>
                <w:color w:val="auto"/>
                <w:w w:val="89"/>
              </w:rPr>
              <w:t>46</w:t>
            </w:r>
          </w:p>
        </w:tc>
        <w:tc>
          <w:tcPr>
            <w:tcW w:w="4800" w:type="dxa"/>
            <w:vAlign w:val="bottom"/>
          </w:tcPr>
          <w:p>
            <w:pPr>
              <w:ind w:left="920"/>
              <w:spacing w:after="0"/>
              <w:rPr>
                <w:sz w:val="20"/>
                <w:szCs w:val="20"/>
                <w:color w:val="auto"/>
              </w:rPr>
            </w:pPr>
            <w:r>
              <w:rPr>
                <w:rFonts w:ascii="Arial" w:cs="Arial" w:eastAsia="Arial" w:hAnsi="Arial"/>
                <w:sz w:val="18"/>
                <w:szCs w:val="18"/>
                <w:color w:val="auto"/>
              </w:rPr>
              <w:t>Chief Financial Officer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Joseph N. Mildenhall</w:t>
            </w:r>
          </w:p>
        </w:tc>
        <w:tc>
          <w:tcPr>
            <w:tcW w:w="2660" w:type="dxa"/>
            <w:vAlign w:val="bottom"/>
          </w:tcPr>
          <w:p>
            <w:pPr>
              <w:jc w:val="center"/>
              <w:ind w:left="514"/>
              <w:spacing w:after="0"/>
              <w:rPr>
                <w:sz w:val="20"/>
                <w:szCs w:val="20"/>
                <w:color w:val="auto"/>
              </w:rPr>
            </w:pPr>
            <w:r>
              <w:rPr>
                <w:rFonts w:ascii="Arial" w:cs="Arial" w:eastAsia="Arial" w:hAnsi="Arial"/>
                <w:sz w:val="18"/>
                <w:szCs w:val="18"/>
                <w:color w:val="auto"/>
                <w:w w:val="89"/>
              </w:rPr>
              <w:t>63</w:t>
            </w:r>
          </w:p>
        </w:tc>
        <w:tc>
          <w:tcPr>
            <w:tcW w:w="4800" w:type="dxa"/>
            <w:vAlign w:val="bottom"/>
          </w:tcPr>
          <w:p>
            <w:pPr>
              <w:ind w:left="920"/>
              <w:spacing w:after="0"/>
              <w:rPr>
                <w:sz w:val="20"/>
                <w:szCs w:val="20"/>
                <w:color w:val="auto"/>
              </w:rPr>
            </w:pPr>
            <w:r>
              <w:rPr>
                <w:rFonts w:ascii="Arial" w:cs="Arial" w:eastAsia="Arial" w:hAnsi="Arial"/>
                <w:sz w:val="18"/>
                <w:szCs w:val="18"/>
                <w:color w:val="auto"/>
              </w:rPr>
              <w:t>Chief Information Officer</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Brian M. Roberts</w:t>
            </w:r>
          </w:p>
        </w:tc>
        <w:tc>
          <w:tcPr>
            <w:tcW w:w="2660" w:type="dxa"/>
            <w:vAlign w:val="bottom"/>
          </w:tcPr>
          <w:p>
            <w:pPr>
              <w:jc w:val="center"/>
              <w:ind w:left="514"/>
              <w:spacing w:after="0"/>
              <w:rPr>
                <w:sz w:val="20"/>
                <w:szCs w:val="20"/>
                <w:color w:val="auto"/>
              </w:rPr>
            </w:pPr>
            <w:r>
              <w:rPr>
                <w:rFonts w:ascii="Arial" w:cs="Arial" w:eastAsia="Arial" w:hAnsi="Arial"/>
                <w:sz w:val="18"/>
                <w:szCs w:val="18"/>
                <w:color w:val="auto"/>
                <w:w w:val="89"/>
              </w:rPr>
              <w:t>44</w:t>
            </w:r>
          </w:p>
        </w:tc>
        <w:tc>
          <w:tcPr>
            <w:tcW w:w="4800" w:type="dxa"/>
            <w:vAlign w:val="bottom"/>
          </w:tcPr>
          <w:p>
            <w:pPr>
              <w:ind w:left="920"/>
              <w:spacing w:after="0"/>
              <w:rPr>
                <w:sz w:val="20"/>
                <w:szCs w:val="20"/>
                <w:color w:val="auto"/>
              </w:rPr>
            </w:pPr>
            <w:r>
              <w:rPr>
                <w:rFonts w:ascii="Arial" w:cs="Arial" w:eastAsia="Arial" w:hAnsi="Arial"/>
                <w:sz w:val="18"/>
                <w:szCs w:val="18"/>
                <w:color w:val="auto"/>
                <w:w w:val="88"/>
              </w:rPr>
              <w:t>Senior Vice President, General Counsel and Secretary</w:t>
            </w:r>
          </w:p>
        </w:tc>
      </w:tr>
    </w:tbl>
    <w:p>
      <w:pPr>
        <w:spacing w:after="0" w:line="229" w:lineRule="exact"/>
        <w:rPr>
          <w:sz w:val="20"/>
          <w:szCs w:val="20"/>
          <w:color w:val="auto"/>
        </w:rPr>
      </w:pPr>
    </w:p>
    <w:p>
      <w:pPr>
        <w:ind w:left="2520" w:right="40" w:firstLine="450"/>
        <w:spacing w:after="0" w:line="284" w:lineRule="auto"/>
        <w:rPr>
          <w:sz w:val="20"/>
          <w:szCs w:val="20"/>
          <w:color w:val="auto"/>
        </w:rPr>
      </w:pPr>
      <w:r>
        <w:rPr>
          <w:rFonts w:ascii="Arial" w:cs="Arial" w:eastAsia="Arial" w:hAnsi="Arial"/>
          <w:sz w:val="16"/>
          <w:szCs w:val="16"/>
          <w:i w:val="1"/>
          <w:iCs w:val="1"/>
          <w:color w:val="auto"/>
        </w:rPr>
        <w:t xml:space="preserve">Dr. W. Stan Meyer </w:t>
      </w:r>
      <w:r>
        <w:rPr>
          <w:rFonts w:ascii="Arial" w:cs="Arial" w:eastAsia="Arial" w:hAnsi="Arial"/>
          <w:sz w:val="16"/>
          <w:szCs w:val="16"/>
          <w:color w:val="auto"/>
        </w:rPr>
        <w:t>has been serving as our Chief Operating Officer since July 26, 2012, having previously served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position of Executive Vice President from June 2008 to July 2012. Dr. Meyer has been serving as a Director of the Grand Canyon University Foundation, a foundation formed to benefit public charities, since its formation in 2010 and as a director of GCU Community Fund, an entity formed to provide seed funding for entrepreneurial ventures initiated by Grand Canyon University students, since its formation in 2014. From August 2002 to June 2008, Dr. Meyer was employed by Apollo Education Group, Inc., a for-profit, postsecondary education company and the parent company of the University of Phoenix, serving between June 2006 to June 2008 as its executive vice president of marketing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-958215</wp:posOffset>
            </wp:positionV>
            <wp:extent cx="1235075" cy="16465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ind w:left="2520" w:right="240"/>
        <w:spacing w:after="0" w:line="270" w:lineRule="auto"/>
        <w:rPr>
          <w:sz w:val="20"/>
          <w:szCs w:val="20"/>
          <w:color w:val="auto"/>
        </w:rPr>
      </w:pPr>
      <w:r>
        <w:rPr>
          <w:rFonts w:ascii="Arial" w:cs="Arial" w:eastAsia="Arial" w:hAnsi="Arial"/>
          <w:sz w:val="17"/>
          <w:szCs w:val="17"/>
          <w:color w:val="auto"/>
        </w:rPr>
        <w:t>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79" w:lineRule="exact"/>
        <w:rPr>
          <w:sz w:val="20"/>
          <w:szCs w:val="20"/>
          <w:color w:val="auto"/>
        </w:rPr>
      </w:pPr>
    </w:p>
    <w:p>
      <w:pPr>
        <w:ind w:left="2520" w:right="20" w:firstLine="450"/>
        <w:spacing w:after="0" w:line="289"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Mr. Bachus has been serving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Director of the Grand Canyon University Foundation since its formation in 2010 and as a director of GCU Community Fund, an entity formed to provide seed funding for entrepreneurial ventures initiated by Grand Canyon University students, since its formation in 2014.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Mr. Bachus is also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-1256665</wp:posOffset>
            </wp:positionV>
            <wp:extent cx="1235075" cy="1646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520" w:firstLine="450"/>
        <w:spacing w:after="0" w:line="270" w:lineRule="auto"/>
        <w:rPr>
          <w:sz w:val="20"/>
          <w:szCs w:val="20"/>
          <w:color w:val="auto"/>
        </w:rPr>
      </w:pPr>
      <w:r>
        <w:rPr>
          <w:rFonts w:ascii="Arial" w:cs="Arial" w:eastAsia="Arial" w:hAnsi="Arial"/>
          <w:sz w:val="17"/>
          <w:szCs w:val="17"/>
          <w:i w:val="1"/>
          <w:iCs w:val="1"/>
          <w:color w:val="auto"/>
        </w:rPr>
        <w:t xml:space="preserve">Joseph N. Mildenhall </w:t>
      </w:r>
      <w:r>
        <w:rPr>
          <w:rFonts w:ascii="Arial" w:cs="Arial" w:eastAsia="Arial" w:hAnsi="Arial"/>
          <w:sz w:val="17"/>
          <w:szCs w:val="17"/>
          <w:color w:val="auto"/>
        </w:rPr>
        <w:t>has been serving as our Chief Information Officer since September 2009. From 1998 to</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2009, Mr. Mildenhall was 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-1386840</wp:posOffset>
            </wp:positionV>
            <wp:extent cx="1235075" cy="1646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520" w:firstLine="450"/>
        <w:spacing w:after="0" w:line="291" w:lineRule="auto"/>
        <w:rPr>
          <w:sz w:val="20"/>
          <w:szCs w:val="20"/>
          <w:color w:val="auto"/>
        </w:rPr>
      </w:pPr>
      <w:r>
        <w:rPr>
          <w:rFonts w:ascii="Arial" w:cs="Arial" w:eastAsia="Arial" w:hAnsi="Arial"/>
          <w:sz w:val="16"/>
          <w:szCs w:val="16"/>
          <w:i w:val="1"/>
          <w:iCs w:val="1"/>
          <w:color w:val="auto"/>
        </w:rPr>
        <w:t xml:space="preserve">Brian M. Roberts </w:t>
      </w:r>
      <w:r>
        <w:rPr>
          <w:rFonts w:ascii="Arial" w:cs="Arial" w:eastAsia="Arial" w:hAnsi="Arial"/>
          <w:sz w:val="16"/>
          <w:szCs w:val="16"/>
          <w:color w:val="auto"/>
        </w:rPr>
        <w:t>has been serving as our Senior Vice President and General Counsel since May 2012 and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since July 2012. Mr. Roberts has been serving as a director of GCU Community Fund, an entity formed to provide seed funding for entrepreneurial ventures initiated by Grand Canyon University students, since its formation in 2014. From August 2003 to May 2012, Mr. Roberts was employed by iGo, Inc., a publicly traded developer of electronics accessories, including serving as general counsel and secretary in charge of all legal functions since May 2005. From September 1998 to August 2003, Mr. Roberts was an attorney with the law firm of Snell &amp; Wilmer L.L.P. Mr. Roberts received a Bachelor of Science degree in Business Administration and a Juris Doctorate from the University of 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-981710</wp:posOffset>
            </wp:positionV>
            <wp:extent cx="1235075" cy="1646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The following discussion and analysis should be read in conjunction with “Compensation of Named Executive Officers” and the related tables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are a comprehensive regionally accredited university that offers over 200 graduate and undergraduate degree programs and certificates across nine colleges both online and on ground at our over 260 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students) or online has enabled us to increase enrollment to approximately 81,900 students at December 31, 2016. At December 31, 2016, 78.9% of our students were enrolled in our online programs, and, of our working adult students (online and professional studies students), 49.5% were pursuing master’s or doctoral degrees.</w:t>
      </w:r>
    </w:p>
    <w:p>
      <w:pPr>
        <w:spacing w:after="0" w:line="173" w:lineRule="exact"/>
        <w:rPr>
          <w:sz w:val="20"/>
          <w:szCs w:val="20"/>
          <w:color w:val="auto"/>
        </w:rPr>
      </w:pPr>
    </w:p>
    <w:p>
      <w:pPr>
        <w:ind w:right="80" w:firstLine="571"/>
        <w:spacing w:after="0" w:line="297" w:lineRule="auto"/>
        <w:rPr>
          <w:sz w:val="20"/>
          <w:szCs w:val="20"/>
          <w:color w:val="auto"/>
        </w:rPr>
      </w:pPr>
      <w:r>
        <w:rPr>
          <w:rFonts w:ascii="Arial" w:cs="Arial" w:eastAsia="Arial" w:hAnsi="Arial"/>
          <w:sz w:val="16"/>
          <w:szCs w:val="16"/>
          <w:color w:val="auto"/>
        </w:rPr>
        <w:t>We define working adults as students age 25 or older who are pursuing a degree while employed. As of December 31, 2016, 86.5%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particularly those who have some college experience, represent an attractive student population because they are better able to more readily recognize the benefits of a postsecondary degree, have higher persistence and completion rates than other students, and to finance their education generally.</w:t>
      </w:r>
    </w:p>
    <w:p>
      <w:pPr>
        <w:spacing w:after="0" w:line="15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In 2016, we continued to increase the number of students in attendance at our expanding traditional ground campus. We attribute the significant growth in our enrollment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We plan to continue increasing enrollment growth for our traditional campus over the next few years, and seek to have over 19,000 traditional ground students in attendance at the beginning of our 2017-2018 academic year. 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67"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We have continued to experience growth in enrollment, net revenue, and operating income over the last several years. Our enrollment at December 31, 2016 was approximately 81,900, representing an increase of approximately 9.9% over our enrollment at December 31, 2015. We seek to achieve continued growth in a manner that reinforces our reputation for providing academically rigorous, professionally relevant educational programs that advance the educations and careers of our students.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2016 Financial Results</w:t>
      </w:r>
      <w:r>
        <w:rPr>
          <w:rFonts w:ascii="Arial" w:cs="Arial" w:eastAsia="Arial" w:hAnsi="Arial"/>
          <w:sz w:val="17"/>
          <w:szCs w:val="17"/>
          <w:color w:val="auto"/>
        </w:rPr>
        <w:t>. Our senior management guided our Company during 2016 to produce positive financial results.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43" w:lineRule="exact"/>
        <w:rPr>
          <w:sz w:val="20"/>
          <w:szCs w:val="20"/>
          <w:color w:val="auto"/>
        </w:rPr>
      </w:pPr>
    </w:p>
    <w:p>
      <w:pPr>
        <w:ind w:left="1460" w:right="2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revenue increased 12.2% to $873.3 million for the year ended December 31, 2016, compared to $778.2 million for the same period in 2015.</w:t>
      </w:r>
    </w:p>
    <w:p>
      <w:pPr>
        <w:spacing w:after="0" w:line="102"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End of period enrollment increased 9.9% to 81,908 at December 31, 2016, from 74, 506 at December 31, 2015, as ground enrollment increased 13.6% to 17,262 at December 31, 2016, from 15,195 at December 31, 2015 and online enrollment increased 9.0% to 64,646 at December 31, 2016, from 59,311 at December 31, 2015.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60" w:hanging="547"/>
        <w:spacing w:after="0" w:line="264"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2016 was $237.2 million, an increase of 12.8% as compared to $210.4 million for the same period in 2015. The operating margin for the year ended December 31, 2016 was 27.2%, compared to 27.0% for the same period in 2015.</w:t>
      </w:r>
    </w:p>
    <w:p>
      <w:pPr>
        <w:spacing w:after="0" w:line="113"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tax rate for both year ended December 31, 2016 and 2015 was 37.1%.</w:t>
      </w:r>
    </w:p>
    <w:p>
      <w:pPr>
        <w:spacing w:after="0" w:line="157"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increased 13.0% to $148.5 million for the year ended December 31, 2016, compared to $131.4 million for the same period in 2015.</w:t>
      </w:r>
    </w:p>
    <w:p>
      <w:pPr>
        <w:spacing w:after="0" w:line="102"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Diluted net income per share was $3.15 for the year ended December 31, 2016, compared to $2.78 for the same period in 2015.</w:t>
      </w:r>
    </w:p>
    <w:p>
      <w:pPr>
        <w:spacing w:after="0" w:line="169" w:lineRule="exact"/>
        <w:rPr>
          <w:rFonts w:ascii="Arial" w:cs="Arial" w:eastAsia="Arial" w:hAnsi="Arial"/>
          <w:sz w:val="17"/>
          <w:szCs w:val="17"/>
          <w:color w:val="auto"/>
        </w:rPr>
      </w:pPr>
    </w:p>
    <w:p>
      <w:pPr>
        <w:ind w:left="1460" w:right="24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increased 14.7% to $304.1 million for the year ended December 31, 2016, compared to $265.0 million for the same period in 2015.</w:t>
      </w:r>
    </w:p>
    <w:p>
      <w:pPr>
        <w:spacing w:after="0" w:line="17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 xml:space="preserve">For a discussion of the manner in which we compute our Adjusted EBITDA and to view a table setting forth a reconciliation of our Adjusted EBITDA to our net income (as determined in accordance with U.S. generally accepted accounting principles), please see Item 6, </w:t>
      </w:r>
      <w:r>
        <w:rPr>
          <w:rFonts w:ascii="Arial" w:cs="Arial" w:eastAsia="Arial" w:hAnsi="Arial"/>
          <w:sz w:val="18"/>
          <w:szCs w:val="18"/>
          <w:i w:val="1"/>
          <w:iCs w:val="1"/>
          <w:color w:val="auto"/>
        </w:rPr>
        <w:t>Selected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and Other Data, </w:t>
      </w:r>
      <w:r>
        <w:rPr>
          <w:rFonts w:ascii="Arial" w:cs="Arial" w:eastAsia="Arial" w:hAnsi="Arial"/>
          <w:sz w:val="18"/>
          <w:szCs w:val="18"/>
          <w:color w:val="auto"/>
        </w:rPr>
        <w:t>beginning on page 39 of our Annual Report on Form 10-K for the fiscal year ended December 31, 2016,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on February 16, 2017.</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Other 2016 Developments</w:t>
      </w:r>
      <w:r>
        <w:rPr>
          <w:rFonts w:ascii="Arial" w:cs="Arial" w:eastAsia="Arial" w:hAnsi="Arial"/>
          <w:sz w:val="18"/>
          <w:szCs w:val="18"/>
          <w:color w:val="auto"/>
        </w:rPr>
        <w:t>. We also had positive non-financial developments in 2016, including:</w:t>
      </w:r>
    </w:p>
    <w:p>
      <w:pPr>
        <w:spacing w:after="0" w:line="158" w:lineRule="exact"/>
        <w:rPr>
          <w:sz w:val="20"/>
          <w:szCs w:val="20"/>
          <w:color w:val="auto"/>
        </w:rPr>
      </w:pPr>
    </w:p>
    <w:p>
      <w:pPr>
        <w:ind w:left="1480" w:right="60" w:hanging="446"/>
        <w:spacing w:after="0" w:line="25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Continued Program Expansion</w:t>
      </w:r>
      <w:r>
        <w:rPr>
          <w:rFonts w:ascii="Arial" w:cs="Arial" w:eastAsia="Arial" w:hAnsi="Arial"/>
          <w:sz w:val="18"/>
          <w:szCs w:val="18"/>
          <w:color w:val="auto"/>
        </w:rPr>
        <w:t>. In the Fall of 2014, the University launched the College of Science, Engineering and Technology, rolling</w:t>
      </w:r>
      <w:r>
        <w:rPr>
          <w:rFonts w:ascii="Arial" w:cs="Arial" w:eastAsia="Arial" w:hAnsi="Arial"/>
          <w:sz w:val="18"/>
          <w:szCs w:val="18"/>
          <w:i w:val="1"/>
          <w:iCs w:val="1"/>
          <w:color w:val="auto"/>
        </w:rPr>
        <w:t xml:space="preserve"> </w:t>
      </w:r>
      <w:r>
        <w:rPr>
          <w:rFonts w:ascii="Arial" w:cs="Arial" w:eastAsia="Arial" w:hAnsi="Arial"/>
          <w:sz w:val="18"/>
          <w:szCs w:val="18"/>
          <w:color w:val="auto"/>
        </w:rPr>
        <w:t>out programs in computer science and information technology. In the Fall of 2015, three engineering programs, Electrical Engineering, Bio-medical Engineering and Mechanical Engineering began. In total, the University now offers over 200 graduate and undergraduate degree programs and certificates across nine colleges with over 33 new programs or emphases rolled out in 2016 and another 34 planned for 2017.</w:t>
      </w:r>
    </w:p>
    <w:p>
      <w:pPr>
        <w:spacing w:after="0" w:line="120" w:lineRule="exact"/>
        <w:rPr>
          <w:rFonts w:ascii="Arial" w:cs="Arial" w:eastAsia="Arial" w:hAnsi="Arial"/>
          <w:sz w:val="18"/>
          <w:szCs w:val="18"/>
          <w:color w:val="auto"/>
        </w:rPr>
      </w:pPr>
    </w:p>
    <w:p>
      <w:pPr>
        <w:ind w:left="1480" w:right="40" w:hanging="446"/>
        <w:spacing w:after="0" w:line="272" w:lineRule="auto"/>
        <w:tabs>
          <w:tab w:leader="none" w:pos="148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Capital Expenditures</w:t>
      </w:r>
      <w:r>
        <w:rPr>
          <w:rFonts w:ascii="Arial" w:cs="Arial" w:eastAsia="Arial" w:hAnsi="Arial"/>
          <w:sz w:val="17"/>
          <w:szCs w:val="17"/>
          <w:color w:val="auto"/>
        </w:rPr>
        <w:t>. Our capital expenditures in 2016 of $178.3 million were primarily related to the expansion of our over 260 acre</w:t>
      </w:r>
      <w:r>
        <w:rPr>
          <w:rFonts w:ascii="Arial" w:cs="Arial" w:eastAsia="Arial" w:hAnsi="Arial"/>
          <w:sz w:val="17"/>
          <w:szCs w:val="17"/>
          <w:i w:val="1"/>
          <w:iCs w:val="1"/>
          <w:color w:val="auto"/>
        </w:rPr>
        <w:t xml:space="preserve"> </w:t>
      </w:r>
      <w:r>
        <w:rPr>
          <w:rFonts w:ascii="Arial" w:cs="Arial" w:eastAsia="Arial" w:hAnsi="Arial"/>
          <w:sz w:val="17"/>
          <w:szCs w:val="17"/>
          <w:color w:val="auto"/>
        </w:rPr>
        <w:t>physical campus in Phoenix, Arizona and significant investments in technology innovation to support our students and staff. In order to accommodate the continued growth of the traditional ground population, the University completed three more apartment style residence halls, a 170,000 square foot classroom building for its College of Science, Engineering and Technology, a student service center and a fourth parking structure. Included in off-site development during 2016 is $60.7 million primarily related to an off-site student services center and parking garage that is in close proximity to our ground traditional campus. Employees that work in two leased office buildings in the Phoenix area were consolidated into this new building in late 2016.</w:t>
      </w:r>
    </w:p>
    <w:p>
      <w:pPr>
        <w:spacing w:after="0" w:line="286"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i w:val="1"/>
          <w:iCs w:val="1"/>
          <w:color w:val="auto"/>
        </w:rPr>
        <w:t>Community Involvement and the Public Good</w:t>
      </w:r>
      <w:r>
        <w:rPr>
          <w:rFonts w:ascii="Arial" w:cs="Arial" w:eastAsia="Arial" w:hAnsi="Arial"/>
          <w:sz w:val="18"/>
          <w:szCs w:val="18"/>
          <w:color w:val="auto"/>
        </w:rPr>
        <w:t>. The University has embarked on a five-point plan to revitalize its West Phoenix neighborhood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following initiatives. We believe these initiatives reflect well on the University and its employees, make the University more appealing to students and prospective students, help us develop strong working relationships with local government bodies, and continue to build the Grand Canyon University brand.</w:t>
      </w:r>
    </w:p>
    <w:p>
      <w:pPr>
        <w:spacing w:after="0" w:line="214" w:lineRule="exact"/>
        <w:rPr>
          <w:sz w:val="20"/>
          <w:szCs w:val="20"/>
          <w:color w:val="auto"/>
        </w:rPr>
      </w:pPr>
    </w:p>
    <w:p>
      <w:pPr>
        <w:ind w:left="1480" w:right="220" w:hanging="446"/>
        <w:spacing w:after="0" w:line="286" w:lineRule="auto"/>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Significant support for K-12 education</w:t>
      </w:r>
      <w:r>
        <w:rPr>
          <w:rFonts w:ascii="Arial" w:cs="Arial" w:eastAsia="Arial" w:hAnsi="Arial"/>
          <w:sz w:val="17"/>
          <w:szCs w:val="17"/>
          <w:color w:val="auto"/>
        </w:rPr>
        <w:t>. We have expanded our free tutoring/mentoring program to 25 Phoenix-area high schools.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is served by over 1,200 University students, operates in partnership with Phoenix-area businesses to provide 100 full-tuition scholarships to attend Grand Canyon University each year for students from inner-city schools.</w:t>
      </w:r>
    </w:p>
    <w:p>
      <w:pPr>
        <w:spacing w:after="0" w:line="192" w:lineRule="exact"/>
        <w:rPr>
          <w:rFonts w:ascii="Arial" w:cs="Arial" w:eastAsia="Arial" w:hAnsi="Arial"/>
          <w:sz w:val="17"/>
          <w:szCs w:val="17"/>
          <w:color w:val="auto"/>
        </w:rPr>
      </w:pPr>
    </w:p>
    <w:p>
      <w:pPr>
        <w:ind w:left="1480" w:right="120" w:hanging="446"/>
        <w:spacing w:after="0" w:line="264"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Increased home values</w:t>
      </w:r>
      <w:r>
        <w:rPr>
          <w:rFonts w:ascii="Arial" w:cs="Arial" w:eastAsia="Arial" w:hAnsi="Arial"/>
          <w:sz w:val="18"/>
          <w:szCs w:val="18"/>
          <w:color w:val="auto"/>
        </w:rPr>
        <w:t>. Together with Habitat for Humanity, we participated in the largest home renovation project in the country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West Phoenix area. These efforts, combined with the University’s expanded presence in the community, has resulted in a 30 percent increase in home values in the 85017 zip code in the past year.</w:t>
      </w:r>
    </w:p>
    <w:p>
      <w:pPr>
        <w:spacing w:after="0" w:line="208" w:lineRule="exact"/>
        <w:rPr>
          <w:rFonts w:ascii="Arial" w:cs="Arial" w:eastAsia="Arial" w:hAnsi="Arial"/>
          <w:sz w:val="18"/>
          <w:szCs w:val="18"/>
          <w:color w:val="auto"/>
        </w:rPr>
      </w:pPr>
    </w:p>
    <w:p>
      <w:pPr>
        <w:jc w:val="both"/>
        <w:ind w:left="1480" w:right="680" w:hanging="446"/>
        <w:spacing w:after="0" w:line="264"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Improved safety</w:t>
      </w:r>
      <w:r>
        <w:rPr>
          <w:rFonts w:ascii="Arial" w:cs="Arial" w:eastAsia="Arial" w:hAnsi="Arial"/>
          <w:sz w:val="18"/>
          <w:szCs w:val="18"/>
          <w:color w:val="auto"/>
        </w:rPr>
        <w:t>. We are in the fourth year of a $1.0 million partnership with City of Phoenix Police Department that focuses on</w:t>
      </w:r>
      <w:r>
        <w:rPr>
          <w:rFonts w:ascii="Arial" w:cs="Arial" w:eastAsia="Arial" w:hAnsi="Arial"/>
          <w:sz w:val="18"/>
          <w:szCs w:val="18"/>
          <w:i w:val="1"/>
          <w:iCs w:val="1"/>
          <w:color w:val="auto"/>
        </w:rPr>
        <w:t xml:space="preserve"> </w:t>
      </w:r>
      <w:r>
        <w:rPr>
          <w:rFonts w:ascii="Arial" w:cs="Arial" w:eastAsia="Arial" w:hAnsi="Arial"/>
          <w:sz w:val="18"/>
          <w:szCs w:val="18"/>
          <w:color w:val="auto"/>
        </w:rPr>
        <w:t>improving safety and reducing crime in the communities surrounding our campus. Since the initiation of this program, crime has decreased by 30 percent in the two-mile radius surrounding the University.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8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Job creation on the campus</w:t>
      </w:r>
      <w:r>
        <w:rPr>
          <w:rFonts w:ascii="Arial" w:cs="Arial" w:eastAsia="Arial" w:hAnsi="Arial"/>
          <w:sz w:val="18"/>
          <w:szCs w:val="18"/>
          <w:color w:val="auto"/>
        </w:rPr>
        <w:t>. We have tripled the number of our full-time employees from 1,219 in 2008 to nearly 4,000 by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p>
    <w:p>
      <w:pPr>
        <w:spacing w:after="0" w:line="197" w:lineRule="exact"/>
        <w:rPr>
          <w:rFonts w:ascii="Arial" w:cs="Arial" w:eastAsia="Arial" w:hAnsi="Arial"/>
          <w:sz w:val="18"/>
          <w:szCs w:val="18"/>
          <w:color w:val="auto"/>
        </w:rPr>
      </w:pPr>
    </w:p>
    <w:p>
      <w:pPr>
        <w:ind w:left="1480" w:right="40" w:hanging="446"/>
        <w:spacing w:after="0" w:line="342" w:lineRule="auto"/>
        <w:tabs>
          <w:tab w:leader="none" w:pos="14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Job creation off campus</w:t>
      </w:r>
      <w:r>
        <w:rPr>
          <w:rFonts w:ascii="Arial" w:cs="Arial" w:eastAsia="Arial" w:hAnsi="Arial"/>
          <w:sz w:val="16"/>
          <w:szCs w:val="16"/>
          <w:color w:val="auto"/>
        </w:rPr>
        <w:t>. We are launching ten new business enterprises that will provide management opportunities for recent graduates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employment opportunities for current students and neighborhood residents, while spurring economic growth in the area.</w:t>
      </w:r>
    </w:p>
    <w:p>
      <w:pPr>
        <w:spacing w:after="0" w:line="124" w:lineRule="exact"/>
        <w:rPr>
          <w:sz w:val="20"/>
          <w:szCs w:val="20"/>
          <w:color w:val="auto"/>
        </w:rPr>
      </w:pPr>
    </w:p>
    <w:p>
      <w:pPr>
        <w:ind w:right="20" w:firstLine="571"/>
        <w:spacing w:after="0" w:line="297" w:lineRule="auto"/>
        <w:rPr>
          <w:sz w:val="20"/>
          <w:szCs w:val="20"/>
          <w:color w:val="auto"/>
        </w:rPr>
      </w:pPr>
      <w:r>
        <w:rPr>
          <w:rFonts w:ascii="Arial" w:cs="Arial" w:eastAsia="Arial" w:hAnsi="Arial"/>
          <w:sz w:val="16"/>
          <w:szCs w:val="16"/>
          <w:color w:val="auto"/>
        </w:rPr>
        <w:t>The University is also involved in countless community events and projects throughout the year, helping organizations such as the Phoenix Dream Center, Feed My Starving Children, Hopefest, Arizona Foster Care, Phoenix Rescue Mission, Boy/Girl Scouts, Goodwill Arizona, St. Vincent de Paul, Young Life, Elevate Phoenix and St. Mary’s Food Bank. The University also puts on popular gift drives at Christmas and Easter to help brighten those seasons for many underprivileged families. Our faculty, staff and students also go out into our surrounding neighborhoods to participate in University-sponsored programs such as Serve the City, Canyon Kids, Salute Our Troops, Colter Commons senior home visits and the Run to Fight Children’s Cancer.</w:t>
      </w:r>
    </w:p>
    <w:p>
      <w:pPr>
        <w:spacing w:after="0" w:line="158"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i w:val="1"/>
          <w:iCs w:val="1"/>
          <w:color w:val="auto"/>
        </w:rPr>
        <w:t>Stockholder Approval of Executive Compensation</w:t>
      </w:r>
      <w:r>
        <w:rPr>
          <w:rFonts w:ascii="Arial" w:cs="Arial" w:eastAsia="Arial" w:hAnsi="Arial"/>
          <w:sz w:val="18"/>
          <w:szCs w:val="18"/>
          <w:color w:val="auto"/>
        </w:rPr>
        <w:t>. We have held stockholder advisory votes on the compensation of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commonly referred to as a Say-on-Pay vote, at each of our past five annual meetings of stockholders and, in each case, our stockholders approved the compensation of our named executive officers by wide margins, including receiving the support of 95.0% of shares voted in 2016. As we evaluated our compensation practices for 2016 and into 2017 in light of such votes, we gave great consideration to the strong support our stockholders expressed for our current compensation philosophy and practices. As a result, our Compensation Committee retained our general approach to executive compensation in 2016 and into 2017, as discussed below.</w:t>
      </w:r>
    </w:p>
    <w:p>
      <w:pPr>
        <w:spacing w:after="0" w:line="19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continued practices that are considered standard for good corporate governance and executive compensation, including:</w:t>
      </w:r>
    </w:p>
    <w:p>
      <w:pPr>
        <w:spacing w:after="0" w:line="92" w:lineRule="exact"/>
        <w:rPr>
          <w:sz w:val="20"/>
          <w:szCs w:val="20"/>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Strong alignment between company-wide performance and payouts under our annual cash incentive plan (“Annual Cash Incentive Plan”);</w:t>
      </w:r>
    </w:p>
    <w:p>
      <w:pPr>
        <w:spacing w:after="0" w:line="153" w:lineRule="exact"/>
        <w:rPr>
          <w:rFonts w:ascii="Arial" w:cs="Arial" w:eastAsia="Arial" w:hAnsi="Arial"/>
          <w:sz w:val="16"/>
          <w:szCs w:val="16"/>
          <w:color w:val="auto"/>
        </w:rPr>
      </w:pPr>
    </w:p>
    <w:p>
      <w:pPr>
        <w:ind w:left="1120" w:hanging="545"/>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130" w:lineRule="exact"/>
        <w:rPr>
          <w:rFonts w:ascii="Arial" w:cs="Arial" w:eastAsia="Arial" w:hAnsi="Arial"/>
          <w:sz w:val="18"/>
          <w:szCs w:val="18"/>
          <w:color w:val="auto"/>
        </w:rPr>
      </w:pPr>
    </w:p>
    <w:p>
      <w:pPr>
        <w:ind w:left="1120" w:right="40" w:hanging="545"/>
        <w:spacing w:after="0" w:line="277"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stock-based awards are subject to five-year vesting periods, with 20% of each grant vesting annually on each of the first five anniversaries of the date of grant;</w:t>
      </w:r>
    </w:p>
    <w:p>
      <w:pPr>
        <w:spacing w:after="0" w:line="75" w:lineRule="exact"/>
        <w:rPr>
          <w:rFonts w:ascii="Arial" w:cs="Arial" w:eastAsia="Arial" w:hAnsi="Arial"/>
          <w:sz w:val="18"/>
          <w:szCs w:val="18"/>
          <w:color w:val="auto"/>
        </w:rPr>
      </w:pPr>
    </w:p>
    <w:p>
      <w:pPr>
        <w:ind w:left="1120" w:right="300" w:hanging="545"/>
        <w:spacing w:after="0" w:line="277"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(base salary and target bonus) and benefits and limited acceleration of vesting; and</w:t>
      </w:r>
    </w:p>
    <w:p>
      <w:pPr>
        <w:spacing w:after="0" w:line="75" w:lineRule="exact"/>
        <w:rPr>
          <w:rFonts w:ascii="Arial" w:cs="Arial" w:eastAsia="Arial" w:hAnsi="Arial"/>
          <w:sz w:val="18"/>
          <w:szCs w:val="18"/>
          <w:color w:val="auto"/>
        </w:rPr>
      </w:pPr>
    </w:p>
    <w:p>
      <w:pPr>
        <w:ind w:left="1120" w:hanging="545"/>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firstLine="571"/>
        <w:spacing w:after="0" w:line="312" w:lineRule="auto"/>
        <w:rPr>
          <w:sz w:val="20"/>
          <w:szCs w:val="20"/>
          <w:color w:val="auto"/>
        </w:rPr>
      </w:pPr>
      <w:r>
        <w:rPr>
          <w:rFonts w:ascii="Arial" w:cs="Arial" w:eastAsia="Arial" w:hAnsi="Arial"/>
          <w:sz w:val="16"/>
          <w:szCs w:val="16"/>
          <w:color w:val="auto"/>
        </w:rPr>
        <w:t>In light of the foregoing factors and practices, we believe our executive compensation in fiscal year 2016 appropriately reflected the economic and regulatory environments, the performance of the Company and the relationship with market compensation necessary to retain and motivate our executives, and that the continuation of these practices in 2017 is appropriate given the continued regulatory, economic and competitive challenges that we expect to face.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2016 Executive Compensation</w:t>
      </w:r>
    </w:p>
    <w:p>
      <w:pPr>
        <w:spacing w:after="0" w:line="117" w:lineRule="exact"/>
        <w:rPr>
          <w:sz w:val="20"/>
          <w:szCs w:val="20"/>
          <w:color w:val="auto"/>
        </w:rPr>
      </w:pPr>
    </w:p>
    <w:p>
      <w:pPr>
        <w:ind w:right="200" w:firstLine="571"/>
        <w:spacing w:after="0" w:line="302" w:lineRule="auto"/>
        <w:rPr>
          <w:sz w:val="20"/>
          <w:szCs w:val="20"/>
          <w:color w:val="auto"/>
        </w:rPr>
      </w:pPr>
      <w:r>
        <w:rPr>
          <w:rFonts w:ascii="Arial" w:cs="Arial" w:eastAsia="Arial" w:hAnsi="Arial"/>
          <w:sz w:val="16"/>
          <w:szCs w:val="16"/>
          <w:color w:val="auto"/>
        </w:rPr>
        <w:t>The purpose of this Compensation Discussion and Analysis is to provide information about each material element of compensation that we pay or award to, or that is earned by, the individuals set forth in the Summary Compensation Table set forth below (our “named executive officers”), including our principal executive officer, our principal financial officer, and our three other most highly compensated executive officers whose total compensation for the fiscal year ended December 31, 2016, was in excess of $100,000 and who were serving as executive officers at the end of that fiscal year.</w:t>
      </w:r>
    </w:p>
    <w:p>
      <w:pPr>
        <w:spacing w:after="0" w:line="154" w:lineRule="exact"/>
        <w:rPr>
          <w:sz w:val="20"/>
          <w:szCs w:val="20"/>
          <w:color w:val="auto"/>
        </w:rPr>
      </w:pPr>
    </w:p>
    <w:p>
      <w:pPr>
        <w:ind w:right="160" w:firstLine="571"/>
        <w:spacing w:after="0" w:line="264"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2016, the numerical and related information contained in the summary compensation and related tables presented below, and actions we have taken regarding executive compensation since the end of our 2016 fiscal year. Specifically, this Compensation Discussion and Analysis addresses:</w:t>
      </w:r>
    </w:p>
    <w:p>
      <w:pPr>
        <w:spacing w:after="0" w:line="87" w:lineRule="exact"/>
        <w:rPr>
          <w:sz w:val="20"/>
          <w:szCs w:val="20"/>
          <w:color w:val="auto"/>
        </w:rPr>
      </w:pPr>
    </w:p>
    <w:p>
      <w:pPr>
        <w:ind w:left="1120" w:hanging="545"/>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130" w:lineRule="exact"/>
        <w:rPr>
          <w:rFonts w:ascii="Arial" w:cs="Arial" w:eastAsia="Arial" w:hAnsi="Arial"/>
          <w:sz w:val="18"/>
          <w:szCs w:val="18"/>
          <w:color w:val="auto"/>
        </w:rPr>
      </w:pPr>
    </w:p>
    <w:p>
      <w:pPr>
        <w:ind w:left="1120" w:hanging="545"/>
        <w:spacing w:after="0"/>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what our compensation program is designed to reward (also described in the section entitled “Objectives of Compensation Programs”);</w:t>
      </w:r>
    </w:p>
    <w:p>
      <w:pPr>
        <w:spacing w:after="0" w:line="142" w:lineRule="exact"/>
        <w:rPr>
          <w:rFonts w:ascii="Arial" w:cs="Arial" w:eastAsia="Arial" w:hAnsi="Arial"/>
          <w:sz w:val="17"/>
          <w:szCs w:val="17"/>
          <w:color w:val="auto"/>
        </w:rPr>
      </w:pPr>
    </w:p>
    <w:p>
      <w:pPr>
        <w:ind w:left="1120" w:hanging="545"/>
        <w:spacing w:after="0"/>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element of compensation (set forth in the section entitled “Compensation Program Design and Elements of Compensation”);</w:t>
      </w:r>
    </w:p>
    <w:p>
      <w:pPr>
        <w:spacing w:after="0" w:line="142" w:lineRule="exact"/>
        <w:rPr>
          <w:rFonts w:ascii="Arial" w:cs="Arial" w:eastAsia="Arial" w:hAnsi="Arial"/>
          <w:sz w:val="17"/>
          <w:szCs w:val="17"/>
          <w:color w:val="auto"/>
        </w:rPr>
      </w:pPr>
    </w:p>
    <w:p>
      <w:pPr>
        <w:ind w:left="1120" w:right="620" w:hanging="545"/>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75" w:lineRule="exact"/>
        <w:rPr>
          <w:rFonts w:ascii="Arial" w:cs="Arial" w:eastAsia="Arial" w:hAnsi="Arial"/>
          <w:sz w:val="18"/>
          <w:szCs w:val="18"/>
          <w:color w:val="auto"/>
        </w:rPr>
      </w:pPr>
    </w:p>
    <w:p>
      <w:pPr>
        <w:ind w:left="1120" w:right="360" w:hanging="545"/>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how amounts and formulas for pay are calculated and determined (also described with each element of compensation, including base pay, short-term incentives and long-term incentives); and</w:t>
      </w:r>
    </w:p>
    <w:p>
      <w:pPr>
        <w:spacing w:after="0" w:line="75" w:lineRule="exact"/>
        <w:rPr>
          <w:rFonts w:ascii="Arial" w:cs="Arial" w:eastAsia="Arial" w:hAnsi="Arial"/>
          <w:sz w:val="18"/>
          <w:szCs w:val="18"/>
          <w:color w:val="auto"/>
        </w:rPr>
      </w:pPr>
    </w:p>
    <w:p>
      <w:pPr>
        <w:ind w:left="1120" w:right="300" w:hanging="545"/>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1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87"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17"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i w:val="1"/>
          <w:iCs w:val="1"/>
          <w:color w:val="auto"/>
        </w:rPr>
        <w:t xml:space="preserve">Compensation philosophy. </w:t>
      </w:r>
      <w:r>
        <w:rPr>
          <w:rFonts w:ascii="Arial" w:cs="Arial" w:eastAsia="Arial" w:hAnsi="Arial"/>
          <w:sz w:val="18"/>
          <w:szCs w:val="18"/>
          <w:color w:val="auto"/>
        </w:rPr>
        <w:t>Under our compensation philosophy, a named executive officer’s total compensation will vary based on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 objectives:</w:t>
      </w:r>
    </w:p>
    <w:p>
      <w:pPr>
        <w:spacing w:after="0" w:line="131" w:lineRule="exact"/>
        <w:rPr>
          <w:sz w:val="20"/>
          <w:szCs w:val="20"/>
          <w:color w:val="auto"/>
        </w:rPr>
      </w:pPr>
    </w:p>
    <w:p>
      <w:pPr>
        <w:ind w:left="1120" w:right="60" w:hanging="545"/>
        <w:spacing w:after="0" w:line="286"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should be related to performance. </w:t>
      </w:r>
      <w:r>
        <w:rPr>
          <w:rFonts w:ascii="Arial" w:cs="Arial" w:eastAsia="Arial" w:hAnsi="Arial"/>
          <w:sz w:val="17"/>
          <w:szCs w:val="17"/>
          <w:color w:val="auto"/>
        </w:rPr>
        <w:t>We believe that the performance-based portion of an individual’s total compensation should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70" w:lineRule="exact"/>
        <w:rPr>
          <w:rFonts w:ascii="Arial" w:cs="Arial" w:eastAsia="Arial" w:hAnsi="Arial"/>
          <w:sz w:val="17"/>
          <w:szCs w:val="17"/>
          <w:color w:val="auto"/>
        </w:rPr>
      </w:pPr>
    </w:p>
    <w:p>
      <w:pPr>
        <w:ind w:left="1120" w:hanging="545"/>
        <w:spacing w:after="0" w:line="257" w:lineRule="auto"/>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 should foster an innovative, high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88"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i w:val="1"/>
          <w:iCs w:val="1"/>
          <w:color w:val="auto"/>
        </w:rPr>
        <w:t xml:space="preserve">Company compensation policies. </w:t>
      </w:r>
      <w:r>
        <w:rPr>
          <w:rFonts w:ascii="Arial" w:cs="Arial" w:eastAsia="Arial" w:hAnsi="Arial"/>
          <w:sz w:val="18"/>
          <w:szCs w:val="18"/>
          <w:color w:val="auto"/>
        </w:rPr>
        <w:t>During 2016, our named executive officers’ total in-service compensation consisted of base salaries, cash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compensation, and other benefits generally available to all employees. With regard to these components, we adhere to the following compensation policies:</w:t>
      </w:r>
    </w:p>
    <w:p>
      <w:pPr>
        <w:spacing w:after="0" w:line="87" w:lineRule="exact"/>
        <w:rPr>
          <w:sz w:val="20"/>
          <w:szCs w:val="20"/>
          <w:color w:val="auto"/>
        </w:rPr>
      </w:pPr>
    </w:p>
    <w:p>
      <w:pPr>
        <w:ind w:left="1120" w:right="160" w:hanging="545"/>
        <w:spacing w:after="0" w:line="259"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Cash should be a significant component of compensation. </w:t>
      </w:r>
      <w:r>
        <w:rPr>
          <w:rFonts w:ascii="Arial" w:cs="Arial" w:eastAsia="Arial" w:hAnsi="Arial"/>
          <w:sz w:val="18"/>
          <w:szCs w:val="18"/>
          <w:color w:val="auto"/>
        </w:rPr>
        <w:t>The Company’s compensation policy focuses on providing the opportunity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to earn total cash compensation at levels that enable the Company to achieve the motivation and retention goals described above, and to provide equity incentives that are intended to reward superior performance rather than serve as a substitute for cash compensation.</w:t>
      </w:r>
    </w:p>
    <w:p>
      <w:pPr>
        <w:spacing w:after="0" w:line="92" w:lineRule="exact"/>
        <w:rPr>
          <w:rFonts w:ascii="Arial" w:cs="Arial" w:eastAsia="Arial" w:hAnsi="Arial"/>
          <w:sz w:val="18"/>
          <w:szCs w:val="18"/>
          <w:color w:val="auto"/>
        </w:rPr>
      </w:pPr>
    </w:p>
    <w:p>
      <w:pPr>
        <w:ind w:left="1120" w:right="160" w:hanging="545"/>
        <w:spacing w:after="0" w:line="302" w:lineRule="auto"/>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Base salaries should generally be the largest component of cash compensation</w:t>
      </w:r>
      <w:r>
        <w:rPr>
          <w:rFonts w:ascii="Arial" w:cs="Arial" w:eastAsia="Arial" w:hAnsi="Arial"/>
          <w:sz w:val="16"/>
          <w:szCs w:val="16"/>
          <w:color w:val="auto"/>
        </w:rPr>
        <w:t>. Our compensation programs generally reflect our view that</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59" w:lineRule="exact"/>
        <w:rPr>
          <w:rFonts w:ascii="Arial" w:cs="Arial" w:eastAsia="Arial" w:hAnsi="Arial"/>
          <w:sz w:val="16"/>
          <w:szCs w:val="16"/>
          <w:color w:val="auto"/>
        </w:rPr>
      </w:pPr>
    </w:p>
    <w:p>
      <w:pPr>
        <w:ind w:left="1120" w:right="220" w:hanging="545"/>
        <w:spacing w:after="0" w:line="286" w:lineRule="auto"/>
        <w:tabs>
          <w:tab w:leader="none" w:pos="11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Cash incentives should be linked to performance. </w:t>
      </w:r>
      <w:r>
        <w:rPr>
          <w:rFonts w:ascii="Arial" w:cs="Arial" w:eastAsia="Arial" w:hAnsi="Arial"/>
          <w:sz w:val="17"/>
          <w:szCs w:val="17"/>
          <w:color w:val="auto"/>
        </w:rPr>
        <w:t>Under our Annual Cash Incentive Plan, bonuses paid to our named executive officers are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overall company financial performance, but are subject to reduction based on the Compensation Committee’s assessment of the particular named executive officer’s personal performance and contribution to our overall results.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policies have helped us achieve our compensation objectives of attracting, motivating, retaining, and rewarding our key officers.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17"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i w:val="1"/>
          <w:iCs w:val="1"/>
          <w:color w:val="auto"/>
        </w:rPr>
        <w:t xml:space="preserve">Elements of In-Service Compensation. </w:t>
      </w:r>
      <w:r>
        <w:rPr>
          <w:rFonts w:ascii="Arial" w:cs="Arial" w:eastAsia="Arial" w:hAnsi="Arial"/>
          <w:sz w:val="16"/>
          <w:szCs w:val="16"/>
          <w:color w:val="auto"/>
        </w:rPr>
        <w:t>For our 2016 fiscal year, our executive compensation mix included base salaries, performance-based cash</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2016, we did not provide any perquisites to our named executive officers. We generally determine the nature and amount of each element of compensation as follows:</w:t>
      </w:r>
    </w:p>
    <w:p>
      <w:pPr>
        <w:spacing w:after="0" w:line="60" w:lineRule="exact"/>
        <w:rPr>
          <w:sz w:val="20"/>
          <w:szCs w:val="20"/>
          <w:color w:val="auto"/>
        </w:rPr>
      </w:pPr>
    </w:p>
    <w:p>
      <w:pPr>
        <w:ind w:left="1120" w:right="100" w:hanging="545"/>
        <w:spacing w:after="0" w:line="254"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typically agree upon a base salary with a named executive officer at the time of initial employment. The amount of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97" w:lineRule="exact"/>
        <w:rPr>
          <w:rFonts w:ascii="Arial" w:cs="Arial" w:eastAsia="Arial" w:hAnsi="Arial"/>
          <w:sz w:val="18"/>
          <w:szCs w:val="18"/>
          <w:color w:val="auto"/>
        </w:rPr>
      </w:pPr>
    </w:p>
    <w:p>
      <w:pPr>
        <w:ind w:left="1120" w:right="120" w:hanging="545"/>
        <w:spacing w:after="0" w:line="264"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 executive officers based on our success in</w:t>
      </w:r>
      <w:r>
        <w:rPr>
          <w:rFonts w:ascii="Arial" w:cs="Arial" w:eastAsia="Arial" w:hAnsi="Arial"/>
          <w:sz w:val="18"/>
          <w:szCs w:val="18"/>
          <w:i w:val="1"/>
          <w:iCs w:val="1"/>
          <w:color w:val="auto"/>
        </w:rPr>
        <w:t xml:space="preserve"> </w:t>
      </w:r>
      <w:r>
        <w:rPr>
          <w:rFonts w:ascii="Arial" w:cs="Arial" w:eastAsia="Arial" w:hAnsi="Arial"/>
          <w:sz w:val="18"/>
          <w:szCs w:val="18"/>
          <w:color w:val="auto"/>
        </w:rPr>
        <w:t>a given year. For 2016, we awarded performance-related bonuses under our Annual Cash Incentive Plan. The operation of this plan as it relates to our named executive officers is described in more detail below.</w:t>
      </w:r>
    </w:p>
    <w:p>
      <w:pPr>
        <w:spacing w:after="0" w:line="86" w:lineRule="exact"/>
        <w:rPr>
          <w:rFonts w:ascii="Arial" w:cs="Arial" w:eastAsia="Arial" w:hAnsi="Arial"/>
          <w:sz w:val="18"/>
          <w:szCs w:val="18"/>
          <w:color w:val="auto"/>
        </w:rPr>
      </w:pPr>
    </w:p>
    <w:p>
      <w:pPr>
        <w:ind w:left="1120" w:right="160" w:hanging="545"/>
        <w:spacing w:after="0" w:line="257"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currently have authorized a total of 12,167,127 shares of common stock for grants under our existing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In 2016, our named executive officers received grants of restricted stock under this plan as part of an overall, annual equity incentive grant made to Company employees. At the Annual Meeting, we are seeking approval of a new equity incentive plan which, among other things, will substantially reduce the number of shares available for grant in future periods. See “Proposal No. 2 – Approval of 2017 Equity Incentive Plan.”</w:t>
      </w:r>
    </w:p>
    <w:p>
      <w:pPr>
        <w:spacing w:after="0" w:line="93" w:lineRule="exact"/>
        <w:rPr>
          <w:rFonts w:ascii="Arial" w:cs="Arial" w:eastAsia="Arial" w:hAnsi="Arial"/>
          <w:sz w:val="18"/>
          <w:szCs w:val="18"/>
          <w:color w:val="auto"/>
        </w:rPr>
      </w:pPr>
    </w:p>
    <w:p>
      <w:pPr>
        <w:ind w:left="1120" w:right="80" w:hanging="545"/>
        <w:spacing w:after="0" w:line="272" w:lineRule="auto"/>
        <w:tabs>
          <w:tab w:leader="none" w:pos="112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named executive officers for the purpose of meeting current and future health and security needs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78"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i w:val="1"/>
          <w:iCs w:val="1"/>
          <w:color w:val="auto"/>
        </w:rPr>
        <w:t xml:space="preserve">Elements of Post-Termination Compensation and Benefits. </w:t>
      </w:r>
      <w:r>
        <w:rPr>
          <w:rFonts w:ascii="Arial" w:cs="Arial" w:eastAsia="Arial" w:hAnsi="Arial"/>
          <w:sz w:val="17"/>
          <w:szCs w:val="17"/>
          <w:color w:val="auto"/>
        </w:rPr>
        <w:t>The employment agreements of our named executive officers provide for post-termination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2016 pursuant to the written employment agreements consisted of the following:</w:t>
      </w:r>
    </w:p>
    <w:p>
      <w:pPr>
        <w:spacing w:after="0" w:line="84" w:lineRule="exact"/>
        <w:rPr>
          <w:sz w:val="20"/>
          <w:szCs w:val="20"/>
          <w:color w:val="auto"/>
        </w:rPr>
      </w:pPr>
    </w:p>
    <w:p>
      <w:pPr>
        <w:ind w:left="1120" w:right="240" w:hanging="545"/>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 twelve (12) months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any qualifying termination of employment.</w:t>
      </w:r>
    </w:p>
    <w:p>
      <w:pPr>
        <w:spacing w:after="0" w:line="75" w:lineRule="exact"/>
        <w:rPr>
          <w:rFonts w:ascii="Arial" w:cs="Arial" w:eastAsia="Arial" w:hAnsi="Arial"/>
          <w:sz w:val="18"/>
          <w:szCs w:val="18"/>
          <w:color w:val="auto"/>
        </w:rPr>
      </w:pPr>
    </w:p>
    <w:p>
      <w:pPr>
        <w:ind w:left="1120" w:right="220" w:hanging="545"/>
        <w:spacing w:after="0" w:line="264"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Each named executive officer would receive an additional amount equal to 100% of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target bonus for the year in which such termination occurs, with such amount also payable over twelve (12) months following any qualifying termination of employment.</w:t>
      </w:r>
    </w:p>
    <w:p>
      <w:pPr>
        <w:spacing w:after="0" w:line="86" w:lineRule="exact"/>
        <w:rPr>
          <w:rFonts w:ascii="Arial" w:cs="Arial" w:eastAsia="Arial" w:hAnsi="Arial"/>
          <w:sz w:val="18"/>
          <w:szCs w:val="18"/>
          <w:color w:val="auto"/>
        </w:rPr>
      </w:pPr>
    </w:p>
    <w:p>
      <w:pPr>
        <w:ind w:left="1120" w:right="160" w:hanging="545"/>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Company-paid premiums for continued group health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COBRA during the salary continuation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40" w:hanging="545"/>
        <w:spacing w:after="0" w:line="264"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equity incentives</w:t>
      </w:r>
      <w:r>
        <w:rPr>
          <w:rFonts w:ascii="Arial" w:cs="Arial" w:eastAsia="Arial" w:hAnsi="Arial"/>
          <w:sz w:val="18"/>
          <w:szCs w:val="18"/>
          <w:color w:val="auto"/>
        </w:rPr>
        <w:t>. Certain of our named executive officers would receive partial acceleration of the vesting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any outstanding stock options or restricted stock awards to the next vesting date immediately following the date of termination, in the event of a termination by us without Cause or by the executive for Good Reason.</w:t>
      </w:r>
    </w:p>
    <w:p>
      <w:pPr>
        <w:spacing w:after="0" w:line="86" w:lineRule="exact"/>
        <w:rPr>
          <w:rFonts w:ascii="Arial" w:cs="Arial" w:eastAsia="Arial" w:hAnsi="Arial"/>
          <w:sz w:val="18"/>
          <w:szCs w:val="18"/>
          <w:color w:val="auto"/>
        </w:rPr>
      </w:pPr>
    </w:p>
    <w:p>
      <w:pPr>
        <w:ind w:left="1120" w:right="460" w:hanging="545"/>
        <w:spacing w:after="0" w:line="264"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 Good Reason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twelve (12) months following a Change in Control, each named executive officer would receive full acceleration of the vesting of their outstanding stock options or restricted stock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“Executive Employment Agreements” and “Potential Payments Upon Termination or Change in Control” for additional detail.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17" w:lineRule="exact"/>
        <w:rPr>
          <w:sz w:val="20"/>
          <w:szCs w:val="20"/>
          <w:color w:val="auto"/>
        </w:rPr>
      </w:pPr>
    </w:p>
    <w:p>
      <w:pPr>
        <w:ind w:right="100" w:firstLine="571"/>
        <w:spacing w:after="0" w:line="272" w:lineRule="auto"/>
        <w:rPr>
          <w:sz w:val="20"/>
          <w:szCs w:val="20"/>
          <w:color w:val="auto"/>
        </w:rPr>
      </w:pPr>
      <w:r>
        <w:rPr>
          <w:rFonts w:ascii="Arial" w:cs="Arial" w:eastAsia="Arial" w:hAnsi="Arial"/>
          <w:sz w:val="17"/>
          <w:szCs w:val="17"/>
          <w:color w:val="auto"/>
        </w:rPr>
        <w:t xml:space="preserve">Under the Annual Cash Incentive Plan as in effect for 2016,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2016, we defined Adjusted EBITDA for purposes of the Annual Cash Incentive Plan in a manner consistent with the definition we use when reporting our financial results. See Item 6, </w:t>
      </w:r>
      <w:r>
        <w:rPr>
          <w:rFonts w:ascii="Arial" w:cs="Arial" w:eastAsia="Arial" w:hAnsi="Arial"/>
          <w:sz w:val="17"/>
          <w:szCs w:val="17"/>
          <w:i w:val="1"/>
          <w:iCs w:val="1"/>
          <w:color w:val="auto"/>
        </w:rPr>
        <w:t>Selected Consolidated Financial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Data, </w:t>
      </w:r>
      <w:r>
        <w:rPr>
          <w:rFonts w:ascii="Arial" w:cs="Arial" w:eastAsia="Arial" w:hAnsi="Arial"/>
          <w:sz w:val="17"/>
          <w:szCs w:val="17"/>
          <w:color w:val="auto"/>
        </w:rPr>
        <w:t>beginning on page 39 of our Annual Report on Form 10-K for the fiscal year ended December 31, 2016 for information regarding our use and</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calculation of Adjusted EBITDA. As such, we believe it is fair and reasonable to our executives to assess their individual performance on the same basis as our performance is assessed by our Board of Directors and investors.</w:t>
      </w:r>
    </w:p>
    <w:p>
      <w:pPr>
        <w:spacing w:after="0" w:line="178"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For our named executive officers, the financial metrics account for 100% of the target bonus, with the resulting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reduction based on the Compensation Committee’s assessment of the particular named executive officer’s personal performance and contribution to our overall results. For other plan participants, the financial metrics account for 60% of the target bonus and specific individual performance goals account for 40% of the target bonus.</w:t>
      </w:r>
    </w:p>
    <w:p>
      <w:pPr>
        <w:spacing w:after="0" w:line="187"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 objectives that,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given participant, may include achieving objectives related to, among other things, program development and expansion, regulatory compliance, student retention and academic outcomes.</w:t>
      </w:r>
    </w:p>
    <w:p>
      <w:pPr>
        <w:spacing w:after="0" w:line="181" w:lineRule="exact"/>
        <w:rPr>
          <w:sz w:val="20"/>
          <w:szCs w:val="20"/>
          <w:color w:val="auto"/>
        </w:rPr>
      </w:pPr>
    </w:p>
    <w:p>
      <w:pPr>
        <w:jc w:val="both"/>
        <w:ind w:right="80" w:firstLine="571"/>
        <w:spacing w:after="0" w:line="342" w:lineRule="auto"/>
        <w:rPr>
          <w:sz w:val="20"/>
          <w:szCs w:val="20"/>
          <w:color w:val="auto"/>
        </w:rPr>
      </w:pPr>
      <w:r>
        <w:rPr>
          <w:rFonts w:ascii="Arial" w:cs="Arial" w:eastAsia="Arial" w:hAnsi="Arial"/>
          <w:sz w:val="16"/>
          <w:szCs w:val="16"/>
          <w:i w:val="1"/>
          <w:iCs w:val="1"/>
          <w:color w:val="auto"/>
        </w:rPr>
        <w:t>Calculation of bonuses</w:t>
      </w:r>
      <w:r>
        <w:rPr>
          <w:rFonts w:ascii="Arial" w:cs="Arial" w:eastAsia="Arial" w:hAnsi="Arial"/>
          <w:sz w:val="16"/>
          <w:szCs w:val="16"/>
          <w:color w:val="auto"/>
        </w:rPr>
        <w:t>. For each named executive officer, the Compensation Committee establishes a target bonus, which is stated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named executive officer’s base salary. For 2016, the bonus opportunities as a percentages of base salary for the named executive officers were as follows:</w:t>
      </w:r>
    </w:p>
    <w:p>
      <w:pPr>
        <w:spacing w:after="0" w:line="18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20" w:type="dxa"/>
            <w:vAlign w:val="bottom"/>
          </w:tcPr>
          <w:p>
            <w:pPr>
              <w:jc w:val="center"/>
              <w:ind w:left="58"/>
              <w:spacing w:after="0"/>
              <w:rPr>
                <w:sz w:val="20"/>
                <w:szCs w:val="20"/>
                <w:color w:val="auto"/>
              </w:rPr>
            </w:pPr>
            <w:r>
              <w:rPr>
                <w:rFonts w:ascii="Arial" w:cs="Arial" w:eastAsia="Arial" w:hAnsi="Arial"/>
                <w:sz w:val="14"/>
                <w:szCs w:val="14"/>
                <w:b w:val="1"/>
                <w:bCs w:val="1"/>
                <w:color w:val="auto"/>
                <w:w w:val="91"/>
              </w:rPr>
              <w:t>Bonus Opportunity as a</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120" w:type="dxa"/>
            <w:vAlign w:val="bottom"/>
          </w:tcPr>
          <w:p>
            <w:pPr>
              <w:jc w:val="center"/>
              <w:ind w:left="58"/>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0"/>
              </w:rPr>
              <w:t>Base Salary</w:t>
            </w:r>
          </w:p>
        </w:tc>
        <w:tc>
          <w:tcPr>
            <w:tcW w:w="1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continue"/>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Threshold</w:t>
            </w:r>
          </w:p>
        </w:tc>
        <w:tc>
          <w:tcPr>
            <w:tcW w:w="2120" w:type="dxa"/>
            <w:vAlign w:val="bottom"/>
            <w:tcBorders>
              <w:bottom w:val="single" w:sz="8" w:color="auto"/>
            </w:tcBorders>
          </w:tcPr>
          <w:p>
            <w:pPr>
              <w:jc w:val="right"/>
              <w:ind w:right="938"/>
              <w:spacing w:after="0" w:line="142" w:lineRule="exact"/>
              <w:rPr>
                <w:sz w:val="20"/>
                <w:szCs w:val="20"/>
                <w:color w:val="auto"/>
              </w:rPr>
            </w:pPr>
            <w:r>
              <w:rPr>
                <w:rFonts w:ascii="Arial" w:cs="Arial" w:eastAsia="Arial" w:hAnsi="Arial"/>
                <w:sz w:val="14"/>
                <w:szCs w:val="14"/>
                <w:b w:val="1"/>
                <w:bCs w:val="1"/>
                <w:color w:val="auto"/>
              </w:rPr>
              <w:t>Target</w:t>
            </w:r>
          </w:p>
        </w:tc>
        <w:tc>
          <w:tcPr>
            <w:tcW w:w="140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Maximum</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39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50.00%</w:t>
            </w:r>
          </w:p>
        </w:tc>
        <w:tc>
          <w:tcPr>
            <w:tcW w:w="212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Dr. W. Stan Meyer</w:t>
            </w:r>
          </w:p>
        </w:tc>
        <w:tc>
          <w:tcPr>
            <w:tcW w:w="3980" w:type="dxa"/>
            <w:vAlign w:val="bottom"/>
            <w:gridSpan w:val="3"/>
          </w:tcPr>
          <w:p>
            <w:pPr>
              <w:jc w:val="right"/>
              <w:ind w:right="328"/>
              <w:spacing w:after="0"/>
              <w:rPr>
                <w:sz w:val="20"/>
                <w:szCs w:val="20"/>
                <w:color w:val="auto"/>
              </w:rPr>
            </w:pPr>
            <w:r>
              <w:rPr>
                <w:rFonts w:ascii="Arial" w:cs="Arial" w:eastAsia="Arial" w:hAnsi="Arial"/>
                <w:sz w:val="18"/>
                <w:szCs w:val="18"/>
                <w:color w:val="auto"/>
              </w:rPr>
              <w:t>37.50%</w:t>
            </w:r>
          </w:p>
        </w:tc>
        <w:tc>
          <w:tcPr>
            <w:tcW w:w="2120" w:type="dxa"/>
            <w:vAlign w:val="bottom"/>
          </w:tcPr>
          <w:p>
            <w:pPr>
              <w:jc w:val="right"/>
              <w:ind w:right="798"/>
              <w:spacing w:after="0"/>
              <w:rPr>
                <w:sz w:val="20"/>
                <w:szCs w:val="20"/>
                <w:color w:val="auto"/>
              </w:rPr>
            </w:pPr>
            <w:r>
              <w:rPr>
                <w:rFonts w:ascii="Arial" w:cs="Arial" w:eastAsia="Arial" w:hAnsi="Arial"/>
                <w:sz w:val="18"/>
                <w:szCs w:val="18"/>
                <w:color w:val="auto"/>
              </w:rPr>
              <w:t>75.0%</w:t>
            </w:r>
          </w:p>
        </w:tc>
        <w:tc>
          <w:tcPr>
            <w:tcW w:w="1400" w:type="dxa"/>
            <w:vAlign w:val="bottom"/>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39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37.50%</w:t>
            </w:r>
          </w:p>
        </w:tc>
        <w:tc>
          <w:tcPr>
            <w:tcW w:w="212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75.0%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Joseph N. Mildenhall</w:t>
            </w:r>
          </w:p>
        </w:tc>
        <w:tc>
          <w:tcPr>
            <w:tcW w:w="3980" w:type="dxa"/>
            <w:vAlign w:val="bottom"/>
            <w:gridSpan w:val="3"/>
          </w:tcPr>
          <w:p>
            <w:pPr>
              <w:jc w:val="right"/>
              <w:ind w:right="328"/>
              <w:spacing w:after="0"/>
              <w:rPr>
                <w:sz w:val="20"/>
                <w:szCs w:val="20"/>
                <w:color w:val="auto"/>
              </w:rPr>
            </w:pPr>
            <w:r>
              <w:rPr>
                <w:rFonts w:ascii="Arial" w:cs="Arial" w:eastAsia="Arial" w:hAnsi="Arial"/>
                <w:sz w:val="18"/>
                <w:szCs w:val="18"/>
                <w:color w:val="auto"/>
              </w:rPr>
              <w:t>25.00%</w:t>
            </w:r>
          </w:p>
        </w:tc>
        <w:tc>
          <w:tcPr>
            <w:tcW w:w="2120" w:type="dxa"/>
            <w:vAlign w:val="bottom"/>
          </w:tcPr>
          <w:p>
            <w:pPr>
              <w:jc w:val="right"/>
              <w:ind w:right="798"/>
              <w:spacing w:after="0"/>
              <w:rPr>
                <w:sz w:val="20"/>
                <w:szCs w:val="20"/>
                <w:color w:val="auto"/>
              </w:rPr>
            </w:pPr>
            <w:r>
              <w:rPr>
                <w:rFonts w:ascii="Arial" w:cs="Arial" w:eastAsia="Arial" w:hAnsi="Arial"/>
                <w:sz w:val="18"/>
                <w:szCs w:val="18"/>
                <w:color w:val="auto"/>
              </w:rPr>
              <w:t>50.0%</w:t>
            </w:r>
          </w:p>
        </w:tc>
        <w:tc>
          <w:tcPr>
            <w:tcW w:w="140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39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22.75%</w:t>
            </w:r>
          </w:p>
        </w:tc>
        <w:tc>
          <w:tcPr>
            <w:tcW w:w="212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45.5%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80" w:type="dxa"/>
            <w:vAlign w:val="bottom"/>
          </w:tcPr>
          <w:p>
            <w:pPr>
              <w:jc w:val="right"/>
              <w:ind w:right="29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For each named executive officer,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95% of both the revenue and Adjusted EBITDA goals. Assuming both of these thresholds are achieved, payouts are made based on the Company’s achievement of a minimum of 95% of both the revenue goal and Adjusted EBITDA goal (resulting in a bonus of 50% of the target bonus) and a maximum of 105% of the revenue goal and 107% of the Adjusted EBITDA goal (resulting in a bonus of 150% of the target bonus). Performance between threshold and maximum levels results in prorated payments using straight-line interpolation.</w:t>
      </w:r>
    </w:p>
    <w:p>
      <w:pPr>
        <w:sectPr>
          <w:pgSz w:w="11900" w:h="16838" w:orient="portrait"/>
          <w:cols w:equalWidth="0" w:num="1">
            <w:col w:w="11400"/>
          </w:cols>
          <w:pgMar w:left="240" w:top="459" w:right="259" w:bottom="1440" w:gutter="0" w:footer="0" w:header="0"/>
        </w:sectPr>
      </w:pPr>
    </w:p>
    <w:p>
      <w:pPr>
        <w:spacing w:after="0" w:line="1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Shown below is a summary of the matrix described above:</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Goal</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goal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Bonus payout as a % of 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5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5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466"/>
        </w:trPr>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95% of goal</w:t>
            </w:r>
          </w:p>
        </w:tc>
        <w:tc>
          <w:tcPr>
            <w:tcW w:w="172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100% of goal</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105% of goal</w:t>
            </w:r>
          </w:p>
        </w:tc>
      </w:tr>
      <w:tr>
        <w:trPr>
          <w:trHeight w:val="431"/>
        </w:trPr>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95% of goal</w:t>
            </w:r>
          </w:p>
        </w:tc>
        <w:tc>
          <w:tcPr>
            <w:tcW w:w="172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100% of goal</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107% of goal</w:t>
            </w:r>
          </w:p>
        </w:tc>
      </w:tr>
      <w:tr>
        <w:trPr>
          <w:trHeight w:val="230"/>
        </w:trPr>
        <w:tc>
          <w:tcPr>
            <w:tcW w:w="106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5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-728345</wp:posOffset>
            </wp:positionV>
            <wp:extent cx="6080125"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0125" cy="30861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-136525</wp:posOffset>
            </wp:positionV>
            <wp:extent cx="608012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380"/>
          </w:cols>
          <w:pgMar w:left="240" w:top="459" w:right="259" w:bottom="1440" w:gutter="0" w:footer="0" w:header="0"/>
          <w:type w:val="continuous"/>
        </w:sectPr>
      </w:pPr>
    </w:p>
    <w:p>
      <w:pPr>
        <w:spacing w:after="0" w:line="2"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2016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(50% of the revenue component) plus $75,000 (100% of the Adjusted EBITDA component).</w:t>
      </w:r>
    </w:p>
    <w:p>
      <w:pPr>
        <w:spacing w:after="0" w:line="16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plan for eligible senior management other than the named executive officers differs in that it continues to include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other than the named executive officers,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9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i w:val="1"/>
          <w:iCs w:val="1"/>
          <w:color w:val="auto"/>
        </w:rPr>
        <w:t>Changes to performance goals and target awards</w:t>
      </w:r>
      <w:r>
        <w:rPr>
          <w:rFonts w:ascii="Arial" w:cs="Arial" w:eastAsia="Arial" w:hAnsi="Arial"/>
          <w:sz w:val="18"/>
          <w:szCs w:val="18"/>
          <w:color w:val="auto"/>
        </w:rPr>
        <w:t>. In accordance with the terms of the Annual Cash Incentive Plan, at any time prior to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92" w:lineRule="exact"/>
        <w:rPr>
          <w:sz w:val="20"/>
          <w:szCs w:val="20"/>
          <w:color w:val="auto"/>
        </w:rPr>
      </w:pPr>
    </w:p>
    <w:p>
      <w:pPr>
        <w:jc w:val="both"/>
        <w:ind w:right="460" w:firstLine="571"/>
        <w:spacing w:after="0" w:line="286" w:lineRule="auto"/>
        <w:rPr>
          <w:sz w:val="20"/>
          <w:szCs w:val="20"/>
          <w:color w:val="auto"/>
        </w:rPr>
      </w:pPr>
      <w:r>
        <w:rPr>
          <w:rFonts w:ascii="Arial" w:cs="Arial" w:eastAsia="Arial" w:hAnsi="Arial"/>
          <w:sz w:val="17"/>
          <w:szCs w:val="17"/>
          <w:i w:val="1"/>
          <w:iCs w:val="1"/>
          <w:color w:val="auto"/>
        </w:rPr>
        <w:t xml:space="preserve">2016 financial goals. </w:t>
      </w:r>
      <w:r>
        <w:rPr>
          <w:rFonts w:ascii="Arial" w:cs="Arial" w:eastAsia="Arial" w:hAnsi="Arial"/>
          <w:sz w:val="17"/>
          <w:szCs w:val="17"/>
          <w:color w:val="auto"/>
        </w:rPr>
        <w:t>The following table shows the company-wide financial goals established for the named executive officers for 2016. These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were selected based upon a combination of the Company’s internal budget and analyst estimates, which the Board of Directors believes establishes an appropriate level at which to set goals in order to maximize the incentive for superior performance.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Threshold</w:t>
            </w: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(105% of Goal for</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Revenue/107% of Goal</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(95% of Goal)</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(100% of Goal)</w:t>
            </w:r>
          </w:p>
        </w:tc>
        <w:tc>
          <w:tcPr>
            <w:tcW w:w="280" w:type="dxa"/>
            <w:vAlign w:val="bottom"/>
          </w:tcPr>
          <w:p>
            <w:pPr>
              <w:spacing w:after="0"/>
              <w:rPr>
                <w:sz w:val="14"/>
                <w:szCs w:val="14"/>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for Adjusted EBITDA)</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$815,100,000</w:t>
            </w:r>
          </w:p>
        </w:tc>
        <w:tc>
          <w:tcPr>
            <w:tcW w:w="5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$858,000,000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900,900,000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3440" w:type="dxa"/>
            <w:vAlign w:val="bottom"/>
            <w:gridSpan w:val="3"/>
          </w:tcPr>
          <w:p>
            <w:pPr>
              <w:ind w:left="1860"/>
              <w:spacing w:after="0"/>
              <w:rPr>
                <w:sz w:val="20"/>
                <w:szCs w:val="20"/>
                <w:color w:val="auto"/>
              </w:rPr>
            </w:pPr>
            <w:r>
              <w:rPr>
                <w:rFonts w:ascii="Arial" w:cs="Arial" w:eastAsia="Arial" w:hAnsi="Arial"/>
                <w:sz w:val="18"/>
                <w:szCs w:val="18"/>
                <w:color w:val="auto"/>
              </w:rPr>
              <w:t>$278,547,600</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$293,208,000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440"/>
              <w:spacing w:after="0"/>
              <w:rPr>
                <w:sz w:val="20"/>
                <w:szCs w:val="20"/>
                <w:color w:val="auto"/>
              </w:rPr>
            </w:pPr>
            <w:r>
              <w:rPr>
                <w:rFonts w:ascii="Arial" w:cs="Arial" w:eastAsia="Arial" w:hAnsi="Arial"/>
                <w:sz w:val="18"/>
                <w:szCs w:val="18"/>
                <w:color w:val="auto"/>
                <w:w w:val="93"/>
              </w:rPr>
              <w:t>313,732,560</w:t>
            </w:r>
          </w:p>
        </w:tc>
        <w:tc>
          <w:tcPr>
            <w:tcW w:w="0" w:type="dxa"/>
            <w:vAlign w:val="bottom"/>
          </w:tcPr>
          <w:p>
            <w:pPr>
              <w:spacing w:after="0"/>
              <w:rPr>
                <w:sz w:val="1"/>
                <w:szCs w:val="1"/>
                <w:color w:val="auto"/>
              </w:rPr>
            </w:pPr>
          </w:p>
        </w:tc>
      </w:tr>
      <w:tr>
        <w:trPr>
          <w:trHeight w:val="350"/>
        </w:trPr>
        <w:tc>
          <w:tcPr>
            <w:tcW w:w="30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571"/>
        <w:spacing w:after="0" w:line="302" w:lineRule="auto"/>
        <w:rPr>
          <w:sz w:val="20"/>
          <w:szCs w:val="20"/>
          <w:color w:val="auto"/>
        </w:rPr>
      </w:pPr>
      <w:r>
        <w:rPr>
          <w:rFonts w:ascii="Arial" w:cs="Arial" w:eastAsia="Arial" w:hAnsi="Arial"/>
          <w:sz w:val="16"/>
          <w:szCs w:val="16"/>
          <w:i w:val="1"/>
          <w:iCs w:val="1"/>
          <w:color w:val="auto"/>
        </w:rPr>
        <w:t>Actual performance vs. compensation paid for 2016</w:t>
      </w:r>
      <w:r>
        <w:rPr>
          <w:rFonts w:ascii="Arial" w:cs="Arial" w:eastAsia="Arial" w:hAnsi="Arial"/>
          <w:sz w:val="16"/>
          <w:szCs w:val="16"/>
          <w:color w:val="auto"/>
        </w:rPr>
        <w:t>. For 2016, the Company achieved revenue of $873.3 million, which is equal to 101.8%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target, and Adjusted EBITDA of $303.9 million (excluding certain adjustments), which is equal to 103.7% of the Adjusted EBITDA target, resulting in performance payout percentages equal to 117.9% for the revenue component of the incentive bonus and 126.4% for the Adjusted EBITDA component of the incentive target bonus. Accordingly, the named executive officers achieved incentive bonuses equal to the following percentages of their base salaries: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Adjusted</w:t>
            </w:r>
          </w:p>
        </w:tc>
        <w:tc>
          <w:tcPr>
            <w:tcW w:w="15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7"/>
              </w:rPr>
              <w:t>2016 Bonus as</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2016 Bonus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Revenue</w:t>
            </w:r>
          </w:p>
        </w:tc>
        <w:tc>
          <w:tcPr>
            <w:tcW w:w="14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as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EBITDA</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Percentage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660" w:type="dxa"/>
            <w:vAlign w:val="bottom"/>
            <w:gridSpan w:val="2"/>
            <w:vMerge w:val="restart"/>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of Base</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660" w:type="dxa"/>
            <w:vAlign w:val="bottom"/>
            <w:tcBorders>
              <w:bottom w:val="single" w:sz="8" w:color="CCEEFF"/>
            </w:tcBorders>
            <w:gridSpan w:val="2"/>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Payout (%)</w:t>
            </w:r>
          </w:p>
        </w:tc>
        <w:tc>
          <w:tcPr>
            <w:tcW w:w="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Payout (%)</w:t>
            </w:r>
          </w:p>
        </w:tc>
        <w:tc>
          <w:tcPr>
            <w:tcW w:w="6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Salary($)</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 xml:space="preserve">Bonus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5"/>
              </w:rPr>
              <w:t>Brian</w:t>
            </w:r>
          </w:p>
        </w:tc>
        <w:tc>
          <w:tcPr>
            <w:tcW w:w="4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 Mueller</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117.9%</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126.4%</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122.2%</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$784,240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Dr. W. Stan Meyer</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117.9%</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126.4%</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122.2%</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91.6%</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$343,563</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117.9%</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126.4%</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122.2%</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91.6%</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$343,563</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Joseph N. Mildenhall</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117.9%</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126.4%</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122.2%</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61.1%</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$196,060</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117.9%</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126.4%</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122.2%</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55.5%</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$152,695</w:t>
            </w: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71"/>
        <w:spacing w:after="0" w:line="267" w:lineRule="auto"/>
        <w:rPr>
          <w:sz w:val="20"/>
          <w:szCs w:val="20"/>
          <w:color w:val="auto"/>
        </w:rPr>
      </w:pPr>
      <w:r>
        <w:rPr>
          <w:rFonts w:ascii="Arial" w:cs="Arial" w:eastAsia="Arial" w:hAnsi="Arial"/>
          <w:sz w:val="17"/>
          <w:szCs w:val="17"/>
          <w:i w:val="1"/>
          <w:iCs w:val="1"/>
          <w:color w:val="auto"/>
        </w:rPr>
        <w:t>2016 individual goals</w:t>
      </w:r>
      <w:r>
        <w:rPr>
          <w:rFonts w:ascii="Arial" w:cs="Arial" w:eastAsia="Arial" w:hAnsi="Arial"/>
          <w:sz w:val="17"/>
          <w:szCs w:val="17"/>
          <w:color w:val="auto"/>
        </w:rPr>
        <w:t>. The individual performance goals applicable to the named executive officers in 2016 focused on each executive’s achievement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one or more objectives that related to their specific duties and responsibilities on behalf of the Company. For Dr. Meyer, Mr. Bachus, Mr. Mildenhall, and Mr. Roberts, one individual performance goal was to manage their individual departments within budget. The individual performance goals for Mr. Mueller, Dr. Meyer, and Mr. Bachus included continuing to work on initiatives to increase the percentage of students studying in high retention rate programs, expanding public good projects in our surrounding neighborhoods and developing campus infrastructure. The individual performance goals for Mr. Mueller, Dr. Meyer and Mr. Bachus also included participation in a specified number of investor conferences and/or investor meetings. Mr. Mueller’s individual performance goals included oversight of the University’s decennial re-accreditation process. Dr. Meyer’s individual performance goals included demonstrating leadership over key functional areas such as marketing, online operations and campus operations. Mr. Bachus’ individual performance goals included managing the financial and reporting functions to ensure that no material weaknesses occurred within the Company’s financial reporting structure. Mr. Mildenhall’s individual performance goals included improving and building additional software engineering capabilities to address key needs in student scheduling, demonstration of improvement in application availability, managing the learning management system and overseeing the relationship with CampusVue and LoudCloud to ensure continued improvements are made to the product to eliminate manual processes. Mr. Roberts’ individual performance goals included Company compliance with regulatory and Securities and Exchange Commission rules and regulations and timely resolution to litigation matters. Mr. Roberts’s individual performance goals also included demonstrating leadership over key functional areas such as legal, real estate and government relations. Based on each individual named executive officer’s achievement or substantial achievement of their individual performance goals, and in light of the superior financial performance achieved by the Company in 2016,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225" w:lineRule="exact"/>
        <w:rPr>
          <w:sz w:val="20"/>
          <w:szCs w:val="20"/>
          <w:color w:val="auto"/>
        </w:rPr>
      </w:pPr>
    </w:p>
    <w:p>
      <w:pPr>
        <w:ind w:right="60" w:firstLine="571"/>
        <w:spacing w:after="0" w:line="277" w:lineRule="auto"/>
        <w:rPr>
          <w:sz w:val="20"/>
          <w:szCs w:val="20"/>
          <w:color w:val="auto"/>
        </w:rPr>
      </w:pPr>
      <w:r>
        <w:rPr>
          <w:rFonts w:ascii="Arial" w:cs="Arial" w:eastAsia="Arial" w:hAnsi="Arial"/>
          <w:sz w:val="18"/>
          <w:szCs w:val="18"/>
          <w:color w:val="auto"/>
        </w:rPr>
        <w:t>The following table provides information as of December 31, 2016, with respect to shares of our common stock that may be issued under our existing equity compensation plan:</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143"/>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20" w:type="dxa"/>
            <w:vAlign w:val="bottom"/>
            <w:gridSpan w:val="2"/>
            <w:vMerge w:val="restart"/>
          </w:tcPr>
          <w:p>
            <w:pPr>
              <w:jc w:val="center"/>
              <w:ind w:right="463"/>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2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89"/>
              </w:rPr>
              <w:t>to be</w:t>
            </w:r>
          </w:p>
        </w:tc>
        <w:tc>
          <w:tcPr>
            <w:tcW w:w="14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2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20" w:type="dxa"/>
            <w:vAlign w:val="bottom"/>
            <w:gridSpan w:val="2"/>
          </w:tcPr>
          <w:p>
            <w:pPr>
              <w:jc w:val="center"/>
              <w:ind w:right="463"/>
              <w:spacing w:after="0" w:line="149" w:lineRule="exact"/>
              <w:rPr>
                <w:sz w:val="20"/>
                <w:szCs w:val="20"/>
                <w:color w:val="auto"/>
              </w:rPr>
            </w:pPr>
            <w:r>
              <w:rPr>
                <w:rFonts w:ascii="Arial" w:cs="Arial" w:eastAsia="Arial" w:hAnsi="Arial"/>
                <w:sz w:val="14"/>
                <w:szCs w:val="14"/>
                <w:b w:val="1"/>
                <w:bCs w:val="1"/>
                <w:color w:val="auto"/>
                <w:w w:val="87"/>
              </w:rPr>
              <w:t>issued upon exercise</w:t>
            </w:r>
          </w:p>
        </w:tc>
        <w:tc>
          <w:tcPr>
            <w:tcW w:w="10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20" w:type="dxa"/>
            <w:vAlign w:val="bottom"/>
            <w:gridSpan w:val="2"/>
          </w:tcPr>
          <w:p>
            <w:pPr>
              <w:jc w:val="center"/>
              <w:ind w:right="463"/>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options,</w:t>
            </w:r>
          </w:p>
        </w:tc>
        <w:tc>
          <w:tcPr>
            <w:tcW w:w="12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gridSpan w:val="2"/>
          </w:tcPr>
          <w:p>
            <w:pPr>
              <w:jc w:val="center"/>
              <w:ind w:right="463"/>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0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2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1820" w:type="dxa"/>
            <w:vAlign w:val="bottom"/>
            <w:gridSpan w:val="2"/>
          </w:tcPr>
          <w:p>
            <w:pPr>
              <w:jc w:val="center"/>
              <w:ind w:right="463"/>
              <w:spacing w:after="0"/>
              <w:rPr>
                <w:sz w:val="20"/>
                <w:szCs w:val="20"/>
                <w:color w:val="auto"/>
              </w:rPr>
            </w:pPr>
            <w:r>
              <w:rPr>
                <w:rFonts w:ascii="Arial" w:cs="Arial" w:eastAsia="Arial" w:hAnsi="Arial"/>
                <w:sz w:val="14"/>
                <w:szCs w:val="14"/>
                <w:b w:val="1"/>
                <w:bCs w:val="1"/>
                <w:color w:val="auto"/>
                <w:w w:val="95"/>
              </w:rPr>
              <w:t>warrants and rights</w:t>
            </w:r>
          </w:p>
        </w:tc>
        <w:tc>
          <w:tcPr>
            <w:tcW w:w="1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rights</w:t>
            </w:r>
          </w:p>
        </w:tc>
        <w:tc>
          <w:tcPr>
            <w:tcW w:w="1220" w:type="dxa"/>
            <w:vAlign w:val="bottom"/>
            <w:gridSpan w:val="2"/>
          </w:tcPr>
          <w:p>
            <w:pPr>
              <w:jc w:val="center"/>
              <w:ind w:right="143"/>
              <w:spacing w:after="0"/>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jc w:val="right"/>
              <w:ind w:right="283"/>
              <w:spacing w:after="0"/>
              <w:rPr>
                <w:sz w:val="20"/>
                <w:szCs w:val="20"/>
                <w:color w:val="auto"/>
              </w:rPr>
            </w:pPr>
            <w:r>
              <w:rPr>
                <w:rFonts w:ascii="Arial" w:cs="Arial" w:eastAsia="Arial" w:hAnsi="Arial"/>
                <w:sz w:val="15"/>
                <w:szCs w:val="15"/>
                <w:color w:val="auto"/>
                <w:w w:val="87"/>
              </w:rPr>
              <w:t>(1)</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line="20" w:lineRule="exact"/>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Securityholders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1,271,953</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5,242,057</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Securityholders</w:t>
            </w:r>
          </w:p>
        </w:tc>
        <w:tc>
          <w:tcPr>
            <w:tcW w:w="1820" w:type="dxa"/>
            <w:vAlign w:val="bottom"/>
            <w:gridSpan w:val="2"/>
          </w:tcPr>
          <w:p>
            <w:pPr>
              <w:jc w:val="right"/>
              <w:ind w:right="463"/>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3"/>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1,271,953</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5,242,057</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663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20" w:hanging="43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outstanding options to purchase shares of our common stock under our 2008 plan.</w:t>
      </w:r>
    </w:p>
    <w:p>
      <w:pPr>
        <w:spacing w:after="0" w:line="22" w:lineRule="exact"/>
        <w:rPr>
          <w:rFonts w:ascii="Arial" w:cs="Arial" w:eastAsia="Arial" w:hAnsi="Arial"/>
          <w:sz w:val="16"/>
          <w:szCs w:val="16"/>
          <w:color w:val="auto"/>
        </w:rPr>
      </w:pPr>
    </w:p>
    <w:p>
      <w:pPr>
        <w:ind w:left="1120" w:hanging="43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shares available for future issuance under our 2008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Equity Incentive Plan</w:t>
      </w:r>
    </w:p>
    <w:p>
      <w:pPr>
        <w:spacing w:after="0" w:line="117"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At the Annual Meeting, stockholders will be asked to approve the new 2017 Plan. The Board of Directors adopted the 2017 Plan on January 26, 2017, subject to and effective upon its approval by our stockholders. The 2017 Plan is intended to replace the 2008 plan, which would otherwise terminate automatically on the tenth anniversary of its initial adoption in May 2008. If the stockholders approve the 2017 Plan, it will become effective on the day of the Annual Meeting, and no further awards will be granted under the 2008 plan, which will be terminated. See “Proposal No. 2 – Approval of 2017 Equity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Grant Policy</w:t>
      </w:r>
    </w:p>
    <w:p>
      <w:pPr>
        <w:spacing w:after="0" w:line="225" w:lineRule="exact"/>
        <w:rPr>
          <w:sz w:val="20"/>
          <w:szCs w:val="20"/>
          <w:color w:val="auto"/>
        </w:rPr>
      </w:pPr>
    </w:p>
    <w:p>
      <w:pPr>
        <w:ind w:right="440" w:firstLine="571"/>
        <w:spacing w:after="0" w:line="277" w:lineRule="auto"/>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which policy will apply to grants made under the 2017 Plan, if approved. Under this policy:</w:t>
      </w:r>
    </w:p>
    <w:p>
      <w:pPr>
        <w:spacing w:after="0" w:line="76" w:lineRule="exact"/>
        <w:rPr>
          <w:sz w:val="20"/>
          <w:szCs w:val="20"/>
          <w:color w:val="auto"/>
        </w:rPr>
      </w:pPr>
    </w:p>
    <w:p>
      <w:pPr>
        <w:ind w:left="1120" w:right="140" w:hanging="545"/>
        <w:spacing w:after="0" w:line="27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awards, must be approved by the Compensation Committee;</w:t>
      </w:r>
    </w:p>
    <w:p>
      <w:pPr>
        <w:spacing w:after="0" w:line="75" w:lineRule="exact"/>
        <w:rPr>
          <w:rFonts w:ascii="Arial" w:cs="Arial" w:eastAsia="Arial" w:hAnsi="Arial"/>
          <w:sz w:val="18"/>
          <w:szCs w:val="18"/>
          <w:color w:val="auto"/>
        </w:rPr>
      </w:pPr>
    </w:p>
    <w:p>
      <w:pPr>
        <w:ind w:left="1120" w:right="80" w:hanging="545"/>
        <w:spacing w:after="0" w:line="264"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86" w:lineRule="exact"/>
        <w:rPr>
          <w:rFonts w:ascii="Arial" w:cs="Arial" w:eastAsia="Arial" w:hAnsi="Arial"/>
          <w:sz w:val="18"/>
          <w:szCs w:val="18"/>
          <w:color w:val="auto"/>
        </w:rPr>
      </w:pPr>
    </w:p>
    <w:p>
      <w:pPr>
        <w:ind w:left="1120" w:hanging="545"/>
        <w:spacing w:after="0" w:line="27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75" w:lineRule="exact"/>
        <w:rPr>
          <w:rFonts w:ascii="Arial" w:cs="Arial" w:eastAsia="Arial" w:hAnsi="Arial"/>
          <w:sz w:val="18"/>
          <w:szCs w:val="18"/>
          <w:color w:val="auto"/>
        </w:rPr>
      </w:pPr>
    </w:p>
    <w:p>
      <w:pPr>
        <w:ind w:left="1120" w:hanging="545"/>
        <w:spacing w:after="0"/>
        <w:tabs>
          <w:tab w:leader="none" w:pos="1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Compensation Committee will approve stock-based grants only for persons specifically identified at the meeting by management.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17" w:lineRule="exact"/>
        <w:rPr>
          <w:sz w:val="20"/>
          <w:szCs w:val="20"/>
          <w:color w:val="auto"/>
        </w:rPr>
      </w:pPr>
    </w:p>
    <w:p>
      <w:pPr>
        <w:ind w:right="280" w:firstLine="571"/>
        <w:spacing w:after="0" w:line="272" w:lineRule="auto"/>
        <w:rPr>
          <w:sz w:val="20"/>
          <w:szCs w:val="20"/>
          <w:color w:val="auto"/>
        </w:rPr>
      </w:pPr>
      <w:r>
        <w:rPr>
          <w:rFonts w:ascii="Arial" w:cs="Arial" w:eastAsia="Arial" w:hAnsi="Arial"/>
          <w:sz w:val="17"/>
          <w:szCs w:val="17"/>
          <w:color w:val="auto"/>
        </w:rPr>
        <w:t>The Compensation Committee has the sole authority, delegated from the Board of Directors, to appoint, compensate and oversee the work of our outside compensation consultant. In prior years, the Compensation Committee has retained Mercer as its consultant to assist the Compensation Committee with its responsibilities related to our executive compensation programs. In 2016, the executive compensation services that Mercer provided to the Compensation Committee included providing market benchmark information and advising on changes to executive officer and non-employee director compensation levels as well as best practices advice on certain compensation matters. In connection with its engagement of Mercer, the Compensation Committee determined that Mercer’s work for the Compensation Committee did not raise any conflicts of interest, consistent with the guidance provided under the Dodd-Frank Act, the SEC and the Nasdaq.</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117" w:lineRule="exact"/>
        <w:rPr>
          <w:sz w:val="20"/>
          <w:szCs w:val="20"/>
          <w:color w:val="auto"/>
        </w:rPr>
      </w:pPr>
    </w:p>
    <w:p>
      <w:pPr>
        <w:ind w:right="220" w:firstLine="571"/>
        <w:spacing w:after="0" w:line="291" w:lineRule="auto"/>
        <w:rPr>
          <w:sz w:val="20"/>
          <w:szCs w:val="20"/>
          <w:color w:val="auto"/>
        </w:rPr>
      </w:pPr>
      <w:r>
        <w:rPr>
          <w:rFonts w:ascii="Arial" w:cs="Arial" w:eastAsia="Arial" w:hAnsi="Arial"/>
          <w:sz w:val="16"/>
          <w:szCs w:val="16"/>
          <w:color w:val="auto"/>
        </w:rPr>
        <w:t>Section 162(m) of the Code, as amended, imposes a $1 million limit on the amount that a public company may deduct for compensation paid to the company’s chief executive officer or any of the company’s three other most highly compensated executives (other than the chief financial officer).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We may use performance-based compensation to minimize the effect of the limits imposed by Section 162(m) to the extent that compliance with Code requirements does not conflict with our compensation objectives. In some cases, however, we believe the loss of some portion of a corporate tax deduction may be necessary and appropriate in order to provide the compensation necessary to attract and retain qualified executives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409A</w:t>
      </w:r>
    </w:p>
    <w:p>
      <w:pPr>
        <w:spacing w:after="0" w:line="11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w:t>
      </w:r>
    </w:p>
    <w:p>
      <w:pPr>
        <w:spacing w:after="0" w:line="11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2016 were reasonable and appropriate and in our best interests.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117" w:lineRule="exact"/>
        <w:rPr>
          <w:sz w:val="20"/>
          <w:szCs w:val="20"/>
          <w:color w:val="auto"/>
        </w:rPr>
      </w:pPr>
    </w:p>
    <w:p>
      <w:pPr>
        <w:ind w:right="400" w:firstLine="571"/>
        <w:spacing w:after="0" w:line="342" w:lineRule="auto"/>
        <w:rPr>
          <w:sz w:val="20"/>
          <w:szCs w:val="20"/>
          <w:color w:val="auto"/>
        </w:rPr>
      </w:pPr>
      <w:r>
        <w:rPr>
          <w:rFonts w:ascii="Arial" w:cs="Arial" w:eastAsia="Arial" w:hAnsi="Arial"/>
          <w:sz w:val="16"/>
          <w:szCs w:val="16"/>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29" w:lineRule="exact"/>
        <w:rPr>
          <w:sz w:val="20"/>
          <w:szCs w:val="20"/>
          <w:color w:val="auto"/>
        </w:rPr>
      </w:pPr>
    </w:p>
    <w:p>
      <w:pPr>
        <w:ind w:left="1120" w:right="40" w:hanging="545"/>
        <w:spacing w:after="0" w:line="342" w:lineRule="auto"/>
        <w:tabs>
          <w:tab w:leader="none" w:pos="11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29" w:lineRule="exact"/>
        <w:rPr>
          <w:rFonts w:ascii="Arial" w:cs="Arial" w:eastAsia="Arial" w:hAnsi="Arial"/>
          <w:sz w:val="16"/>
          <w:szCs w:val="16"/>
          <w:color w:val="auto"/>
        </w:rPr>
      </w:pPr>
    </w:p>
    <w:p>
      <w:pPr>
        <w:ind w:left="1120" w:right="620" w:hanging="545"/>
        <w:spacing w:after="0" w:line="308" w:lineRule="auto"/>
        <w:tabs>
          <w:tab w:leader="none" w:pos="11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51" w:lineRule="exact"/>
        <w:rPr>
          <w:rFonts w:ascii="Arial" w:cs="Arial" w:eastAsia="Arial" w:hAnsi="Arial"/>
          <w:sz w:val="17"/>
          <w:szCs w:val="17"/>
          <w:color w:val="auto"/>
        </w:rPr>
      </w:pPr>
    </w:p>
    <w:p>
      <w:pPr>
        <w:ind w:left="1120" w:right="220" w:hanging="545"/>
        <w:spacing w:after="0" w:line="277"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75" w:lineRule="exact"/>
        <w:rPr>
          <w:rFonts w:ascii="Arial" w:cs="Arial" w:eastAsia="Arial" w:hAnsi="Arial"/>
          <w:sz w:val="18"/>
          <w:szCs w:val="18"/>
          <w:color w:val="auto"/>
        </w:rPr>
      </w:pPr>
    </w:p>
    <w:p>
      <w:pPr>
        <w:ind w:left="1120" w:right="220" w:hanging="545"/>
        <w:spacing w:after="0" w:line="277"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our equity plan all vest in annual increments over a period of five years, which we believe discourages excessive or inappropriate short-term risk taking.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 After December 31, 2016</w:t>
      </w:r>
    </w:p>
    <w:p>
      <w:pPr>
        <w:spacing w:after="0" w:line="117"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As discussed above, in October 2016, the Compensation Committee’s consultant, Mercer, constructed a new compensation peer group for the Company and analyzed the compensation of our named executive officers against such peer group. The analysis generally showed that, despite the Company’s positive performance for many years, the current compensation of each of the Company’s executives was less than the 50th percentile of the peer group across all categories (base salary, target total cash, long-term incentive grant value, and total direct compensation) and, in some cases, substantially less. Following discussions among the Compensation Committee and Mr. Mueller, and upon Mr. Mueller’s recommendation, the Compensation Committee determined to raise the base salaries of Dr. Meyer and Messrs. Bachus, Mildenhall and Roberts, as set forth in the table below, and to increase the target bonus percentage of Mr. Roberts. Mr. Mueller requested that his own compensation not be increased.</w:t>
      </w:r>
    </w:p>
    <w:p>
      <w:pPr>
        <w:spacing w:after="0" w:line="200" w:lineRule="exact"/>
        <w:rPr>
          <w:sz w:val="20"/>
          <w:szCs w:val="20"/>
          <w:color w:val="auto"/>
        </w:rPr>
      </w:pP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21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200" w:type="dxa"/>
            <w:vAlign w:val="bottom"/>
          </w:tcPr>
          <w:p>
            <w:pPr>
              <w:jc w:val="center"/>
              <w:ind w:left="879"/>
              <w:spacing w:after="0"/>
              <w:rPr>
                <w:sz w:val="20"/>
                <w:szCs w:val="20"/>
                <w:color w:val="auto"/>
              </w:rPr>
            </w:pPr>
            <w:r>
              <w:rPr>
                <w:rFonts w:ascii="Arial" w:cs="Arial" w:eastAsia="Arial" w:hAnsi="Arial"/>
                <w:sz w:val="16"/>
                <w:szCs w:val="16"/>
                <w:b w:val="1"/>
                <w:bCs w:val="1"/>
                <w:color w:val="auto"/>
                <w:w w:val="89"/>
              </w:rPr>
              <w:t>Prior Base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Target Bonus as %</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Base Salary</w:t>
            </w:r>
          </w:p>
        </w:tc>
        <w:tc>
          <w:tcPr>
            <w:tcW w:w="218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Target Bonus (as % of Base</w:t>
            </w:r>
          </w:p>
        </w:tc>
      </w:tr>
      <w:tr>
        <w:trPr>
          <w:trHeight w:val="203"/>
        </w:trPr>
        <w:tc>
          <w:tcPr>
            <w:tcW w:w="2180" w:type="dxa"/>
            <w:vAlign w:val="bottom"/>
          </w:tcPr>
          <w:p>
            <w:pPr>
              <w:spacing w:after="0"/>
              <w:rPr>
                <w:sz w:val="17"/>
                <w:szCs w:val="17"/>
                <w:color w:val="auto"/>
              </w:rPr>
            </w:pPr>
          </w:p>
        </w:tc>
        <w:tc>
          <w:tcPr>
            <w:tcW w:w="2200" w:type="dxa"/>
            <w:vAlign w:val="bottom"/>
          </w:tcPr>
          <w:p>
            <w:pPr>
              <w:jc w:val="center"/>
              <w:ind w:left="879"/>
              <w:spacing w:after="0"/>
              <w:rPr>
                <w:sz w:val="20"/>
                <w:szCs w:val="20"/>
                <w:color w:val="auto"/>
              </w:rPr>
            </w:pPr>
            <w:r>
              <w:rPr>
                <w:rFonts w:ascii="Arial" w:cs="Arial" w:eastAsia="Arial" w:hAnsi="Arial"/>
                <w:sz w:val="16"/>
                <w:szCs w:val="16"/>
                <w:b w:val="1"/>
                <w:bCs w:val="1"/>
                <w:color w:val="auto"/>
                <w:w w:val="91"/>
              </w:rPr>
              <w:t>Salary</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of Prior Base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Effective January 1,</w:t>
            </w:r>
          </w:p>
        </w:tc>
        <w:tc>
          <w:tcPr>
            <w:tcW w:w="2180" w:type="dxa"/>
            <w:vAlign w:val="bottom"/>
          </w:tcPr>
          <w:p>
            <w:pPr>
              <w:jc w:val="center"/>
              <w:ind w:left="139"/>
              <w:spacing w:after="0"/>
              <w:rPr>
                <w:sz w:val="20"/>
                <w:szCs w:val="20"/>
                <w:color w:val="auto"/>
              </w:rPr>
            </w:pPr>
            <w:r>
              <w:rPr>
                <w:rFonts w:ascii="Arial" w:cs="Arial" w:eastAsia="Arial" w:hAnsi="Arial"/>
                <w:sz w:val="16"/>
                <w:szCs w:val="16"/>
                <w:b w:val="1"/>
                <w:bCs w:val="1"/>
                <w:color w:val="auto"/>
                <w:w w:val="92"/>
              </w:rPr>
              <w:t>Salary Effective January 1,</w:t>
            </w:r>
          </w:p>
        </w:tc>
      </w:tr>
      <w:tr>
        <w:trPr>
          <w:trHeight w:val="210"/>
        </w:trPr>
        <w:tc>
          <w:tcPr>
            <w:tcW w:w="2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Salary</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21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r>
      <w:tr>
        <w:trPr>
          <w:trHeight w:val="222"/>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Brian Mueller</w:t>
            </w:r>
          </w:p>
        </w:tc>
        <w:tc>
          <w:tcPr>
            <w:tcW w:w="220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89"/>
              </w:rPr>
              <w:t>$642,000</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100.0%</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No change</w:t>
            </w:r>
          </w:p>
        </w:tc>
        <w:tc>
          <w:tcPr>
            <w:tcW w:w="218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0"/>
              </w:rPr>
              <w:t>No change</w:t>
            </w: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Stan Meyer</w:t>
            </w:r>
          </w:p>
        </w:tc>
        <w:tc>
          <w:tcPr>
            <w:tcW w:w="2200" w:type="dxa"/>
            <w:vAlign w:val="bottom"/>
          </w:tcPr>
          <w:p>
            <w:pPr>
              <w:jc w:val="center"/>
              <w:ind w:left="879"/>
              <w:spacing w:after="0"/>
              <w:rPr>
                <w:sz w:val="20"/>
                <w:szCs w:val="20"/>
                <w:color w:val="auto"/>
              </w:rPr>
            </w:pPr>
            <w:r>
              <w:rPr>
                <w:rFonts w:ascii="Arial" w:cs="Arial" w:eastAsia="Arial" w:hAnsi="Arial"/>
                <w:sz w:val="16"/>
                <w:szCs w:val="16"/>
                <w:color w:val="auto"/>
                <w:w w:val="89"/>
              </w:rPr>
              <w:t>$375,000</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$390,000</w:t>
            </w:r>
          </w:p>
        </w:tc>
        <w:tc>
          <w:tcPr>
            <w:tcW w:w="2180" w:type="dxa"/>
            <w:vAlign w:val="bottom"/>
          </w:tcPr>
          <w:p>
            <w:pPr>
              <w:jc w:val="center"/>
              <w:ind w:left="159"/>
              <w:spacing w:after="0"/>
              <w:rPr>
                <w:sz w:val="20"/>
                <w:szCs w:val="20"/>
                <w:color w:val="auto"/>
              </w:rPr>
            </w:pPr>
            <w:r>
              <w:rPr>
                <w:rFonts w:ascii="Arial" w:cs="Arial" w:eastAsia="Arial" w:hAnsi="Arial"/>
                <w:sz w:val="16"/>
                <w:szCs w:val="16"/>
                <w:color w:val="auto"/>
                <w:w w:val="90"/>
              </w:rPr>
              <w:t>No change</w:t>
            </w:r>
          </w:p>
        </w:tc>
      </w:tr>
      <w:tr>
        <w:trPr>
          <w:trHeight w:val="203"/>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Dan Bachus</w:t>
            </w:r>
          </w:p>
        </w:tc>
        <w:tc>
          <w:tcPr>
            <w:tcW w:w="220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89"/>
              </w:rPr>
              <w:t>$375,000</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$390,000</w:t>
            </w:r>
          </w:p>
        </w:tc>
        <w:tc>
          <w:tcPr>
            <w:tcW w:w="218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0"/>
              </w:rPr>
              <w:t>No change</w:t>
            </w: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Joe Mildenhall</w:t>
            </w:r>
          </w:p>
        </w:tc>
        <w:tc>
          <w:tcPr>
            <w:tcW w:w="2200" w:type="dxa"/>
            <w:vAlign w:val="bottom"/>
          </w:tcPr>
          <w:p>
            <w:pPr>
              <w:jc w:val="center"/>
              <w:ind w:left="879"/>
              <w:spacing w:after="0"/>
              <w:rPr>
                <w:sz w:val="20"/>
                <w:szCs w:val="20"/>
                <w:color w:val="auto"/>
              </w:rPr>
            </w:pPr>
            <w:r>
              <w:rPr>
                <w:rFonts w:ascii="Arial" w:cs="Arial" w:eastAsia="Arial" w:hAnsi="Arial"/>
                <w:sz w:val="16"/>
                <w:szCs w:val="16"/>
                <w:color w:val="auto"/>
                <w:w w:val="89"/>
              </w:rPr>
              <w:t>$321,000</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50.0%</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$340,000</w:t>
            </w:r>
          </w:p>
        </w:tc>
        <w:tc>
          <w:tcPr>
            <w:tcW w:w="2180" w:type="dxa"/>
            <w:vAlign w:val="bottom"/>
          </w:tcPr>
          <w:p>
            <w:pPr>
              <w:jc w:val="center"/>
              <w:ind w:left="159"/>
              <w:spacing w:after="0"/>
              <w:rPr>
                <w:sz w:val="20"/>
                <w:szCs w:val="20"/>
                <w:color w:val="auto"/>
              </w:rPr>
            </w:pPr>
            <w:r>
              <w:rPr>
                <w:rFonts w:ascii="Arial" w:cs="Arial" w:eastAsia="Arial" w:hAnsi="Arial"/>
                <w:sz w:val="16"/>
                <w:szCs w:val="16"/>
                <w:color w:val="auto"/>
                <w:w w:val="90"/>
              </w:rPr>
              <w:t>No change</w:t>
            </w:r>
          </w:p>
        </w:tc>
      </w:tr>
      <w:tr>
        <w:trPr>
          <w:trHeight w:val="203"/>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Brian Roberts</w:t>
            </w:r>
          </w:p>
        </w:tc>
        <w:tc>
          <w:tcPr>
            <w:tcW w:w="220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89"/>
              </w:rPr>
              <w:t>$275,000</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45.5%</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$325,000</w:t>
            </w:r>
          </w:p>
        </w:tc>
        <w:tc>
          <w:tcPr>
            <w:tcW w:w="21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50.0%</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The following table sets forth the total compensation earned for services rendered by our principal executive officer, our principal financial officer, and our three other most highly compensated executive officers whose total compensation for the fiscal year ended December 31, 2016 was in excess of $100,000 and who were serving as executive officers at the end of that fiscal year. The listed individuals are referred to herein as the “named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9"/>
              </w:rPr>
              <w:t>Stock</w:t>
            </w: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Salary</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Awards</w:t>
            </w: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10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ind w:righ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8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98"/>
              </w:rPr>
              <w:t>Brian E. Mueller</w:t>
            </w:r>
          </w:p>
        </w:tc>
        <w:tc>
          <w:tcPr>
            <w:tcW w:w="3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Chief Executive Officer and Chairman</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2016</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$642,000</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$1,230,132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$784,240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3,564</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$2,659,936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(Principal Executive Officer)</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2015</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$666,692</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$1,578,375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$771,363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3,564</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$3,019,994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2014</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$635,862</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$1,592,520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$920,307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3,564</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$3,152,253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560" w:type="dxa"/>
            <w:vAlign w:val="bottom"/>
            <w:gridSpan w:val="3"/>
          </w:tcPr>
          <w:p>
            <w:pPr>
              <w:spacing w:after="0"/>
              <w:rPr>
                <w:sz w:val="20"/>
                <w:szCs w:val="20"/>
                <w:color w:val="auto"/>
              </w:rPr>
            </w:pPr>
            <w:r>
              <w:rPr>
                <w:rFonts w:ascii="Arial" w:cs="Arial" w:eastAsia="Arial" w:hAnsi="Arial"/>
                <w:sz w:val="16"/>
                <w:szCs w:val="16"/>
                <w:color w:val="auto"/>
              </w:rPr>
              <w:t>Dr. W. Stan Meyer</w:t>
            </w:r>
          </w:p>
        </w:tc>
        <w:tc>
          <w:tcPr>
            <w:tcW w:w="600" w:type="dxa"/>
            <w:vAlign w:val="bottom"/>
            <w:gridSpan w:val="3"/>
          </w:tcPr>
          <w:p>
            <w:pPr>
              <w:ind w:left="260"/>
              <w:spacing w:after="0"/>
              <w:rPr>
                <w:sz w:val="20"/>
                <w:szCs w:val="20"/>
                <w:color w:val="auto"/>
              </w:rPr>
            </w:pPr>
            <w:r>
              <w:rPr>
                <w:rFonts w:ascii="Arial" w:cs="Arial" w:eastAsia="Arial" w:hAnsi="Arial"/>
                <w:sz w:val="16"/>
                <w:szCs w:val="16"/>
                <w:color w:val="auto"/>
                <w:w w:val="89"/>
              </w:rPr>
              <w:t>2016</w:t>
            </w:r>
          </w:p>
        </w:tc>
        <w:tc>
          <w:tcPr>
            <w:tcW w:w="1480" w:type="dxa"/>
            <w:vAlign w:val="bottom"/>
            <w:gridSpan w:val="3"/>
          </w:tcPr>
          <w:p>
            <w:pPr>
              <w:jc w:val="right"/>
              <w:ind w:right="380"/>
              <w:spacing w:after="0"/>
              <w:rPr>
                <w:sz w:val="20"/>
                <w:szCs w:val="20"/>
                <w:color w:val="auto"/>
              </w:rPr>
            </w:pPr>
            <w:r>
              <w:rPr>
                <w:rFonts w:ascii="Arial" w:cs="Arial" w:eastAsia="Arial" w:hAnsi="Arial"/>
                <w:sz w:val="16"/>
                <w:szCs w:val="16"/>
                <w:color w:val="auto"/>
              </w:rPr>
              <w:t>$375,000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656,070</w:t>
            </w:r>
          </w:p>
        </w:tc>
        <w:tc>
          <w:tcPr>
            <w:tcW w:w="980" w:type="dxa"/>
            <w:vAlign w:val="bottom"/>
          </w:tcPr>
          <w:p>
            <w:pPr>
              <w:jc w:val="right"/>
              <w:spacing w:after="0"/>
              <w:rPr>
                <w:sz w:val="20"/>
                <w:szCs w:val="20"/>
                <w:color w:val="auto"/>
              </w:rPr>
            </w:pPr>
            <w:r>
              <w:rPr>
                <w:rFonts w:ascii="Arial" w:cs="Arial" w:eastAsia="Arial" w:hAnsi="Arial"/>
                <w:sz w:val="16"/>
                <w:szCs w:val="16"/>
                <w:color w:val="auto"/>
              </w:rPr>
              <w:t>$343,563</w:t>
            </w:r>
          </w:p>
        </w:tc>
        <w:tc>
          <w:tcPr>
            <w:tcW w:w="38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7,377</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$1,382,010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160"/>
              <w:spacing w:after="0"/>
              <w:rPr>
                <w:sz w:val="20"/>
                <w:szCs w:val="20"/>
                <w:color w:val="auto"/>
              </w:rPr>
            </w:pPr>
            <w:r>
              <w:rPr>
                <w:rFonts w:ascii="Arial" w:cs="Arial" w:eastAsia="Arial" w:hAnsi="Arial"/>
                <w:sz w:val="16"/>
                <w:szCs w:val="16"/>
                <w:i w:val="1"/>
                <w:iCs w:val="1"/>
                <w:color w:val="auto"/>
              </w:rPr>
              <w:t>Chief Operating Officer</w:t>
            </w:r>
          </w:p>
        </w:tc>
        <w:tc>
          <w:tcPr>
            <w:tcW w:w="600" w:type="dxa"/>
            <w:vAlign w:val="bottom"/>
            <w:gridSpan w:val="3"/>
          </w:tcPr>
          <w:p>
            <w:pPr>
              <w:ind w:left="260"/>
              <w:spacing w:after="0"/>
              <w:rPr>
                <w:sz w:val="20"/>
                <w:szCs w:val="20"/>
                <w:color w:val="auto"/>
              </w:rPr>
            </w:pPr>
            <w:r>
              <w:rPr>
                <w:rFonts w:ascii="Arial" w:cs="Arial" w:eastAsia="Arial" w:hAnsi="Arial"/>
                <w:sz w:val="16"/>
                <w:szCs w:val="16"/>
                <w:color w:val="auto"/>
                <w:w w:val="89"/>
              </w:rPr>
              <w:t>2015</w:t>
            </w:r>
          </w:p>
        </w:tc>
        <w:tc>
          <w:tcPr>
            <w:tcW w:w="1480" w:type="dxa"/>
            <w:vAlign w:val="bottom"/>
            <w:gridSpan w:val="3"/>
          </w:tcPr>
          <w:p>
            <w:pPr>
              <w:jc w:val="right"/>
              <w:ind w:right="380"/>
              <w:spacing w:after="0"/>
              <w:rPr>
                <w:sz w:val="20"/>
                <w:szCs w:val="20"/>
                <w:color w:val="auto"/>
              </w:rPr>
            </w:pPr>
            <w:r>
              <w:rPr>
                <w:rFonts w:ascii="Arial" w:cs="Arial" w:eastAsia="Arial" w:hAnsi="Arial"/>
                <w:sz w:val="16"/>
                <w:szCs w:val="16"/>
                <w:color w:val="auto"/>
              </w:rPr>
              <w:t>$389,423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841,800</w:t>
            </w:r>
          </w:p>
        </w:tc>
        <w:tc>
          <w:tcPr>
            <w:tcW w:w="980" w:type="dxa"/>
            <w:vAlign w:val="bottom"/>
          </w:tcPr>
          <w:p>
            <w:pPr>
              <w:jc w:val="right"/>
              <w:spacing w:after="0"/>
              <w:rPr>
                <w:sz w:val="20"/>
                <w:szCs w:val="20"/>
                <w:color w:val="auto"/>
              </w:rPr>
            </w:pPr>
            <w:r>
              <w:rPr>
                <w:rFonts w:ascii="Arial" w:cs="Arial" w:eastAsia="Arial" w:hAnsi="Arial"/>
                <w:sz w:val="16"/>
                <w:szCs w:val="16"/>
                <w:color w:val="auto"/>
              </w:rPr>
              <w:t>$337,922</w:t>
            </w:r>
          </w:p>
        </w:tc>
        <w:tc>
          <w:tcPr>
            <w:tcW w:w="3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7,077</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$1,576,222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 w:type="dxa"/>
            <w:vAlign w:val="bottom"/>
            <w:gridSpan w:val="3"/>
          </w:tcPr>
          <w:p>
            <w:pPr>
              <w:ind w:left="260"/>
              <w:spacing w:after="0"/>
              <w:rPr>
                <w:sz w:val="20"/>
                <w:szCs w:val="20"/>
                <w:color w:val="auto"/>
              </w:rPr>
            </w:pPr>
            <w:r>
              <w:rPr>
                <w:rFonts w:ascii="Arial" w:cs="Arial" w:eastAsia="Arial" w:hAnsi="Arial"/>
                <w:sz w:val="16"/>
                <w:szCs w:val="16"/>
                <w:color w:val="auto"/>
                <w:w w:val="89"/>
              </w:rPr>
              <w:t>2014</w:t>
            </w:r>
          </w:p>
        </w:tc>
        <w:tc>
          <w:tcPr>
            <w:tcW w:w="1480" w:type="dxa"/>
            <w:vAlign w:val="bottom"/>
            <w:gridSpan w:val="3"/>
          </w:tcPr>
          <w:p>
            <w:pPr>
              <w:jc w:val="right"/>
              <w:ind w:right="380"/>
              <w:spacing w:after="0"/>
              <w:rPr>
                <w:sz w:val="20"/>
                <w:szCs w:val="20"/>
                <w:color w:val="auto"/>
              </w:rPr>
            </w:pPr>
            <w:r>
              <w:rPr>
                <w:rFonts w:ascii="Arial" w:cs="Arial" w:eastAsia="Arial" w:hAnsi="Arial"/>
                <w:sz w:val="16"/>
                <w:szCs w:val="16"/>
                <w:color w:val="auto"/>
              </w:rPr>
              <w:t>$371,273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849,344</w:t>
            </w:r>
          </w:p>
        </w:tc>
        <w:tc>
          <w:tcPr>
            <w:tcW w:w="980" w:type="dxa"/>
            <w:vAlign w:val="bottom"/>
          </w:tcPr>
          <w:p>
            <w:pPr>
              <w:jc w:val="right"/>
              <w:spacing w:after="0"/>
              <w:rPr>
                <w:sz w:val="20"/>
                <w:szCs w:val="20"/>
                <w:color w:val="auto"/>
              </w:rPr>
            </w:pPr>
            <w:r>
              <w:rPr>
                <w:rFonts w:ascii="Arial" w:cs="Arial" w:eastAsia="Arial" w:hAnsi="Arial"/>
                <w:sz w:val="16"/>
                <w:szCs w:val="16"/>
                <w:color w:val="auto"/>
              </w:rPr>
              <w:t>$403,172</w:t>
            </w:r>
          </w:p>
        </w:tc>
        <w:tc>
          <w:tcPr>
            <w:tcW w:w="3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7,797</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$1,631,586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0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E. Bachus</w:t>
            </w:r>
          </w:p>
        </w:tc>
        <w:tc>
          <w:tcPr>
            <w:tcW w:w="60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w w:val="89"/>
              </w:rPr>
              <w:t>2016</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$375,000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656,070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$343,563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585</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Chief Financial Officer</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$389,423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841,800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$337,922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585</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$1,569,730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(Principal Financial Officer)</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2014</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$371,273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849,344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$403,172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390</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$1,624,179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560" w:type="dxa"/>
            <w:vAlign w:val="bottom"/>
            <w:gridSpan w:val="3"/>
          </w:tcPr>
          <w:p>
            <w:pPr>
              <w:spacing w:after="0"/>
              <w:rPr>
                <w:sz w:val="20"/>
                <w:szCs w:val="20"/>
                <w:color w:val="auto"/>
              </w:rPr>
            </w:pPr>
            <w:r>
              <w:rPr>
                <w:rFonts w:ascii="Arial" w:cs="Arial" w:eastAsia="Arial" w:hAnsi="Arial"/>
                <w:sz w:val="16"/>
                <w:szCs w:val="16"/>
                <w:color w:val="auto"/>
              </w:rPr>
              <w:t>Joseph N. Mildenhall</w:t>
            </w:r>
          </w:p>
        </w:tc>
        <w:tc>
          <w:tcPr>
            <w:tcW w:w="600" w:type="dxa"/>
            <w:vAlign w:val="bottom"/>
            <w:gridSpan w:val="3"/>
          </w:tcPr>
          <w:p>
            <w:pPr>
              <w:ind w:left="260"/>
              <w:spacing w:after="0"/>
              <w:rPr>
                <w:sz w:val="20"/>
                <w:szCs w:val="20"/>
                <w:color w:val="auto"/>
              </w:rPr>
            </w:pPr>
            <w:r>
              <w:rPr>
                <w:rFonts w:ascii="Arial" w:cs="Arial" w:eastAsia="Arial" w:hAnsi="Arial"/>
                <w:sz w:val="16"/>
                <w:szCs w:val="16"/>
                <w:color w:val="auto"/>
                <w:w w:val="89"/>
              </w:rPr>
              <w:t>2016</w:t>
            </w:r>
          </w:p>
        </w:tc>
        <w:tc>
          <w:tcPr>
            <w:tcW w:w="1480" w:type="dxa"/>
            <w:vAlign w:val="bottom"/>
            <w:gridSpan w:val="3"/>
          </w:tcPr>
          <w:p>
            <w:pPr>
              <w:jc w:val="right"/>
              <w:ind w:right="380"/>
              <w:spacing w:after="0"/>
              <w:rPr>
                <w:sz w:val="20"/>
                <w:szCs w:val="20"/>
                <w:color w:val="auto"/>
              </w:rPr>
            </w:pPr>
            <w:r>
              <w:rPr>
                <w:rFonts w:ascii="Arial" w:cs="Arial" w:eastAsia="Arial" w:hAnsi="Arial"/>
                <w:sz w:val="16"/>
                <w:szCs w:val="16"/>
                <w:color w:val="auto"/>
              </w:rPr>
              <w:t>$321,000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656,070</w:t>
            </w:r>
          </w:p>
        </w:tc>
        <w:tc>
          <w:tcPr>
            <w:tcW w:w="980" w:type="dxa"/>
            <w:vAlign w:val="bottom"/>
          </w:tcPr>
          <w:p>
            <w:pPr>
              <w:jc w:val="right"/>
              <w:spacing w:after="0"/>
              <w:rPr>
                <w:sz w:val="20"/>
                <w:szCs w:val="20"/>
                <w:color w:val="auto"/>
              </w:rPr>
            </w:pPr>
            <w:r>
              <w:rPr>
                <w:rFonts w:ascii="Arial" w:cs="Arial" w:eastAsia="Arial" w:hAnsi="Arial"/>
                <w:sz w:val="16"/>
                <w:szCs w:val="16"/>
                <w:color w:val="auto"/>
              </w:rPr>
              <w:t>$196,060</w:t>
            </w:r>
          </w:p>
        </w:tc>
        <w:tc>
          <w:tcPr>
            <w:tcW w:w="38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2,146</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$1,175,276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160"/>
              <w:spacing w:after="0"/>
              <w:rPr>
                <w:sz w:val="20"/>
                <w:szCs w:val="20"/>
                <w:color w:val="auto"/>
              </w:rPr>
            </w:pPr>
            <w:r>
              <w:rPr>
                <w:rFonts w:ascii="Arial" w:cs="Arial" w:eastAsia="Arial" w:hAnsi="Arial"/>
                <w:sz w:val="16"/>
                <w:szCs w:val="16"/>
                <w:i w:val="1"/>
                <w:iCs w:val="1"/>
                <w:color w:val="auto"/>
              </w:rPr>
              <w:t>Chief Information Officer</w:t>
            </w:r>
          </w:p>
        </w:tc>
        <w:tc>
          <w:tcPr>
            <w:tcW w:w="600" w:type="dxa"/>
            <w:vAlign w:val="bottom"/>
            <w:gridSpan w:val="3"/>
          </w:tcPr>
          <w:p>
            <w:pPr>
              <w:ind w:left="260"/>
              <w:spacing w:after="0"/>
              <w:rPr>
                <w:sz w:val="20"/>
                <w:szCs w:val="20"/>
                <w:color w:val="auto"/>
              </w:rPr>
            </w:pPr>
            <w:r>
              <w:rPr>
                <w:rFonts w:ascii="Arial" w:cs="Arial" w:eastAsia="Arial" w:hAnsi="Arial"/>
                <w:sz w:val="16"/>
                <w:szCs w:val="16"/>
                <w:color w:val="auto"/>
                <w:w w:val="89"/>
              </w:rPr>
              <w:t>2015</w:t>
            </w:r>
          </w:p>
        </w:tc>
        <w:tc>
          <w:tcPr>
            <w:tcW w:w="1480" w:type="dxa"/>
            <w:vAlign w:val="bottom"/>
            <w:gridSpan w:val="3"/>
          </w:tcPr>
          <w:p>
            <w:pPr>
              <w:jc w:val="right"/>
              <w:ind w:right="380"/>
              <w:spacing w:after="0"/>
              <w:rPr>
                <w:sz w:val="20"/>
                <w:szCs w:val="20"/>
                <w:color w:val="auto"/>
              </w:rPr>
            </w:pPr>
            <w:r>
              <w:rPr>
                <w:rFonts w:ascii="Arial" w:cs="Arial" w:eastAsia="Arial" w:hAnsi="Arial"/>
                <w:sz w:val="16"/>
                <w:szCs w:val="16"/>
                <w:color w:val="auto"/>
              </w:rPr>
              <w:t>$333,346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841,800</w:t>
            </w:r>
          </w:p>
        </w:tc>
        <w:tc>
          <w:tcPr>
            <w:tcW w:w="980" w:type="dxa"/>
            <w:vAlign w:val="bottom"/>
          </w:tcPr>
          <w:p>
            <w:pPr>
              <w:jc w:val="right"/>
              <w:spacing w:after="0"/>
              <w:rPr>
                <w:sz w:val="20"/>
                <w:szCs w:val="20"/>
                <w:color w:val="auto"/>
              </w:rPr>
            </w:pPr>
            <w:r>
              <w:rPr>
                <w:rFonts w:ascii="Arial" w:cs="Arial" w:eastAsia="Arial" w:hAnsi="Arial"/>
                <w:sz w:val="16"/>
                <w:szCs w:val="16"/>
                <w:color w:val="auto"/>
              </w:rPr>
              <w:t>$192,841</w:t>
            </w:r>
          </w:p>
        </w:tc>
        <w:tc>
          <w:tcPr>
            <w:tcW w:w="3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2,146</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$1,370,133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 w:type="dxa"/>
            <w:vAlign w:val="bottom"/>
            <w:gridSpan w:val="3"/>
          </w:tcPr>
          <w:p>
            <w:pPr>
              <w:ind w:left="260"/>
              <w:spacing w:after="0"/>
              <w:rPr>
                <w:sz w:val="20"/>
                <w:szCs w:val="20"/>
                <w:color w:val="auto"/>
              </w:rPr>
            </w:pPr>
            <w:r>
              <w:rPr>
                <w:rFonts w:ascii="Arial" w:cs="Arial" w:eastAsia="Arial" w:hAnsi="Arial"/>
                <w:sz w:val="16"/>
                <w:szCs w:val="16"/>
                <w:color w:val="auto"/>
                <w:w w:val="89"/>
              </w:rPr>
              <w:t>2014</w:t>
            </w:r>
          </w:p>
        </w:tc>
        <w:tc>
          <w:tcPr>
            <w:tcW w:w="1480" w:type="dxa"/>
            <w:vAlign w:val="bottom"/>
            <w:gridSpan w:val="3"/>
          </w:tcPr>
          <w:p>
            <w:pPr>
              <w:jc w:val="right"/>
              <w:ind w:right="380"/>
              <w:spacing w:after="0"/>
              <w:rPr>
                <w:sz w:val="20"/>
                <w:szCs w:val="20"/>
                <w:color w:val="auto"/>
              </w:rPr>
            </w:pPr>
            <w:r>
              <w:rPr>
                <w:rFonts w:ascii="Arial" w:cs="Arial" w:eastAsia="Arial" w:hAnsi="Arial"/>
                <w:sz w:val="16"/>
                <w:szCs w:val="16"/>
                <w:color w:val="auto"/>
              </w:rPr>
              <w:t>$317,931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849,344</w:t>
            </w:r>
          </w:p>
        </w:tc>
        <w:tc>
          <w:tcPr>
            <w:tcW w:w="980" w:type="dxa"/>
            <w:vAlign w:val="bottom"/>
          </w:tcPr>
          <w:p>
            <w:pPr>
              <w:jc w:val="right"/>
              <w:spacing w:after="0"/>
              <w:rPr>
                <w:sz w:val="20"/>
                <w:szCs w:val="20"/>
                <w:color w:val="auto"/>
              </w:rPr>
            </w:pPr>
            <w:r>
              <w:rPr>
                <w:rFonts w:ascii="Arial" w:cs="Arial" w:eastAsia="Arial" w:hAnsi="Arial"/>
                <w:sz w:val="16"/>
                <w:szCs w:val="16"/>
                <w:color w:val="auto"/>
              </w:rPr>
              <w:t>$230,077</w:t>
            </w:r>
          </w:p>
        </w:tc>
        <w:tc>
          <w:tcPr>
            <w:tcW w:w="3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2,146</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$1,399,498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0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M. Roberts</w:t>
            </w:r>
          </w:p>
        </w:tc>
        <w:tc>
          <w:tcPr>
            <w:tcW w:w="60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w w:val="89"/>
              </w:rPr>
              <w:t>2016</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$275,000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656,070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$152,695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4,097</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General Counsel</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$285,577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841,800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$150,188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4,454</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2014</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$260,385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849,344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$179,367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3,533</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$1,292,629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865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62" w:lineRule="exact"/>
        <w:rPr>
          <w:sz w:val="20"/>
          <w:szCs w:val="20"/>
          <w:color w:val="auto"/>
        </w:rPr>
      </w:pPr>
    </w:p>
    <w:p>
      <w:pPr>
        <w:ind w:left="580" w:right="240" w:hanging="572"/>
        <w:spacing w:after="0" w:line="266"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in this column reflect the base salary cash payments made in each year. The named executive officers last pay increase prior to 2017 occurred in April 2014. There were 27 payrolls in the 2015 calendar year, resulting in one additional pay period in 2015.</w:t>
      </w:r>
    </w:p>
    <w:p>
      <w:pPr>
        <w:spacing w:after="0" w:line="1" w:lineRule="exact"/>
        <w:rPr>
          <w:rFonts w:ascii="Arial" w:cs="Arial" w:eastAsia="Arial" w:hAnsi="Arial"/>
          <w:sz w:val="16"/>
          <w:szCs w:val="16"/>
          <w:color w:val="auto"/>
        </w:rPr>
      </w:pPr>
    </w:p>
    <w:p>
      <w:pPr>
        <w:ind w:left="580" w:right="60" w:hanging="572"/>
        <w:spacing w:after="0" w:line="281" w:lineRule="auto"/>
        <w:tabs>
          <w:tab w:leader="none" w:pos="5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shown in this column reflect the compensation costs attributable to the restricted stock awards granted in 2016, 2015 and 2014.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2016, 2015, and 2014 fiscal years are set forth in Notes 2 and 13 to our financial statements for the fiscal year ended December 31, 2016 included in our 2016 Annual Report on Form 10-K.</w:t>
      </w:r>
    </w:p>
    <w:p>
      <w:pPr>
        <w:spacing w:after="0" w:line="2" w:lineRule="exact"/>
        <w:rPr>
          <w:rFonts w:ascii="Arial" w:cs="Arial" w:eastAsia="Arial" w:hAnsi="Arial"/>
          <w:sz w:val="15"/>
          <w:szCs w:val="15"/>
          <w:color w:val="auto"/>
        </w:rPr>
      </w:pPr>
    </w:p>
    <w:p>
      <w:pPr>
        <w:ind w:left="580" w:hanging="572"/>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in this column reflect non-equity incentive payments earned pursuant to our Annual Cash Incentive Plan.</w:t>
      </w:r>
    </w:p>
    <w:p>
      <w:pPr>
        <w:spacing w:after="0" w:line="18" w:lineRule="exact"/>
        <w:rPr>
          <w:rFonts w:ascii="Arial" w:cs="Arial" w:eastAsia="Arial" w:hAnsi="Arial"/>
          <w:sz w:val="16"/>
          <w:szCs w:val="16"/>
          <w:color w:val="auto"/>
        </w:rPr>
      </w:pPr>
    </w:p>
    <w:p>
      <w:pPr>
        <w:ind w:left="580" w:right="100" w:hanging="572"/>
        <w:spacing w:after="0" w:line="288"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2016, 2015, and 2014, the amounts in this column include company paid life insurance premiums for all named executive officers. For Dr. Meyer and Mr. Roberts, the amounts in this column also reflect matching payments made by the Company under our 401(k)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Grants of Plan-Based Awards</w:t>
      </w:r>
    </w:p>
    <w:p>
      <w:pPr>
        <w:spacing w:after="0" w:line="117" w:lineRule="exact"/>
        <w:rPr>
          <w:sz w:val="20"/>
          <w:szCs w:val="20"/>
          <w:color w:val="auto"/>
        </w:rPr>
      </w:pPr>
    </w:p>
    <w:p>
      <w:pPr>
        <w:ind w:right="280" w:firstLine="571"/>
        <w:spacing w:after="0" w:line="277"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2008 equity plan for the fiscal year ended December 31, 2016 to each of our named executive officers: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4"/>
              </w:rPr>
              <w:t>Estimated Future Payouts Under Non-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Equity Incentive Plan Awards</w:t>
            </w:r>
            <w:r>
              <w:rPr>
                <w:rFonts w:ascii="Arial" w:cs="Arial" w:eastAsia="Arial" w:hAnsi="Arial"/>
                <w:sz w:val="12"/>
                <w:szCs w:val="12"/>
                <w:b w:val="1"/>
                <w:bCs w:val="1"/>
                <w:color w:val="auto"/>
                <w:w w:val="94"/>
              </w:rPr>
              <w:t>(1)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2"/>
                <w:szCs w:val="2"/>
                <w:color w:val="auto"/>
              </w:rPr>
            </w:pPr>
          </w:p>
        </w:tc>
        <w:tc>
          <w:tcPr>
            <w:tcW w:w="900" w:type="dxa"/>
            <w:vAlign w:val="bottom"/>
            <w:gridSpan w:val="3"/>
            <w:vMerge w:val="restart"/>
          </w:tcPr>
          <w:p>
            <w:pPr>
              <w:jc w:val="center"/>
              <w:ind w:right="40"/>
              <w:spacing w:after="0" w:line="13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92"/>
        </w:trPr>
        <w:tc>
          <w:tcPr>
            <w:tcW w:w="38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Maximum</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Threshold($</w:t>
            </w:r>
            <w:r>
              <w:rPr>
                <w:rFonts w:ascii="Arial" w:cs="Arial" w:eastAsia="Arial" w:hAnsi="Arial"/>
                <w:sz w:val="14"/>
                <w:szCs w:val="14"/>
                <w:b w:val="1"/>
                <w:bCs w:val="1"/>
                <w:color w:val="auto"/>
              </w:rPr>
              <w:t>)</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u w:val="single" w:color="auto"/>
                <w:color w:val="auto"/>
              </w:rPr>
              <w:t>Target($</w:t>
            </w:r>
            <w:r>
              <w:rPr>
                <w:rFonts w:ascii="Arial" w:cs="Arial" w:eastAsia="Arial" w:hAnsi="Arial"/>
                <w:sz w:val="14"/>
                <w:szCs w:val="14"/>
                <w:b w:val="1"/>
                <w:bCs w:val="1"/>
                <w:color w:val="auto"/>
              </w:rPr>
              <w:t>)</w:t>
            </w:r>
          </w:p>
        </w:tc>
        <w:tc>
          <w:tcPr>
            <w:tcW w:w="1080" w:type="dxa"/>
            <w:vAlign w:val="bottom"/>
            <w:gridSpan w:val="3"/>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w w:val="97"/>
              </w:rPr>
              <w:t>of Stock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Awards(2)</w:t>
            </w:r>
          </w:p>
        </w:tc>
        <w:tc>
          <w:tcPr>
            <w:tcW w:w="0" w:type="dxa"/>
            <w:vAlign w:val="bottom"/>
          </w:tcPr>
          <w:p>
            <w:pPr>
              <w:spacing w:after="0"/>
              <w:rPr>
                <w:sz w:val="1"/>
                <w:szCs w:val="1"/>
                <w:color w:val="auto"/>
              </w:rPr>
            </w:pPr>
          </w:p>
        </w:tc>
      </w:tr>
      <w:tr>
        <w:trPr>
          <w:trHeight w:val="196"/>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6"/>
              </w:rPr>
              <w:t>Brian</w:t>
            </w:r>
          </w:p>
        </w:tc>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 Mueller</w:t>
            </w: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321,000</w:t>
            </w: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$ 642,000</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963,000</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Apr. 28, 2016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27,600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1,230,132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 W. Stan Meyer</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140,625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$ 281,250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421,875</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Apr. 28, 2016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14,720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656,070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E. Bachus</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140,625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$ 281,250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421,875</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Apr. 28, 2016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14,720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656,070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 N. Mildenhall</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80,250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$ 160,500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240,750</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Apr. 28, 2016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14,720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656,070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M. Roberts</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62,500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$ 125,000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187,500</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Apr. 28, 2016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14,720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656,070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18865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80" w:right="280" w:hanging="572"/>
        <w:spacing w:after="0" w:line="304" w:lineRule="auto"/>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w:t>
      </w:r>
    </w:p>
    <w:p>
      <w:pPr>
        <w:spacing w:after="0" w:line="1" w:lineRule="exact"/>
        <w:rPr>
          <w:rFonts w:ascii="Arial" w:cs="Arial" w:eastAsia="Arial" w:hAnsi="Arial"/>
          <w:sz w:val="14"/>
          <w:szCs w:val="14"/>
          <w:color w:val="auto"/>
        </w:rPr>
      </w:pPr>
    </w:p>
    <w:p>
      <w:pPr>
        <w:ind w:left="580" w:right="80" w:hanging="572"/>
        <w:spacing w:after="0" w:line="272"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2016.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2016 are set forth in Notes 2 and 13 to our financial statements for the fiscal year ended December 31, 2016 included in our 2016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Outstanding Equity Awards at Fiscal Year-End</w:t>
      </w:r>
    </w:p>
    <w:p>
      <w:pPr>
        <w:spacing w:after="0" w:line="117" w:lineRule="exact"/>
        <w:rPr>
          <w:sz w:val="20"/>
          <w:szCs w:val="20"/>
          <w:color w:val="auto"/>
        </w:rPr>
      </w:pPr>
    </w:p>
    <w:p>
      <w:pPr>
        <w:ind w:right="740" w:firstLine="571"/>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1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Option Expiration</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44"/>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40" w:type="dxa"/>
            <w:vAlign w:val="bottom"/>
            <w:vMerge w:val="restart"/>
          </w:tcPr>
          <w:p>
            <w:pPr>
              <w:spacing w:after="0"/>
              <w:rPr>
                <w:sz w:val="12"/>
                <w:szCs w:val="12"/>
                <w:color w:val="auto"/>
              </w:rPr>
            </w:pPr>
          </w:p>
        </w:tc>
        <w:tc>
          <w:tcPr>
            <w:tcW w:w="11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Options (#)</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Options (#)</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Exercise Price</w:t>
            </w:r>
          </w:p>
        </w:tc>
        <w:tc>
          <w:tcPr>
            <w:tcW w:w="1840" w:type="dxa"/>
            <w:vAlign w:val="bottom"/>
            <w:gridSpan w:val="2"/>
            <w:vMerge w:val="continue"/>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7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Exercisable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840" w:type="dxa"/>
            <w:vAlign w:val="bottom"/>
            <w:gridSpan w:val="2"/>
          </w:tcPr>
          <w:p>
            <w:pPr>
              <w:ind w:left="640"/>
              <w:spacing w:after="0"/>
              <w:rPr>
                <w:sz w:val="20"/>
                <w:szCs w:val="20"/>
                <w:color w:val="auto"/>
              </w:rPr>
            </w:pPr>
            <w:r>
              <w:rPr>
                <w:rFonts w:ascii="Arial" w:cs="Arial" w:eastAsia="Arial" w:hAnsi="Arial"/>
                <w:sz w:val="14"/>
                <w:szCs w:val="14"/>
                <w:b w:val="1"/>
                <w:bCs w:val="1"/>
                <w:color w:val="auto"/>
              </w:rPr>
              <w:t>Date</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xml:space="preserve">Vested </w:t>
            </w: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Brian E. Mueller</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3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84"/>
              </w:rPr>
              <w:t>15.34</w:t>
            </w:r>
          </w:p>
        </w:tc>
        <w:tc>
          <w:tcPr>
            <w:tcW w:w="3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March 11, 2021</w:t>
            </w: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116,400</w:t>
            </w: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6,803,580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100,000</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380"/>
              <w:spacing w:after="0"/>
              <w:rPr>
                <w:sz w:val="20"/>
                <w:szCs w:val="20"/>
                <w:color w:val="auto"/>
              </w:rPr>
            </w:pPr>
            <w:r>
              <w:rPr>
                <w:rFonts w:ascii="Arial" w:cs="Arial" w:eastAsia="Arial" w:hAnsi="Arial"/>
                <w:sz w:val="16"/>
                <w:szCs w:val="16"/>
                <w:color w:val="auto"/>
              </w:rPr>
              <w:t>21.10</w:t>
            </w:r>
          </w:p>
        </w:tc>
        <w:tc>
          <w:tcPr>
            <w:tcW w:w="1840" w:type="dxa"/>
            <w:vAlign w:val="bottom"/>
            <w:gridSpan w:val="2"/>
          </w:tcPr>
          <w:p>
            <w:pPr>
              <w:spacing w:after="0"/>
              <w:rPr>
                <w:sz w:val="20"/>
                <w:szCs w:val="20"/>
                <w:color w:val="auto"/>
              </w:rPr>
            </w:pPr>
            <w:r>
              <w:rPr>
                <w:rFonts w:ascii="Arial" w:cs="Arial" w:eastAsia="Arial" w:hAnsi="Arial"/>
                <w:sz w:val="16"/>
                <w:szCs w:val="16"/>
                <w:color w:val="auto"/>
              </w:rPr>
              <w:t>February 25, 2020</w:t>
            </w: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209,788</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12.00</w:t>
            </w: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November 19, 2018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Dr. W. Stan Meyer</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80,000</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380"/>
              <w:spacing w:after="0"/>
              <w:rPr>
                <w:sz w:val="20"/>
                <w:szCs w:val="20"/>
                <w:color w:val="auto"/>
              </w:rPr>
            </w:pPr>
            <w:r>
              <w:rPr>
                <w:rFonts w:ascii="Arial" w:cs="Arial" w:eastAsia="Arial" w:hAnsi="Arial"/>
                <w:sz w:val="16"/>
                <w:szCs w:val="16"/>
                <w:color w:val="auto"/>
              </w:rPr>
              <w:t>15.34</w:t>
            </w:r>
          </w:p>
        </w:tc>
        <w:tc>
          <w:tcPr>
            <w:tcW w:w="1840" w:type="dxa"/>
            <w:vAlign w:val="bottom"/>
            <w:gridSpan w:val="2"/>
          </w:tcPr>
          <w:p>
            <w:pPr>
              <w:spacing w:after="0"/>
              <w:rPr>
                <w:sz w:val="20"/>
                <w:szCs w:val="20"/>
                <w:color w:val="auto"/>
              </w:rPr>
            </w:pPr>
            <w:r>
              <w:rPr>
                <w:rFonts w:ascii="Arial" w:cs="Arial" w:eastAsia="Arial" w:hAnsi="Arial"/>
                <w:sz w:val="16"/>
                <w:szCs w:val="16"/>
                <w:color w:val="auto"/>
              </w:rPr>
              <w:t>March 11, 2021</w:t>
            </w:r>
          </w:p>
        </w:tc>
        <w:tc>
          <w:tcPr>
            <w:tcW w:w="760" w:type="dxa"/>
            <w:vAlign w:val="bottom"/>
          </w:tcPr>
          <w:p>
            <w:pPr>
              <w:jc w:val="right"/>
              <w:spacing w:after="0"/>
              <w:rPr>
                <w:sz w:val="20"/>
                <w:szCs w:val="20"/>
                <w:color w:val="auto"/>
              </w:rPr>
            </w:pPr>
            <w:r>
              <w:rPr>
                <w:rFonts w:ascii="Arial" w:cs="Arial" w:eastAsia="Arial" w:hAnsi="Arial"/>
                <w:sz w:val="16"/>
                <w:szCs w:val="16"/>
                <w:color w:val="auto"/>
              </w:rPr>
              <w:t>62,080</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3,628,576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40,000</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21.10</w:t>
            </w: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February 25, 2020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141,315</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380"/>
              <w:spacing w:after="0"/>
              <w:rPr>
                <w:sz w:val="20"/>
                <w:szCs w:val="20"/>
                <w:color w:val="auto"/>
              </w:rPr>
            </w:pPr>
            <w:r>
              <w:rPr>
                <w:rFonts w:ascii="Arial" w:cs="Arial" w:eastAsia="Arial" w:hAnsi="Arial"/>
                <w:sz w:val="16"/>
                <w:szCs w:val="16"/>
                <w:color w:val="auto"/>
              </w:rPr>
              <w:t>12.00</w:t>
            </w:r>
          </w:p>
        </w:tc>
        <w:tc>
          <w:tcPr>
            <w:tcW w:w="1840" w:type="dxa"/>
            <w:vAlign w:val="bottom"/>
            <w:gridSpan w:val="2"/>
          </w:tcPr>
          <w:p>
            <w:pPr>
              <w:spacing w:after="0"/>
              <w:rPr>
                <w:sz w:val="20"/>
                <w:szCs w:val="20"/>
                <w:color w:val="auto"/>
              </w:rPr>
            </w:pPr>
            <w:r>
              <w:rPr>
                <w:rFonts w:ascii="Arial" w:cs="Arial" w:eastAsia="Arial" w:hAnsi="Arial"/>
                <w:sz w:val="16"/>
                <w:szCs w:val="16"/>
                <w:color w:val="auto"/>
              </w:rPr>
              <w:t>November 19, 2018</w:t>
            </w: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E. Bachus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80,000</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15.34</w:t>
            </w: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11, 2021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3,628,576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40,000</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380"/>
              <w:spacing w:after="0"/>
              <w:rPr>
                <w:sz w:val="20"/>
                <w:szCs w:val="20"/>
                <w:color w:val="auto"/>
              </w:rPr>
            </w:pPr>
            <w:r>
              <w:rPr>
                <w:rFonts w:ascii="Arial" w:cs="Arial" w:eastAsia="Arial" w:hAnsi="Arial"/>
                <w:sz w:val="16"/>
                <w:szCs w:val="16"/>
                <w:color w:val="auto"/>
              </w:rPr>
              <w:t>21.10</w:t>
            </w:r>
          </w:p>
        </w:tc>
        <w:tc>
          <w:tcPr>
            <w:tcW w:w="1840" w:type="dxa"/>
            <w:vAlign w:val="bottom"/>
            <w:gridSpan w:val="2"/>
          </w:tcPr>
          <w:p>
            <w:pPr>
              <w:spacing w:after="0"/>
              <w:rPr>
                <w:sz w:val="20"/>
                <w:szCs w:val="20"/>
                <w:color w:val="auto"/>
              </w:rPr>
            </w:pPr>
            <w:r>
              <w:rPr>
                <w:rFonts w:ascii="Arial" w:cs="Arial" w:eastAsia="Arial" w:hAnsi="Arial"/>
                <w:sz w:val="16"/>
                <w:szCs w:val="16"/>
                <w:color w:val="auto"/>
              </w:rPr>
              <w:t>February 25, 2020</w:t>
            </w: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94,128</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12.00</w:t>
            </w: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November 19, 2018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Joseph N. Mildenhall</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19,900</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380"/>
              <w:spacing w:after="0"/>
              <w:rPr>
                <w:sz w:val="20"/>
                <w:szCs w:val="20"/>
                <w:color w:val="auto"/>
              </w:rPr>
            </w:pPr>
            <w:r>
              <w:rPr>
                <w:rFonts w:ascii="Arial" w:cs="Arial" w:eastAsia="Arial" w:hAnsi="Arial"/>
                <w:sz w:val="16"/>
                <w:szCs w:val="16"/>
                <w:color w:val="auto"/>
              </w:rPr>
              <w:t>21.10</w:t>
            </w:r>
          </w:p>
        </w:tc>
        <w:tc>
          <w:tcPr>
            <w:tcW w:w="1840" w:type="dxa"/>
            <w:vAlign w:val="bottom"/>
            <w:gridSpan w:val="2"/>
          </w:tcPr>
          <w:p>
            <w:pPr>
              <w:spacing w:after="0"/>
              <w:rPr>
                <w:sz w:val="20"/>
                <w:szCs w:val="20"/>
                <w:color w:val="auto"/>
              </w:rPr>
            </w:pPr>
            <w:r>
              <w:rPr>
                <w:rFonts w:ascii="Arial" w:cs="Arial" w:eastAsia="Arial" w:hAnsi="Arial"/>
                <w:sz w:val="16"/>
                <w:szCs w:val="16"/>
                <w:color w:val="auto"/>
              </w:rPr>
              <w:t>February 25, 2020</w:t>
            </w:r>
          </w:p>
        </w:tc>
        <w:tc>
          <w:tcPr>
            <w:tcW w:w="760" w:type="dxa"/>
            <w:vAlign w:val="bottom"/>
          </w:tcPr>
          <w:p>
            <w:pPr>
              <w:jc w:val="right"/>
              <w:spacing w:after="0"/>
              <w:rPr>
                <w:sz w:val="20"/>
                <w:szCs w:val="20"/>
                <w:color w:val="auto"/>
              </w:rPr>
            </w:pPr>
            <w:r>
              <w:rPr>
                <w:rFonts w:ascii="Arial" w:cs="Arial" w:eastAsia="Arial" w:hAnsi="Arial"/>
                <w:sz w:val="16"/>
                <w:szCs w:val="16"/>
                <w:color w:val="auto"/>
              </w:rPr>
              <w:t>64,880</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3,792,236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M. Roberts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3,067,456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8865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80" w:right="280" w:hanging="572"/>
        <w:spacing w:after="0" w:line="304" w:lineRule="auto"/>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shares covered by the options granted to Mr. Mueller, Dr. Meyer, Mr. Bachus, and Mr. Mildenhall vested in five successive equal annual installments upon the completion of each year of service with us over the five year period measured from the respective date of grant. All such options are fully vested and exercisable.</w:t>
      </w:r>
    </w:p>
    <w:p>
      <w:pPr>
        <w:spacing w:after="0" w:line="1" w:lineRule="exact"/>
        <w:rPr>
          <w:rFonts w:ascii="Arial" w:cs="Arial" w:eastAsia="Arial" w:hAnsi="Arial"/>
          <w:sz w:val="14"/>
          <w:szCs w:val="14"/>
          <w:color w:val="auto"/>
        </w:rPr>
      </w:pPr>
    </w:p>
    <w:p>
      <w:pPr>
        <w:ind w:left="580" w:right="20" w:hanging="572"/>
        <w:spacing w:after="0" w:line="292" w:lineRule="auto"/>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restricted stock awards granted to Mr. Mueller, Dr. Meyer, Mr. Bachus, Mr. Mildenhall, and Mr. Roberts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within twelve (12) months following a change in control of the Company. Mr. Mueller, Dr. Meyer, Mr. Bachus and Mr. Mildenhall also receive partial accelerated vesting through the next vesting date immediately following the date of termination, upon the termination of employment by us without Cause or by the executive for Good Reason (as further discussed below).</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Option Exercises and Stock Vested</w:t>
      </w:r>
    </w:p>
    <w:p>
      <w:pPr>
        <w:spacing w:after="0" w:line="77"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The following table provides certain summary information concerning option awards exercised by our named executive officers, and restricted stock awards made to our named executive officers that vested, during the fiscal year ended December 31,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Option Awards</w:t>
            </w:r>
          </w:p>
        </w:tc>
        <w:tc>
          <w:tcPr>
            <w:tcW w:w="4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44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4"/>
                <w:szCs w:val="14"/>
                <w:b w:val="1"/>
                <w:bCs w:val="1"/>
                <w:color w:val="auto"/>
                <w:w w:val="89"/>
              </w:rPr>
              <w:t>Value Realized</w:t>
            </w:r>
          </w:p>
        </w:tc>
        <w:tc>
          <w:tcPr>
            <w:tcW w:w="46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Number of Shares</w:t>
            </w:r>
          </w:p>
        </w:tc>
        <w:tc>
          <w:tcPr>
            <w:tcW w:w="40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7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15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2"/>
              </w:rPr>
              <w:t>Acquired on Exercise (#)</w:t>
            </w:r>
          </w:p>
        </w:tc>
        <w:tc>
          <w:tcPr>
            <w:tcW w:w="440" w:type="dxa"/>
            <w:vAlign w:val="bottom"/>
          </w:tcPr>
          <w:p>
            <w:pPr>
              <w:spacing w:after="0"/>
              <w:rPr>
                <w:sz w:val="14"/>
                <w:szCs w:val="14"/>
                <w:color w:val="auto"/>
              </w:rPr>
            </w:pPr>
          </w:p>
        </w:tc>
        <w:tc>
          <w:tcPr>
            <w:tcW w:w="920" w:type="dxa"/>
            <w:vAlign w:val="bottom"/>
            <w:tcBorders>
              <w:bottom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w w:val="88"/>
              </w:rPr>
              <w:t xml:space="preserve">on Exercise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460" w:type="dxa"/>
            <w:vAlign w:val="bottom"/>
          </w:tcPr>
          <w:p>
            <w:pPr>
              <w:spacing w:after="0"/>
              <w:rPr>
                <w:sz w:val="14"/>
                <w:szCs w:val="14"/>
                <w:color w:val="auto"/>
              </w:rPr>
            </w:pPr>
          </w:p>
        </w:tc>
        <w:tc>
          <w:tcPr>
            <w:tcW w:w="14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2"/>
              </w:rPr>
              <w:t>Acquired on Vesting (#)</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8"/>
              </w:rPr>
              <w:t xml:space="preserve">on Vesting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Mr. Brian E. Mueller</w:t>
            </w:r>
          </w:p>
        </w:tc>
        <w:tc>
          <w:tcPr>
            <w:tcW w:w="186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400,000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12,673,620</w:t>
            </w:r>
          </w:p>
        </w:tc>
        <w:tc>
          <w:tcPr>
            <w:tcW w:w="1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w w:val="93"/>
              </w:rPr>
              <w:t>40,800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w w:val="98"/>
              </w:rPr>
              <w:t>1,678,962</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520" w:type="dxa"/>
            <w:vAlign w:val="bottom"/>
            <w:gridSpan w:val="2"/>
          </w:tcPr>
          <w:p>
            <w:pPr>
              <w:spacing w:after="0"/>
              <w:rPr>
                <w:sz w:val="20"/>
                <w:szCs w:val="20"/>
                <w:color w:val="auto"/>
              </w:rPr>
            </w:pPr>
            <w:r>
              <w:rPr>
                <w:rFonts w:ascii="Arial" w:cs="Arial" w:eastAsia="Arial" w:hAnsi="Arial"/>
                <w:sz w:val="16"/>
                <w:szCs w:val="16"/>
                <w:color w:val="auto"/>
              </w:rPr>
              <w:t>Dr. W. Stan Meyer</w:t>
            </w:r>
          </w:p>
        </w:tc>
        <w:tc>
          <w:tcPr>
            <w:tcW w:w="186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100,000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20"/>
              <w:spacing w:after="0"/>
              <w:rPr>
                <w:sz w:val="20"/>
                <w:szCs w:val="20"/>
                <w:color w:val="auto"/>
              </w:rPr>
            </w:pPr>
            <w:r>
              <w:rPr>
                <w:rFonts w:ascii="Arial" w:cs="Arial" w:eastAsia="Arial" w:hAnsi="Arial"/>
                <w:sz w:val="16"/>
                <w:szCs w:val="16"/>
                <w:color w:val="auto"/>
              </w:rPr>
              <w:t>3,175,365</w:t>
            </w:r>
          </w:p>
        </w:tc>
        <w:tc>
          <w:tcPr>
            <w:tcW w:w="1920" w:type="dxa"/>
            <w:vAlign w:val="bottom"/>
            <w:gridSpan w:val="2"/>
          </w:tcPr>
          <w:p>
            <w:pPr>
              <w:jc w:val="center"/>
              <w:ind w:left="379"/>
              <w:spacing w:after="0"/>
              <w:rPr>
                <w:sz w:val="20"/>
                <w:szCs w:val="20"/>
                <w:color w:val="auto"/>
              </w:rPr>
            </w:pPr>
            <w:r>
              <w:rPr>
                <w:rFonts w:ascii="Arial" w:cs="Arial" w:eastAsia="Arial" w:hAnsi="Arial"/>
                <w:sz w:val="16"/>
                <w:szCs w:val="16"/>
                <w:color w:val="auto"/>
                <w:w w:val="93"/>
              </w:rPr>
              <w:t>21,760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8"/>
              <w:spacing w:after="0"/>
              <w:rPr>
                <w:sz w:val="20"/>
                <w:szCs w:val="20"/>
                <w:color w:val="auto"/>
              </w:rPr>
            </w:pPr>
            <w:r>
              <w:rPr>
                <w:rFonts w:ascii="Arial" w:cs="Arial" w:eastAsia="Arial" w:hAnsi="Arial"/>
                <w:sz w:val="16"/>
                <w:szCs w:val="16"/>
                <w:color w:val="auto"/>
              </w:rPr>
              <w:t>895,446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Mr. Daniel E. Bachus</w:t>
            </w:r>
          </w:p>
        </w:tc>
        <w:tc>
          <w:tcPr>
            <w:tcW w:w="186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color w:val="auto"/>
                <w:w w:val="89"/>
              </w:rPr>
              <w:t>75,000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2,403,013</w:t>
            </w:r>
          </w:p>
        </w:tc>
        <w:tc>
          <w:tcPr>
            <w:tcW w:w="1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w w:val="93"/>
              </w:rPr>
              <w:t>21,760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895,446</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520" w:type="dxa"/>
            <w:vAlign w:val="bottom"/>
            <w:gridSpan w:val="2"/>
          </w:tcPr>
          <w:p>
            <w:pPr>
              <w:spacing w:after="0"/>
              <w:rPr>
                <w:sz w:val="20"/>
                <w:szCs w:val="20"/>
                <w:color w:val="auto"/>
              </w:rPr>
            </w:pPr>
            <w:r>
              <w:rPr>
                <w:rFonts w:ascii="Arial" w:cs="Arial" w:eastAsia="Arial" w:hAnsi="Arial"/>
                <w:sz w:val="16"/>
                <w:szCs w:val="16"/>
                <w:color w:val="auto"/>
              </w:rPr>
              <w:t>Mr. Joseph N. Mildenhall</w:t>
            </w:r>
          </w:p>
        </w:tc>
        <w:tc>
          <w:tcPr>
            <w:tcW w:w="186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94,000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20"/>
              <w:spacing w:after="0"/>
              <w:rPr>
                <w:sz w:val="20"/>
                <w:szCs w:val="20"/>
                <w:color w:val="auto"/>
              </w:rPr>
            </w:pPr>
            <w:r>
              <w:rPr>
                <w:rFonts w:ascii="Arial" w:cs="Arial" w:eastAsia="Arial" w:hAnsi="Arial"/>
                <w:sz w:val="16"/>
                <w:szCs w:val="16"/>
                <w:color w:val="auto"/>
              </w:rPr>
              <w:t>2,563,864</w:t>
            </w:r>
          </w:p>
        </w:tc>
        <w:tc>
          <w:tcPr>
            <w:tcW w:w="1920" w:type="dxa"/>
            <w:vAlign w:val="bottom"/>
            <w:gridSpan w:val="2"/>
          </w:tcPr>
          <w:p>
            <w:pPr>
              <w:jc w:val="center"/>
              <w:ind w:left="379"/>
              <w:spacing w:after="0"/>
              <w:rPr>
                <w:sz w:val="20"/>
                <w:szCs w:val="20"/>
                <w:color w:val="auto"/>
              </w:rPr>
            </w:pPr>
            <w:r>
              <w:rPr>
                <w:rFonts w:ascii="Arial" w:cs="Arial" w:eastAsia="Arial" w:hAnsi="Arial"/>
                <w:sz w:val="16"/>
                <w:szCs w:val="16"/>
                <w:color w:val="auto"/>
                <w:w w:val="93"/>
              </w:rPr>
              <w:t>24,560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8"/>
              <w:spacing w:after="0"/>
              <w:rPr>
                <w:sz w:val="20"/>
                <w:szCs w:val="20"/>
                <w:color w:val="auto"/>
              </w:rPr>
            </w:pPr>
            <w:r>
              <w:rPr>
                <w:rFonts w:ascii="Arial" w:cs="Arial" w:eastAsia="Arial" w:hAnsi="Arial"/>
                <w:sz w:val="16"/>
                <w:szCs w:val="16"/>
                <w:color w:val="auto"/>
                <w:w w:val="98"/>
              </w:rPr>
              <w:t>1,014,978</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Mr. Brian M. Roberts</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w w:val="93"/>
              </w:rPr>
              <w:t>15,360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625,390</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94" w:lineRule="exact"/>
        <w:rPr>
          <w:sz w:val="20"/>
          <w:szCs w:val="20"/>
          <w:color w:val="auto"/>
        </w:rPr>
      </w:pPr>
    </w:p>
    <w:p>
      <w:pPr>
        <w:ind w:right="160" w:firstLine="571"/>
        <w:spacing w:after="0" w:line="297" w:lineRule="auto"/>
        <w:rPr>
          <w:sz w:val="20"/>
          <w:szCs w:val="20"/>
          <w:color w:val="auto"/>
        </w:rPr>
      </w:pPr>
      <w:r>
        <w:rPr>
          <w:rFonts w:ascii="Arial" w:cs="Arial" w:eastAsia="Arial" w:hAnsi="Arial"/>
          <w:sz w:val="16"/>
          <w:szCs w:val="16"/>
          <w:color w:val="auto"/>
        </w:rPr>
        <w:t>We are party to employment agreements with each of our named executive officers. Each of the agreements have a four-year term that automatically renews for one year periods after the initial four-year term unless either party provides written notice that it does not wish to renew the respective agreement. On January 21, 2016, the Compensation Committee approved an amendment to the employment agreements for each of our named executive officers to re-set the term of each employment agreement, such that each agreement has been extended for an additional four-years through June 30, 2020. Except with respect to certain items of compensation, as described below, the terms of each agreement are similar in all material respects.</w:t>
      </w:r>
    </w:p>
    <w:p>
      <w:pPr>
        <w:spacing w:after="0" w:line="23" w:lineRule="exact"/>
        <w:rPr>
          <w:sz w:val="20"/>
          <w:szCs w:val="20"/>
          <w:color w:val="auto"/>
        </w:rPr>
      </w:pPr>
    </w:p>
    <w:p>
      <w:pPr>
        <w:ind w:left="1120" w:right="440" w:hanging="545"/>
        <w:spacing w:after="0" w:line="277" w:lineRule="auto"/>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Mr. Mildenhall, and Mr. Roberts provide for a base salary and a target bonus under our Annual Cash Incentive Plan.</w:t>
      </w:r>
    </w:p>
    <w:p>
      <w:pPr>
        <w:spacing w:after="0" w:line="35" w:lineRule="exact"/>
        <w:rPr>
          <w:rFonts w:ascii="Arial" w:cs="Arial" w:eastAsia="Arial" w:hAnsi="Arial"/>
          <w:sz w:val="18"/>
          <w:szCs w:val="18"/>
          <w:color w:val="auto"/>
        </w:rPr>
      </w:pPr>
    </w:p>
    <w:p>
      <w:pPr>
        <w:ind w:left="1120" w:right="140" w:hanging="545"/>
        <w:spacing w:after="0" w:line="277" w:lineRule="auto"/>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35" w:lineRule="exact"/>
        <w:rPr>
          <w:rFonts w:ascii="Arial" w:cs="Arial" w:eastAsia="Arial" w:hAnsi="Arial"/>
          <w:sz w:val="18"/>
          <w:szCs w:val="18"/>
          <w:color w:val="auto"/>
        </w:rPr>
      </w:pPr>
    </w:p>
    <w:p>
      <w:pPr>
        <w:ind w:left="1120" w:hanging="545"/>
        <w:spacing w:after="0"/>
        <w:tabs>
          <w:tab w:leader="none" w:pos="11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agreement entitles the executive to certain benefits upon his or her termination of employment under specified circumstances.</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each of the above employment agreements provides for payments upon certain terminations of the executive’s employment, as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77"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90"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46" w:lineRule="exact"/>
        <w:rPr>
          <w:sz w:val="20"/>
          <w:szCs w:val="20"/>
          <w:color w:val="auto"/>
        </w:rPr>
      </w:pPr>
    </w:p>
    <w:p>
      <w:pPr>
        <w:ind w:left="1120" w:right="140" w:hanging="545"/>
        <w:spacing w:after="0" w:line="255"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severance payment in an amount equal to the sum of (i) twelve (12) months of the executive’s base salary then in effect on the date of termination date (except for Mr. Roberts, whose payments would be equivalent to six (6) months of his base salary), and (ii) for Mr. Mueller, Dr. Meyer, Mr. Bachus and Mr. Mildenhall,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58" w:lineRule="exact"/>
        <w:rPr>
          <w:rFonts w:ascii="Arial" w:cs="Arial" w:eastAsia="Arial" w:hAnsi="Arial"/>
          <w:sz w:val="18"/>
          <w:szCs w:val="18"/>
          <w:color w:val="auto"/>
        </w:rPr>
      </w:pPr>
    </w:p>
    <w:p>
      <w:pPr>
        <w:ind w:left="1120" w:right="100" w:hanging="545"/>
        <w:spacing w:after="0" w:line="257"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by us of the premiums required to continue the executive’s group health care coverage for a period of twelve (12) months following the executive’s termination (except for Mr. Roberts whose payments would be for a period of six (6) months following his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53" w:lineRule="exact"/>
        <w:rPr>
          <w:rFonts w:ascii="Arial" w:cs="Arial" w:eastAsia="Arial" w:hAnsi="Arial"/>
          <w:sz w:val="18"/>
          <w:szCs w:val="18"/>
          <w:color w:val="auto"/>
        </w:rPr>
      </w:pPr>
    </w:p>
    <w:p>
      <w:pPr>
        <w:jc w:val="both"/>
        <w:ind w:left="1120" w:right="220" w:hanging="545"/>
        <w:spacing w:after="0" w:line="264"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Mr. Mueller, Dr. Meyer, Mr. Bachus and Mr. Mildenhall, acceleration of the vesting of the next annual installment under any outstanding stock option or restricted stock award that otherwise would have vested on the next vesting date following the named executive officer’s termination.</w:t>
      </w:r>
    </w:p>
    <w:p>
      <w:pPr>
        <w:spacing w:after="0" w:line="73"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80" w:lineRule="exact"/>
        <w:rPr>
          <w:sz w:val="20"/>
          <w:szCs w:val="20"/>
          <w:color w:val="auto"/>
        </w:rPr>
      </w:pPr>
    </w:p>
    <w:p>
      <w:pPr>
        <w:ind w:right="160" w:firstLine="571"/>
        <w:spacing w:after="0" w:line="272" w:lineRule="auto"/>
        <w:rPr>
          <w:sz w:val="20"/>
          <w:szCs w:val="20"/>
          <w:color w:val="auto"/>
        </w:rPr>
      </w:pPr>
      <w:r>
        <w:rPr>
          <w:rFonts w:ascii="Arial" w:cs="Arial" w:eastAsia="Arial" w:hAnsi="Arial"/>
          <w:sz w:val="17"/>
          <w:szCs w:val="17"/>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77" w:lineRule="exact"/>
        <w:rPr>
          <w:sz w:val="20"/>
          <w:szCs w:val="20"/>
          <w:color w:val="auto"/>
        </w:rPr>
      </w:pPr>
    </w:p>
    <w:p>
      <w:pPr>
        <w:jc w:val="both"/>
        <w:ind w:firstLine="571"/>
        <w:spacing w:after="0" w:line="285"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117" w:lineRule="exact"/>
        <w:rPr>
          <w:sz w:val="20"/>
          <w:szCs w:val="20"/>
          <w:color w:val="auto"/>
        </w:rPr>
      </w:pPr>
    </w:p>
    <w:p>
      <w:pPr>
        <w:ind w:right="180" w:firstLine="571"/>
        <w:spacing w:after="0" w:line="291" w:lineRule="auto"/>
        <w:rPr>
          <w:sz w:val="20"/>
          <w:szCs w:val="20"/>
          <w:color w:val="auto"/>
        </w:rPr>
      </w:pPr>
      <w:r>
        <w:rPr>
          <w:rFonts w:ascii="Arial" w:cs="Arial" w:eastAsia="Arial" w:hAnsi="Arial"/>
          <w:sz w:val="16"/>
          <w:szCs w:val="16"/>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w:t>
      </w:r>
    </w:p>
    <w:p>
      <w:pPr>
        <w:ind w:right="20" w:firstLine="8"/>
        <w:spacing w:after="0" w:line="268" w:lineRule="auto"/>
        <w:tabs>
          <w:tab w:leader="none" w:pos="345" w:val="left"/>
        </w:tabs>
        <w:numPr>
          <w:ilvl w:val="0"/>
          <w:numId w:val="52"/>
        </w:numPr>
        <w:rPr>
          <w:rFonts w:ascii="Arial" w:cs="Arial" w:eastAsia="Arial" w:hAnsi="Arial"/>
          <w:sz w:val="17"/>
          <w:szCs w:val="17"/>
          <w:color w:val="auto"/>
        </w:rPr>
      </w:pPr>
      <w:r>
        <w:rPr>
          <w:rFonts w:ascii="Arial" w:cs="Arial" w:eastAsia="Arial" w:hAnsi="Arial"/>
          <w:sz w:val="17"/>
          <w:szCs w:val="17"/>
          <w:color w:val="auto"/>
        </w:rPr>
        <w:t>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20" w:firstLine="571"/>
        <w:spacing w:after="0" w:line="257" w:lineRule="auto"/>
        <w:rPr>
          <w:sz w:val="20"/>
          <w:szCs w:val="20"/>
          <w:color w:val="auto"/>
        </w:rPr>
      </w:pPr>
      <w:r>
        <w:rPr>
          <w:rFonts w:ascii="Arial" w:cs="Arial" w:eastAsia="Arial" w:hAnsi="Arial"/>
          <w:sz w:val="18"/>
          <w:szCs w:val="18"/>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2016, the last business day of fiscal year 2016.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18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Termination without Cause or for Good Reason</w:t>
            </w:r>
          </w:p>
        </w:tc>
        <w:tc>
          <w:tcPr>
            <w:tcW w:w="240" w:type="dxa"/>
            <w:vAlign w:val="bottom"/>
          </w:tcPr>
          <w:p>
            <w:pPr>
              <w:spacing w:after="0"/>
              <w:rPr>
                <w:sz w:val="14"/>
                <w:szCs w:val="14"/>
                <w:color w:val="auto"/>
              </w:rPr>
            </w:pPr>
          </w:p>
        </w:tc>
        <w:tc>
          <w:tcPr>
            <w:tcW w:w="3540" w:type="dxa"/>
            <w:vAlign w:val="bottom"/>
            <w:gridSpan w:val="7"/>
          </w:tcPr>
          <w:p>
            <w:pPr>
              <w:ind w:left="200"/>
              <w:spacing w:after="0"/>
              <w:rPr>
                <w:sz w:val="20"/>
                <w:szCs w:val="20"/>
                <w:color w:val="auto"/>
              </w:rPr>
            </w:pPr>
            <w:r>
              <w:rPr>
                <w:rFonts w:ascii="Arial" w:cs="Arial" w:eastAsia="Arial" w:hAnsi="Arial"/>
                <w:sz w:val="14"/>
                <w:szCs w:val="14"/>
                <w:b w:val="1"/>
                <w:bCs w:val="1"/>
                <w:color w:val="auto"/>
              </w:rPr>
              <w:t>Termination without Cause or for Good Reason</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4180" w:type="dxa"/>
            <w:vAlign w:val="bottom"/>
            <w:gridSpan w:val="7"/>
            <w:vMerge w:val="continue"/>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gridSpan w:val="7"/>
          </w:tcPr>
          <w:p>
            <w:pPr>
              <w:ind w:left="700"/>
              <w:spacing w:after="0"/>
              <w:rPr>
                <w:sz w:val="20"/>
                <w:szCs w:val="20"/>
                <w:color w:val="auto"/>
              </w:rPr>
            </w:pPr>
            <w:r>
              <w:rPr>
                <w:rFonts w:ascii="Arial" w:cs="Arial" w:eastAsia="Arial" w:hAnsi="Arial"/>
                <w:sz w:val="14"/>
                <w:szCs w:val="14"/>
                <w:b w:val="1"/>
                <w:bCs w:val="1"/>
                <w:color w:val="auto"/>
              </w:rPr>
              <w:t>following a Change in Control</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3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Cash</w:t>
            </w:r>
          </w:p>
        </w:tc>
        <w:tc>
          <w:tcPr>
            <w:tcW w:w="7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84"/>
              <w:spacing w:after="0" w:line="119" w:lineRule="exact"/>
              <w:rPr>
                <w:sz w:val="20"/>
                <w:szCs w:val="20"/>
                <w:color w:val="auto"/>
              </w:rPr>
            </w:pPr>
            <w:r>
              <w:rPr>
                <w:rFonts w:ascii="Arial" w:cs="Arial" w:eastAsia="Arial" w:hAnsi="Arial"/>
                <w:sz w:val="13"/>
                <w:szCs w:val="13"/>
                <w:b w:val="1"/>
                <w:bCs w:val="1"/>
                <w:color w:val="auto"/>
              </w:rPr>
              <w:t>Acceleration of</w:t>
            </w:r>
          </w:p>
        </w:tc>
        <w:tc>
          <w:tcPr>
            <w:tcW w:w="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4"/>
              <w:spacing w:after="0" w:line="119" w:lineRule="exact"/>
              <w:rPr>
                <w:sz w:val="20"/>
                <w:szCs w:val="20"/>
                <w:color w:val="auto"/>
              </w:rPr>
            </w:pPr>
            <w:r>
              <w:rPr>
                <w:rFonts w:ascii="Arial" w:cs="Arial" w:eastAsia="Arial" w:hAnsi="Arial"/>
                <w:sz w:val="13"/>
                <w:szCs w:val="13"/>
                <w:b w:val="1"/>
                <w:bCs w:val="1"/>
                <w:color w:val="auto"/>
              </w:rPr>
              <w:t>Acceleration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Cash Payment</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Payment</w:t>
            </w: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and Options</w:t>
            </w:r>
          </w:p>
        </w:tc>
        <w:tc>
          <w:tcPr>
            <w:tcW w:w="142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and Options</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9"/>
              </w:rPr>
              <w:t>($)(3)</w:t>
            </w: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($)(1)</w:t>
            </w: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9"/>
              </w:rPr>
              <w:t>($)(3)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Brian E. Mueller</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1,284,000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13,166</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2,707,404</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1,284,000</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$ 13,166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6,803,580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Dr. W. Stan Meyer</w:t>
            </w:r>
          </w:p>
        </w:tc>
        <w:tc>
          <w:tcPr>
            <w:tcW w:w="960" w:type="dxa"/>
            <w:vAlign w:val="bottom"/>
          </w:tcPr>
          <w:p>
            <w:pPr>
              <w:jc w:val="right"/>
              <w:spacing w:after="0"/>
              <w:rPr>
                <w:sz w:val="20"/>
                <w:szCs w:val="20"/>
                <w:color w:val="auto"/>
              </w:rPr>
            </w:pPr>
            <w:r>
              <w:rPr>
                <w:rFonts w:ascii="Arial" w:cs="Arial" w:eastAsia="Arial" w:hAnsi="Arial"/>
                <w:sz w:val="16"/>
                <w:szCs w:val="16"/>
                <w:color w:val="auto"/>
              </w:rPr>
              <w:t>656,250</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15,899</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1,443,949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656,250</w:t>
            </w:r>
          </w:p>
        </w:tc>
        <w:tc>
          <w:tcPr>
            <w:tcW w:w="660" w:type="dxa"/>
            <w:vAlign w:val="bottom"/>
          </w:tcPr>
          <w:p>
            <w:pPr>
              <w:jc w:val="right"/>
              <w:spacing w:after="0"/>
              <w:rPr>
                <w:sz w:val="20"/>
                <w:szCs w:val="20"/>
                <w:color w:val="auto"/>
              </w:rPr>
            </w:pPr>
            <w:r>
              <w:rPr>
                <w:rFonts w:ascii="Arial" w:cs="Arial" w:eastAsia="Arial" w:hAnsi="Arial"/>
                <w:sz w:val="16"/>
                <w:szCs w:val="16"/>
                <w:color w:val="auto"/>
              </w:rPr>
              <w:t>15,899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3,628,576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Daniel E. Bachus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656,250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15,899</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1,443,949</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656,250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15,899</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3,628,576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Joseph N. Mildenhall</w:t>
            </w:r>
          </w:p>
        </w:tc>
        <w:tc>
          <w:tcPr>
            <w:tcW w:w="960" w:type="dxa"/>
            <w:vAlign w:val="bottom"/>
          </w:tcPr>
          <w:p>
            <w:pPr>
              <w:jc w:val="right"/>
              <w:spacing w:after="0"/>
              <w:rPr>
                <w:sz w:val="20"/>
                <w:szCs w:val="20"/>
                <w:color w:val="auto"/>
              </w:rPr>
            </w:pPr>
            <w:r>
              <w:rPr>
                <w:rFonts w:ascii="Arial" w:cs="Arial" w:eastAsia="Arial" w:hAnsi="Arial"/>
                <w:sz w:val="16"/>
                <w:szCs w:val="16"/>
                <w:color w:val="auto"/>
              </w:rPr>
              <w:t>481,500</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10,587</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1,607,609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481,500</w:t>
            </w:r>
          </w:p>
        </w:tc>
        <w:tc>
          <w:tcPr>
            <w:tcW w:w="660" w:type="dxa"/>
            <w:vAlign w:val="bottom"/>
          </w:tcPr>
          <w:p>
            <w:pPr>
              <w:jc w:val="right"/>
              <w:spacing w:after="0"/>
              <w:rPr>
                <w:sz w:val="20"/>
                <w:szCs w:val="20"/>
                <w:color w:val="auto"/>
              </w:rPr>
            </w:pPr>
            <w:r>
              <w:rPr>
                <w:rFonts w:ascii="Arial" w:cs="Arial" w:eastAsia="Arial" w:hAnsi="Arial"/>
                <w:sz w:val="16"/>
                <w:szCs w:val="16"/>
                <w:color w:val="auto"/>
              </w:rPr>
              <w:t>10,587</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3,792,236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Brian M. Roberts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137,500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8865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Assumes a termination date of December 31, 2016, and is based on the executive’s salary and target bonus in effect at such date.</w:t>
      </w:r>
    </w:p>
    <w:p>
      <w:pPr>
        <w:spacing w:after="0" w:line="22"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Reflects the cost related to the continuation of the executive’s health benefits for the period specified.</w:t>
      </w:r>
    </w:p>
    <w:p>
      <w:pPr>
        <w:spacing w:after="0" w:line="18" w:lineRule="exact"/>
        <w:rPr>
          <w:rFonts w:ascii="Arial" w:cs="Arial" w:eastAsia="Arial" w:hAnsi="Arial"/>
          <w:sz w:val="16"/>
          <w:szCs w:val="16"/>
          <w:color w:val="auto"/>
        </w:rPr>
      </w:pPr>
    </w:p>
    <w:p>
      <w:pPr>
        <w:ind w:left="580" w:right="20" w:hanging="572"/>
        <w:spacing w:after="0" w:line="288"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Calculated based on an assumed termination date of December 31, 2016 and the closing market price of our common stock on the Nasdaq Global Market on such date, less the applicable exercise price for each option for which vesting is accelerated.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Kevin F. Warren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Sara R. Dial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580" w:type="dxa"/>
            <w:vAlign w:val="bottom"/>
          </w:tcPr>
          <w:p>
            <w:pPr>
              <w:jc w:val="center"/>
              <w:ind w:right="2777"/>
              <w:spacing w:after="0"/>
              <w:rPr>
                <w:sz w:val="20"/>
                <w:szCs w:val="20"/>
                <w:color w:val="auto"/>
              </w:rPr>
            </w:pPr>
            <w:r>
              <w:rPr>
                <w:rFonts w:ascii="Arial" w:cs="Arial" w:eastAsia="Arial" w:hAnsi="Arial"/>
                <w:sz w:val="18"/>
                <w:szCs w:val="18"/>
                <w:b w:val="1"/>
                <w:bCs w:val="1"/>
                <w:color w:val="auto"/>
                <w:w w:val="96"/>
              </w:rPr>
              <w:t>PROPOSAL NO. 4</w:t>
            </w:r>
          </w:p>
        </w:tc>
      </w:tr>
      <w:tr>
        <w:trPr>
          <w:trHeight w:val="216"/>
        </w:trPr>
        <w:tc>
          <w:tcPr>
            <w:tcW w:w="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580" w:type="dxa"/>
            <w:vAlign w:val="bottom"/>
          </w:tcPr>
          <w:p>
            <w:pPr>
              <w:jc w:val="center"/>
              <w:ind w:right="2777"/>
              <w:spacing w:after="0"/>
              <w:rPr>
                <w:sz w:val="20"/>
                <w:szCs w:val="20"/>
                <w:color w:val="auto"/>
              </w:rPr>
            </w:pPr>
            <w:r>
              <w:rPr>
                <w:rFonts w:ascii="Arial" w:cs="Arial" w:eastAsia="Arial" w:hAnsi="Arial"/>
                <w:sz w:val="18"/>
                <w:szCs w:val="18"/>
                <w:b w:val="1"/>
                <w:bCs w:val="1"/>
                <w:color w:val="auto"/>
              </w:rPr>
              <w:t>ADVISORY (NON-BINDING) VOTE ON THE FREQUENCY</w:t>
            </w:r>
          </w:p>
        </w:tc>
      </w:tr>
      <w:tr>
        <w:trPr>
          <w:trHeight w:val="234"/>
        </w:trPr>
        <w:tc>
          <w:tcPr>
            <w:tcW w:w="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580" w:type="dxa"/>
            <w:vAlign w:val="bottom"/>
          </w:tcPr>
          <w:p>
            <w:pPr>
              <w:jc w:val="center"/>
              <w:ind w:right="2777"/>
              <w:spacing w:after="0"/>
              <w:rPr>
                <w:sz w:val="20"/>
                <w:szCs w:val="20"/>
                <w:color w:val="auto"/>
              </w:rPr>
            </w:pPr>
            <w:r>
              <w:rPr>
                <w:rFonts w:ascii="Arial" w:cs="Arial" w:eastAsia="Arial" w:hAnsi="Arial"/>
                <w:sz w:val="18"/>
                <w:szCs w:val="18"/>
                <w:b w:val="1"/>
                <w:bCs w:val="1"/>
                <w:color w:val="auto"/>
              </w:rPr>
              <w:t>OF FUTURE ADVISORY VOTES ON EXECUTIVE COMPENSATION</w:t>
            </w:r>
          </w:p>
        </w:tc>
      </w:tr>
      <w:tr>
        <w:trPr>
          <w:trHeight w:val="243"/>
        </w:trPr>
        <w:tc>
          <w:tcPr>
            <w:tcW w:w="9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spacing w:after="0"/>
              <w:rPr>
                <w:sz w:val="21"/>
                <w:szCs w:val="21"/>
                <w:color w:val="auto"/>
              </w:rPr>
            </w:pPr>
          </w:p>
        </w:tc>
      </w:tr>
      <w:tr>
        <w:trPr>
          <w:trHeight w:val="389"/>
        </w:trPr>
        <w:tc>
          <w:tcPr>
            <w:tcW w:w="960" w:type="dxa"/>
            <w:vAlign w:val="bottom"/>
            <w:tcBorders>
              <w:left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90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What am I voting on?</w:t>
            </w: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w w:val="91"/>
              </w:rPr>
              <w:t>Stockholders are being asked to approve, on an advisory basis, the frequency of future advisory Say-on-Pay votes on</w:t>
            </w:r>
          </w:p>
        </w:tc>
      </w:tr>
      <w:tr>
        <w:trPr>
          <w:trHeight w:val="203"/>
        </w:trPr>
        <w:tc>
          <w:tcPr>
            <w:tcW w:w="960" w:type="dxa"/>
            <w:vAlign w:val="bottom"/>
            <w:tcBorders>
              <w:lef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w w:val="91"/>
              </w:rPr>
              <w:t>the compensation of the Company’s named executive officers. Stockholders may cast a non-binding advisory vote on</w:t>
            </w:r>
          </w:p>
        </w:tc>
      </w:tr>
      <w:tr>
        <w:trPr>
          <w:trHeight w:val="203"/>
        </w:trPr>
        <w:tc>
          <w:tcPr>
            <w:tcW w:w="960" w:type="dxa"/>
            <w:vAlign w:val="bottom"/>
            <w:tcBorders>
              <w:lef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w w:val="96"/>
              </w:rPr>
              <w:t>whether they would prefer that we hold the advisory Say-on-Pay vote every year, every two years or every three</w:t>
            </w:r>
          </w:p>
        </w:tc>
      </w:tr>
      <w:tr>
        <w:trPr>
          <w:trHeight w:val="206"/>
        </w:trPr>
        <w:tc>
          <w:tcPr>
            <w:tcW w:w="960" w:type="dxa"/>
            <w:vAlign w:val="bottom"/>
            <w:tcBorders>
              <w:lef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rPr>
              <w:t>years. Stockholders may also abstain from voting on this matter</w:t>
            </w:r>
          </w:p>
        </w:tc>
      </w:tr>
      <w:tr>
        <w:trPr>
          <w:trHeight w:val="415"/>
        </w:trPr>
        <w:tc>
          <w:tcPr>
            <w:tcW w:w="960" w:type="dxa"/>
            <w:vAlign w:val="bottom"/>
            <w:tcBorders>
              <w:left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900" w:type="dxa"/>
            <w:vAlign w:val="bottom"/>
          </w:tcPr>
          <w:p>
            <w:pPr>
              <w:ind w:left="200"/>
              <w:spacing w:after="0"/>
              <w:rPr>
                <w:sz w:val="20"/>
                <w:szCs w:val="20"/>
                <w:color w:val="auto"/>
              </w:rPr>
            </w:pPr>
            <w:r>
              <w:rPr>
                <w:rFonts w:ascii="Arial" w:cs="Arial" w:eastAsia="Arial" w:hAnsi="Arial"/>
                <w:sz w:val="16"/>
                <w:szCs w:val="16"/>
                <w:b w:val="1"/>
                <w:bCs w:val="1"/>
                <w:i w:val="1"/>
                <w:iCs w:val="1"/>
                <w:color w:val="auto"/>
                <w:w w:val="89"/>
              </w:rPr>
              <w:t>Voting recommendation:</w:t>
            </w: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w w:val="94"/>
              </w:rPr>
              <w:t>Our Board of Directors unanimously recommends that you vote for the option of “</w:t>
            </w:r>
            <w:r>
              <w:rPr>
                <w:rFonts w:ascii="Arial" w:cs="Arial" w:eastAsia="Arial" w:hAnsi="Arial"/>
                <w:sz w:val="16"/>
                <w:szCs w:val="16"/>
                <w:b w:val="1"/>
                <w:bCs w:val="1"/>
                <w:color w:val="auto"/>
                <w:w w:val="94"/>
              </w:rPr>
              <w:t>EVERY YEAR</w:t>
            </w:r>
            <w:r>
              <w:rPr>
                <w:rFonts w:ascii="Arial" w:cs="Arial" w:eastAsia="Arial" w:hAnsi="Arial"/>
                <w:sz w:val="16"/>
                <w:szCs w:val="16"/>
                <w:color w:val="auto"/>
                <w:w w:val="94"/>
              </w:rPr>
              <w:t>” as the frequency</w:t>
            </w:r>
          </w:p>
        </w:tc>
      </w:tr>
      <w:tr>
        <w:trPr>
          <w:trHeight w:val="206"/>
        </w:trPr>
        <w:tc>
          <w:tcPr>
            <w:tcW w:w="960" w:type="dxa"/>
            <w:vAlign w:val="bottom"/>
            <w:tcBorders>
              <w:lef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rPr>
              <w:t>of future Say-on-Pay votes.</w:t>
            </w:r>
          </w:p>
        </w:tc>
      </w:tr>
      <w:tr>
        <w:trPr>
          <w:trHeight w:val="415"/>
        </w:trPr>
        <w:tc>
          <w:tcPr>
            <w:tcW w:w="960" w:type="dxa"/>
            <w:vAlign w:val="bottom"/>
            <w:tcBorders>
              <w:left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90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Vote required:</w:t>
            </w: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w w:val="92"/>
              </w:rPr>
              <w:t>The affirmative vote of a majority of the shares present in person or represented by proxy at the Annual Meeting and</w:t>
            </w:r>
          </w:p>
        </w:tc>
      </w:tr>
      <w:tr>
        <w:trPr>
          <w:trHeight w:val="203"/>
        </w:trPr>
        <w:tc>
          <w:tcPr>
            <w:tcW w:w="960" w:type="dxa"/>
            <w:vAlign w:val="bottom"/>
            <w:tcBorders>
              <w:lef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w w:val="93"/>
              </w:rPr>
              <w:t>entitled to vote. Broker non-votes will have no effect on the outcome of this proposal, while abstentions will have the</w:t>
            </w:r>
          </w:p>
        </w:tc>
      </w:tr>
      <w:tr>
        <w:trPr>
          <w:trHeight w:val="203"/>
        </w:trPr>
        <w:tc>
          <w:tcPr>
            <w:tcW w:w="960" w:type="dxa"/>
            <w:vAlign w:val="bottom"/>
            <w:tcBorders>
              <w:lef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w w:val="96"/>
              </w:rPr>
              <w:t>effect of a vote against this proposal. If a majority of the shares present in person or represented by proxy at the</w:t>
            </w:r>
          </w:p>
        </w:tc>
      </w:tr>
      <w:tr>
        <w:trPr>
          <w:trHeight w:val="203"/>
        </w:trPr>
        <w:tc>
          <w:tcPr>
            <w:tcW w:w="960" w:type="dxa"/>
            <w:vAlign w:val="bottom"/>
            <w:tcBorders>
              <w:lef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8580" w:type="dxa"/>
            <w:vAlign w:val="bottom"/>
            <w:tcBorders>
              <w:right w:val="single" w:sz="8" w:color="auto"/>
            </w:tcBorders>
          </w:tcPr>
          <w:p>
            <w:pPr>
              <w:ind w:left="920"/>
              <w:spacing w:after="0"/>
              <w:rPr>
                <w:sz w:val="20"/>
                <w:szCs w:val="20"/>
                <w:color w:val="auto"/>
              </w:rPr>
            </w:pPr>
            <w:r>
              <w:rPr>
                <w:rFonts w:ascii="Arial" w:cs="Arial" w:eastAsia="Arial" w:hAnsi="Arial"/>
                <w:sz w:val="16"/>
                <w:szCs w:val="16"/>
                <w:color w:val="auto"/>
                <w:w w:val="93"/>
              </w:rPr>
              <w:t>Annual Meeting and entitled to vote do not vote in favor of one of the three frequencies, the frequency that receives</w:t>
            </w:r>
          </w:p>
        </w:tc>
      </w:tr>
      <w:tr>
        <w:trPr>
          <w:trHeight w:val="209"/>
        </w:trPr>
        <w:tc>
          <w:tcPr>
            <w:tcW w:w="960" w:type="dxa"/>
            <w:vAlign w:val="bottom"/>
            <w:tcBorders>
              <w:left w:val="single" w:sz="8" w:color="auto"/>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5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the highest number of votes will be considered to be the frequency favored by stockholders.</w:t>
            </w:r>
          </w:p>
        </w:tc>
      </w:tr>
    </w:tbl>
    <w:p>
      <w:pPr>
        <w:spacing w:after="0" w:line="175"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 addition to holding an advisory say-on-pay vote on executive compensation (see Proposal 2), the Dodd-Frank Act also requires that we conduct a separate non-binding advisory vote on the frequency of future say-on-pay votes, commonly referred to as a “Say-When-on-Pay” vote. Stockholders may cast a non-binding advisory vote on whether they would prefer that we hold the advisory Say-on-Pay vote every year, every two years or every three years. Stockholders may also abstain from voting on this matter.</w:t>
      </w:r>
    </w:p>
    <w:p>
      <w:pPr>
        <w:spacing w:after="0" w:line="187" w:lineRule="exact"/>
        <w:rPr>
          <w:sz w:val="20"/>
          <w:szCs w:val="20"/>
          <w:color w:val="auto"/>
        </w:rPr>
      </w:pPr>
    </w:p>
    <w:p>
      <w:pPr>
        <w:ind w:right="80" w:firstLine="571"/>
        <w:spacing w:after="0" w:line="264" w:lineRule="auto"/>
        <w:rPr>
          <w:sz w:val="20"/>
          <w:szCs w:val="20"/>
          <w:color w:val="auto"/>
        </w:rPr>
      </w:pPr>
      <w:r>
        <w:rPr>
          <w:rFonts w:ascii="Arial" w:cs="Arial" w:eastAsia="Arial" w:hAnsi="Arial"/>
          <w:sz w:val="18"/>
          <w:szCs w:val="18"/>
          <w:color w:val="auto"/>
        </w:rPr>
        <w:t>At the Company’s 2011 annual meeting of stockholders, the stockholders voted on the first advisory Say-When-on-Pay vote, electing to hold an advisory Say-on-Pay vote every year. Accordingly, following the Company’s 2011 annual meeting of stockholders, the Board voluntarily determined to hold annual advisory votes on executive compensation.</w:t>
      </w:r>
    </w:p>
    <w:p>
      <w:pPr>
        <w:spacing w:after="0" w:line="181" w:lineRule="exact"/>
        <w:rPr>
          <w:sz w:val="20"/>
          <w:szCs w:val="20"/>
          <w:color w:val="auto"/>
        </w:rPr>
      </w:pPr>
    </w:p>
    <w:p>
      <w:pPr>
        <w:ind w:right="220" w:firstLine="571"/>
        <w:spacing w:after="0" w:line="264" w:lineRule="auto"/>
        <w:rPr>
          <w:sz w:val="20"/>
          <w:szCs w:val="20"/>
          <w:color w:val="auto"/>
        </w:rPr>
      </w:pPr>
      <w:r>
        <w:rPr>
          <w:rFonts w:ascii="Arial" w:cs="Arial" w:eastAsia="Arial" w:hAnsi="Arial"/>
          <w:sz w:val="18"/>
          <w:szCs w:val="18"/>
          <w:color w:val="auto"/>
        </w:rPr>
        <w:t>We are required to solicit stockholder approval of the frequency of future Say-on-Pay proposals at least once every six years, although we may seek stockholder input more frequently. For the reasons described below, our Board recommends that our stockholders select a frequency of every year, or an annual vote.</w:t>
      </w:r>
    </w:p>
    <w:p>
      <w:pPr>
        <w:spacing w:after="0" w:line="181" w:lineRule="exact"/>
        <w:rPr>
          <w:sz w:val="20"/>
          <w:szCs w:val="20"/>
          <w:color w:val="auto"/>
        </w:rPr>
      </w:pPr>
    </w:p>
    <w:p>
      <w:pPr>
        <w:ind w:right="160" w:firstLine="571"/>
        <w:spacing w:after="0" w:line="264" w:lineRule="auto"/>
        <w:rPr>
          <w:sz w:val="20"/>
          <w:szCs w:val="20"/>
          <w:color w:val="auto"/>
        </w:rPr>
      </w:pPr>
      <w:r>
        <w:rPr>
          <w:rFonts w:ascii="Arial" w:cs="Arial" w:eastAsia="Arial" w:hAnsi="Arial"/>
          <w:sz w:val="18"/>
          <w:szCs w:val="18"/>
          <w:color w:val="auto"/>
        </w:rPr>
        <w:t>Our Board believes that the Company’s current executive compensation programs directly link executive compensation to our financial performance and align the interests of our executive officers with those of our stockholders. Our Board has determined that an advisory vote on executive compensation every year is the best approach for the Company based on a number of considerations, including the following:</w:t>
      </w:r>
    </w:p>
    <w:p>
      <w:pPr>
        <w:spacing w:after="0" w:line="208" w:lineRule="exact"/>
        <w:rPr>
          <w:sz w:val="20"/>
          <w:szCs w:val="20"/>
          <w:color w:val="auto"/>
        </w:rPr>
      </w:pPr>
    </w:p>
    <w:p>
      <w:pPr>
        <w:ind w:left="1480" w:right="560" w:hanging="446"/>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 votes will allow stockholders to provide the Company with their direct input on the compensation philosophy, policies and practices as disclosed in the proxy statement every year;</w:t>
      </w:r>
    </w:p>
    <w:p>
      <w:pPr>
        <w:spacing w:after="0" w:line="197" w:lineRule="exact"/>
        <w:rPr>
          <w:rFonts w:ascii="Arial" w:cs="Arial" w:eastAsia="Arial" w:hAnsi="Arial"/>
          <w:sz w:val="18"/>
          <w:szCs w:val="18"/>
          <w:color w:val="auto"/>
        </w:rPr>
      </w:pPr>
    </w:p>
    <w:p>
      <w:pPr>
        <w:ind w:left="1480" w:right="120" w:hanging="446"/>
        <w:spacing w:after="0" w:line="342"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Annual votes are consistent with Company policies of seeking input, as and when necessary, from, and engaging in discussions with, the Company’s stockholders on corporate governance matters and executive compensation philosophy, policies and practices; and</w:t>
      </w:r>
    </w:p>
    <w:p>
      <w:pPr>
        <w:spacing w:after="0" w:line="150" w:lineRule="exact"/>
        <w:rPr>
          <w:rFonts w:ascii="Arial" w:cs="Arial" w:eastAsia="Arial" w:hAnsi="Arial"/>
          <w:sz w:val="16"/>
          <w:szCs w:val="16"/>
          <w:color w:val="auto"/>
        </w:rPr>
      </w:pPr>
    </w:p>
    <w:p>
      <w:pPr>
        <w:ind w:left="1480" w:hanging="446"/>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Less frequent votes could allow an unpopular pay practice to continue too long without timely feedback.</w:t>
      </w:r>
    </w:p>
    <w:p>
      <w:pPr>
        <w:spacing w:after="0" w:line="225" w:lineRule="exact"/>
        <w:rPr>
          <w:sz w:val="20"/>
          <w:szCs w:val="20"/>
          <w:color w:val="auto"/>
        </w:rPr>
      </w:pPr>
    </w:p>
    <w:p>
      <w:pPr>
        <w:ind w:right="220" w:firstLine="571"/>
        <w:spacing w:after="0" w:line="312" w:lineRule="auto"/>
        <w:rPr>
          <w:sz w:val="20"/>
          <w:szCs w:val="20"/>
          <w:color w:val="auto"/>
        </w:rPr>
      </w:pPr>
      <w:r>
        <w:rPr>
          <w:rFonts w:ascii="Arial" w:cs="Arial" w:eastAsia="Arial" w:hAnsi="Arial"/>
          <w:sz w:val="16"/>
          <w:szCs w:val="16"/>
          <w:color w:val="auto"/>
        </w:rPr>
        <w:t>The Board believes that giving our stockholders the right to cast an advisory vote every year on their approval of the compensation arrangements of our named executive officers is a good corporate governance practice and is in the best interests of our stockholders. We understand that stockholders may have different views as to what is the best approach for the Company, and we look forward to hearing from our stockholders on this proposal.</w:t>
      </w:r>
    </w:p>
    <w:p>
      <w:pPr>
        <w:spacing w:after="0" w:line="147" w:lineRule="exact"/>
        <w:rPr>
          <w:sz w:val="20"/>
          <w:szCs w:val="20"/>
          <w:color w:val="auto"/>
        </w:rPr>
      </w:pPr>
    </w:p>
    <w:p>
      <w:pPr>
        <w:ind w:right="80" w:firstLine="571"/>
        <w:spacing w:after="0" w:line="264" w:lineRule="auto"/>
        <w:rPr>
          <w:sz w:val="20"/>
          <w:szCs w:val="20"/>
          <w:color w:val="auto"/>
        </w:rPr>
      </w:pPr>
      <w:r>
        <w:rPr>
          <w:rFonts w:ascii="Arial" w:cs="Arial" w:eastAsia="Arial" w:hAnsi="Arial"/>
          <w:sz w:val="18"/>
          <w:szCs w:val="18"/>
          <w:color w:val="auto"/>
        </w:rPr>
        <w:t>Stockholders are not voting to approve or disapprove the recommendation of our Board. Rather, stockholders are being provided with the opportunity to cast a non-binding advisory vote on whether the advisory Say-on-Pay vote should occur (i) every year, (ii) every two years or (iii) every three years, or to abstain from voting on the matter.</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40"/>
          </w:cols>
          <w:pgMar w:left="240" w:top="459" w:right="2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vote on this proposal is advisory, and, therefore, is not binding on the Company, our Board or our Compensation Committee in any way. However, our Board and our Compensation Committee value the opinions of our stockholders and will take into account the outcome of the vote in determining the frequency of future advisory votes on the compensation of our named executive officers.</w:t>
      </w:r>
    </w:p>
    <w:p>
      <w:pPr>
        <w:spacing w:after="0" w:line="393" w:lineRule="exact"/>
        <w:rPr>
          <w:sz w:val="20"/>
          <w:szCs w:val="20"/>
          <w:color w:val="auto"/>
        </w:rPr>
      </w:pPr>
    </w:p>
    <w:p>
      <w:pPr>
        <w:jc w:val="both"/>
        <w:ind w:right="480" w:firstLine="913"/>
        <w:spacing w:after="0" w:line="347" w:lineRule="auto"/>
        <w:rPr>
          <w:sz w:val="20"/>
          <w:szCs w:val="20"/>
          <w:color w:val="auto"/>
        </w:rPr>
      </w:pPr>
      <w:r>
        <w:rPr>
          <w:rFonts w:ascii="Arial" w:cs="Arial" w:eastAsia="Arial" w:hAnsi="Arial"/>
          <w:sz w:val="16"/>
          <w:szCs w:val="16"/>
          <w:b w:val="1"/>
          <w:bCs w:val="1"/>
          <w:color w:val="auto"/>
        </w:rPr>
        <w:t xml:space="preserve">Our Board of Directors unanimously recommends that you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the option of “EVERY YEAR” as the frequency with which stockholders are provided an advisory vote on executive compensation, as disclosed pursuant to Item 402 of Regulation S-K of the SEC rules.</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409"/>
        </w:trPr>
        <w:tc>
          <w:tcPr>
            <w:tcW w:w="2800" w:type="dxa"/>
            <w:vAlign w:val="bottom"/>
            <w:tcBorders>
              <w:top w:val="single" w:sz="8" w:color="auto"/>
              <w:left w:val="single" w:sz="8" w:color="auto"/>
            </w:tcBorders>
            <w:gridSpan w:val="2"/>
          </w:tcPr>
          <w:p>
            <w:pPr>
              <w:ind w:left="4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What am I voting on?</w:t>
            </w:r>
          </w:p>
        </w:tc>
        <w:tc>
          <w:tcPr>
            <w:tcW w:w="86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color w:val="auto"/>
                <w:w w:val="96"/>
              </w:rPr>
              <w:t>Stockholders are being asked to ratify the appointment of KPMG LLP, a registered public accounting firm, to serve as the</w:t>
            </w:r>
          </w:p>
        </w:tc>
      </w:tr>
      <w:tr>
        <w:trPr>
          <w:trHeight w:val="206"/>
        </w:trPr>
        <w:tc>
          <w:tcPr>
            <w:tcW w:w="620" w:type="dxa"/>
            <w:vAlign w:val="bottom"/>
            <w:tcBorders>
              <w:left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86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Company’s independent registered public accounting firm for the fiscal year ending December 31, 2017.</w:t>
            </w:r>
          </w:p>
        </w:tc>
      </w:tr>
      <w:tr>
        <w:trPr>
          <w:trHeight w:val="415"/>
        </w:trPr>
        <w:tc>
          <w:tcPr>
            <w:tcW w:w="620" w:type="dxa"/>
            <w:vAlign w:val="bottom"/>
            <w:tcBorders>
              <w:lef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18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Voting recommendation:</w:t>
            </w:r>
          </w:p>
        </w:tc>
        <w:tc>
          <w:tcPr>
            <w:tcW w:w="86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w w:val="97"/>
              </w:rPr>
              <w:t>Our Board of Directors unanimously recommends that you vote “</w:t>
            </w:r>
            <w:r>
              <w:rPr>
                <w:rFonts w:ascii="Arial" w:cs="Arial" w:eastAsia="Arial" w:hAnsi="Arial"/>
                <w:sz w:val="16"/>
                <w:szCs w:val="16"/>
                <w:b w:val="1"/>
                <w:bCs w:val="1"/>
                <w:color w:val="auto"/>
                <w:w w:val="97"/>
              </w:rPr>
              <w:t>FOR</w:t>
            </w:r>
            <w:r>
              <w:rPr>
                <w:rFonts w:ascii="Arial" w:cs="Arial" w:eastAsia="Arial" w:hAnsi="Arial"/>
                <w:sz w:val="16"/>
                <w:szCs w:val="16"/>
                <w:color w:val="auto"/>
                <w:w w:val="97"/>
              </w:rPr>
              <w:t>” the ratification of the appointment of KPMG LLP</w:t>
            </w:r>
          </w:p>
        </w:tc>
      </w:tr>
      <w:tr>
        <w:trPr>
          <w:trHeight w:val="206"/>
        </w:trPr>
        <w:tc>
          <w:tcPr>
            <w:tcW w:w="620" w:type="dxa"/>
            <w:vAlign w:val="bottom"/>
            <w:tcBorders>
              <w:left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86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as our independent registered public accounting firm for the fiscal year ending December 31, 2017.</w:t>
            </w:r>
          </w:p>
        </w:tc>
      </w:tr>
      <w:tr>
        <w:trPr>
          <w:trHeight w:val="415"/>
        </w:trPr>
        <w:tc>
          <w:tcPr>
            <w:tcW w:w="620" w:type="dxa"/>
            <w:vAlign w:val="bottom"/>
            <w:tcBorders>
              <w:lef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18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Vote required:</w:t>
            </w:r>
          </w:p>
        </w:tc>
        <w:tc>
          <w:tcPr>
            <w:tcW w:w="86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w w:val="95"/>
              </w:rPr>
              <w:t>The affirmative vote of the majority of shares present in person or represented by proxy at the Annual Meeting and entitled</w:t>
            </w:r>
          </w:p>
        </w:tc>
      </w:tr>
      <w:tr>
        <w:trPr>
          <w:trHeight w:val="203"/>
        </w:trPr>
        <w:tc>
          <w:tcPr>
            <w:tcW w:w="620" w:type="dxa"/>
            <w:vAlign w:val="bottom"/>
            <w:tcBorders>
              <w:left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86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to vote. Brokers have discretion to vote on the ratification of our independent auditors and, as such, no votes on this</w:t>
            </w:r>
          </w:p>
        </w:tc>
      </w:tr>
      <w:tr>
        <w:trPr>
          <w:trHeight w:val="209"/>
        </w:trPr>
        <w:tc>
          <w:tcPr>
            <w:tcW w:w="620" w:type="dxa"/>
            <w:vAlign w:val="bottom"/>
            <w:tcBorders>
              <w:left w:val="single" w:sz="8" w:color="auto"/>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86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proposal will be considered broker non-votes. Abstentions will have the effect of a vote against this proposal</w:t>
            </w:r>
          </w:p>
        </w:tc>
      </w:tr>
    </w:tbl>
    <w:p>
      <w:pPr>
        <w:spacing w:after="0" w:line="20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Audit Committee of the Board of Directors has selected KPMG LLP (“KPMG”), an independent registered public accounting firm, to audit our consolidated financial statements for the year ending December 31, 2017.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2017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2017.</w:t>
      </w:r>
    </w:p>
    <w:p>
      <w:pPr>
        <w:spacing w:after="0" w:line="18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66"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2017.</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For the years ended December 31, 2016 and 2015,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184" w:lineRule="exact"/>
        <w:rPr>
          <w:sz w:val="20"/>
          <w:szCs w:val="20"/>
          <w:color w:val="auto"/>
        </w:rPr>
      </w:pPr>
    </w:p>
    <w:tbl>
      <w:tblPr>
        <w:tblLayout w:type="fixed"/>
        <w:tblInd w:w="1040" w:type="dxa"/>
        <w:tblCellMar>
          <w:top w:w="0" w:type="dxa"/>
          <w:left w:w="0" w:type="dxa"/>
          <w:bottom w:w="0" w:type="dxa"/>
          <w:right w:w="0" w:type="dxa"/>
        </w:tblCellMar>
      </w:tblPr>
      <w:tr>
        <w:trPr>
          <w:trHeight w:val="19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Services Rendered</w:t>
            </w: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12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3240" w:type="dxa"/>
            <w:vAlign w:val="bottom"/>
            <w:tcBorders>
              <w:top w:val="single" w:sz="8" w:color="CCEEFF"/>
            </w:tcBorders>
            <w:shd w:val="clear" w:color="auto" w:fill="CCEEFF"/>
          </w:tcPr>
          <w:p>
            <w:pPr>
              <w:spacing w:after="0"/>
              <w:rPr>
                <w:sz w:val="16"/>
                <w:szCs w:val="16"/>
                <w:color w:val="auto"/>
              </w:rPr>
            </w:pPr>
          </w:p>
        </w:tc>
        <w:tc>
          <w:tcPr>
            <w:tcW w:w="3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615,000</w:t>
            </w: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560,000</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Arial" w:cs="Arial" w:eastAsia="Arial" w:hAnsi="Arial"/>
                <w:sz w:val="16"/>
                <w:szCs w:val="16"/>
                <w:color w:val="auto"/>
              </w:rPr>
              <w:t>Audit-Related Fees</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32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Fees</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3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Fees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615,000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560,000</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34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Audit Fees in 2016 and 2015 relate to services rendered for the audits of our annual consolidated financial statements, for the review of our quarterly financial statements, and for services that are normally provided by the auditor in connection with statutory and regulatory filings or engagements.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40"/>
          </w:cols>
          <w:pgMar w:left="240" w:top="459" w:right="2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2016 and 2015 were approved by our Audit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The Audit Committee operates under a written charter adopted by the Board that outlines its responsibilities and the practices it follows. You can view the charter on the Company’s website, </w:t>
      </w:r>
      <w:r>
        <w:rPr>
          <w:rFonts w:ascii="Arial" w:cs="Arial" w:eastAsia="Arial" w:hAnsi="Arial"/>
          <w:sz w:val="18"/>
          <w:szCs w:val="18"/>
          <w:i w:val="1"/>
          <w:iCs w:val="1"/>
          <w:u w:val="single" w:color="auto"/>
          <w:color w:val="0000FF"/>
        </w:rPr>
        <w:t>www.gcu.edu</w:t>
      </w:r>
      <w:r>
        <w:rPr>
          <w:rFonts w:ascii="Arial" w:cs="Arial" w:eastAsia="Arial" w:hAnsi="Arial"/>
          <w:sz w:val="18"/>
          <w:szCs w:val="18"/>
          <w:color w:val="auto"/>
        </w:rPr>
        <w:t>.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“Committees of Our Board of Directors” on page 10.</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is composed of three, non-employee directors, each of whom the Board has determined meet the independence and financial literacy requirements of the Nasdaq Stock Market and additional, heightened independence criteria applicable to members of the Audit Committee under SEC and Nasdaq Stock Market rules. The Board has designated each of Jack A. Henry, David J. Johnson and Kevin F. Warren as “audit committee financial experts” under the SEC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 of the Audit Committee and the Audit Committee’s Activities in 2016</w:t>
      </w:r>
    </w:p>
    <w:p>
      <w:pPr>
        <w:spacing w:after="0" w:line="2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2016, among other things, the Audit Committee:</w:t>
      </w:r>
    </w:p>
    <w:p>
      <w:pPr>
        <w:spacing w:after="0" w:line="252" w:lineRule="exact"/>
        <w:rPr>
          <w:sz w:val="20"/>
          <w:szCs w:val="20"/>
          <w:color w:val="auto"/>
        </w:rPr>
      </w:pPr>
    </w:p>
    <w:p>
      <w:pPr>
        <w:ind w:left="1120" w:hanging="31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Engaged KPMG LLP (“KPMG”) as our independent auditors;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met with the senior members of the Company’s financial management team at each regularly scheduled meeting;</w:t>
      </w:r>
    </w:p>
    <w:p>
      <w:pPr>
        <w:spacing w:after="0" w:line="9" w:lineRule="exact"/>
        <w:rPr>
          <w:rFonts w:ascii="Arial" w:cs="Arial" w:eastAsia="Arial" w:hAnsi="Arial"/>
          <w:sz w:val="18"/>
          <w:szCs w:val="18"/>
          <w:color w:val="auto"/>
        </w:rPr>
      </w:pPr>
    </w:p>
    <w:p>
      <w:pPr>
        <w:ind w:left="1120" w:right="480" w:hanging="315"/>
        <w:spacing w:after="0" w:line="265" w:lineRule="auto"/>
        <w:tabs>
          <w:tab w:leader="none" w:pos="11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held separate private sessions, during its regularly scheduled meetings, with each of KPMG and our Chief Risk Officer, at which candid discussions regarding financial management, legal, accounting, auditing and internal control issues took place;</w:t>
      </w:r>
    </w:p>
    <w:p>
      <w:pPr>
        <w:ind w:left="1120" w:right="140" w:hanging="315"/>
        <w:spacing w:after="0" w:line="250"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p>
      <w:pPr>
        <w:spacing w:after="0" w:line="1" w:lineRule="exact"/>
        <w:rPr>
          <w:rFonts w:ascii="Arial" w:cs="Arial" w:eastAsia="Arial" w:hAnsi="Arial"/>
          <w:sz w:val="18"/>
          <w:szCs w:val="18"/>
          <w:color w:val="auto"/>
        </w:rPr>
      </w:pPr>
    </w:p>
    <w:p>
      <w:pPr>
        <w:ind w:left="1120" w:right="520" w:hanging="315"/>
        <w:spacing w:after="0" w:line="250"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discussed with KPMG the Company’s internal control assessment process, management’s assessment with respect thereto and KPMG’s evaluation of the Company’s system of internal control over financial reporting;</w:t>
      </w:r>
    </w:p>
    <w:p>
      <w:pPr>
        <w:ind w:left="1120" w:hanging="31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and discussed with management and KPMG the Company’s periodic reports prior to filing with the SEC;</w:t>
      </w:r>
    </w:p>
    <w:p>
      <w:pPr>
        <w:spacing w:after="0" w:line="9" w:lineRule="exact"/>
        <w:rPr>
          <w:rFonts w:ascii="Arial" w:cs="Arial" w:eastAsia="Arial" w:hAnsi="Arial"/>
          <w:sz w:val="18"/>
          <w:szCs w:val="18"/>
          <w:color w:val="auto"/>
        </w:rPr>
      </w:pPr>
    </w:p>
    <w:p>
      <w:pPr>
        <w:ind w:left="1180" w:hanging="375"/>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the Company’s internal audit plan and the performance of the Company’s internal audit function;</w:t>
      </w:r>
    </w:p>
    <w:p>
      <w:pPr>
        <w:spacing w:after="0" w:line="9" w:lineRule="exact"/>
        <w:rPr>
          <w:rFonts w:ascii="Arial" w:cs="Arial" w:eastAsia="Arial" w:hAnsi="Arial"/>
          <w:sz w:val="18"/>
          <w:szCs w:val="18"/>
          <w:color w:val="auto"/>
        </w:rPr>
      </w:pPr>
    </w:p>
    <w:p>
      <w:pPr>
        <w:jc w:val="both"/>
        <w:ind w:left="1120" w:right="100" w:hanging="315"/>
        <w:spacing w:after="0" w:line="250"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p>
      <w:pPr>
        <w:spacing w:after="0" w:line="1" w:lineRule="exact"/>
        <w:rPr>
          <w:rFonts w:ascii="Arial" w:cs="Arial" w:eastAsia="Arial" w:hAnsi="Arial"/>
          <w:sz w:val="18"/>
          <w:szCs w:val="18"/>
          <w:color w:val="auto"/>
        </w:rPr>
      </w:pPr>
    </w:p>
    <w:p>
      <w:pPr>
        <w:ind w:left="1120" w:right="160" w:hanging="315"/>
        <w:spacing w:after="0" w:line="255"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with management, including our Chief Risk Officer and General Counsel, and KPMG significant risks and exposures identified by management, the overall adequacy and effectiveness of the Company’s legal, regulatory and ethical compliance programs, including the Company’s code of conduct and cybersecurity programs.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Audited Financial Statements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2016, with management;</w:t>
      </w:r>
    </w:p>
    <w:p>
      <w:pPr>
        <w:spacing w:after="0" w:line="46" w:lineRule="exact"/>
        <w:rPr>
          <w:sz w:val="20"/>
          <w:szCs w:val="20"/>
          <w:color w:val="auto"/>
        </w:rPr>
      </w:pPr>
    </w:p>
    <w:p>
      <w:pPr>
        <w:ind w:right="40" w:firstLine="8"/>
        <w:spacing w:after="0" w:line="281"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discussed with our Company’s independent registered public accounting firm the matters required to be discussed by Public Company Oversight Board (PCAOB) Auditing Standard Number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(PCAOB General Auditing Standards 1300, </w:t>
      </w:r>
      <w:r>
        <w:rPr>
          <w:rFonts w:ascii="Arial" w:cs="Arial" w:eastAsia="Arial" w:hAnsi="Arial"/>
          <w:sz w:val="16"/>
          <w:szCs w:val="16"/>
          <w:i w:val="1"/>
          <w:iCs w:val="1"/>
          <w:color w:val="auto"/>
        </w:rPr>
        <w:t>Auditor Communications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80" w:firstLine="8"/>
        <w:spacing w:after="0" w:line="255"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19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2016, for filing with the Securities and Exchange Commission.</w:t>
      </w:r>
    </w:p>
    <w:p>
      <w:pPr>
        <w:spacing w:after="0" w:line="200" w:lineRule="exact"/>
        <w:rPr>
          <w:sz w:val="20"/>
          <w:szCs w:val="20"/>
          <w:color w:val="auto"/>
        </w:rPr>
      </w:pPr>
    </w:p>
    <w:p>
      <w:pPr>
        <w:spacing w:after="0" w:line="25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Audit Committee:</w:t>
      </w:r>
    </w:p>
    <w:p>
      <w:pPr>
        <w:spacing w:after="0" w:line="252"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David J. Johnson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Kevin F. Warren</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March 31, 2017 for:</w:t>
      </w:r>
    </w:p>
    <w:p>
      <w:pPr>
        <w:spacing w:after="0" w:line="13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beneficial ownership in this table are based on 47,829,172 shares outstanding at March 31, 2017</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0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860" w:type="dxa"/>
            <w:vAlign w:val="bottom"/>
            <w:gridSpan w:val="3"/>
          </w:tcPr>
          <w:p>
            <w:pPr>
              <w:jc w:val="center"/>
              <w:ind w:left="320"/>
              <w:spacing w:after="0" w:line="149" w:lineRule="exact"/>
              <w:rPr>
                <w:sz w:val="20"/>
                <w:szCs w:val="20"/>
                <w:color w:val="auto"/>
              </w:rPr>
            </w:pPr>
            <w:r>
              <w:rPr>
                <w:rFonts w:ascii="Arial" w:cs="Arial" w:eastAsia="Arial" w:hAnsi="Arial"/>
                <w:sz w:val="14"/>
                <w:szCs w:val="14"/>
                <w:b w:val="1"/>
                <w:bCs w:val="1"/>
                <w:color w:val="auto"/>
                <w:w w:val="93"/>
              </w:rPr>
              <w:t>Amount and Nature of</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Percent of Class</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Beneficial Ownership</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Principal Stockholders:</w:t>
            </w:r>
          </w:p>
        </w:tc>
        <w:tc>
          <w:tcPr>
            <w:tcW w:w="9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spacing w:after="0" w:line="202" w:lineRule="exact"/>
              <w:rPr>
                <w:sz w:val="20"/>
                <w:szCs w:val="20"/>
                <w:color w:val="auto"/>
              </w:rPr>
            </w:pPr>
            <w:r>
              <w:rPr>
                <w:rFonts w:ascii="Arial" w:cs="Arial" w:eastAsia="Arial" w:hAnsi="Arial"/>
                <w:sz w:val="14"/>
                <w:szCs w:val="14"/>
                <w:color w:val="auto"/>
              </w:rPr>
              <w:t>The Vanguard Group – 23-1945930</w:t>
            </w:r>
            <w:r>
              <w:rPr>
                <w:rFonts w:ascii="Arial" w:cs="Arial" w:eastAsia="Arial" w:hAnsi="Arial"/>
                <w:sz w:val="23"/>
                <w:szCs w:val="23"/>
                <w:color w:val="auto"/>
                <w:vertAlign w:val="superscript"/>
              </w:rPr>
              <w:t>(2)</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3,577,507</w:t>
            </w:r>
          </w:p>
        </w:tc>
        <w:tc>
          <w:tcPr>
            <w:tcW w:w="5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FMR LLC</w:t>
            </w:r>
            <w:r>
              <w:rPr>
                <w:rFonts w:ascii="Arial" w:cs="Arial" w:eastAsia="Arial" w:hAnsi="Arial"/>
                <w:sz w:val="23"/>
                <w:szCs w:val="23"/>
                <w:color w:val="auto"/>
                <w:vertAlign w:val="superscript"/>
              </w:rPr>
              <w:t>(3)</w:t>
            </w:r>
          </w:p>
        </w:tc>
        <w:tc>
          <w:tcPr>
            <w:tcW w:w="36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3,236,770</w:t>
            </w:r>
          </w:p>
        </w:tc>
        <w:tc>
          <w:tcPr>
            <w:tcW w:w="5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spacing w:after="0" w:line="202" w:lineRule="exact"/>
              <w:rPr>
                <w:sz w:val="20"/>
                <w:szCs w:val="20"/>
                <w:color w:val="auto"/>
              </w:rPr>
            </w:pPr>
            <w:r>
              <w:rPr>
                <w:rFonts w:ascii="Arial" w:cs="Arial" w:eastAsia="Arial" w:hAnsi="Arial"/>
                <w:sz w:val="14"/>
                <w:szCs w:val="14"/>
                <w:color w:val="auto"/>
              </w:rPr>
              <w:t>Riverbridge Partners LLC</w:t>
            </w:r>
            <w:r>
              <w:rPr>
                <w:rFonts w:ascii="Arial" w:cs="Arial" w:eastAsia="Arial" w:hAnsi="Arial"/>
                <w:sz w:val="23"/>
                <w:szCs w:val="23"/>
                <w:color w:val="auto"/>
                <w:vertAlign w:val="superscript"/>
              </w:rPr>
              <w:t>(4)</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2,859,508</w:t>
            </w:r>
          </w:p>
        </w:tc>
        <w:tc>
          <w:tcPr>
            <w:tcW w:w="5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BlackRock Inc.</w:t>
            </w:r>
            <w:r>
              <w:rPr>
                <w:rFonts w:ascii="Arial" w:cs="Arial" w:eastAsia="Arial" w:hAnsi="Arial"/>
                <w:sz w:val="23"/>
                <w:szCs w:val="23"/>
                <w:color w:val="auto"/>
                <w:vertAlign w:val="superscript"/>
              </w:rPr>
              <w:t>(5)</w:t>
            </w:r>
          </w:p>
        </w:tc>
        <w:tc>
          <w:tcPr>
            <w:tcW w:w="36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2,758,307</w:t>
            </w:r>
          </w:p>
        </w:tc>
        <w:tc>
          <w:tcPr>
            <w:tcW w:w="5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Directors and Named Executive Officers:</w:t>
            </w: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Brian E. Mueller</w:t>
            </w:r>
          </w:p>
        </w:tc>
        <w:tc>
          <w:tcPr>
            <w:tcW w:w="3680" w:type="dxa"/>
            <w:vAlign w:val="bottom"/>
            <w:shd w:val="clear" w:color="auto" w:fill="CCEEFF"/>
          </w:tcPr>
          <w:p>
            <w:pPr>
              <w:jc w:val="right"/>
              <w:ind w:right="3411"/>
              <w:spacing w:after="0"/>
              <w:rPr>
                <w:sz w:val="20"/>
                <w:szCs w:val="20"/>
                <w:color w:val="auto"/>
              </w:rPr>
            </w:pPr>
            <w:r>
              <w:rPr>
                <w:rFonts w:ascii="Arial" w:cs="Arial" w:eastAsia="Arial" w:hAnsi="Arial"/>
                <w:sz w:val="14"/>
                <w:szCs w:val="14"/>
                <w:color w:val="auto"/>
              </w:rPr>
              <w:t>(6)</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652,582</w:t>
            </w:r>
          </w:p>
        </w:tc>
        <w:tc>
          <w:tcPr>
            <w:tcW w:w="5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Dr. W. Stan Meyer </w:t>
            </w:r>
            <w:r>
              <w:rPr>
                <w:rFonts w:ascii="Arial" w:cs="Arial" w:eastAsia="Arial" w:hAnsi="Arial"/>
                <w:sz w:val="23"/>
                <w:szCs w:val="23"/>
                <w:color w:val="auto"/>
                <w:vertAlign w:val="superscript"/>
              </w:rPr>
              <w:t>(7)</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300,274</w:t>
            </w:r>
          </w:p>
        </w:tc>
        <w:tc>
          <w:tcPr>
            <w:tcW w:w="5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w w:val="96"/>
              </w:rPr>
              <w:t>Daniel E. Bachus</w:t>
            </w:r>
          </w:p>
        </w:tc>
        <w:tc>
          <w:tcPr>
            <w:tcW w:w="3680" w:type="dxa"/>
            <w:vAlign w:val="bottom"/>
            <w:shd w:val="clear" w:color="auto" w:fill="CCEEFF"/>
          </w:tcPr>
          <w:p>
            <w:pPr>
              <w:jc w:val="right"/>
              <w:ind w:right="3371"/>
              <w:spacing w:after="0"/>
              <w:rPr>
                <w:sz w:val="20"/>
                <w:szCs w:val="20"/>
                <w:color w:val="auto"/>
              </w:rPr>
            </w:pPr>
            <w:r>
              <w:rPr>
                <w:rFonts w:ascii="Arial" w:cs="Arial" w:eastAsia="Arial" w:hAnsi="Arial"/>
                <w:sz w:val="14"/>
                <w:szCs w:val="14"/>
                <w:color w:val="auto"/>
              </w:rPr>
              <w:t>(8)</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278,733</w:t>
            </w:r>
          </w:p>
        </w:tc>
        <w:tc>
          <w:tcPr>
            <w:tcW w:w="5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Joseph N. Mildenhall </w:t>
            </w:r>
            <w:r>
              <w:rPr>
                <w:rFonts w:ascii="Arial" w:cs="Arial" w:eastAsia="Arial" w:hAnsi="Arial"/>
                <w:sz w:val="23"/>
                <w:szCs w:val="23"/>
                <w:color w:val="auto"/>
                <w:vertAlign w:val="superscript"/>
              </w:rPr>
              <w:t>(9)</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122,973</w:t>
            </w:r>
          </w:p>
        </w:tc>
        <w:tc>
          <w:tcPr>
            <w:tcW w:w="5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w w:val="98"/>
              </w:rPr>
              <w:t>Brian M. Roberts</w:t>
            </w:r>
          </w:p>
        </w:tc>
        <w:tc>
          <w:tcPr>
            <w:tcW w:w="36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47,676</w:t>
            </w:r>
          </w:p>
        </w:tc>
        <w:tc>
          <w:tcPr>
            <w:tcW w:w="5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color w:val="auto"/>
              </w:rPr>
              <w:t>Sara R. Dial</w:t>
            </w:r>
          </w:p>
        </w:tc>
        <w:tc>
          <w:tcPr>
            <w:tcW w:w="3680" w:type="dxa"/>
            <w:vAlign w:val="bottom"/>
          </w:tcPr>
          <w:p>
            <w:pPr>
              <w:spacing w:after="0"/>
              <w:rPr>
                <w:sz w:val="17"/>
                <w:szCs w:val="17"/>
                <w:color w:val="auto"/>
              </w:rPr>
            </w:pP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7,948</w:t>
            </w:r>
          </w:p>
        </w:tc>
        <w:tc>
          <w:tcPr>
            <w:tcW w:w="5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Jack A. Henry</w:t>
            </w:r>
          </w:p>
        </w:tc>
        <w:tc>
          <w:tcPr>
            <w:tcW w:w="36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18,659</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color w:val="auto"/>
              </w:rPr>
              <w:t>Kevin F. Warren</w:t>
            </w:r>
          </w:p>
        </w:tc>
        <w:tc>
          <w:tcPr>
            <w:tcW w:w="3680" w:type="dxa"/>
            <w:vAlign w:val="bottom"/>
          </w:tcPr>
          <w:p>
            <w:pPr>
              <w:spacing w:after="0"/>
              <w:rPr>
                <w:sz w:val="17"/>
                <w:szCs w:val="17"/>
                <w:color w:val="auto"/>
              </w:rPr>
            </w:pP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8,017</w:t>
            </w:r>
          </w:p>
        </w:tc>
        <w:tc>
          <w:tcPr>
            <w:tcW w:w="5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w w:val="96"/>
              </w:rPr>
              <w:t>David J. Johnson</w:t>
            </w:r>
          </w:p>
        </w:tc>
        <w:tc>
          <w:tcPr>
            <w:tcW w:w="36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13,119</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All directors and executive officers as a group (9 persons)</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1,449,981</w:t>
            </w:r>
          </w:p>
        </w:tc>
        <w:tc>
          <w:tcPr>
            <w:tcW w:w="5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beneficial ownership of less than 1.0%</w:t>
      </w:r>
    </w:p>
    <w:p>
      <w:pPr>
        <w:spacing w:after="0" w:line="252" w:lineRule="exact"/>
        <w:rPr>
          <w:sz w:val="20"/>
          <w:szCs w:val="20"/>
          <w:color w:val="auto"/>
        </w:rPr>
      </w:pPr>
    </w:p>
    <w:p>
      <w:pPr>
        <w:ind w:left="460" w:right="20" w:hanging="452"/>
        <w:spacing w:after="0" w:line="25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80" w:hanging="452"/>
        <w:spacing w:after="0" w:line="30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information for The Vanguard Group – 23-1945930 is based on a Schedule 13G/A filed with the Securities and Exchange Commission on February 9, 2017. The address for The Vanguard Group – 23-1945930 is 100 Vanguard Blvd., Malvern, PA 19355.</w:t>
      </w:r>
    </w:p>
    <w:p>
      <w:pPr>
        <w:spacing w:after="0" w:line="51" w:lineRule="exact"/>
        <w:rPr>
          <w:rFonts w:ascii="Arial" w:cs="Arial" w:eastAsia="Arial" w:hAnsi="Arial"/>
          <w:sz w:val="17"/>
          <w:szCs w:val="17"/>
          <w:color w:val="auto"/>
        </w:rPr>
      </w:pPr>
    </w:p>
    <w:p>
      <w:pPr>
        <w:ind w:left="460" w:right="8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information for FMR LLC is based on a Schedule 13G filed with the Securities and Exchange Commission on February 13, 2017. The address for FMR LLC is 245 Summer Street, Boston, MA 02210.</w:t>
      </w:r>
    </w:p>
    <w:p>
      <w:pPr>
        <w:spacing w:after="0" w:line="75"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information for Riverbridge Partners LLC is based on a Schedule 13G/A filed with the Securities and Exchange Commission on January 24, 2017. The address for Riverbridge Partners is 80 South Eighth St., Suite 1200, Minneapolis, MN 55402.</w:t>
      </w:r>
    </w:p>
    <w:p>
      <w:pPr>
        <w:spacing w:after="0" w:line="75"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information for BlackRock Inc. is based on a Schedule 13G/A filed with the Securities and Exchange Commission on January 23, 2017. The address for BlackRock Inc.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10055.</w:t>
      </w:r>
    </w:p>
    <w:p>
      <w:pPr>
        <w:spacing w:after="0" w:line="75"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282,794 shares owned by Mr. Mueller and 369,788 shares issuable upon the exercise of stock options that are currently exercisable or exercisable within 60 days for by Mr. Mueller.</w:t>
      </w:r>
    </w:p>
    <w:p>
      <w:pPr>
        <w:spacing w:after="0" w:line="75" w:lineRule="exact"/>
        <w:rPr>
          <w:rFonts w:ascii="Arial" w:cs="Arial" w:eastAsia="Arial" w:hAnsi="Arial"/>
          <w:sz w:val="18"/>
          <w:szCs w:val="18"/>
          <w:color w:val="auto"/>
        </w:rPr>
      </w:pPr>
    </w:p>
    <w:p>
      <w:pPr>
        <w:ind w:left="460" w:right="72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98,959 shares owned by Dr. Meyer and 201,315 shares issuable upon the exercise of stock options that are currently exercisable or exercisable within 60 days for by Dr. Meyer.</w:t>
      </w:r>
    </w:p>
    <w:p>
      <w:pPr>
        <w:spacing w:after="0" w:line="75" w:lineRule="exact"/>
        <w:rPr>
          <w:rFonts w:ascii="Arial" w:cs="Arial" w:eastAsia="Arial" w:hAnsi="Arial"/>
          <w:sz w:val="18"/>
          <w:szCs w:val="18"/>
          <w:color w:val="auto"/>
        </w:rPr>
      </w:pPr>
    </w:p>
    <w:p>
      <w:pPr>
        <w:ind w:left="460" w:right="54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106,605 shares owned by Mr. Bachus and 172,128 shares issuable upon the exercise of stock options that are currently exercisable or exercisable within 60 days for by Mr. Bachus.</w:t>
      </w:r>
    </w:p>
    <w:p>
      <w:pPr>
        <w:spacing w:after="0" w:line="75"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103,073 shares owned by Mr. Mildenall and 19,900 shares issuable upon the exercise of stock options that are currently exercisable or exercisable within 60 days for by Mr. Mildenhall.</w:t>
      </w:r>
    </w:p>
    <w:p>
      <w:pPr>
        <w:spacing w:after="0" w:line="16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Set forth below is a summary of certain transactions since January 1, 2016,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Mind Streams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was a party to a revenue sharing arrangement with Mind Streams, L.L.C. (Mind Streams), which is owned and operated, in part, by Gail Richardson, the father of Brent D. Richardson, our former Chairman of the Board. Pursuant to this agreement and in accordance with the applicable rules and regulations of the Department of Education, we pay to Mind Streams a percentage of the net revenue that we receive from applicants to Grand Canyon University who were recruited by Mind Streams and who matriculate at the University. Mind Streams bears all costs associated with the recruitment of these applicants. For the year ended December 31, 2016, we expensed approximately $1.0 million pursuant to this agreement and, as of December 31, 2016, approximately $0.1 million was due to Mind Streams.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16(a) of the Exchange Act requires that our Company’s directors and executive officers and beneficial owners of more than 10% of the Company’s common stock file initial reports of ownership and reports of changes in ownership with the SEC. Directors and executive officers are required to furnish the Company with copies of all Section 16(a) forms they file. Based solely on a review of the copies of such forms furnished to the Company and written representations from our Company’s directors and executive officers, all reports required by Section 16(a) were filed on a timely basis for the fiscal year ended December 31, 2016.</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Our 2016 annual report and our Annual Report on Form 10-K for fiscal year 2016, including financial statements, are available electronically along with our proxy statement to all stockholders of record as of April 20, 2017,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w:t>
      </w:r>
    </w:p>
    <w:p>
      <w:pPr>
        <w:ind w:right="20"/>
        <w:spacing w:after="0" w:line="261" w:lineRule="auto"/>
        <w:rPr>
          <w:sz w:val="20"/>
          <w:szCs w:val="20"/>
          <w:color w:val="auto"/>
        </w:rPr>
      </w:pPr>
      <w:r>
        <w:rPr>
          <w:rFonts w:ascii="Arial" w:cs="Arial" w:eastAsia="Arial" w:hAnsi="Arial"/>
          <w:sz w:val="18"/>
          <w:szCs w:val="18"/>
          <w:b w:val="1"/>
          <w:bCs w:val="1"/>
          <w:color w:val="auto"/>
        </w:rPr>
        <w:t>Form 10-K, for the fiscal year ended December 31, 2016, and our proxy statement may do so without charge by writing to Investor Relations, Grand Canyon Education, Inc., 3300 W. Camelback Road, Phoenix, Arizona 85017.</w:t>
      </w:r>
    </w:p>
    <w:p>
      <w:pPr>
        <w:spacing w:after="0" w:line="18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GRAND CANYON EDUCATION,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2017 EQUITY INCENTIVE PLAN</w:t>
      </w:r>
    </w:p>
    <w:p>
      <w:pPr>
        <w:sectPr>
          <w:pgSz w:w="11900" w:h="16838" w:orient="portrait"/>
          <w:cols w:equalWidth="0" w:num="1">
            <w:col w:w="11420"/>
          </w:cols>
          <w:pgMar w:left="240" w:top="459"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Table of Contents</w:t>
              </w:r>
            </w:hyperlink>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571"/>
        </w:trPr>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gridSpan w:val="8"/>
          </w:tcPr>
          <w:p>
            <w:pPr>
              <w:jc w:val="center"/>
              <w:ind w:right="1940"/>
              <w:spacing w:after="0"/>
              <w:rPr>
                <w:sz w:val="20"/>
                <w:szCs w:val="20"/>
                <w:color w:val="auto"/>
              </w:rPr>
            </w:pPr>
            <w:r>
              <w:rPr>
                <w:rFonts w:ascii="Arial" w:cs="Arial" w:eastAsia="Arial" w:hAnsi="Arial"/>
                <w:sz w:val="22"/>
                <w:szCs w:val="22"/>
                <w:b w:val="1"/>
                <w:bCs w:val="1"/>
                <w:color w:val="auto"/>
                <w:w w:val="97"/>
              </w:rPr>
              <w:t>TABLE OF CONTENTS</w:t>
            </w:r>
          </w:p>
        </w:tc>
        <w:tc>
          <w:tcPr>
            <w:tcW w:w="2480" w:type="dxa"/>
            <w:vAlign w:val="bottom"/>
          </w:tcPr>
          <w:p>
            <w:pPr>
              <w:spacing w:after="0"/>
              <w:rPr>
                <w:sz w:val="24"/>
                <w:szCs w:val="24"/>
                <w:color w:val="auto"/>
              </w:rPr>
            </w:pPr>
          </w:p>
        </w:tc>
      </w:tr>
      <w:tr>
        <w:trPr>
          <w:trHeight w:val="486"/>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76"/>
        </w:trPr>
        <w:tc>
          <w:tcPr>
            <w:tcW w:w="660" w:type="dxa"/>
            <w:vAlign w:val="bottom"/>
          </w:tcPr>
          <w:p>
            <w:pPr>
              <w:spacing w:after="0"/>
              <w:rPr>
                <w:sz w:val="20"/>
                <w:szCs w:val="20"/>
                <w:color w:val="auto"/>
              </w:rPr>
            </w:pPr>
            <w:r>
              <w:rPr>
                <w:rFonts w:ascii="Arial" w:cs="Arial" w:eastAsia="Arial" w:hAnsi="Arial"/>
                <w:sz w:val="22"/>
                <w:szCs w:val="22"/>
                <w:color w:val="auto"/>
              </w:rPr>
              <w:t>1.</w:t>
            </w:r>
          </w:p>
        </w:tc>
        <w:tc>
          <w:tcPr>
            <w:tcW w:w="8220" w:type="dxa"/>
            <w:vAlign w:val="bottom"/>
            <w:gridSpan w:val="31"/>
          </w:tcPr>
          <w:p>
            <w:pPr>
              <w:spacing w:after="0"/>
              <w:rPr>
                <w:rFonts w:ascii="Arial" w:cs="Arial" w:eastAsia="Arial" w:hAnsi="Arial"/>
                <w:sz w:val="22"/>
                <w:szCs w:val="22"/>
                <w:color w:val="0000EE"/>
              </w:rPr>
            </w:pPr>
            <w:hyperlink w:anchor="page68">
              <w:r>
                <w:rPr>
                  <w:rFonts w:ascii="Arial" w:cs="Arial" w:eastAsia="Arial" w:hAnsi="Arial"/>
                  <w:sz w:val="22"/>
                  <w:szCs w:val="22"/>
                  <w:color w:val="0000EE"/>
                </w:rPr>
                <w:t>Establishment, Purpose and Term of Plan</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331"/>
        </w:trPr>
        <w:tc>
          <w:tcPr>
            <w:tcW w:w="660" w:type="dxa"/>
            <w:vAlign w:val="bottom"/>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22"/>
                <w:szCs w:val="22"/>
                <w:color w:val="auto"/>
              </w:rPr>
              <w:t>1.1</w:t>
            </w:r>
          </w:p>
        </w:tc>
        <w:tc>
          <w:tcPr>
            <w:tcW w:w="100" w:type="dxa"/>
            <w:vAlign w:val="bottom"/>
            <w:tcBorders>
              <w:top w:val="single" w:sz="8" w:color="0000EE"/>
            </w:tcBorders>
          </w:tcPr>
          <w:p>
            <w:pPr>
              <w:spacing w:after="0"/>
              <w:rPr>
                <w:sz w:val="24"/>
                <w:szCs w:val="24"/>
                <w:color w:val="auto"/>
              </w:rPr>
            </w:pPr>
          </w:p>
        </w:tc>
        <w:tc>
          <w:tcPr>
            <w:tcW w:w="1220" w:type="dxa"/>
            <w:vAlign w:val="bottom"/>
            <w:tcBorders>
              <w:top w:val="single" w:sz="8" w:color="0000EE"/>
              <w:bottom w:val="single" w:sz="8" w:color="0000EE"/>
            </w:tcBorders>
            <w:gridSpan w:val="8"/>
          </w:tcPr>
          <w:p>
            <w:pPr>
              <w:spacing w:after="0"/>
              <w:rPr>
                <w:rFonts w:ascii="Arial" w:cs="Arial" w:eastAsia="Arial" w:hAnsi="Arial"/>
                <w:sz w:val="22"/>
                <w:szCs w:val="22"/>
                <w:color w:val="0000EE"/>
                <w:w w:val="86"/>
              </w:rPr>
            </w:pPr>
            <w:hyperlink w:anchor="page68">
              <w:r>
                <w:rPr>
                  <w:rFonts w:ascii="Arial" w:cs="Arial" w:eastAsia="Arial" w:hAnsi="Arial"/>
                  <w:sz w:val="22"/>
                  <w:szCs w:val="22"/>
                  <w:color w:val="0000EE"/>
                  <w:w w:val="86"/>
                </w:rPr>
                <w:t>Establishment</w:t>
              </w:r>
            </w:hyperlink>
          </w:p>
        </w:tc>
        <w:tc>
          <w:tcPr>
            <w:tcW w:w="1560" w:type="dxa"/>
            <w:vAlign w:val="bottom"/>
            <w:tcBorders>
              <w:top w:val="single" w:sz="8" w:color="0000EE"/>
            </w:tcBorders>
            <w:gridSpan w:val="11"/>
          </w:tcPr>
          <w:p>
            <w:pPr>
              <w:spacing w:after="0"/>
              <w:rPr>
                <w:sz w:val="24"/>
                <w:szCs w:val="24"/>
                <w:color w:val="auto"/>
              </w:rPr>
            </w:pPr>
          </w:p>
        </w:tc>
        <w:tc>
          <w:tcPr>
            <w:tcW w:w="4640" w:type="dxa"/>
            <w:vAlign w:val="bottom"/>
            <w:gridSpan w:val="10"/>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1.2</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68">
              <w:r>
                <w:rPr>
                  <w:rFonts w:ascii="Arial" w:cs="Arial" w:eastAsia="Arial" w:hAnsi="Arial"/>
                  <w:sz w:val="22"/>
                  <w:szCs w:val="22"/>
                  <w:color w:val="0000EE"/>
                </w:rPr>
                <w:t>Purpose</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1.3</w:t>
            </w:r>
          </w:p>
        </w:tc>
        <w:tc>
          <w:tcPr>
            <w:tcW w:w="100" w:type="dxa"/>
            <w:vAlign w:val="bottom"/>
          </w:tcPr>
          <w:p>
            <w:pPr>
              <w:spacing w:after="0"/>
              <w:rPr>
                <w:sz w:val="24"/>
                <w:szCs w:val="24"/>
                <w:color w:val="auto"/>
              </w:rPr>
            </w:pPr>
          </w:p>
        </w:tc>
        <w:tc>
          <w:tcPr>
            <w:tcW w:w="1120" w:type="dxa"/>
            <w:vAlign w:val="bottom"/>
            <w:tcBorders>
              <w:bottom w:val="single" w:sz="8" w:color="0000EE"/>
            </w:tcBorders>
            <w:gridSpan w:val="6"/>
          </w:tcPr>
          <w:p>
            <w:pPr>
              <w:spacing w:after="0"/>
              <w:rPr>
                <w:rFonts w:ascii="Arial" w:cs="Arial" w:eastAsia="Arial" w:hAnsi="Arial"/>
                <w:sz w:val="22"/>
                <w:szCs w:val="22"/>
                <w:color w:val="0000EE"/>
                <w:w w:val="87"/>
              </w:rPr>
            </w:pPr>
            <w:hyperlink w:anchor="page68">
              <w:r>
                <w:rPr>
                  <w:rFonts w:ascii="Arial" w:cs="Arial" w:eastAsia="Arial" w:hAnsi="Arial"/>
                  <w:sz w:val="22"/>
                  <w:szCs w:val="22"/>
                  <w:color w:val="0000EE"/>
                  <w:w w:val="87"/>
                </w:rPr>
                <w:t>Term of Plan</w:t>
              </w:r>
            </w:hyperlink>
          </w:p>
        </w:tc>
        <w:tc>
          <w:tcPr>
            <w:tcW w:w="6300" w:type="dxa"/>
            <w:vAlign w:val="bottom"/>
            <w:gridSpan w:val="23"/>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2.</w:t>
            </w:r>
          </w:p>
        </w:tc>
        <w:tc>
          <w:tcPr>
            <w:tcW w:w="2520" w:type="dxa"/>
            <w:vAlign w:val="bottom"/>
            <w:tcBorders>
              <w:bottom w:val="single" w:sz="8" w:color="0000EE"/>
            </w:tcBorders>
            <w:gridSpan w:val="15"/>
          </w:tcPr>
          <w:p>
            <w:pPr>
              <w:spacing w:after="0"/>
              <w:rPr>
                <w:rFonts w:ascii="Arial" w:cs="Arial" w:eastAsia="Arial" w:hAnsi="Arial"/>
                <w:sz w:val="22"/>
                <w:szCs w:val="22"/>
                <w:color w:val="0000EE"/>
                <w:w w:val="90"/>
              </w:rPr>
            </w:pPr>
            <w:hyperlink w:anchor="page68">
              <w:r>
                <w:rPr>
                  <w:rFonts w:ascii="Arial" w:cs="Arial" w:eastAsia="Arial" w:hAnsi="Arial"/>
                  <w:sz w:val="22"/>
                  <w:szCs w:val="22"/>
                  <w:color w:val="0000EE"/>
                  <w:w w:val="90"/>
                </w:rPr>
                <w:t>Definitions and Construction</w:t>
              </w:r>
            </w:hyperlink>
          </w:p>
        </w:tc>
        <w:tc>
          <w:tcPr>
            <w:tcW w:w="5700" w:type="dxa"/>
            <w:vAlign w:val="bottom"/>
            <w:gridSpan w:val="16"/>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2.1</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68">
              <w:r>
                <w:rPr>
                  <w:rFonts w:ascii="Arial" w:cs="Arial" w:eastAsia="Arial" w:hAnsi="Arial"/>
                  <w:sz w:val="22"/>
                  <w:szCs w:val="22"/>
                  <w:color w:val="0000EE"/>
                </w:rPr>
                <w:t>Definitions</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2.2</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76">
              <w:r>
                <w:rPr>
                  <w:rFonts w:ascii="Arial" w:cs="Arial" w:eastAsia="Arial" w:hAnsi="Arial"/>
                  <w:sz w:val="22"/>
                  <w:szCs w:val="22"/>
                  <w:color w:val="0000EE"/>
                </w:rPr>
                <w:t>Construction</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20"/>
        </w:trPr>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3.</w:t>
            </w:r>
          </w:p>
        </w:tc>
        <w:tc>
          <w:tcPr>
            <w:tcW w:w="1320" w:type="dxa"/>
            <w:vAlign w:val="bottom"/>
            <w:tcBorders>
              <w:bottom w:val="single" w:sz="8" w:color="0000EE"/>
            </w:tcBorders>
            <w:gridSpan w:val="4"/>
          </w:tcPr>
          <w:p>
            <w:pPr>
              <w:spacing w:after="0"/>
              <w:rPr>
                <w:rFonts w:ascii="Arial" w:cs="Arial" w:eastAsia="Arial" w:hAnsi="Arial"/>
                <w:sz w:val="22"/>
                <w:szCs w:val="22"/>
                <w:color w:val="0000EE"/>
                <w:w w:val="93"/>
              </w:rPr>
            </w:pPr>
            <w:hyperlink w:anchor="page76">
              <w:r>
                <w:rPr>
                  <w:rFonts w:ascii="Arial" w:cs="Arial" w:eastAsia="Arial" w:hAnsi="Arial"/>
                  <w:sz w:val="22"/>
                  <w:szCs w:val="22"/>
                  <w:color w:val="0000EE"/>
                  <w:w w:val="93"/>
                </w:rPr>
                <w:t>Administration</w:t>
              </w:r>
            </w:hyperlink>
          </w:p>
        </w:tc>
        <w:tc>
          <w:tcPr>
            <w:tcW w:w="6900" w:type="dxa"/>
            <w:vAlign w:val="bottom"/>
            <w:gridSpan w:val="27"/>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3.1</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76">
              <w:r>
                <w:rPr>
                  <w:rFonts w:ascii="Arial" w:cs="Arial" w:eastAsia="Arial" w:hAnsi="Arial"/>
                  <w:sz w:val="22"/>
                  <w:szCs w:val="22"/>
                  <w:color w:val="0000EE"/>
                </w:rPr>
                <w:t>Administration by the Committee</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3.2</w:t>
            </w:r>
          </w:p>
        </w:tc>
        <w:tc>
          <w:tcPr>
            <w:tcW w:w="100" w:type="dxa"/>
            <w:vAlign w:val="bottom"/>
          </w:tcPr>
          <w:p>
            <w:pPr>
              <w:spacing w:after="0"/>
              <w:rPr>
                <w:sz w:val="24"/>
                <w:szCs w:val="24"/>
                <w:color w:val="auto"/>
              </w:rPr>
            </w:pPr>
          </w:p>
        </w:tc>
        <w:tc>
          <w:tcPr>
            <w:tcW w:w="2900" w:type="dxa"/>
            <w:vAlign w:val="bottom"/>
            <w:tcBorders>
              <w:top w:val="single" w:sz="8" w:color="0000EE"/>
            </w:tcBorders>
            <w:gridSpan w:val="20"/>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Authority of Officers</w:t>
              </w:r>
            </w:hyperlink>
          </w:p>
        </w:tc>
        <w:tc>
          <w:tcPr>
            <w:tcW w:w="4520" w:type="dxa"/>
            <w:vAlign w:val="bottom"/>
            <w:gridSpan w:val="9"/>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3.3</w:t>
            </w:r>
          </w:p>
        </w:tc>
        <w:tc>
          <w:tcPr>
            <w:tcW w:w="100" w:type="dxa"/>
            <w:vAlign w:val="bottom"/>
          </w:tcPr>
          <w:p>
            <w:pPr>
              <w:spacing w:after="0"/>
              <w:rPr>
                <w:sz w:val="24"/>
                <w:szCs w:val="24"/>
                <w:color w:val="auto"/>
              </w:rPr>
            </w:pPr>
          </w:p>
        </w:tc>
        <w:tc>
          <w:tcPr>
            <w:tcW w:w="3440" w:type="dxa"/>
            <w:vAlign w:val="bottom"/>
            <w:tcBorders>
              <w:bottom w:val="single" w:sz="8" w:color="0000EE"/>
            </w:tcBorders>
            <w:gridSpan w:val="25"/>
          </w:tcPr>
          <w:p>
            <w:pPr>
              <w:spacing w:after="0"/>
              <w:rPr>
                <w:rFonts w:ascii="Arial" w:cs="Arial" w:eastAsia="Arial" w:hAnsi="Arial"/>
                <w:sz w:val="22"/>
                <w:szCs w:val="22"/>
                <w:color w:val="0000EE"/>
                <w:w w:val="90"/>
              </w:rPr>
            </w:pPr>
            <w:hyperlink w:anchor="page77">
              <w:r>
                <w:rPr>
                  <w:rFonts w:ascii="Arial" w:cs="Arial" w:eastAsia="Arial" w:hAnsi="Arial"/>
                  <w:sz w:val="22"/>
                  <w:szCs w:val="22"/>
                  <w:color w:val="0000EE"/>
                  <w:w w:val="90"/>
                </w:rPr>
                <w:t>Administration with Respect to Insiders</w:t>
              </w:r>
            </w:hyperlink>
          </w:p>
        </w:tc>
        <w:tc>
          <w:tcPr>
            <w:tcW w:w="3980" w:type="dxa"/>
            <w:vAlign w:val="bottom"/>
            <w:gridSpan w:val="4"/>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3.4</w:t>
            </w:r>
          </w:p>
        </w:tc>
        <w:tc>
          <w:tcPr>
            <w:tcW w:w="100" w:type="dxa"/>
            <w:vAlign w:val="bottom"/>
          </w:tcPr>
          <w:p>
            <w:pPr>
              <w:spacing w:after="0"/>
              <w:rPr>
                <w:sz w:val="24"/>
                <w:szCs w:val="24"/>
                <w:color w:val="auto"/>
              </w:rPr>
            </w:pPr>
          </w:p>
        </w:tc>
        <w:tc>
          <w:tcPr>
            <w:tcW w:w="3820" w:type="dxa"/>
            <w:vAlign w:val="bottom"/>
            <w:tcBorders>
              <w:bottom w:val="single" w:sz="8" w:color="0000EE"/>
            </w:tcBorders>
            <w:gridSpan w:val="26"/>
          </w:tcPr>
          <w:p>
            <w:pPr>
              <w:spacing w:after="0"/>
              <w:rPr>
                <w:rFonts w:ascii="Arial" w:cs="Arial" w:eastAsia="Arial" w:hAnsi="Arial"/>
                <w:sz w:val="22"/>
                <w:szCs w:val="22"/>
                <w:color w:val="0000EE"/>
                <w:w w:val="91"/>
              </w:rPr>
            </w:pPr>
            <w:hyperlink w:anchor="page77">
              <w:r>
                <w:rPr>
                  <w:rFonts w:ascii="Arial" w:cs="Arial" w:eastAsia="Arial" w:hAnsi="Arial"/>
                  <w:sz w:val="22"/>
                  <w:szCs w:val="22"/>
                  <w:color w:val="0000EE"/>
                  <w:w w:val="91"/>
                </w:rPr>
                <w:t>Committee Complying with Section 162(m)</w:t>
              </w:r>
            </w:hyperlink>
          </w:p>
        </w:tc>
        <w:tc>
          <w:tcPr>
            <w:tcW w:w="3600" w:type="dxa"/>
            <w:vAlign w:val="bottom"/>
            <w:gridSpan w:val="3"/>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3.5</w:t>
            </w:r>
          </w:p>
        </w:tc>
        <w:tc>
          <w:tcPr>
            <w:tcW w:w="100" w:type="dxa"/>
            <w:vAlign w:val="bottom"/>
          </w:tcPr>
          <w:p>
            <w:pPr>
              <w:spacing w:after="0"/>
              <w:rPr>
                <w:sz w:val="24"/>
                <w:szCs w:val="24"/>
                <w:color w:val="auto"/>
              </w:rPr>
            </w:pPr>
          </w:p>
        </w:tc>
        <w:tc>
          <w:tcPr>
            <w:tcW w:w="2200" w:type="dxa"/>
            <w:vAlign w:val="bottom"/>
            <w:tcBorders>
              <w:bottom w:val="single" w:sz="8" w:color="0000EE"/>
            </w:tcBorders>
            <w:gridSpan w:val="16"/>
          </w:tcPr>
          <w:p>
            <w:pPr>
              <w:spacing w:after="0"/>
              <w:rPr>
                <w:rFonts w:ascii="Arial" w:cs="Arial" w:eastAsia="Arial" w:hAnsi="Arial"/>
                <w:sz w:val="22"/>
                <w:szCs w:val="22"/>
                <w:color w:val="0000EE"/>
                <w:w w:val="88"/>
              </w:rPr>
            </w:pPr>
            <w:hyperlink w:anchor="page77">
              <w:r>
                <w:rPr>
                  <w:rFonts w:ascii="Arial" w:cs="Arial" w:eastAsia="Arial" w:hAnsi="Arial"/>
                  <w:sz w:val="22"/>
                  <w:szCs w:val="22"/>
                  <w:color w:val="0000EE"/>
                  <w:w w:val="88"/>
                </w:rPr>
                <w:t>Powers of the Committee</w:t>
              </w:r>
            </w:hyperlink>
          </w:p>
        </w:tc>
        <w:tc>
          <w:tcPr>
            <w:tcW w:w="5220" w:type="dxa"/>
            <w:vAlign w:val="bottom"/>
            <w:gridSpan w:val="13"/>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3.6</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78">
              <w:r>
                <w:rPr>
                  <w:rFonts w:ascii="Arial" w:cs="Arial" w:eastAsia="Arial" w:hAnsi="Arial"/>
                  <w:sz w:val="22"/>
                  <w:szCs w:val="22"/>
                  <w:color w:val="0000EE"/>
                </w:rPr>
                <w:t>Option or SAR Repricing</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3.7</w:t>
            </w:r>
          </w:p>
        </w:tc>
        <w:tc>
          <w:tcPr>
            <w:tcW w:w="100" w:type="dxa"/>
            <w:vAlign w:val="bottom"/>
          </w:tcPr>
          <w:p>
            <w:pPr>
              <w:spacing w:after="0"/>
              <w:rPr>
                <w:sz w:val="24"/>
                <w:szCs w:val="24"/>
                <w:color w:val="auto"/>
              </w:rPr>
            </w:pPr>
          </w:p>
        </w:tc>
        <w:tc>
          <w:tcPr>
            <w:tcW w:w="1380" w:type="dxa"/>
            <w:vAlign w:val="bottom"/>
            <w:tcBorders>
              <w:top w:val="single" w:sz="8" w:color="0000EE"/>
              <w:bottom w:val="single" w:sz="8" w:color="0000EE"/>
            </w:tcBorders>
            <w:gridSpan w:val="11"/>
          </w:tcPr>
          <w:p>
            <w:pPr>
              <w:spacing w:after="0"/>
              <w:rPr>
                <w:rFonts w:ascii="Arial" w:cs="Arial" w:eastAsia="Arial" w:hAnsi="Arial"/>
                <w:sz w:val="22"/>
                <w:szCs w:val="22"/>
                <w:color w:val="0000EE"/>
                <w:w w:val="91"/>
              </w:rPr>
            </w:pPr>
            <w:hyperlink w:anchor="page78">
              <w:r>
                <w:rPr>
                  <w:rFonts w:ascii="Arial" w:cs="Arial" w:eastAsia="Arial" w:hAnsi="Arial"/>
                  <w:sz w:val="22"/>
                  <w:szCs w:val="22"/>
                  <w:color w:val="0000EE"/>
                  <w:w w:val="91"/>
                </w:rPr>
                <w:t>Indemnification</w:t>
              </w:r>
            </w:hyperlink>
          </w:p>
        </w:tc>
        <w:tc>
          <w:tcPr>
            <w:tcW w:w="820" w:type="dxa"/>
            <w:vAlign w:val="bottom"/>
            <w:tcBorders>
              <w:top w:val="single" w:sz="8" w:color="0000EE"/>
            </w:tcBorders>
            <w:gridSpan w:val="5"/>
          </w:tcPr>
          <w:p>
            <w:pPr>
              <w:spacing w:after="0"/>
              <w:rPr>
                <w:sz w:val="24"/>
                <w:szCs w:val="24"/>
                <w:color w:val="auto"/>
              </w:rPr>
            </w:pPr>
          </w:p>
        </w:tc>
        <w:tc>
          <w:tcPr>
            <w:tcW w:w="5220" w:type="dxa"/>
            <w:vAlign w:val="bottom"/>
            <w:gridSpan w:val="13"/>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A-11</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4.</w:t>
            </w:r>
          </w:p>
        </w:tc>
        <w:tc>
          <w:tcPr>
            <w:tcW w:w="8220" w:type="dxa"/>
            <w:vAlign w:val="bottom"/>
            <w:gridSpan w:val="31"/>
          </w:tcPr>
          <w:p>
            <w:pPr>
              <w:spacing w:after="0"/>
              <w:rPr>
                <w:rFonts w:ascii="Arial" w:cs="Arial" w:eastAsia="Arial" w:hAnsi="Arial"/>
                <w:sz w:val="22"/>
                <w:szCs w:val="22"/>
                <w:color w:val="0000EE"/>
              </w:rPr>
            </w:pPr>
            <w:hyperlink w:anchor="page79">
              <w:r>
                <w:rPr>
                  <w:rFonts w:ascii="Arial" w:cs="Arial" w:eastAsia="Arial" w:hAnsi="Arial"/>
                  <w:sz w:val="22"/>
                  <w:szCs w:val="22"/>
                  <w:color w:val="0000EE"/>
                </w:rPr>
                <w:t>Shares Subject to Plan</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A-12</w:t>
            </w:r>
          </w:p>
        </w:tc>
      </w:tr>
      <w:tr>
        <w:trPr>
          <w:trHeight w:val="20"/>
        </w:trPr>
        <w:tc>
          <w:tcPr>
            <w:tcW w:w="6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4.1</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79">
              <w:r>
                <w:rPr>
                  <w:rFonts w:ascii="Arial" w:cs="Arial" w:eastAsia="Arial" w:hAnsi="Arial"/>
                  <w:sz w:val="22"/>
                  <w:szCs w:val="22"/>
                  <w:color w:val="0000EE"/>
                </w:rPr>
                <w:t>Maximum Number of Shares Issuable</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A-12</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4.2</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79">
              <w:r>
                <w:rPr>
                  <w:rFonts w:ascii="Arial" w:cs="Arial" w:eastAsia="Arial" w:hAnsi="Arial"/>
                  <w:sz w:val="22"/>
                  <w:szCs w:val="22"/>
                  <w:color w:val="0000EE"/>
                </w:rPr>
                <w:t>Adjustment for Unissued or Forfeited Predecessor Plan Shares</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A-12</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4.3</w:t>
            </w:r>
          </w:p>
        </w:tc>
        <w:tc>
          <w:tcPr>
            <w:tcW w:w="100" w:type="dxa"/>
            <w:vAlign w:val="bottom"/>
          </w:tcPr>
          <w:p>
            <w:pPr>
              <w:spacing w:after="0"/>
              <w:rPr>
                <w:sz w:val="24"/>
                <w:szCs w:val="24"/>
                <w:color w:val="auto"/>
              </w:rPr>
            </w:pPr>
          </w:p>
        </w:tc>
        <w:tc>
          <w:tcPr>
            <w:tcW w:w="5400" w:type="dxa"/>
            <w:vAlign w:val="bottom"/>
            <w:tcBorders>
              <w:top w:val="single" w:sz="8" w:color="0000EE"/>
            </w:tcBorders>
            <w:gridSpan w:val="28"/>
          </w:tcPr>
          <w:p>
            <w:pPr>
              <w:spacing w:after="0"/>
              <w:rPr>
                <w:rFonts w:ascii="Arial" w:cs="Arial" w:eastAsia="Arial" w:hAnsi="Arial"/>
                <w:sz w:val="22"/>
                <w:szCs w:val="22"/>
                <w:color w:val="0000EE"/>
              </w:rPr>
            </w:pPr>
            <w:hyperlink w:anchor="page79">
              <w:r>
                <w:rPr>
                  <w:rFonts w:ascii="Arial" w:cs="Arial" w:eastAsia="Arial" w:hAnsi="Arial"/>
                  <w:sz w:val="22"/>
                  <w:szCs w:val="22"/>
                  <w:color w:val="0000EE"/>
                </w:rPr>
                <w:t>Share Counting</w:t>
              </w:r>
            </w:hyperlink>
          </w:p>
        </w:tc>
        <w:tc>
          <w:tcPr>
            <w:tcW w:w="20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A-12</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4.4</w:t>
            </w:r>
          </w:p>
        </w:tc>
        <w:tc>
          <w:tcPr>
            <w:tcW w:w="100" w:type="dxa"/>
            <w:vAlign w:val="bottom"/>
          </w:tcPr>
          <w:p>
            <w:pPr>
              <w:spacing w:after="0"/>
              <w:rPr>
                <w:sz w:val="24"/>
                <w:szCs w:val="24"/>
                <w:color w:val="auto"/>
              </w:rPr>
            </w:pPr>
          </w:p>
        </w:tc>
        <w:tc>
          <w:tcPr>
            <w:tcW w:w="3940" w:type="dxa"/>
            <w:vAlign w:val="bottom"/>
            <w:tcBorders>
              <w:bottom w:val="single" w:sz="8" w:color="0000EE"/>
            </w:tcBorders>
            <w:gridSpan w:val="27"/>
          </w:tcPr>
          <w:p>
            <w:pPr>
              <w:spacing w:after="0"/>
              <w:rPr>
                <w:rFonts w:ascii="Arial" w:cs="Arial" w:eastAsia="Arial" w:hAnsi="Arial"/>
                <w:sz w:val="22"/>
                <w:szCs w:val="22"/>
                <w:color w:val="0000EE"/>
                <w:w w:val="89"/>
              </w:rPr>
            </w:pPr>
            <w:hyperlink w:anchor="page80">
              <w:r>
                <w:rPr>
                  <w:rFonts w:ascii="Arial" w:cs="Arial" w:eastAsia="Arial" w:hAnsi="Arial"/>
                  <w:sz w:val="22"/>
                  <w:szCs w:val="22"/>
                  <w:color w:val="0000EE"/>
                  <w:w w:val="89"/>
                </w:rPr>
                <w:t>Adjustments for Changes in Capital Structure</w:t>
              </w:r>
            </w:hyperlink>
          </w:p>
        </w:tc>
        <w:tc>
          <w:tcPr>
            <w:tcW w:w="3480" w:type="dxa"/>
            <w:vAlign w:val="bottom"/>
            <w:gridSpan w:val="2"/>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A-13</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4.5</w:t>
            </w:r>
          </w:p>
        </w:tc>
        <w:tc>
          <w:tcPr>
            <w:tcW w:w="100" w:type="dxa"/>
            <w:vAlign w:val="bottom"/>
          </w:tcPr>
          <w:p>
            <w:pPr>
              <w:spacing w:after="0"/>
              <w:rPr>
                <w:sz w:val="24"/>
                <w:szCs w:val="24"/>
                <w:color w:val="auto"/>
              </w:rPr>
            </w:pPr>
          </w:p>
        </w:tc>
        <w:tc>
          <w:tcPr>
            <w:tcW w:w="3320" w:type="dxa"/>
            <w:vAlign w:val="bottom"/>
            <w:tcBorders>
              <w:bottom w:val="single" w:sz="8" w:color="0000EE"/>
            </w:tcBorders>
            <w:gridSpan w:val="24"/>
          </w:tcPr>
          <w:p>
            <w:pPr>
              <w:spacing w:after="0"/>
              <w:rPr>
                <w:rFonts w:ascii="Arial" w:cs="Arial" w:eastAsia="Arial" w:hAnsi="Arial"/>
                <w:sz w:val="22"/>
                <w:szCs w:val="22"/>
                <w:color w:val="0000EE"/>
                <w:w w:val="90"/>
              </w:rPr>
            </w:pPr>
            <w:hyperlink w:anchor="page80">
              <w:r>
                <w:rPr>
                  <w:rFonts w:ascii="Arial" w:cs="Arial" w:eastAsia="Arial" w:hAnsi="Arial"/>
                  <w:sz w:val="22"/>
                  <w:szCs w:val="22"/>
                  <w:color w:val="0000EE"/>
                  <w:w w:val="90"/>
                </w:rPr>
                <w:t>Assumption or Substitution of Awards</w:t>
              </w:r>
            </w:hyperlink>
          </w:p>
        </w:tc>
        <w:tc>
          <w:tcPr>
            <w:tcW w:w="4100" w:type="dxa"/>
            <w:vAlign w:val="bottom"/>
            <w:gridSpan w:val="5"/>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A-13</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5.</w:t>
            </w:r>
          </w:p>
        </w:tc>
        <w:tc>
          <w:tcPr>
            <w:tcW w:w="8220" w:type="dxa"/>
            <w:vAlign w:val="bottom"/>
            <w:gridSpan w:val="31"/>
          </w:tcPr>
          <w:p>
            <w:pPr>
              <w:spacing w:after="0"/>
              <w:rPr>
                <w:rFonts w:ascii="Arial" w:cs="Arial" w:eastAsia="Arial" w:hAnsi="Arial"/>
                <w:sz w:val="22"/>
                <w:szCs w:val="22"/>
                <w:color w:val="0000EE"/>
              </w:rPr>
            </w:pPr>
            <w:hyperlink w:anchor="page81">
              <w:r>
                <w:rPr>
                  <w:rFonts w:ascii="Arial" w:cs="Arial" w:eastAsia="Arial" w:hAnsi="Arial"/>
                  <w:sz w:val="22"/>
                  <w:szCs w:val="22"/>
                  <w:color w:val="0000EE"/>
                </w:rPr>
                <w:t>Eligibility, Participation and Award Limitations</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A-14</w:t>
            </w:r>
          </w:p>
        </w:tc>
      </w:tr>
      <w:tr>
        <w:trPr>
          <w:trHeight w:val="331"/>
        </w:trPr>
        <w:tc>
          <w:tcPr>
            <w:tcW w:w="660" w:type="dxa"/>
            <w:vAlign w:val="bottom"/>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22"/>
                <w:szCs w:val="22"/>
                <w:color w:val="auto"/>
              </w:rPr>
              <w:t>5.1</w:t>
            </w:r>
          </w:p>
        </w:tc>
        <w:tc>
          <w:tcPr>
            <w:tcW w:w="100" w:type="dxa"/>
            <w:vAlign w:val="bottom"/>
            <w:tcBorders>
              <w:top w:val="single" w:sz="8" w:color="0000EE"/>
            </w:tcBorders>
          </w:tcPr>
          <w:p>
            <w:pPr>
              <w:spacing w:after="0"/>
              <w:rPr>
                <w:sz w:val="24"/>
                <w:szCs w:val="24"/>
                <w:color w:val="auto"/>
              </w:rPr>
            </w:pPr>
          </w:p>
        </w:tc>
        <w:tc>
          <w:tcPr>
            <w:tcW w:w="2420" w:type="dxa"/>
            <w:vAlign w:val="bottom"/>
            <w:tcBorders>
              <w:top w:val="single" w:sz="8" w:color="0000EE"/>
              <w:bottom w:val="single" w:sz="8" w:color="0000EE"/>
            </w:tcBorders>
            <w:gridSpan w:val="17"/>
          </w:tcPr>
          <w:p>
            <w:pPr>
              <w:spacing w:after="0"/>
              <w:rPr>
                <w:rFonts w:ascii="Arial" w:cs="Arial" w:eastAsia="Arial" w:hAnsi="Arial"/>
                <w:sz w:val="22"/>
                <w:szCs w:val="22"/>
                <w:color w:val="0000EE"/>
                <w:w w:val="89"/>
              </w:rPr>
            </w:pPr>
            <w:hyperlink w:anchor="page81">
              <w:r>
                <w:rPr>
                  <w:rFonts w:ascii="Arial" w:cs="Arial" w:eastAsia="Arial" w:hAnsi="Arial"/>
                  <w:sz w:val="22"/>
                  <w:szCs w:val="22"/>
                  <w:color w:val="0000EE"/>
                  <w:w w:val="89"/>
                </w:rPr>
                <w:t>Persons Eligible for Awards</w:t>
              </w:r>
            </w:hyperlink>
          </w:p>
        </w:tc>
        <w:tc>
          <w:tcPr>
            <w:tcW w:w="900" w:type="dxa"/>
            <w:vAlign w:val="bottom"/>
            <w:tcBorders>
              <w:top w:val="single" w:sz="8" w:color="0000EE"/>
            </w:tcBorders>
            <w:gridSpan w:val="7"/>
          </w:tcPr>
          <w:p>
            <w:pPr>
              <w:spacing w:after="0"/>
              <w:rPr>
                <w:sz w:val="24"/>
                <w:szCs w:val="24"/>
                <w:color w:val="auto"/>
              </w:rPr>
            </w:pPr>
          </w:p>
        </w:tc>
        <w:tc>
          <w:tcPr>
            <w:tcW w:w="4100" w:type="dxa"/>
            <w:vAlign w:val="bottom"/>
            <w:gridSpan w:val="5"/>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A-14</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5.2</w:t>
            </w:r>
          </w:p>
        </w:tc>
        <w:tc>
          <w:tcPr>
            <w:tcW w:w="100" w:type="dxa"/>
            <w:vAlign w:val="bottom"/>
          </w:tcPr>
          <w:p>
            <w:pPr>
              <w:spacing w:after="0"/>
              <w:rPr>
                <w:sz w:val="24"/>
                <w:szCs w:val="24"/>
                <w:color w:val="auto"/>
              </w:rPr>
            </w:pPr>
          </w:p>
        </w:tc>
        <w:tc>
          <w:tcPr>
            <w:tcW w:w="2080" w:type="dxa"/>
            <w:vAlign w:val="bottom"/>
            <w:tcBorders>
              <w:bottom w:val="single" w:sz="8" w:color="0000EE"/>
            </w:tcBorders>
            <w:gridSpan w:val="15"/>
          </w:tcPr>
          <w:p>
            <w:pPr>
              <w:spacing w:after="0"/>
              <w:rPr>
                <w:rFonts w:ascii="Arial" w:cs="Arial" w:eastAsia="Arial" w:hAnsi="Arial"/>
                <w:sz w:val="22"/>
                <w:szCs w:val="22"/>
                <w:color w:val="0000EE"/>
                <w:w w:val="89"/>
              </w:rPr>
            </w:pPr>
            <w:hyperlink w:anchor="page81">
              <w:r>
                <w:rPr>
                  <w:rFonts w:ascii="Arial" w:cs="Arial" w:eastAsia="Arial" w:hAnsi="Arial"/>
                  <w:sz w:val="22"/>
                  <w:szCs w:val="22"/>
                  <w:color w:val="0000EE"/>
                  <w:w w:val="89"/>
                </w:rPr>
                <w:t>Participation in the Plan</w:t>
              </w:r>
            </w:hyperlink>
          </w:p>
        </w:tc>
        <w:tc>
          <w:tcPr>
            <w:tcW w:w="5340" w:type="dxa"/>
            <w:vAlign w:val="bottom"/>
            <w:gridSpan w:val="14"/>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A-14</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5.3</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81">
              <w:r>
                <w:rPr>
                  <w:rFonts w:ascii="Arial" w:cs="Arial" w:eastAsia="Arial" w:hAnsi="Arial"/>
                  <w:sz w:val="22"/>
                  <w:szCs w:val="22"/>
                  <w:color w:val="0000EE"/>
                </w:rPr>
                <w:t>Incentive Stock Option Limitations</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A-14</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5.4</w:t>
            </w:r>
          </w:p>
        </w:tc>
        <w:tc>
          <w:tcPr>
            <w:tcW w:w="10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18"/>
          </w:tcPr>
          <w:p>
            <w:pPr>
              <w:spacing w:after="0"/>
              <w:rPr>
                <w:rFonts w:ascii="Arial" w:cs="Arial" w:eastAsia="Arial" w:hAnsi="Arial"/>
                <w:sz w:val="22"/>
                <w:szCs w:val="22"/>
                <w:color w:val="0000EE"/>
                <w:w w:val="91"/>
              </w:rPr>
            </w:pPr>
            <w:hyperlink w:anchor="page81">
              <w:r>
                <w:rPr>
                  <w:rFonts w:ascii="Arial" w:cs="Arial" w:eastAsia="Arial" w:hAnsi="Arial"/>
                  <w:sz w:val="22"/>
                  <w:szCs w:val="22"/>
                  <w:color w:val="0000EE"/>
                  <w:w w:val="91"/>
                </w:rPr>
                <w:t>Section 162(m) Award Limits</w:t>
              </w:r>
            </w:hyperlink>
          </w:p>
        </w:tc>
        <w:tc>
          <w:tcPr>
            <w:tcW w:w="460" w:type="dxa"/>
            <w:vAlign w:val="bottom"/>
            <w:tcBorders>
              <w:top w:val="single" w:sz="8" w:color="0000EE"/>
            </w:tcBorders>
            <w:gridSpan w:val="3"/>
          </w:tcPr>
          <w:p>
            <w:pPr>
              <w:spacing w:after="0"/>
              <w:rPr>
                <w:sz w:val="24"/>
                <w:szCs w:val="24"/>
                <w:color w:val="auto"/>
              </w:rPr>
            </w:pPr>
          </w:p>
        </w:tc>
        <w:tc>
          <w:tcPr>
            <w:tcW w:w="4380" w:type="dxa"/>
            <w:vAlign w:val="bottom"/>
            <w:gridSpan w:val="8"/>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A-14</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5.5</w:t>
            </w:r>
          </w:p>
        </w:tc>
        <w:tc>
          <w:tcPr>
            <w:tcW w:w="100" w:type="dxa"/>
            <w:vAlign w:val="bottom"/>
          </w:tcPr>
          <w:p>
            <w:pPr>
              <w:spacing w:after="0"/>
              <w:rPr>
                <w:sz w:val="24"/>
                <w:szCs w:val="24"/>
                <w:color w:val="auto"/>
              </w:rPr>
            </w:pPr>
          </w:p>
        </w:tc>
        <w:tc>
          <w:tcPr>
            <w:tcW w:w="3140" w:type="dxa"/>
            <w:vAlign w:val="bottom"/>
            <w:tcBorders>
              <w:bottom w:val="single" w:sz="8" w:color="0000EE"/>
            </w:tcBorders>
            <w:gridSpan w:val="22"/>
          </w:tcPr>
          <w:p>
            <w:pPr>
              <w:spacing w:after="0"/>
              <w:rPr>
                <w:rFonts w:ascii="Arial" w:cs="Arial" w:eastAsia="Arial" w:hAnsi="Arial"/>
                <w:sz w:val="22"/>
                <w:szCs w:val="22"/>
                <w:color w:val="0000EE"/>
                <w:w w:val="91"/>
              </w:rPr>
            </w:pPr>
            <w:hyperlink w:anchor="page82">
              <w:r>
                <w:rPr>
                  <w:rFonts w:ascii="Arial" w:cs="Arial" w:eastAsia="Arial" w:hAnsi="Arial"/>
                  <w:sz w:val="22"/>
                  <w:szCs w:val="22"/>
                  <w:color w:val="0000EE"/>
                  <w:w w:val="91"/>
                </w:rPr>
                <w:t>Nonemployee Director Award Limit</w:t>
              </w:r>
            </w:hyperlink>
          </w:p>
        </w:tc>
        <w:tc>
          <w:tcPr>
            <w:tcW w:w="4280" w:type="dxa"/>
            <w:vAlign w:val="bottom"/>
            <w:gridSpan w:val="7"/>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A-15</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5.6</w:t>
            </w:r>
          </w:p>
        </w:tc>
        <w:tc>
          <w:tcPr>
            <w:tcW w:w="100" w:type="dxa"/>
            <w:vAlign w:val="bottom"/>
          </w:tcPr>
          <w:p>
            <w:pPr>
              <w:spacing w:after="0"/>
              <w:rPr>
                <w:sz w:val="24"/>
                <w:szCs w:val="24"/>
                <w:color w:val="auto"/>
              </w:rPr>
            </w:pPr>
          </w:p>
        </w:tc>
        <w:tc>
          <w:tcPr>
            <w:tcW w:w="1560" w:type="dxa"/>
            <w:vAlign w:val="bottom"/>
            <w:tcBorders>
              <w:bottom w:val="single" w:sz="8" w:color="0000EE"/>
            </w:tcBorders>
            <w:gridSpan w:val="12"/>
          </w:tcPr>
          <w:p>
            <w:pPr>
              <w:spacing w:after="0"/>
              <w:rPr>
                <w:rFonts w:ascii="Arial" w:cs="Arial" w:eastAsia="Arial" w:hAnsi="Arial"/>
                <w:sz w:val="22"/>
                <w:szCs w:val="22"/>
                <w:color w:val="0000EE"/>
                <w:w w:val="91"/>
              </w:rPr>
            </w:pPr>
            <w:hyperlink w:anchor="page82">
              <w:r>
                <w:rPr>
                  <w:rFonts w:ascii="Arial" w:cs="Arial" w:eastAsia="Arial" w:hAnsi="Arial"/>
                  <w:sz w:val="22"/>
                  <w:szCs w:val="22"/>
                  <w:color w:val="0000EE"/>
                  <w:w w:val="91"/>
                </w:rPr>
                <w:t>Minimum Vesting</w:t>
              </w:r>
            </w:hyperlink>
          </w:p>
        </w:tc>
        <w:tc>
          <w:tcPr>
            <w:tcW w:w="5860" w:type="dxa"/>
            <w:vAlign w:val="bottom"/>
            <w:gridSpan w:val="17"/>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A-15</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6.</w:t>
            </w:r>
          </w:p>
        </w:tc>
        <w:tc>
          <w:tcPr>
            <w:tcW w:w="8220" w:type="dxa"/>
            <w:vAlign w:val="bottom"/>
            <w:gridSpan w:val="31"/>
          </w:tcPr>
          <w:p>
            <w:pPr>
              <w:spacing w:after="0"/>
              <w:rPr>
                <w:rFonts w:ascii="Arial" w:cs="Arial" w:eastAsia="Arial" w:hAnsi="Arial"/>
                <w:sz w:val="22"/>
                <w:szCs w:val="22"/>
                <w:color w:val="0000EE"/>
              </w:rPr>
            </w:pPr>
            <w:hyperlink w:anchor="page82">
              <w:r>
                <w:rPr>
                  <w:rFonts w:ascii="Arial" w:cs="Arial" w:eastAsia="Arial" w:hAnsi="Arial"/>
                  <w:sz w:val="22"/>
                  <w:szCs w:val="22"/>
                  <w:color w:val="0000EE"/>
                </w:rPr>
                <w:t>Stock Options</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A-15</w:t>
            </w:r>
          </w:p>
        </w:tc>
      </w:tr>
      <w:tr>
        <w:trPr>
          <w:trHeight w:val="20"/>
        </w:trPr>
        <w:tc>
          <w:tcPr>
            <w:tcW w:w="6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6180" w:type="dxa"/>
            <w:vAlign w:val="bottom"/>
            <w:gridSpan w:val="2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6.1</w:t>
            </w:r>
          </w:p>
        </w:tc>
        <w:tc>
          <w:tcPr>
            <w:tcW w:w="100" w:type="dxa"/>
            <w:vAlign w:val="bottom"/>
          </w:tcPr>
          <w:p>
            <w:pPr>
              <w:spacing w:after="0"/>
              <w:rPr>
                <w:sz w:val="24"/>
                <w:szCs w:val="24"/>
                <w:color w:val="auto"/>
              </w:rPr>
            </w:pPr>
          </w:p>
        </w:tc>
        <w:tc>
          <w:tcPr>
            <w:tcW w:w="7420" w:type="dxa"/>
            <w:vAlign w:val="bottom"/>
            <w:gridSpan w:val="29"/>
          </w:tcPr>
          <w:p>
            <w:pPr>
              <w:spacing w:after="0"/>
              <w:rPr>
                <w:rFonts w:ascii="Arial" w:cs="Arial" w:eastAsia="Arial" w:hAnsi="Arial"/>
                <w:sz w:val="22"/>
                <w:szCs w:val="22"/>
                <w:color w:val="0000EE"/>
              </w:rPr>
            </w:pPr>
            <w:hyperlink w:anchor="page82">
              <w:r>
                <w:rPr>
                  <w:rFonts w:ascii="Arial" w:cs="Arial" w:eastAsia="Arial" w:hAnsi="Arial"/>
                  <w:sz w:val="22"/>
                  <w:szCs w:val="22"/>
                  <w:color w:val="0000EE"/>
                </w:rPr>
                <w:t>Exercise Price</w:t>
              </w:r>
            </w:hyperlink>
          </w:p>
        </w:tc>
        <w:tc>
          <w:tcPr>
            <w:tcW w:w="2480" w:type="dxa"/>
            <w:vAlign w:val="bottom"/>
          </w:tcPr>
          <w:p>
            <w:pPr>
              <w:jc w:val="right"/>
              <w:spacing w:after="0"/>
              <w:rPr>
                <w:sz w:val="20"/>
                <w:szCs w:val="20"/>
                <w:color w:val="auto"/>
              </w:rPr>
            </w:pPr>
            <w:r>
              <w:rPr>
                <w:rFonts w:ascii="Arial" w:cs="Arial" w:eastAsia="Arial" w:hAnsi="Arial"/>
                <w:sz w:val="22"/>
                <w:szCs w:val="22"/>
                <w:color w:val="auto"/>
              </w:rPr>
              <w:t>A-15</w:t>
            </w:r>
          </w:p>
        </w:tc>
      </w:tr>
      <w:tr>
        <w:trPr>
          <w:trHeight w:val="42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2"/>
          </w:tcPr>
          <w:p>
            <w:pPr>
              <w:jc w:val="center"/>
              <w:ind w:right="2860"/>
              <w:spacing w:after="0"/>
              <w:rPr>
                <w:sz w:val="20"/>
                <w:szCs w:val="20"/>
                <w:color w:val="auto"/>
              </w:rPr>
            </w:pPr>
            <w:r>
              <w:rPr>
                <w:rFonts w:ascii="Arial" w:cs="Arial" w:eastAsia="Arial" w:hAnsi="Arial"/>
                <w:sz w:val="22"/>
                <w:szCs w:val="22"/>
                <w:color w:val="auto"/>
              </w:rPr>
              <w:t>A-i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4" w:name="page65"/>
    <w:bookmarkEnd w:id="64"/>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Table of Contents</w:t>
              </w:r>
            </w:hyperlink>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539"/>
        </w:trPr>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gridSpan w:val="9"/>
          </w:tcPr>
          <w:p>
            <w:pPr>
              <w:jc w:val="center"/>
              <w:ind w:right="1940"/>
              <w:spacing w:after="0"/>
              <w:rPr>
                <w:sz w:val="20"/>
                <w:szCs w:val="20"/>
                <w:color w:val="auto"/>
              </w:rPr>
            </w:pPr>
            <w:r>
              <w:rPr>
                <w:rFonts w:ascii="Arial" w:cs="Arial" w:eastAsia="Arial" w:hAnsi="Arial"/>
                <w:sz w:val="22"/>
                <w:szCs w:val="22"/>
                <w:b w:val="1"/>
                <w:bCs w:val="1"/>
                <w:color w:val="auto"/>
                <w:w w:val="97"/>
              </w:rPr>
              <w:t>TABLE OF CONTENTS</w:t>
            </w:r>
          </w:p>
        </w:tc>
        <w:tc>
          <w:tcPr>
            <w:tcW w:w="248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80" w:type="dxa"/>
            <w:vAlign w:val="bottom"/>
            <w:gridSpan w:val="6"/>
          </w:tcPr>
          <w:p>
            <w:pPr>
              <w:jc w:val="center"/>
              <w:ind w:right="2640"/>
              <w:spacing w:after="0"/>
              <w:rPr>
                <w:sz w:val="20"/>
                <w:szCs w:val="20"/>
                <w:color w:val="auto"/>
              </w:rPr>
            </w:pPr>
            <w:r>
              <w:rPr>
                <w:rFonts w:ascii="Arial" w:cs="Arial" w:eastAsia="Arial" w:hAnsi="Arial"/>
                <w:sz w:val="22"/>
                <w:szCs w:val="22"/>
                <w:color w:val="auto"/>
                <w:w w:val="90"/>
              </w:rPr>
              <w:t>(continued)</w:t>
            </w:r>
          </w:p>
        </w:tc>
        <w:tc>
          <w:tcPr>
            <w:tcW w:w="2480" w:type="dxa"/>
            <w:vAlign w:val="bottom"/>
          </w:tcPr>
          <w:p>
            <w:pPr>
              <w:spacing w:after="0"/>
              <w:rPr>
                <w:sz w:val="23"/>
                <w:szCs w:val="23"/>
                <w:color w:val="auto"/>
              </w:rPr>
            </w:pPr>
          </w:p>
        </w:tc>
      </w:tr>
      <w:tr>
        <w:trPr>
          <w:trHeight w:val="39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80" w:type="dxa"/>
            <w:vAlign w:val="bottom"/>
          </w:tcPr>
          <w:p>
            <w:pPr>
              <w:jc w:val="center"/>
              <w:ind w:left="1892"/>
              <w:spacing w:after="0"/>
              <w:rPr>
                <w:sz w:val="20"/>
                <w:szCs w:val="20"/>
                <w:color w:val="auto"/>
              </w:rPr>
            </w:pPr>
            <w:r>
              <w:rPr>
                <w:rFonts w:ascii="Arial" w:cs="Arial" w:eastAsia="Arial" w:hAnsi="Arial"/>
                <w:sz w:val="22"/>
                <w:szCs w:val="22"/>
                <w:b w:val="1"/>
                <w:bCs w:val="1"/>
                <w:color w:val="auto"/>
                <w:w w:val="83"/>
              </w:rPr>
              <w:t>Page</w:t>
            </w:r>
          </w:p>
        </w:tc>
      </w:tr>
      <w:tr>
        <w:trPr>
          <w:trHeight w:val="476"/>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6.2</w:t>
            </w:r>
          </w:p>
        </w:tc>
        <w:tc>
          <w:tcPr>
            <w:tcW w:w="100" w:type="dxa"/>
            <w:vAlign w:val="bottom"/>
          </w:tcPr>
          <w:p>
            <w:pPr>
              <w:spacing w:after="0"/>
              <w:rPr>
                <w:sz w:val="24"/>
                <w:szCs w:val="24"/>
                <w:color w:val="auto"/>
              </w:rPr>
            </w:pPr>
          </w:p>
        </w:tc>
        <w:tc>
          <w:tcPr>
            <w:tcW w:w="3040" w:type="dxa"/>
            <w:vAlign w:val="bottom"/>
            <w:tcBorders>
              <w:bottom w:val="single" w:sz="8" w:color="0000EE"/>
            </w:tcBorders>
            <w:gridSpan w:val="19"/>
          </w:tcPr>
          <w:p>
            <w:pPr>
              <w:spacing w:after="0"/>
              <w:rPr>
                <w:rFonts w:ascii="Arial" w:cs="Arial" w:eastAsia="Arial" w:hAnsi="Arial"/>
                <w:sz w:val="22"/>
                <w:szCs w:val="22"/>
                <w:color w:val="0000EE"/>
                <w:w w:val="90"/>
              </w:rPr>
            </w:pPr>
            <w:hyperlink w:anchor="page82">
              <w:r>
                <w:rPr>
                  <w:rFonts w:ascii="Arial" w:cs="Arial" w:eastAsia="Arial" w:hAnsi="Arial"/>
                  <w:sz w:val="22"/>
                  <w:szCs w:val="22"/>
                  <w:color w:val="0000EE"/>
                  <w:w w:val="90"/>
                </w:rPr>
                <w:t>Exercisability and Term of Options</w:t>
              </w:r>
            </w:hyperlink>
          </w:p>
        </w:tc>
        <w:tc>
          <w:tcPr>
            <w:tcW w:w="4380" w:type="dxa"/>
            <w:vAlign w:val="bottom"/>
            <w:gridSpan w:val="9"/>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A-15</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6.3</w:t>
            </w:r>
          </w:p>
        </w:tc>
        <w:tc>
          <w:tcPr>
            <w:tcW w:w="100" w:type="dxa"/>
            <w:vAlign w:val="bottom"/>
          </w:tcPr>
          <w:p>
            <w:pPr>
              <w:spacing w:after="0"/>
              <w:rPr>
                <w:sz w:val="24"/>
                <w:szCs w:val="24"/>
                <w:color w:val="auto"/>
              </w:rPr>
            </w:pPr>
          </w:p>
        </w:tc>
        <w:tc>
          <w:tcPr>
            <w:tcW w:w="2280" w:type="dxa"/>
            <w:vAlign w:val="bottom"/>
            <w:tcBorders>
              <w:bottom w:val="single" w:sz="8" w:color="0000EE"/>
            </w:tcBorders>
            <w:gridSpan w:val="13"/>
          </w:tcPr>
          <w:p>
            <w:pPr>
              <w:spacing w:after="0"/>
              <w:rPr>
                <w:rFonts w:ascii="Arial" w:cs="Arial" w:eastAsia="Arial" w:hAnsi="Arial"/>
                <w:sz w:val="22"/>
                <w:szCs w:val="22"/>
                <w:color w:val="0000EE"/>
                <w:w w:val="87"/>
              </w:rPr>
            </w:pPr>
            <w:hyperlink w:anchor="page83">
              <w:r>
                <w:rPr>
                  <w:rFonts w:ascii="Arial" w:cs="Arial" w:eastAsia="Arial" w:hAnsi="Arial"/>
                  <w:sz w:val="22"/>
                  <w:szCs w:val="22"/>
                  <w:color w:val="0000EE"/>
                  <w:w w:val="87"/>
                </w:rPr>
                <w:t>Payment of Exercise Price</w:t>
              </w:r>
            </w:hyperlink>
          </w:p>
        </w:tc>
        <w:tc>
          <w:tcPr>
            <w:tcW w:w="5140" w:type="dxa"/>
            <w:vAlign w:val="bottom"/>
            <w:gridSpan w:val="15"/>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A-16</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6.4</w:t>
            </w:r>
          </w:p>
        </w:tc>
        <w:tc>
          <w:tcPr>
            <w:tcW w:w="100" w:type="dxa"/>
            <w:vAlign w:val="bottom"/>
          </w:tcPr>
          <w:p>
            <w:pPr>
              <w:spacing w:after="0"/>
              <w:rPr>
                <w:sz w:val="24"/>
                <w:szCs w:val="24"/>
                <w:color w:val="auto"/>
              </w:rPr>
            </w:pPr>
          </w:p>
        </w:tc>
        <w:tc>
          <w:tcPr>
            <w:tcW w:w="2800" w:type="dxa"/>
            <w:vAlign w:val="bottom"/>
            <w:tcBorders>
              <w:bottom w:val="single" w:sz="8" w:color="0000EE"/>
            </w:tcBorders>
            <w:gridSpan w:val="17"/>
          </w:tcPr>
          <w:p>
            <w:pPr>
              <w:spacing w:after="0"/>
              <w:rPr>
                <w:rFonts w:ascii="Arial" w:cs="Arial" w:eastAsia="Arial" w:hAnsi="Arial"/>
                <w:sz w:val="22"/>
                <w:szCs w:val="22"/>
                <w:color w:val="0000EE"/>
                <w:w w:val="90"/>
              </w:rPr>
            </w:pPr>
            <w:hyperlink w:anchor="page84">
              <w:r>
                <w:rPr>
                  <w:rFonts w:ascii="Arial" w:cs="Arial" w:eastAsia="Arial" w:hAnsi="Arial"/>
                  <w:sz w:val="22"/>
                  <w:szCs w:val="22"/>
                  <w:color w:val="0000EE"/>
                  <w:w w:val="90"/>
                </w:rPr>
                <w:t>Effect of Termination of Service</w:t>
              </w:r>
            </w:hyperlink>
          </w:p>
        </w:tc>
        <w:tc>
          <w:tcPr>
            <w:tcW w:w="4620" w:type="dxa"/>
            <w:vAlign w:val="bottom"/>
            <w:gridSpan w:val="11"/>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A-17</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6.5</w:t>
            </w:r>
          </w:p>
        </w:tc>
        <w:tc>
          <w:tcPr>
            <w:tcW w:w="100" w:type="dxa"/>
            <w:vAlign w:val="bottom"/>
          </w:tcPr>
          <w:p>
            <w:pPr>
              <w:spacing w:after="0"/>
              <w:rPr>
                <w:sz w:val="24"/>
                <w:szCs w:val="24"/>
                <w:color w:val="auto"/>
              </w:rPr>
            </w:pPr>
          </w:p>
        </w:tc>
        <w:tc>
          <w:tcPr>
            <w:tcW w:w="7420" w:type="dxa"/>
            <w:vAlign w:val="bottom"/>
            <w:gridSpan w:val="28"/>
          </w:tcPr>
          <w:p>
            <w:pPr>
              <w:spacing w:after="0"/>
              <w:rPr>
                <w:rFonts w:ascii="Arial" w:cs="Arial" w:eastAsia="Arial" w:hAnsi="Arial"/>
                <w:sz w:val="22"/>
                <w:szCs w:val="22"/>
                <w:color w:val="0000EE"/>
              </w:rPr>
            </w:pPr>
            <w:hyperlink w:anchor="page85">
              <w:r>
                <w:rPr>
                  <w:rFonts w:ascii="Arial" w:cs="Arial" w:eastAsia="Arial" w:hAnsi="Arial"/>
                  <w:sz w:val="22"/>
                  <w:szCs w:val="22"/>
                  <w:color w:val="0000EE"/>
                </w:rPr>
                <w:t>Transferability of Options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A-18</w:t>
            </w:r>
          </w:p>
        </w:tc>
      </w:tr>
      <w:tr>
        <w:trPr>
          <w:trHeight w:val="20"/>
        </w:trPr>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7.</w:t>
            </w:r>
          </w:p>
        </w:tc>
        <w:tc>
          <w:tcPr>
            <w:tcW w:w="8220" w:type="dxa"/>
            <w:vAlign w:val="bottom"/>
            <w:gridSpan w:val="30"/>
          </w:tcPr>
          <w:p>
            <w:pPr>
              <w:spacing w:after="0"/>
              <w:rPr>
                <w:rFonts w:ascii="Arial" w:cs="Arial" w:eastAsia="Arial" w:hAnsi="Arial"/>
                <w:sz w:val="22"/>
                <w:szCs w:val="22"/>
                <w:color w:val="0000EE"/>
              </w:rPr>
            </w:pPr>
            <w:hyperlink w:anchor="page85">
              <w:r>
                <w:rPr>
                  <w:rFonts w:ascii="Arial" w:cs="Arial" w:eastAsia="Arial" w:hAnsi="Arial"/>
                  <w:sz w:val="22"/>
                  <w:szCs w:val="22"/>
                  <w:color w:val="0000EE"/>
                </w:rPr>
                <w:t>Stock Appreciation Rights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A-18</w:t>
            </w:r>
          </w:p>
        </w:tc>
      </w:tr>
      <w:tr>
        <w:trPr>
          <w:trHeight w:val="20"/>
        </w:trPr>
        <w:tc>
          <w:tcPr>
            <w:tcW w:w="6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7.1</w:t>
            </w:r>
          </w:p>
        </w:tc>
        <w:tc>
          <w:tcPr>
            <w:tcW w:w="100" w:type="dxa"/>
            <w:vAlign w:val="bottom"/>
          </w:tcPr>
          <w:p>
            <w:pPr>
              <w:spacing w:after="0"/>
              <w:rPr>
                <w:sz w:val="24"/>
                <w:szCs w:val="24"/>
                <w:color w:val="auto"/>
              </w:rPr>
            </w:pPr>
          </w:p>
        </w:tc>
        <w:tc>
          <w:tcPr>
            <w:tcW w:w="2340" w:type="dxa"/>
            <w:vAlign w:val="bottom"/>
            <w:tcBorders>
              <w:bottom w:val="single" w:sz="8" w:color="0000EE"/>
            </w:tcBorders>
            <w:gridSpan w:val="16"/>
          </w:tcPr>
          <w:p>
            <w:pPr>
              <w:spacing w:after="0"/>
              <w:rPr>
                <w:rFonts w:ascii="Arial" w:cs="Arial" w:eastAsia="Arial" w:hAnsi="Arial"/>
                <w:sz w:val="22"/>
                <w:szCs w:val="22"/>
                <w:color w:val="0000EE"/>
                <w:w w:val="89"/>
              </w:rPr>
            </w:pPr>
            <w:hyperlink w:anchor="page85">
              <w:r>
                <w:rPr>
                  <w:rFonts w:ascii="Arial" w:cs="Arial" w:eastAsia="Arial" w:hAnsi="Arial"/>
                  <w:sz w:val="22"/>
                  <w:szCs w:val="22"/>
                  <w:color w:val="0000EE"/>
                  <w:w w:val="89"/>
                </w:rPr>
                <w:t>Types of SARs Authorized</w:t>
              </w:r>
            </w:hyperlink>
          </w:p>
        </w:tc>
        <w:tc>
          <w:tcPr>
            <w:tcW w:w="5080" w:type="dxa"/>
            <w:vAlign w:val="bottom"/>
            <w:gridSpan w:val="12"/>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A-18</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7.2</w:t>
            </w:r>
          </w:p>
        </w:tc>
        <w:tc>
          <w:tcPr>
            <w:tcW w:w="10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22"/>
                <w:szCs w:val="22"/>
                <w:color w:val="0000EE"/>
                <w:w w:val="86"/>
              </w:rPr>
            </w:pPr>
            <w:hyperlink w:anchor="page85">
              <w:r>
                <w:rPr>
                  <w:rFonts w:ascii="Arial" w:cs="Arial" w:eastAsia="Arial" w:hAnsi="Arial"/>
                  <w:sz w:val="22"/>
                  <w:szCs w:val="22"/>
                  <w:color w:val="0000EE"/>
                  <w:w w:val="86"/>
                </w:rPr>
                <w:t>Exercise Price</w:t>
              </w:r>
            </w:hyperlink>
          </w:p>
        </w:tc>
        <w:tc>
          <w:tcPr>
            <w:tcW w:w="6180" w:type="dxa"/>
            <w:vAlign w:val="bottom"/>
            <w:gridSpan w:val="24"/>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A-18</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7.3</w:t>
            </w:r>
          </w:p>
        </w:tc>
        <w:tc>
          <w:tcPr>
            <w:tcW w:w="100" w:type="dxa"/>
            <w:vAlign w:val="bottom"/>
          </w:tcPr>
          <w:p>
            <w:pPr>
              <w:spacing w:after="0"/>
              <w:rPr>
                <w:sz w:val="24"/>
                <w:szCs w:val="24"/>
                <w:color w:val="auto"/>
              </w:rPr>
            </w:pPr>
          </w:p>
        </w:tc>
        <w:tc>
          <w:tcPr>
            <w:tcW w:w="2860" w:type="dxa"/>
            <w:vAlign w:val="bottom"/>
            <w:tcBorders>
              <w:bottom w:val="single" w:sz="8" w:color="0000EE"/>
            </w:tcBorders>
            <w:gridSpan w:val="18"/>
          </w:tcPr>
          <w:p>
            <w:pPr>
              <w:spacing w:after="0"/>
              <w:rPr>
                <w:rFonts w:ascii="Arial" w:cs="Arial" w:eastAsia="Arial" w:hAnsi="Arial"/>
                <w:sz w:val="22"/>
                <w:szCs w:val="22"/>
                <w:color w:val="0000EE"/>
                <w:w w:val="90"/>
              </w:rPr>
            </w:pPr>
            <w:hyperlink w:anchor="page85">
              <w:r>
                <w:rPr>
                  <w:rFonts w:ascii="Arial" w:cs="Arial" w:eastAsia="Arial" w:hAnsi="Arial"/>
                  <w:sz w:val="22"/>
                  <w:szCs w:val="22"/>
                  <w:color w:val="0000EE"/>
                  <w:w w:val="90"/>
                </w:rPr>
                <w:t>Exercisability and Term of SARs</w:t>
              </w:r>
            </w:hyperlink>
          </w:p>
        </w:tc>
        <w:tc>
          <w:tcPr>
            <w:tcW w:w="4560" w:type="dxa"/>
            <w:vAlign w:val="bottom"/>
            <w:gridSpan w:val="10"/>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A-18</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7.4</w:t>
            </w:r>
          </w:p>
        </w:tc>
        <w:tc>
          <w:tcPr>
            <w:tcW w:w="100" w:type="dxa"/>
            <w:vAlign w:val="bottom"/>
          </w:tcPr>
          <w:p>
            <w:pPr>
              <w:spacing w:after="0"/>
              <w:rPr>
                <w:sz w:val="24"/>
                <w:szCs w:val="24"/>
                <w:color w:val="auto"/>
              </w:rPr>
            </w:pPr>
          </w:p>
        </w:tc>
        <w:tc>
          <w:tcPr>
            <w:tcW w:w="7420" w:type="dxa"/>
            <w:vAlign w:val="bottom"/>
            <w:gridSpan w:val="28"/>
          </w:tcPr>
          <w:p>
            <w:pPr>
              <w:spacing w:after="0"/>
              <w:rPr>
                <w:rFonts w:ascii="Arial" w:cs="Arial" w:eastAsia="Arial" w:hAnsi="Arial"/>
                <w:sz w:val="22"/>
                <w:szCs w:val="22"/>
                <w:color w:val="0000EE"/>
              </w:rPr>
            </w:pPr>
            <w:hyperlink w:anchor="page86">
              <w:r>
                <w:rPr>
                  <w:rFonts w:ascii="Arial" w:cs="Arial" w:eastAsia="Arial" w:hAnsi="Arial"/>
                  <w:sz w:val="22"/>
                  <w:szCs w:val="22"/>
                  <w:color w:val="0000EE"/>
                </w:rPr>
                <w:t>Exercise of SARs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A-19</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7.5</w:t>
            </w:r>
          </w:p>
        </w:tc>
        <w:tc>
          <w:tcPr>
            <w:tcW w:w="100" w:type="dxa"/>
            <w:vAlign w:val="bottom"/>
          </w:tcPr>
          <w:p>
            <w:pPr>
              <w:spacing w:after="0"/>
              <w:rPr>
                <w:sz w:val="24"/>
                <w:szCs w:val="24"/>
                <w:color w:val="auto"/>
              </w:rPr>
            </w:pPr>
          </w:p>
        </w:tc>
        <w:tc>
          <w:tcPr>
            <w:tcW w:w="7420" w:type="dxa"/>
            <w:vAlign w:val="bottom"/>
            <w:gridSpan w:val="28"/>
          </w:tcPr>
          <w:p>
            <w:pPr>
              <w:spacing w:after="0"/>
              <w:rPr>
                <w:rFonts w:ascii="Arial" w:cs="Arial" w:eastAsia="Arial" w:hAnsi="Arial"/>
                <w:sz w:val="22"/>
                <w:szCs w:val="22"/>
                <w:color w:val="0000EE"/>
              </w:rPr>
            </w:pPr>
            <w:hyperlink w:anchor="page86">
              <w:r>
                <w:rPr>
                  <w:rFonts w:ascii="Arial" w:cs="Arial" w:eastAsia="Arial" w:hAnsi="Arial"/>
                  <w:sz w:val="22"/>
                  <w:szCs w:val="22"/>
                  <w:color w:val="0000EE"/>
                </w:rPr>
                <w:t>Deemed Exercise of SARs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A-19</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7.6</w:t>
            </w:r>
          </w:p>
        </w:tc>
        <w:tc>
          <w:tcPr>
            <w:tcW w:w="100" w:type="dxa"/>
            <w:vAlign w:val="bottom"/>
          </w:tcPr>
          <w:p>
            <w:pPr>
              <w:spacing w:after="0"/>
              <w:rPr>
                <w:sz w:val="24"/>
                <w:szCs w:val="24"/>
                <w:color w:val="auto"/>
              </w:rPr>
            </w:pPr>
          </w:p>
        </w:tc>
        <w:tc>
          <w:tcPr>
            <w:tcW w:w="2800" w:type="dxa"/>
            <w:vAlign w:val="bottom"/>
            <w:tcBorders>
              <w:bottom w:val="single" w:sz="8" w:color="0000EE"/>
            </w:tcBorders>
            <w:gridSpan w:val="17"/>
          </w:tcPr>
          <w:p>
            <w:pPr>
              <w:spacing w:after="0"/>
              <w:rPr>
                <w:rFonts w:ascii="Arial" w:cs="Arial" w:eastAsia="Arial" w:hAnsi="Arial"/>
                <w:sz w:val="22"/>
                <w:szCs w:val="22"/>
                <w:color w:val="0000EE"/>
                <w:w w:val="90"/>
              </w:rPr>
            </w:pPr>
            <w:hyperlink w:anchor="page87">
              <w:r>
                <w:rPr>
                  <w:rFonts w:ascii="Arial" w:cs="Arial" w:eastAsia="Arial" w:hAnsi="Arial"/>
                  <w:sz w:val="22"/>
                  <w:szCs w:val="22"/>
                  <w:color w:val="0000EE"/>
                  <w:w w:val="90"/>
                </w:rPr>
                <w:t>Effect of Termination of Service</w:t>
              </w:r>
            </w:hyperlink>
          </w:p>
        </w:tc>
        <w:tc>
          <w:tcPr>
            <w:tcW w:w="4620" w:type="dxa"/>
            <w:vAlign w:val="bottom"/>
            <w:gridSpan w:val="11"/>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7.7</w:t>
            </w:r>
          </w:p>
        </w:tc>
        <w:tc>
          <w:tcPr>
            <w:tcW w:w="100" w:type="dxa"/>
            <w:vAlign w:val="bottom"/>
          </w:tcPr>
          <w:p>
            <w:pPr>
              <w:spacing w:after="0"/>
              <w:rPr>
                <w:sz w:val="24"/>
                <w:szCs w:val="24"/>
                <w:color w:val="auto"/>
              </w:rPr>
            </w:pPr>
          </w:p>
        </w:tc>
        <w:tc>
          <w:tcPr>
            <w:tcW w:w="7420" w:type="dxa"/>
            <w:vAlign w:val="bottom"/>
            <w:gridSpan w:val="28"/>
          </w:tcPr>
          <w:p>
            <w:pPr>
              <w:spacing w:after="0"/>
              <w:rPr>
                <w:rFonts w:ascii="Arial" w:cs="Arial" w:eastAsia="Arial" w:hAnsi="Arial"/>
                <w:sz w:val="22"/>
                <w:szCs w:val="22"/>
                <w:color w:val="0000EE"/>
              </w:rPr>
            </w:pPr>
            <w:hyperlink w:anchor="page87">
              <w:r>
                <w:rPr>
                  <w:rFonts w:ascii="Arial" w:cs="Arial" w:eastAsia="Arial" w:hAnsi="Arial"/>
                  <w:sz w:val="22"/>
                  <w:szCs w:val="22"/>
                  <w:color w:val="0000EE"/>
                </w:rPr>
                <w:t>Transferability of SARs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A-20</w:t>
            </w:r>
          </w:p>
        </w:tc>
      </w:tr>
      <w:tr>
        <w:trPr>
          <w:trHeight w:val="20"/>
        </w:trPr>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8.</w:t>
            </w:r>
          </w:p>
        </w:tc>
        <w:tc>
          <w:tcPr>
            <w:tcW w:w="2140" w:type="dxa"/>
            <w:vAlign w:val="bottom"/>
            <w:tcBorders>
              <w:bottom w:val="single" w:sz="8" w:color="0000EE"/>
            </w:tcBorders>
            <w:gridSpan w:val="9"/>
          </w:tcPr>
          <w:p>
            <w:pPr>
              <w:spacing w:after="0"/>
              <w:rPr>
                <w:rFonts w:ascii="Arial" w:cs="Arial" w:eastAsia="Arial" w:hAnsi="Arial"/>
                <w:sz w:val="22"/>
                <w:szCs w:val="22"/>
                <w:color w:val="0000EE"/>
                <w:w w:val="88"/>
              </w:rPr>
            </w:pPr>
            <w:hyperlink w:anchor="page87">
              <w:r>
                <w:rPr>
                  <w:rFonts w:ascii="Arial" w:cs="Arial" w:eastAsia="Arial" w:hAnsi="Arial"/>
                  <w:sz w:val="22"/>
                  <w:szCs w:val="22"/>
                  <w:color w:val="0000EE"/>
                  <w:w w:val="88"/>
                </w:rPr>
                <w:t>Restricted Stock Awards</w:t>
              </w:r>
            </w:hyperlink>
          </w:p>
        </w:tc>
        <w:tc>
          <w:tcPr>
            <w:tcW w:w="6080" w:type="dxa"/>
            <w:vAlign w:val="bottom"/>
            <w:gridSpan w:val="21"/>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8.1</w:t>
            </w:r>
          </w:p>
        </w:tc>
        <w:tc>
          <w:tcPr>
            <w:tcW w:w="100" w:type="dxa"/>
            <w:vAlign w:val="bottom"/>
          </w:tcPr>
          <w:p>
            <w:pPr>
              <w:spacing w:after="0"/>
              <w:rPr>
                <w:sz w:val="24"/>
                <w:szCs w:val="24"/>
                <w:color w:val="auto"/>
              </w:rPr>
            </w:pPr>
          </w:p>
        </w:tc>
        <w:tc>
          <w:tcPr>
            <w:tcW w:w="7420" w:type="dxa"/>
            <w:vAlign w:val="bottom"/>
            <w:gridSpan w:val="28"/>
          </w:tcPr>
          <w:p>
            <w:pPr>
              <w:spacing w:after="0"/>
              <w:rPr>
                <w:rFonts w:ascii="Arial" w:cs="Arial" w:eastAsia="Arial" w:hAnsi="Arial"/>
                <w:sz w:val="22"/>
                <w:szCs w:val="22"/>
                <w:color w:val="0000EE"/>
              </w:rPr>
            </w:pPr>
            <w:hyperlink w:anchor="page87">
              <w:r>
                <w:rPr>
                  <w:rFonts w:ascii="Arial" w:cs="Arial" w:eastAsia="Arial" w:hAnsi="Arial"/>
                  <w:sz w:val="22"/>
                  <w:szCs w:val="22"/>
                  <w:color w:val="0000EE"/>
                </w:rPr>
                <w:t>Types of Restricted Stock Awards Authorized</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8.2</w:t>
            </w:r>
          </w:p>
        </w:tc>
        <w:tc>
          <w:tcPr>
            <w:tcW w:w="10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6"/>
          </w:tcPr>
          <w:p>
            <w:pPr>
              <w:spacing w:after="0"/>
              <w:rPr>
                <w:rFonts w:ascii="Arial" w:cs="Arial" w:eastAsia="Arial" w:hAnsi="Arial"/>
                <w:sz w:val="22"/>
                <w:szCs w:val="22"/>
                <w:color w:val="0000EE"/>
                <w:w w:val="85"/>
              </w:rPr>
            </w:pPr>
            <w:hyperlink w:anchor="page87">
              <w:r>
                <w:rPr>
                  <w:rFonts w:ascii="Arial" w:cs="Arial" w:eastAsia="Arial" w:hAnsi="Arial"/>
                  <w:sz w:val="22"/>
                  <w:szCs w:val="22"/>
                  <w:color w:val="0000EE"/>
                  <w:w w:val="85"/>
                </w:rPr>
                <w:t>Purchase Price</w:t>
              </w:r>
            </w:hyperlink>
          </w:p>
        </w:tc>
        <w:tc>
          <w:tcPr>
            <w:tcW w:w="2640" w:type="dxa"/>
            <w:vAlign w:val="bottom"/>
            <w:tcBorders>
              <w:top w:val="single" w:sz="8" w:color="0000EE"/>
            </w:tcBorders>
            <w:gridSpan w:val="18"/>
          </w:tcPr>
          <w:p>
            <w:pPr>
              <w:spacing w:after="0"/>
              <w:rPr>
                <w:sz w:val="24"/>
                <w:szCs w:val="24"/>
                <w:color w:val="auto"/>
              </w:rPr>
            </w:pPr>
          </w:p>
        </w:tc>
        <w:tc>
          <w:tcPr>
            <w:tcW w:w="3480" w:type="dxa"/>
            <w:vAlign w:val="bottom"/>
            <w:gridSpan w:val="4"/>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8.3</w:t>
            </w:r>
          </w:p>
        </w:tc>
        <w:tc>
          <w:tcPr>
            <w:tcW w:w="100" w:type="dxa"/>
            <w:vAlign w:val="bottom"/>
          </w:tcPr>
          <w:p>
            <w:pPr>
              <w:spacing w:after="0"/>
              <w:rPr>
                <w:sz w:val="24"/>
                <w:szCs w:val="24"/>
                <w:color w:val="auto"/>
              </w:rPr>
            </w:pPr>
          </w:p>
        </w:tc>
        <w:tc>
          <w:tcPr>
            <w:tcW w:w="1400" w:type="dxa"/>
            <w:vAlign w:val="bottom"/>
            <w:tcBorders>
              <w:bottom w:val="single" w:sz="8" w:color="0000EE"/>
            </w:tcBorders>
            <w:gridSpan w:val="8"/>
          </w:tcPr>
          <w:p>
            <w:pPr>
              <w:spacing w:after="0"/>
              <w:rPr>
                <w:rFonts w:ascii="Arial" w:cs="Arial" w:eastAsia="Arial" w:hAnsi="Arial"/>
                <w:sz w:val="22"/>
                <w:szCs w:val="22"/>
                <w:color w:val="0000EE"/>
                <w:w w:val="84"/>
              </w:rPr>
            </w:pPr>
            <w:hyperlink w:anchor="page87">
              <w:r>
                <w:rPr>
                  <w:rFonts w:ascii="Arial" w:cs="Arial" w:eastAsia="Arial" w:hAnsi="Arial"/>
                  <w:sz w:val="22"/>
                  <w:szCs w:val="22"/>
                  <w:color w:val="0000EE"/>
                  <w:w w:val="84"/>
                </w:rPr>
                <w:t>Purchase Period</w:t>
              </w:r>
            </w:hyperlink>
          </w:p>
        </w:tc>
        <w:tc>
          <w:tcPr>
            <w:tcW w:w="6020" w:type="dxa"/>
            <w:vAlign w:val="bottom"/>
            <w:gridSpan w:val="20"/>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8.4</w:t>
            </w:r>
          </w:p>
        </w:tc>
        <w:tc>
          <w:tcPr>
            <w:tcW w:w="100" w:type="dxa"/>
            <w:vAlign w:val="bottom"/>
          </w:tcPr>
          <w:p>
            <w:pPr>
              <w:spacing w:after="0"/>
              <w:rPr>
                <w:sz w:val="24"/>
                <w:szCs w:val="24"/>
                <w:color w:val="auto"/>
              </w:rPr>
            </w:pPr>
          </w:p>
        </w:tc>
        <w:tc>
          <w:tcPr>
            <w:tcW w:w="2320" w:type="dxa"/>
            <w:vAlign w:val="bottom"/>
            <w:tcBorders>
              <w:bottom w:val="single" w:sz="8" w:color="0000EE"/>
            </w:tcBorders>
            <w:gridSpan w:val="15"/>
          </w:tcPr>
          <w:p>
            <w:pPr>
              <w:spacing w:after="0"/>
              <w:rPr>
                <w:rFonts w:ascii="Arial" w:cs="Arial" w:eastAsia="Arial" w:hAnsi="Arial"/>
                <w:sz w:val="22"/>
                <w:szCs w:val="22"/>
                <w:color w:val="0000EE"/>
                <w:w w:val="86"/>
              </w:rPr>
            </w:pPr>
            <w:hyperlink w:anchor="page88">
              <w:r>
                <w:rPr>
                  <w:rFonts w:ascii="Arial" w:cs="Arial" w:eastAsia="Arial" w:hAnsi="Arial"/>
                  <w:sz w:val="22"/>
                  <w:szCs w:val="22"/>
                  <w:color w:val="0000EE"/>
                  <w:w w:val="86"/>
                </w:rPr>
                <w:t>Payment of Purchase Price</w:t>
              </w:r>
            </w:hyperlink>
          </w:p>
        </w:tc>
        <w:tc>
          <w:tcPr>
            <w:tcW w:w="5100" w:type="dxa"/>
            <w:vAlign w:val="bottom"/>
            <w:gridSpan w:val="13"/>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8.5</w:t>
            </w:r>
          </w:p>
        </w:tc>
        <w:tc>
          <w:tcPr>
            <w:tcW w:w="100" w:type="dxa"/>
            <w:vAlign w:val="bottom"/>
          </w:tcPr>
          <w:p>
            <w:pPr>
              <w:spacing w:after="0"/>
              <w:rPr>
                <w:sz w:val="24"/>
                <w:szCs w:val="24"/>
                <w:color w:val="auto"/>
              </w:rPr>
            </w:pPr>
          </w:p>
        </w:tc>
        <w:tc>
          <w:tcPr>
            <w:tcW w:w="7420" w:type="dxa"/>
            <w:vAlign w:val="bottom"/>
            <w:gridSpan w:val="28"/>
          </w:tcPr>
          <w:p>
            <w:pPr>
              <w:spacing w:after="0"/>
              <w:rPr>
                <w:rFonts w:ascii="Arial" w:cs="Arial" w:eastAsia="Arial" w:hAnsi="Arial"/>
                <w:sz w:val="22"/>
                <w:szCs w:val="22"/>
                <w:color w:val="0000EE"/>
              </w:rPr>
            </w:pPr>
            <w:hyperlink w:anchor="page88">
              <w:r>
                <w:rPr>
                  <w:rFonts w:ascii="Arial" w:cs="Arial" w:eastAsia="Arial" w:hAnsi="Arial"/>
                  <w:sz w:val="22"/>
                  <w:szCs w:val="22"/>
                  <w:color w:val="0000EE"/>
                </w:rPr>
                <w:t>Vesting and Restrictions on Transfer</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A-21</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520" w:type="dxa"/>
            <w:vAlign w:val="bottom"/>
            <w:gridSpan w:val="1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8.6</w:t>
            </w:r>
          </w:p>
        </w:tc>
        <w:tc>
          <w:tcPr>
            <w:tcW w:w="100" w:type="dxa"/>
            <w:vAlign w:val="bottom"/>
          </w:tcPr>
          <w:p>
            <w:pPr>
              <w:spacing w:after="0"/>
              <w:rPr>
                <w:sz w:val="24"/>
                <w:szCs w:val="24"/>
                <w:color w:val="auto"/>
              </w:rPr>
            </w:pPr>
          </w:p>
        </w:tc>
        <w:tc>
          <w:tcPr>
            <w:tcW w:w="3740" w:type="dxa"/>
            <w:vAlign w:val="bottom"/>
            <w:tcBorders>
              <w:bottom w:val="single" w:sz="8" w:color="0000EE"/>
            </w:tcBorders>
            <w:gridSpan w:val="22"/>
          </w:tcPr>
          <w:p>
            <w:pPr>
              <w:spacing w:after="0"/>
              <w:rPr>
                <w:rFonts w:ascii="Arial" w:cs="Arial" w:eastAsia="Arial" w:hAnsi="Arial"/>
                <w:sz w:val="22"/>
                <w:szCs w:val="22"/>
                <w:color w:val="0000EE"/>
                <w:w w:val="90"/>
              </w:rPr>
            </w:pPr>
            <w:hyperlink w:anchor="page88">
              <w:r>
                <w:rPr>
                  <w:rFonts w:ascii="Arial" w:cs="Arial" w:eastAsia="Arial" w:hAnsi="Arial"/>
                  <w:sz w:val="22"/>
                  <w:szCs w:val="22"/>
                  <w:color w:val="0000EE"/>
                  <w:w w:val="90"/>
                </w:rPr>
                <w:t>Voting Rights; Dividends and Distributions</w:t>
              </w:r>
            </w:hyperlink>
          </w:p>
        </w:tc>
        <w:tc>
          <w:tcPr>
            <w:tcW w:w="3680" w:type="dxa"/>
            <w:vAlign w:val="bottom"/>
            <w:gridSpan w:val="6"/>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8.7</w:t>
            </w:r>
          </w:p>
        </w:tc>
        <w:tc>
          <w:tcPr>
            <w:tcW w:w="100" w:type="dxa"/>
            <w:vAlign w:val="bottom"/>
          </w:tcPr>
          <w:p>
            <w:pPr>
              <w:spacing w:after="0"/>
              <w:rPr>
                <w:sz w:val="24"/>
                <w:szCs w:val="24"/>
                <w:color w:val="auto"/>
              </w:rPr>
            </w:pPr>
          </w:p>
        </w:tc>
        <w:tc>
          <w:tcPr>
            <w:tcW w:w="2800" w:type="dxa"/>
            <w:vAlign w:val="bottom"/>
            <w:tcBorders>
              <w:bottom w:val="single" w:sz="8" w:color="0000EE"/>
            </w:tcBorders>
            <w:gridSpan w:val="17"/>
          </w:tcPr>
          <w:p>
            <w:pPr>
              <w:spacing w:after="0"/>
              <w:rPr>
                <w:rFonts w:ascii="Arial" w:cs="Arial" w:eastAsia="Arial" w:hAnsi="Arial"/>
                <w:sz w:val="22"/>
                <w:szCs w:val="22"/>
                <w:color w:val="0000EE"/>
                <w:w w:val="90"/>
              </w:rPr>
            </w:pPr>
            <w:hyperlink w:anchor="page88">
              <w:r>
                <w:rPr>
                  <w:rFonts w:ascii="Arial" w:cs="Arial" w:eastAsia="Arial" w:hAnsi="Arial"/>
                  <w:sz w:val="22"/>
                  <w:szCs w:val="22"/>
                  <w:color w:val="0000EE"/>
                  <w:w w:val="90"/>
                </w:rPr>
                <w:t>Effect of Termination of Service</w:t>
              </w:r>
            </w:hyperlink>
          </w:p>
        </w:tc>
        <w:tc>
          <w:tcPr>
            <w:tcW w:w="4620" w:type="dxa"/>
            <w:vAlign w:val="bottom"/>
            <w:gridSpan w:val="11"/>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8.8</w:t>
            </w:r>
          </w:p>
        </w:tc>
        <w:tc>
          <w:tcPr>
            <w:tcW w:w="100" w:type="dxa"/>
            <w:vAlign w:val="bottom"/>
          </w:tcPr>
          <w:p>
            <w:pPr>
              <w:spacing w:after="0"/>
              <w:rPr>
                <w:sz w:val="24"/>
                <w:szCs w:val="24"/>
                <w:color w:val="auto"/>
              </w:rPr>
            </w:pPr>
          </w:p>
        </w:tc>
        <w:tc>
          <w:tcPr>
            <w:tcW w:w="7420" w:type="dxa"/>
            <w:vAlign w:val="bottom"/>
            <w:gridSpan w:val="28"/>
          </w:tcPr>
          <w:p>
            <w:pPr>
              <w:spacing w:after="0"/>
              <w:rPr>
                <w:rFonts w:ascii="Arial" w:cs="Arial" w:eastAsia="Arial" w:hAnsi="Arial"/>
                <w:sz w:val="22"/>
                <w:szCs w:val="22"/>
                <w:color w:val="0000EE"/>
              </w:rPr>
            </w:pPr>
            <w:hyperlink w:anchor="page89">
              <w:r>
                <w:rPr>
                  <w:rFonts w:ascii="Arial" w:cs="Arial" w:eastAsia="Arial" w:hAnsi="Arial"/>
                  <w:sz w:val="22"/>
                  <w:szCs w:val="22"/>
                  <w:color w:val="0000EE"/>
                </w:rPr>
                <w:t>Nontransferability of Restricted Stock Award Rights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A-22</w:t>
            </w:r>
          </w:p>
        </w:tc>
      </w:tr>
      <w:tr>
        <w:trPr>
          <w:trHeight w:val="20"/>
        </w:trPr>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520" w:type="dxa"/>
            <w:vAlign w:val="bottom"/>
            <w:gridSpan w:val="1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9.</w:t>
            </w:r>
          </w:p>
        </w:tc>
        <w:tc>
          <w:tcPr>
            <w:tcW w:w="1960" w:type="dxa"/>
            <w:vAlign w:val="bottom"/>
            <w:tcBorders>
              <w:bottom w:val="single" w:sz="8" w:color="0000EE"/>
            </w:tcBorders>
            <w:gridSpan w:val="5"/>
          </w:tcPr>
          <w:p>
            <w:pPr>
              <w:spacing w:after="0"/>
              <w:rPr>
                <w:rFonts w:ascii="Arial" w:cs="Arial" w:eastAsia="Arial" w:hAnsi="Arial"/>
                <w:sz w:val="22"/>
                <w:szCs w:val="22"/>
                <w:color w:val="0000EE"/>
                <w:w w:val="89"/>
              </w:rPr>
            </w:pPr>
            <w:hyperlink w:anchor="page89">
              <w:r>
                <w:rPr>
                  <w:rFonts w:ascii="Arial" w:cs="Arial" w:eastAsia="Arial" w:hAnsi="Arial"/>
                  <w:sz w:val="22"/>
                  <w:szCs w:val="22"/>
                  <w:color w:val="0000EE"/>
                  <w:w w:val="89"/>
                </w:rPr>
                <w:t>Restricted Stock Units</w:t>
              </w:r>
            </w:hyperlink>
          </w:p>
        </w:tc>
        <w:tc>
          <w:tcPr>
            <w:tcW w:w="6260" w:type="dxa"/>
            <w:vAlign w:val="bottom"/>
            <w:gridSpan w:val="25"/>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A-22</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9.1</w:t>
            </w:r>
          </w:p>
        </w:tc>
        <w:tc>
          <w:tcPr>
            <w:tcW w:w="100" w:type="dxa"/>
            <w:vAlign w:val="bottom"/>
          </w:tcPr>
          <w:p>
            <w:pPr>
              <w:spacing w:after="0"/>
              <w:rPr>
                <w:sz w:val="24"/>
                <w:szCs w:val="24"/>
                <w:color w:val="auto"/>
              </w:rPr>
            </w:pPr>
          </w:p>
        </w:tc>
        <w:tc>
          <w:tcPr>
            <w:tcW w:w="3340" w:type="dxa"/>
            <w:vAlign w:val="bottom"/>
            <w:tcBorders>
              <w:bottom w:val="single" w:sz="8" w:color="0000EE"/>
            </w:tcBorders>
            <w:gridSpan w:val="21"/>
          </w:tcPr>
          <w:p>
            <w:pPr>
              <w:spacing w:after="0"/>
              <w:rPr>
                <w:rFonts w:ascii="Arial" w:cs="Arial" w:eastAsia="Arial" w:hAnsi="Arial"/>
                <w:sz w:val="22"/>
                <w:szCs w:val="22"/>
                <w:color w:val="0000EE"/>
                <w:w w:val="89"/>
              </w:rPr>
            </w:pPr>
            <w:hyperlink w:anchor="page89">
              <w:r>
                <w:rPr>
                  <w:rFonts w:ascii="Arial" w:cs="Arial" w:eastAsia="Arial" w:hAnsi="Arial"/>
                  <w:sz w:val="22"/>
                  <w:szCs w:val="22"/>
                  <w:color w:val="0000EE"/>
                  <w:w w:val="89"/>
                </w:rPr>
                <w:t>Grant of Restricted Stock Unit Awards</w:t>
              </w:r>
            </w:hyperlink>
          </w:p>
        </w:tc>
        <w:tc>
          <w:tcPr>
            <w:tcW w:w="4080" w:type="dxa"/>
            <w:vAlign w:val="bottom"/>
            <w:gridSpan w:val="7"/>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A-22</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9.2</w:t>
            </w:r>
          </w:p>
        </w:tc>
        <w:tc>
          <w:tcPr>
            <w:tcW w:w="100" w:type="dxa"/>
            <w:vAlign w:val="bottom"/>
          </w:tcPr>
          <w:p>
            <w:pPr>
              <w:spacing w:after="0"/>
              <w:rPr>
                <w:sz w:val="24"/>
                <w:szCs w:val="24"/>
                <w:color w:val="auto"/>
              </w:rPr>
            </w:pPr>
          </w:p>
        </w:tc>
        <w:tc>
          <w:tcPr>
            <w:tcW w:w="1280" w:type="dxa"/>
            <w:vAlign w:val="bottom"/>
            <w:tcBorders>
              <w:bottom w:val="single" w:sz="8" w:color="0000EE"/>
            </w:tcBorders>
            <w:gridSpan w:val="5"/>
          </w:tcPr>
          <w:p>
            <w:pPr>
              <w:spacing w:after="0"/>
              <w:rPr>
                <w:rFonts w:ascii="Arial" w:cs="Arial" w:eastAsia="Arial" w:hAnsi="Arial"/>
                <w:sz w:val="22"/>
                <w:szCs w:val="22"/>
                <w:color w:val="0000EE"/>
                <w:w w:val="84"/>
              </w:rPr>
            </w:pPr>
            <w:hyperlink w:anchor="page89">
              <w:r>
                <w:rPr>
                  <w:rFonts w:ascii="Arial" w:cs="Arial" w:eastAsia="Arial" w:hAnsi="Arial"/>
                  <w:sz w:val="22"/>
                  <w:szCs w:val="22"/>
                  <w:color w:val="0000EE"/>
                  <w:w w:val="84"/>
                </w:rPr>
                <w:t>Purchase Price</w:t>
              </w:r>
            </w:hyperlink>
          </w:p>
        </w:tc>
        <w:tc>
          <w:tcPr>
            <w:tcW w:w="6140" w:type="dxa"/>
            <w:vAlign w:val="bottom"/>
            <w:gridSpan w:val="23"/>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A-22</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9.3</w:t>
            </w:r>
          </w:p>
        </w:tc>
        <w:tc>
          <w:tcPr>
            <w:tcW w:w="100" w:type="dxa"/>
            <w:vAlign w:val="bottom"/>
          </w:tcPr>
          <w:p>
            <w:pPr>
              <w:spacing w:after="0"/>
              <w:rPr>
                <w:sz w:val="24"/>
                <w:szCs w:val="24"/>
                <w:color w:val="auto"/>
              </w:rPr>
            </w:pPr>
          </w:p>
        </w:tc>
        <w:tc>
          <w:tcPr>
            <w:tcW w:w="7420" w:type="dxa"/>
            <w:vAlign w:val="bottom"/>
            <w:gridSpan w:val="28"/>
          </w:tcPr>
          <w:p>
            <w:pPr>
              <w:spacing w:after="0"/>
              <w:rPr>
                <w:rFonts w:ascii="Arial" w:cs="Arial" w:eastAsia="Arial" w:hAnsi="Arial"/>
                <w:sz w:val="22"/>
                <w:szCs w:val="22"/>
                <w:color w:val="0000EE"/>
              </w:rPr>
            </w:pPr>
            <w:hyperlink w:anchor="page89">
              <w:r>
                <w:rPr>
                  <w:rFonts w:ascii="Arial" w:cs="Arial" w:eastAsia="Arial" w:hAnsi="Arial"/>
                  <w:sz w:val="22"/>
                  <w:szCs w:val="22"/>
                  <w:color w:val="0000EE"/>
                </w:rPr>
                <w:t>Vesting</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A-22</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15"/>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9.4</w:t>
            </w:r>
          </w:p>
        </w:tc>
        <w:tc>
          <w:tcPr>
            <w:tcW w:w="100" w:type="dxa"/>
            <w:vAlign w:val="bottom"/>
          </w:tcPr>
          <w:p>
            <w:pPr>
              <w:spacing w:after="0"/>
              <w:rPr>
                <w:sz w:val="24"/>
                <w:szCs w:val="24"/>
                <w:color w:val="auto"/>
              </w:rPr>
            </w:pPr>
          </w:p>
        </w:tc>
        <w:tc>
          <w:tcPr>
            <w:tcW w:w="5260" w:type="dxa"/>
            <w:vAlign w:val="bottom"/>
            <w:tcBorders>
              <w:bottom w:val="single" w:sz="8" w:color="0000EE"/>
            </w:tcBorders>
            <w:gridSpan w:val="27"/>
          </w:tcPr>
          <w:p>
            <w:pPr>
              <w:spacing w:after="0"/>
              <w:rPr>
                <w:rFonts w:ascii="Arial" w:cs="Arial" w:eastAsia="Arial" w:hAnsi="Arial"/>
                <w:sz w:val="22"/>
                <w:szCs w:val="22"/>
                <w:color w:val="0000EE"/>
                <w:w w:val="90"/>
              </w:rPr>
            </w:pPr>
            <w:hyperlink w:anchor="page89">
              <w:r>
                <w:rPr>
                  <w:rFonts w:ascii="Arial" w:cs="Arial" w:eastAsia="Arial" w:hAnsi="Arial"/>
                  <w:sz w:val="22"/>
                  <w:szCs w:val="22"/>
                  <w:color w:val="0000EE"/>
                  <w:w w:val="90"/>
                </w:rPr>
                <w:t>Voting Rights, Dividend Equivalent Rights and Distributions</w:t>
              </w:r>
            </w:hyperlink>
          </w:p>
        </w:tc>
        <w:tc>
          <w:tcPr>
            <w:tcW w:w="2160" w:type="dxa"/>
            <w:vAlign w:val="bottom"/>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A-22</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9.5</w:t>
            </w:r>
          </w:p>
        </w:tc>
        <w:tc>
          <w:tcPr>
            <w:tcW w:w="100" w:type="dxa"/>
            <w:vAlign w:val="bottom"/>
          </w:tcPr>
          <w:p>
            <w:pPr>
              <w:spacing w:after="0"/>
              <w:rPr>
                <w:sz w:val="24"/>
                <w:szCs w:val="24"/>
                <w:color w:val="auto"/>
              </w:rPr>
            </w:pPr>
          </w:p>
        </w:tc>
        <w:tc>
          <w:tcPr>
            <w:tcW w:w="2800" w:type="dxa"/>
            <w:vAlign w:val="bottom"/>
            <w:tcBorders>
              <w:bottom w:val="single" w:sz="8" w:color="0000EE"/>
            </w:tcBorders>
            <w:gridSpan w:val="17"/>
          </w:tcPr>
          <w:p>
            <w:pPr>
              <w:spacing w:after="0"/>
              <w:rPr>
                <w:rFonts w:ascii="Arial" w:cs="Arial" w:eastAsia="Arial" w:hAnsi="Arial"/>
                <w:sz w:val="22"/>
                <w:szCs w:val="22"/>
                <w:color w:val="0000EE"/>
                <w:w w:val="90"/>
              </w:rPr>
            </w:pPr>
            <w:hyperlink w:anchor="page90">
              <w:r>
                <w:rPr>
                  <w:rFonts w:ascii="Arial" w:cs="Arial" w:eastAsia="Arial" w:hAnsi="Arial"/>
                  <w:sz w:val="22"/>
                  <w:szCs w:val="22"/>
                  <w:color w:val="0000EE"/>
                  <w:w w:val="90"/>
                </w:rPr>
                <w:t>Effect of Termination of Service</w:t>
              </w:r>
            </w:hyperlink>
          </w:p>
        </w:tc>
        <w:tc>
          <w:tcPr>
            <w:tcW w:w="4620" w:type="dxa"/>
            <w:vAlign w:val="bottom"/>
            <w:gridSpan w:val="11"/>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A-23</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9.6</w:t>
            </w:r>
          </w:p>
        </w:tc>
        <w:tc>
          <w:tcPr>
            <w:tcW w:w="100" w:type="dxa"/>
            <w:vAlign w:val="bottom"/>
          </w:tcPr>
          <w:p>
            <w:pPr>
              <w:spacing w:after="0"/>
              <w:rPr>
                <w:sz w:val="24"/>
                <w:szCs w:val="24"/>
                <w:color w:val="auto"/>
              </w:rPr>
            </w:pPr>
          </w:p>
        </w:tc>
        <w:tc>
          <w:tcPr>
            <w:tcW w:w="3780" w:type="dxa"/>
            <w:vAlign w:val="bottom"/>
            <w:tcBorders>
              <w:bottom w:val="single" w:sz="8" w:color="0000EE"/>
            </w:tcBorders>
            <w:gridSpan w:val="23"/>
          </w:tcPr>
          <w:p>
            <w:pPr>
              <w:spacing w:after="0"/>
              <w:rPr>
                <w:rFonts w:ascii="Arial" w:cs="Arial" w:eastAsia="Arial" w:hAnsi="Arial"/>
                <w:sz w:val="22"/>
                <w:szCs w:val="22"/>
                <w:color w:val="0000EE"/>
                <w:w w:val="89"/>
              </w:rPr>
            </w:pPr>
            <w:hyperlink w:anchor="page90">
              <w:r>
                <w:rPr>
                  <w:rFonts w:ascii="Arial" w:cs="Arial" w:eastAsia="Arial" w:hAnsi="Arial"/>
                  <w:sz w:val="22"/>
                  <w:szCs w:val="22"/>
                  <w:color w:val="0000EE"/>
                  <w:w w:val="89"/>
                </w:rPr>
                <w:t>Settlement of Restricted Stock Unit Awards</w:t>
              </w:r>
            </w:hyperlink>
          </w:p>
        </w:tc>
        <w:tc>
          <w:tcPr>
            <w:tcW w:w="3640" w:type="dxa"/>
            <w:vAlign w:val="bottom"/>
            <w:gridSpan w:val="5"/>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A-23</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9.7</w:t>
            </w:r>
          </w:p>
        </w:tc>
        <w:tc>
          <w:tcPr>
            <w:tcW w:w="100" w:type="dxa"/>
            <w:vAlign w:val="bottom"/>
          </w:tcPr>
          <w:p>
            <w:pPr>
              <w:spacing w:after="0"/>
              <w:rPr>
                <w:sz w:val="24"/>
                <w:szCs w:val="24"/>
                <w:color w:val="auto"/>
              </w:rPr>
            </w:pPr>
          </w:p>
        </w:tc>
        <w:tc>
          <w:tcPr>
            <w:tcW w:w="4440" w:type="dxa"/>
            <w:vAlign w:val="bottom"/>
            <w:tcBorders>
              <w:bottom w:val="single" w:sz="8" w:color="0000EE"/>
            </w:tcBorders>
            <w:gridSpan w:val="25"/>
          </w:tcPr>
          <w:p>
            <w:pPr>
              <w:spacing w:after="0"/>
              <w:rPr>
                <w:rFonts w:ascii="Arial" w:cs="Arial" w:eastAsia="Arial" w:hAnsi="Arial"/>
                <w:sz w:val="22"/>
                <w:szCs w:val="22"/>
                <w:color w:val="0000EE"/>
                <w:w w:val="90"/>
              </w:rPr>
            </w:pPr>
            <w:hyperlink w:anchor="page91">
              <w:r>
                <w:rPr>
                  <w:rFonts w:ascii="Arial" w:cs="Arial" w:eastAsia="Arial" w:hAnsi="Arial"/>
                  <w:sz w:val="22"/>
                  <w:szCs w:val="22"/>
                  <w:color w:val="0000EE"/>
                  <w:w w:val="90"/>
                </w:rPr>
                <w:t>Nontransferability of Restricted Stock Unit Awards</w:t>
              </w:r>
            </w:hyperlink>
          </w:p>
        </w:tc>
        <w:tc>
          <w:tcPr>
            <w:tcW w:w="2980" w:type="dxa"/>
            <w:vAlign w:val="bottom"/>
            <w:gridSpan w:val="3"/>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A-24</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10.</w:t>
            </w:r>
          </w:p>
        </w:tc>
        <w:tc>
          <w:tcPr>
            <w:tcW w:w="8220" w:type="dxa"/>
            <w:vAlign w:val="bottom"/>
            <w:gridSpan w:val="30"/>
          </w:tcPr>
          <w:p>
            <w:pPr>
              <w:spacing w:after="0"/>
              <w:rPr>
                <w:rFonts w:ascii="Arial" w:cs="Arial" w:eastAsia="Arial" w:hAnsi="Arial"/>
                <w:sz w:val="22"/>
                <w:szCs w:val="22"/>
                <w:color w:val="0000EE"/>
              </w:rPr>
            </w:pPr>
            <w:hyperlink w:anchor="page91">
              <w:r>
                <w:rPr>
                  <w:rFonts w:ascii="Arial" w:cs="Arial" w:eastAsia="Arial" w:hAnsi="Arial"/>
                  <w:sz w:val="22"/>
                  <w:szCs w:val="22"/>
                  <w:color w:val="0000EE"/>
                </w:rPr>
                <w:t>Performance Awards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A-24</w:t>
            </w:r>
          </w:p>
        </w:tc>
      </w:tr>
      <w:tr>
        <w:trPr>
          <w:trHeight w:val="422"/>
        </w:trPr>
        <w:tc>
          <w:tcPr>
            <w:tcW w:w="6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4"/>
          </w:tcPr>
          <w:p>
            <w:pPr>
              <w:jc w:val="center"/>
              <w:ind w:right="2860"/>
              <w:spacing w:after="0"/>
              <w:rPr>
                <w:sz w:val="20"/>
                <w:szCs w:val="20"/>
                <w:color w:val="auto"/>
              </w:rPr>
            </w:pPr>
            <w:r>
              <w:rPr>
                <w:rFonts w:ascii="Arial" w:cs="Arial" w:eastAsia="Arial" w:hAnsi="Arial"/>
                <w:sz w:val="22"/>
                <w:szCs w:val="22"/>
                <w:color w:val="auto"/>
              </w:rPr>
              <w:t>A-ii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5" w:name="page66"/>
    <w:bookmarkEnd w:id="65"/>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Table of Contents</w:t>
              </w:r>
            </w:hyperlink>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39"/>
        </w:trPr>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7"/>
          </w:tcPr>
          <w:p>
            <w:pPr>
              <w:jc w:val="center"/>
              <w:ind w:right="3160"/>
              <w:spacing w:after="0"/>
              <w:rPr>
                <w:sz w:val="20"/>
                <w:szCs w:val="20"/>
                <w:color w:val="auto"/>
              </w:rPr>
            </w:pPr>
            <w:r>
              <w:rPr>
                <w:rFonts w:ascii="Arial" w:cs="Arial" w:eastAsia="Arial" w:hAnsi="Arial"/>
                <w:sz w:val="22"/>
                <w:szCs w:val="22"/>
                <w:b w:val="1"/>
                <w:bCs w:val="1"/>
                <w:color w:val="auto"/>
                <w:w w:val="97"/>
              </w:rPr>
              <w:t>TABLE OF CONTENTS</w:t>
            </w:r>
          </w:p>
        </w:tc>
        <w:tc>
          <w:tcPr>
            <w:tcW w:w="122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960" w:type="dxa"/>
            <w:vAlign w:val="bottom"/>
            <w:gridSpan w:val="10"/>
          </w:tcPr>
          <w:p>
            <w:pPr>
              <w:jc w:val="center"/>
              <w:ind w:right="3880"/>
              <w:spacing w:after="0"/>
              <w:rPr>
                <w:sz w:val="20"/>
                <w:szCs w:val="20"/>
                <w:color w:val="auto"/>
              </w:rPr>
            </w:pPr>
            <w:r>
              <w:rPr>
                <w:rFonts w:ascii="Arial" w:cs="Arial" w:eastAsia="Arial" w:hAnsi="Arial"/>
                <w:sz w:val="22"/>
                <w:szCs w:val="22"/>
                <w:color w:val="auto"/>
                <w:w w:val="90"/>
              </w:rPr>
              <w:t>(continued)</w:t>
            </w:r>
          </w:p>
        </w:tc>
        <w:tc>
          <w:tcPr>
            <w:tcW w:w="1220" w:type="dxa"/>
            <w:vAlign w:val="bottom"/>
          </w:tcPr>
          <w:p>
            <w:pPr>
              <w:spacing w:after="0"/>
              <w:rPr>
                <w:sz w:val="23"/>
                <w:szCs w:val="23"/>
                <w:color w:val="auto"/>
              </w:rPr>
            </w:pPr>
          </w:p>
        </w:tc>
      </w:tr>
      <w:tr>
        <w:trPr>
          <w:trHeight w:val="39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jc w:val="center"/>
              <w:ind w:left="632"/>
              <w:spacing w:after="0"/>
              <w:rPr>
                <w:sz w:val="20"/>
                <w:szCs w:val="20"/>
                <w:color w:val="auto"/>
              </w:rPr>
            </w:pPr>
            <w:r>
              <w:rPr>
                <w:rFonts w:ascii="Arial" w:cs="Arial" w:eastAsia="Arial" w:hAnsi="Arial"/>
                <w:sz w:val="22"/>
                <w:szCs w:val="22"/>
                <w:b w:val="1"/>
                <w:bCs w:val="1"/>
                <w:color w:val="auto"/>
                <w:w w:val="83"/>
              </w:rPr>
              <w:t>Page</w:t>
            </w:r>
          </w:p>
        </w:tc>
      </w:tr>
      <w:tr>
        <w:trPr>
          <w:trHeight w:val="476"/>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10.1</w:t>
            </w:r>
          </w:p>
        </w:tc>
        <w:tc>
          <w:tcPr>
            <w:tcW w:w="80" w:type="dxa"/>
            <w:vAlign w:val="bottom"/>
          </w:tcPr>
          <w:p>
            <w:pPr>
              <w:spacing w:after="0"/>
              <w:rPr>
                <w:sz w:val="24"/>
                <w:szCs w:val="24"/>
                <w:color w:val="auto"/>
              </w:rPr>
            </w:pPr>
          </w:p>
        </w:tc>
        <w:tc>
          <w:tcPr>
            <w:tcW w:w="3640" w:type="dxa"/>
            <w:vAlign w:val="bottom"/>
            <w:tcBorders>
              <w:bottom w:val="single" w:sz="8" w:color="0000EE"/>
            </w:tcBorders>
            <w:gridSpan w:val="16"/>
          </w:tcPr>
          <w:p>
            <w:pPr>
              <w:spacing w:after="0"/>
              <w:rPr>
                <w:rFonts w:ascii="Arial" w:cs="Arial" w:eastAsia="Arial" w:hAnsi="Arial"/>
                <w:sz w:val="22"/>
                <w:szCs w:val="22"/>
                <w:color w:val="0000EE"/>
                <w:w w:val="88"/>
              </w:rPr>
            </w:pPr>
            <w:hyperlink w:anchor="page91">
              <w:r>
                <w:rPr>
                  <w:rFonts w:ascii="Arial" w:cs="Arial" w:eastAsia="Arial" w:hAnsi="Arial"/>
                  <w:sz w:val="22"/>
                  <w:szCs w:val="22"/>
                  <w:color w:val="0000EE"/>
                  <w:w w:val="88"/>
                </w:rPr>
                <w:t>Types of Performance Awards Authorized</w:t>
              </w:r>
            </w:hyperlink>
          </w:p>
        </w:tc>
        <w:tc>
          <w:tcPr>
            <w:tcW w:w="5060" w:type="dxa"/>
            <w:vAlign w:val="bottom"/>
            <w:gridSpan w:val="12"/>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A-24</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10.2</w:t>
            </w:r>
          </w:p>
        </w:tc>
        <w:tc>
          <w:tcPr>
            <w:tcW w:w="80" w:type="dxa"/>
            <w:vAlign w:val="bottom"/>
          </w:tcPr>
          <w:p>
            <w:pPr>
              <w:spacing w:after="0"/>
              <w:rPr>
                <w:sz w:val="24"/>
                <w:szCs w:val="24"/>
                <w:color w:val="auto"/>
              </w:rPr>
            </w:pPr>
          </w:p>
        </w:tc>
        <w:tc>
          <w:tcPr>
            <w:tcW w:w="5140" w:type="dxa"/>
            <w:vAlign w:val="bottom"/>
            <w:tcBorders>
              <w:bottom w:val="single" w:sz="8" w:color="0000EE"/>
            </w:tcBorders>
            <w:gridSpan w:val="22"/>
          </w:tcPr>
          <w:p>
            <w:pPr>
              <w:spacing w:after="0"/>
              <w:rPr>
                <w:rFonts w:ascii="Arial" w:cs="Arial" w:eastAsia="Arial" w:hAnsi="Arial"/>
                <w:sz w:val="22"/>
                <w:szCs w:val="22"/>
                <w:color w:val="0000EE"/>
                <w:w w:val="88"/>
              </w:rPr>
            </w:pPr>
            <w:hyperlink w:anchor="page91">
              <w:r>
                <w:rPr>
                  <w:rFonts w:ascii="Arial" w:cs="Arial" w:eastAsia="Arial" w:hAnsi="Arial"/>
                  <w:sz w:val="22"/>
                  <w:szCs w:val="22"/>
                  <w:color w:val="0000EE"/>
                  <w:w w:val="88"/>
                </w:rPr>
                <w:t>Initial Value of Performance Shares and Performance Units</w:t>
              </w:r>
            </w:hyperlink>
          </w:p>
        </w:tc>
        <w:tc>
          <w:tcPr>
            <w:tcW w:w="3560" w:type="dxa"/>
            <w:vAlign w:val="bottom"/>
            <w:gridSpan w:val="6"/>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A-24</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10.3</w:t>
            </w:r>
          </w:p>
        </w:tc>
        <w:tc>
          <w:tcPr>
            <w:tcW w:w="80" w:type="dxa"/>
            <w:vAlign w:val="bottom"/>
          </w:tcPr>
          <w:p>
            <w:pPr>
              <w:spacing w:after="0"/>
              <w:rPr>
                <w:sz w:val="24"/>
                <w:szCs w:val="24"/>
                <w:color w:val="auto"/>
              </w:rPr>
            </w:pPr>
          </w:p>
        </w:tc>
        <w:tc>
          <w:tcPr>
            <w:tcW w:w="7940" w:type="dxa"/>
            <w:vAlign w:val="bottom"/>
            <w:tcBorders>
              <w:bottom w:val="single" w:sz="8" w:color="0000EE"/>
            </w:tcBorders>
            <w:gridSpan w:val="27"/>
          </w:tcPr>
          <w:p>
            <w:pPr>
              <w:spacing w:after="0"/>
              <w:rPr>
                <w:rFonts w:ascii="Arial" w:cs="Arial" w:eastAsia="Arial" w:hAnsi="Arial"/>
                <w:sz w:val="22"/>
                <w:szCs w:val="22"/>
                <w:color w:val="0000EE"/>
                <w:w w:val="88"/>
              </w:rPr>
            </w:pPr>
            <w:hyperlink w:anchor="page91">
              <w:r>
                <w:rPr>
                  <w:rFonts w:ascii="Arial" w:cs="Arial" w:eastAsia="Arial" w:hAnsi="Arial"/>
                  <w:sz w:val="22"/>
                  <w:szCs w:val="22"/>
                  <w:color w:val="0000EE"/>
                  <w:w w:val="88"/>
                </w:rPr>
                <w:t>Establishment of Performance Period, Performance Goals and Performance Award Formula</w:t>
              </w:r>
            </w:hyperlink>
          </w:p>
        </w:tc>
        <w:tc>
          <w:tcPr>
            <w:tcW w:w="760" w:type="dxa"/>
            <w:vAlign w:val="bottom"/>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A-24</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10.4</w:t>
            </w:r>
          </w:p>
        </w:tc>
        <w:tc>
          <w:tcPr>
            <w:tcW w:w="80" w:type="dxa"/>
            <w:vAlign w:val="bottom"/>
          </w:tcPr>
          <w:p>
            <w:pPr>
              <w:spacing w:after="0"/>
              <w:rPr>
                <w:sz w:val="24"/>
                <w:szCs w:val="24"/>
                <w:color w:val="auto"/>
              </w:rPr>
            </w:pPr>
          </w:p>
        </w:tc>
        <w:tc>
          <w:tcPr>
            <w:tcW w:w="3140" w:type="dxa"/>
            <w:vAlign w:val="bottom"/>
            <w:tcBorders>
              <w:bottom w:val="single" w:sz="8" w:color="0000EE"/>
            </w:tcBorders>
            <w:gridSpan w:val="13"/>
          </w:tcPr>
          <w:p>
            <w:pPr>
              <w:spacing w:after="0"/>
              <w:rPr>
                <w:rFonts w:ascii="Arial" w:cs="Arial" w:eastAsia="Arial" w:hAnsi="Arial"/>
                <w:sz w:val="22"/>
                <w:szCs w:val="22"/>
                <w:color w:val="0000EE"/>
                <w:w w:val="87"/>
              </w:rPr>
            </w:pPr>
            <w:hyperlink w:anchor="page92">
              <w:r>
                <w:rPr>
                  <w:rFonts w:ascii="Arial" w:cs="Arial" w:eastAsia="Arial" w:hAnsi="Arial"/>
                  <w:sz w:val="22"/>
                  <w:szCs w:val="22"/>
                  <w:color w:val="0000EE"/>
                  <w:w w:val="87"/>
                </w:rPr>
                <w:t>Measurement of Performance Goals</w:t>
              </w:r>
            </w:hyperlink>
          </w:p>
        </w:tc>
        <w:tc>
          <w:tcPr>
            <w:tcW w:w="5560" w:type="dxa"/>
            <w:vAlign w:val="bottom"/>
            <w:gridSpan w:val="15"/>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A-25</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10.5</w:t>
            </w:r>
          </w:p>
        </w:tc>
        <w:tc>
          <w:tcPr>
            <w:tcW w:w="80" w:type="dxa"/>
            <w:vAlign w:val="bottom"/>
          </w:tcPr>
          <w:p>
            <w:pPr>
              <w:spacing w:after="0"/>
              <w:rPr>
                <w:sz w:val="24"/>
                <w:szCs w:val="24"/>
                <w:color w:val="auto"/>
              </w:rPr>
            </w:pPr>
          </w:p>
        </w:tc>
        <w:tc>
          <w:tcPr>
            <w:tcW w:w="8700" w:type="dxa"/>
            <w:vAlign w:val="bottom"/>
            <w:gridSpan w:val="28"/>
          </w:tcPr>
          <w:p>
            <w:pPr>
              <w:spacing w:after="0"/>
              <w:rPr>
                <w:rFonts w:ascii="Arial" w:cs="Arial" w:eastAsia="Arial" w:hAnsi="Arial"/>
                <w:sz w:val="22"/>
                <w:szCs w:val="22"/>
                <w:color w:val="0000EE"/>
              </w:rPr>
            </w:pPr>
            <w:hyperlink w:anchor="page94">
              <w:r>
                <w:rPr>
                  <w:rFonts w:ascii="Arial" w:cs="Arial" w:eastAsia="Arial" w:hAnsi="Arial"/>
                  <w:sz w:val="22"/>
                  <w:szCs w:val="22"/>
                  <w:color w:val="0000EE"/>
                </w:rPr>
                <w:t>Settlement of Performance Awards</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A-27</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10.6</w:t>
            </w:r>
          </w:p>
        </w:tc>
        <w:tc>
          <w:tcPr>
            <w:tcW w:w="80" w:type="dxa"/>
            <w:vAlign w:val="bottom"/>
          </w:tcPr>
          <w:p>
            <w:pPr>
              <w:spacing w:after="0"/>
              <w:rPr>
                <w:sz w:val="24"/>
                <w:szCs w:val="24"/>
                <w:color w:val="auto"/>
              </w:rPr>
            </w:pPr>
          </w:p>
        </w:tc>
        <w:tc>
          <w:tcPr>
            <w:tcW w:w="8700" w:type="dxa"/>
            <w:vAlign w:val="bottom"/>
            <w:gridSpan w:val="28"/>
          </w:tcPr>
          <w:p>
            <w:pPr>
              <w:spacing w:after="0"/>
              <w:rPr>
                <w:rFonts w:ascii="Arial" w:cs="Arial" w:eastAsia="Arial" w:hAnsi="Arial"/>
                <w:sz w:val="22"/>
                <w:szCs w:val="22"/>
                <w:color w:val="0000EE"/>
              </w:rPr>
            </w:pPr>
            <w:hyperlink w:anchor="page95">
              <w:r>
                <w:rPr>
                  <w:rFonts w:ascii="Arial" w:cs="Arial" w:eastAsia="Arial" w:hAnsi="Arial"/>
                  <w:sz w:val="22"/>
                  <w:szCs w:val="22"/>
                  <w:color w:val="0000EE"/>
                </w:rPr>
                <w:t>Voting Rights; Dividend Equivalent Rights and Distributions</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A-28</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10.7</w:t>
            </w:r>
          </w:p>
        </w:tc>
        <w:tc>
          <w:tcPr>
            <w:tcW w:w="80" w:type="dxa"/>
            <w:vAlign w:val="bottom"/>
          </w:tcPr>
          <w:p>
            <w:pPr>
              <w:spacing w:after="0"/>
              <w:rPr>
                <w:sz w:val="24"/>
                <w:szCs w:val="24"/>
                <w:color w:val="auto"/>
              </w:rPr>
            </w:pPr>
          </w:p>
        </w:tc>
        <w:tc>
          <w:tcPr>
            <w:tcW w:w="5260" w:type="dxa"/>
            <w:vAlign w:val="bottom"/>
            <w:tcBorders>
              <w:top w:val="single" w:sz="8" w:color="0000EE"/>
            </w:tcBorders>
            <w:gridSpan w:val="23"/>
          </w:tcPr>
          <w:p>
            <w:pPr>
              <w:spacing w:after="0"/>
              <w:rPr>
                <w:rFonts w:ascii="Arial" w:cs="Arial" w:eastAsia="Arial" w:hAnsi="Arial"/>
                <w:sz w:val="22"/>
                <w:szCs w:val="22"/>
                <w:color w:val="0000EE"/>
              </w:rPr>
            </w:pPr>
            <w:hyperlink w:anchor="page96">
              <w:r>
                <w:rPr>
                  <w:rFonts w:ascii="Arial" w:cs="Arial" w:eastAsia="Arial" w:hAnsi="Arial"/>
                  <w:sz w:val="22"/>
                  <w:szCs w:val="22"/>
                  <w:color w:val="0000EE"/>
                </w:rPr>
                <w:t>Effect of Termination of Service</w:t>
              </w:r>
            </w:hyperlink>
          </w:p>
        </w:tc>
        <w:tc>
          <w:tcPr>
            <w:tcW w:w="3440" w:type="dxa"/>
            <w:vAlign w:val="bottom"/>
            <w:gridSpan w:val="5"/>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A-29</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10.8</w:t>
            </w:r>
          </w:p>
        </w:tc>
        <w:tc>
          <w:tcPr>
            <w:tcW w:w="80" w:type="dxa"/>
            <w:vAlign w:val="bottom"/>
          </w:tcPr>
          <w:p>
            <w:pPr>
              <w:spacing w:after="0"/>
              <w:rPr>
                <w:sz w:val="24"/>
                <w:szCs w:val="24"/>
                <w:color w:val="auto"/>
              </w:rPr>
            </w:pPr>
          </w:p>
        </w:tc>
        <w:tc>
          <w:tcPr>
            <w:tcW w:w="8700" w:type="dxa"/>
            <w:vAlign w:val="bottom"/>
            <w:gridSpan w:val="28"/>
          </w:tcPr>
          <w:p>
            <w:pPr>
              <w:spacing w:after="0"/>
              <w:rPr>
                <w:rFonts w:ascii="Arial" w:cs="Arial" w:eastAsia="Arial" w:hAnsi="Arial"/>
                <w:sz w:val="22"/>
                <w:szCs w:val="22"/>
                <w:color w:val="0000EE"/>
              </w:rPr>
            </w:pPr>
            <w:hyperlink w:anchor="page96">
              <w:r>
                <w:rPr>
                  <w:rFonts w:ascii="Arial" w:cs="Arial" w:eastAsia="Arial" w:hAnsi="Arial"/>
                  <w:sz w:val="22"/>
                  <w:szCs w:val="22"/>
                  <w:color w:val="0000EE"/>
                </w:rPr>
                <w:t>Nontransferability of Performance Awards</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A-29</w:t>
            </w:r>
          </w:p>
        </w:tc>
      </w:tr>
      <w:tr>
        <w:trPr>
          <w:trHeight w:val="20"/>
        </w:trPr>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11.</w:t>
            </w:r>
          </w:p>
        </w:tc>
        <w:tc>
          <w:tcPr>
            <w:tcW w:w="4520" w:type="dxa"/>
            <w:vAlign w:val="bottom"/>
            <w:tcBorders>
              <w:bottom w:val="single" w:sz="8" w:color="0000EE"/>
            </w:tcBorders>
            <w:gridSpan w:val="20"/>
          </w:tcPr>
          <w:p>
            <w:pPr>
              <w:spacing w:after="0"/>
              <w:rPr>
                <w:rFonts w:ascii="Arial" w:cs="Arial" w:eastAsia="Arial" w:hAnsi="Arial"/>
                <w:sz w:val="22"/>
                <w:szCs w:val="22"/>
                <w:color w:val="0000EE"/>
                <w:w w:val="87"/>
              </w:rPr>
            </w:pPr>
            <w:hyperlink w:anchor="page96">
              <w:r>
                <w:rPr>
                  <w:rFonts w:ascii="Arial" w:cs="Arial" w:eastAsia="Arial" w:hAnsi="Arial"/>
                  <w:sz w:val="22"/>
                  <w:szCs w:val="22"/>
                  <w:color w:val="0000EE"/>
                  <w:w w:val="87"/>
                </w:rPr>
                <w:t>Cash-Based Awards and Other Stock-Based Awards</w:t>
              </w:r>
            </w:hyperlink>
          </w:p>
        </w:tc>
        <w:tc>
          <w:tcPr>
            <w:tcW w:w="4960" w:type="dxa"/>
            <w:vAlign w:val="bottom"/>
            <w:gridSpan w:val="10"/>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A-29</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11.1</w:t>
            </w:r>
          </w:p>
        </w:tc>
        <w:tc>
          <w:tcPr>
            <w:tcW w:w="80" w:type="dxa"/>
            <w:vAlign w:val="bottom"/>
          </w:tcPr>
          <w:p>
            <w:pPr>
              <w:spacing w:after="0"/>
              <w:rPr>
                <w:sz w:val="24"/>
                <w:szCs w:val="24"/>
                <w:color w:val="auto"/>
              </w:rPr>
            </w:pPr>
          </w:p>
        </w:tc>
        <w:tc>
          <w:tcPr>
            <w:tcW w:w="2520" w:type="dxa"/>
            <w:vAlign w:val="bottom"/>
            <w:tcBorders>
              <w:bottom w:val="single" w:sz="8" w:color="0000EE"/>
            </w:tcBorders>
            <w:gridSpan w:val="8"/>
          </w:tcPr>
          <w:p>
            <w:pPr>
              <w:spacing w:after="0"/>
              <w:rPr>
                <w:rFonts w:ascii="Arial" w:cs="Arial" w:eastAsia="Arial" w:hAnsi="Arial"/>
                <w:sz w:val="22"/>
                <w:szCs w:val="22"/>
                <w:color w:val="0000EE"/>
                <w:w w:val="87"/>
              </w:rPr>
            </w:pPr>
            <w:hyperlink w:anchor="page96">
              <w:r>
                <w:rPr>
                  <w:rFonts w:ascii="Arial" w:cs="Arial" w:eastAsia="Arial" w:hAnsi="Arial"/>
                  <w:sz w:val="22"/>
                  <w:szCs w:val="22"/>
                  <w:color w:val="0000EE"/>
                  <w:w w:val="87"/>
                </w:rPr>
                <w:t>Grant of Cash-Based Awards</w:t>
              </w:r>
            </w:hyperlink>
          </w:p>
        </w:tc>
        <w:tc>
          <w:tcPr>
            <w:tcW w:w="6180" w:type="dxa"/>
            <w:vAlign w:val="bottom"/>
            <w:gridSpan w:val="20"/>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A-29</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11.2</w:t>
            </w:r>
          </w:p>
        </w:tc>
        <w:tc>
          <w:tcPr>
            <w:tcW w:w="80" w:type="dxa"/>
            <w:vAlign w:val="bottom"/>
          </w:tcPr>
          <w:p>
            <w:pPr>
              <w:spacing w:after="0"/>
              <w:rPr>
                <w:sz w:val="24"/>
                <w:szCs w:val="24"/>
                <w:color w:val="auto"/>
              </w:rPr>
            </w:pPr>
          </w:p>
        </w:tc>
        <w:tc>
          <w:tcPr>
            <w:tcW w:w="8700" w:type="dxa"/>
            <w:vAlign w:val="bottom"/>
            <w:gridSpan w:val="28"/>
          </w:tcPr>
          <w:p>
            <w:pPr>
              <w:spacing w:after="0"/>
              <w:rPr>
                <w:rFonts w:ascii="Arial" w:cs="Arial" w:eastAsia="Arial" w:hAnsi="Arial"/>
                <w:sz w:val="22"/>
                <w:szCs w:val="22"/>
                <w:color w:val="0000EE"/>
              </w:rPr>
            </w:pPr>
            <w:hyperlink w:anchor="page96">
              <w:r>
                <w:rPr>
                  <w:rFonts w:ascii="Arial" w:cs="Arial" w:eastAsia="Arial" w:hAnsi="Arial"/>
                  <w:sz w:val="22"/>
                  <w:szCs w:val="22"/>
                  <w:color w:val="0000EE"/>
                </w:rPr>
                <w:t>Grant of Other Stock-Based Awards</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A-29</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11.3</w:t>
            </w:r>
          </w:p>
        </w:tc>
        <w:tc>
          <w:tcPr>
            <w:tcW w:w="80" w:type="dxa"/>
            <w:vAlign w:val="bottom"/>
          </w:tcPr>
          <w:p>
            <w:pPr>
              <w:spacing w:after="0"/>
              <w:rPr>
                <w:sz w:val="24"/>
                <w:szCs w:val="24"/>
                <w:color w:val="auto"/>
              </w:rPr>
            </w:pPr>
          </w:p>
        </w:tc>
        <w:tc>
          <w:tcPr>
            <w:tcW w:w="4580" w:type="dxa"/>
            <w:vAlign w:val="bottom"/>
            <w:tcBorders>
              <w:bottom w:val="single" w:sz="8" w:color="0000EE"/>
            </w:tcBorders>
            <w:gridSpan w:val="21"/>
          </w:tcPr>
          <w:p>
            <w:pPr>
              <w:spacing w:after="0"/>
              <w:rPr>
                <w:rFonts w:ascii="Arial" w:cs="Arial" w:eastAsia="Arial" w:hAnsi="Arial"/>
                <w:sz w:val="22"/>
                <w:szCs w:val="22"/>
                <w:color w:val="0000EE"/>
                <w:w w:val="87"/>
              </w:rPr>
            </w:pPr>
            <w:hyperlink w:anchor="page97">
              <w:r>
                <w:rPr>
                  <w:rFonts w:ascii="Arial" w:cs="Arial" w:eastAsia="Arial" w:hAnsi="Arial"/>
                  <w:sz w:val="22"/>
                  <w:szCs w:val="22"/>
                  <w:color w:val="0000EE"/>
                  <w:w w:val="87"/>
                </w:rPr>
                <w:t>Value of Cash-Based and Other Stock-Based Awards</w:t>
              </w:r>
            </w:hyperlink>
          </w:p>
        </w:tc>
        <w:tc>
          <w:tcPr>
            <w:tcW w:w="4120" w:type="dxa"/>
            <w:vAlign w:val="bottom"/>
            <w:gridSpan w:val="7"/>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11.4</w:t>
            </w:r>
          </w:p>
        </w:tc>
        <w:tc>
          <w:tcPr>
            <w:tcW w:w="80" w:type="dxa"/>
            <w:vAlign w:val="bottom"/>
          </w:tcPr>
          <w:p>
            <w:pPr>
              <w:spacing w:after="0"/>
              <w:rPr>
                <w:sz w:val="24"/>
                <w:szCs w:val="24"/>
                <w:color w:val="auto"/>
              </w:rPr>
            </w:pPr>
          </w:p>
        </w:tc>
        <w:tc>
          <w:tcPr>
            <w:tcW w:w="6760" w:type="dxa"/>
            <w:vAlign w:val="bottom"/>
            <w:tcBorders>
              <w:bottom w:val="single" w:sz="8" w:color="0000EE"/>
            </w:tcBorders>
            <w:gridSpan w:val="26"/>
          </w:tcPr>
          <w:p>
            <w:pPr>
              <w:spacing w:after="0"/>
              <w:rPr>
                <w:rFonts w:ascii="Arial" w:cs="Arial" w:eastAsia="Arial" w:hAnsi="Arial"/>
                <w:sz w:val="22"/>
                <w:szCs w:val="22"/>
                <w:color w:val="0000EE"/>
                <w:w w:val="87"/>
              </w:rPr>
            </w:pPr>
            <w:hyperlink w:anchor="page97">
              <w:r>
                <w:rPr>
                  <w:rFonts w:ascii="Arial" w:cs="Arial" w:eastAsia="Arial" w:hAnsi="Arial"/>
                  <w:sz w:val="22"/>
                  <w:szCs w:val="22"/>
                  <w:color w:val="0000EE"/>
                  <w:w w:val="87"/>
                </w:rPr>
                <w:t>Payment or Settlement of Cash-Based Awards and Other Stock-Based Awards</w:t>
              </w:r>
            </w:hyperlink>
          </w:p>
        </w:tc>
        <w:tc>
          <w:tcPr>
            <w:tcW w:w="1940" w:type="dxa"/>
            <w:vAlign w:val="bottom"/>
            <w:gridSpan w:val="2"/>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11.5</w:t>
            </w:r>
          </w:p>
        </w:tc>
        <w:tc>
          <w:tcPr>
            <w:tcW w:w="80" w:type="dxa"/>
            <w:vAlign w:val="bottom"/>
          </w:tcPr>
          <w:p>
            <w:pPr>
              <w:spacing w:after="0"/>
              <w:rPr>
                <w:sz w:val="24"/>
                <w:szCs w:val="24"/>
                <w:color w:val="auto"/>
              </w:rPr>
            </w:pPr>
          </w:p>
        </w:tc>
        <w:tc>
          <w:tcPr>
            <w:tcW w:w="8700" w:type="dxa"/>
            <w:vAlign w:val="bottom"/>
            <w:gridSpan w:val="28"/>
          </w:tcPr>
          <w:p>
            <w:pPr>
              <w:spacing w:after="0"/>
              <w:rPr>
                <w:rFonts w:ascii="Arial" w:cs="Arial" w:eastAsia="Arial" w:hAnsi="Arial"/>
                <w:sz w:val="22"/>
                <w:szCs w:val="22"/>
                <w:color w:val="0000EE"/>
              </w:rPr>
            </w:pPr>
            <w:hyperlink w:anchor="page97">
              <w:r>
                <w:rPr>
                  <w:rFonts w:ascii="Arial" w:cs="Arial" w:eastAsia="Arial" w:hAnsi="Arial"/>
                  <w:sz w:val="22"/>
                  <w:szCs w:val="22"/>
                  <w:color w:val="0000EE"/>
                </w:rPr>
                <w:t>Voting Rights; Dividend Equivalent Rights and Distributions</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11.6</w:t>
            </w:r>
          </w:p>
        </w:tc>
        <w:tc>
          <w:tcPr>
            <w:tcW w:w="80" w:type="dxa"/>
            <w:vAlign w:val="bottom"/>
          </w:tcPr>
          <w:p>
            <w:pPr>
              <w:spacing w:after="0"/>
              <w:rPr>
                <w:sz w:val="24"/>
                <w:szCs w:val="24"/>
                <w:color w:val="auto"/>
              </w:rPr>
            </w:pPr>
          </w:p>
        </w:tc>
        <w:tc>
          <w:tcPr>
            <w:tcW w:w="5260" w:type="dxa"/>
            <w:vAlign w:val="bottom"/>
            <w:tcBorders>
              <w:top w:val="single" w:sz="8" w:color="0000EE"/>
            </w:tcBorders>
            <w:gridSpan w:val="23"/>
          </w:tcPr>
          <w:p>
            <w:pPr>
              <w:spacing w:after="0"/>
              <w:rPr>
                <w:rFonts w:ascii="Arial" w:cs="Arial" w:eastAsia="Arial" w:hAnsi="Arial"/>
                <w:sz w:val="22"/>
                <w:szCs w:val="22"/>
                <w:color w:val="0000EE"/>
              </w:rPr>
            </w:pPr>
            <w:hyperlink w:anchor="page98">
              <w:r>
                <w:rPr>
                  <w:rFonts w:ascii="Arial" w:cs="Arial" w:eastAsia="Arial" w:hAnsi="Arial"/>
                  <w:sz w:val="22"/>
                  <w:szCs w:val="22"/>
                  <w:color w:val="0000EE"/>
                </w:rPr>
                <w:t>Effect of Termination of Service</w:t>
              </w:r>
            </w:hyperlink>
          </w:p>
        </w:tc>
        <w:tc>
          <w:tcPr>
            <w:tcW w:w="3440" w:type="dxa"/>
            <w:vAlign w:val="bottom"/>
            <w:gridSpan w:val="5"/>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A-31</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11.7</w:t>
            </w:r>
          </w:p>
        </w:tc>
        <w:tc>
          <w:tcPr>
            <w:tcW w:w="80" w:type="dxa"/>
            <w:vAlign w:val="bottom"/>
          </w:tcPr>
          <w:p>
            <w:pPr>
              <w:spacing w:after="0"/>
              <w:rPr>
                <w:sz w:val="24"/>
                <w:szCs w:val="24"/>
                <w:color w:val="auto"/>
              </w:rPr>
            </w:pPr>
          </w:p>
        </w:tc>
        <w:tc>
          <w:tcPr>
            <w:tcW w:w="6380" w:type="dxa"/>
            <w:vAlign w:val="bottom"/>
            <w:tcBorders>
              <w:bottom w:val="single" w:sz="8" w:color="0000EE"/>
            </w:tcBorders>
            <w:gridSpan w:val="25"/>
          </w:tcPr>
          <w:p>
            <w:pPr>
              <w:spacing w:after="0"/>
              <w:rPr>
                <w:rFonts w:ascii="Arial" w:cs="Arial" w:eastAsia="Arial" w:hAnsi="Arial"/>
                <w:sz w:val="22"/>
                <w:szCs w:val="22"/>
                <w:color w:val="0000EE"/>
                <w:w w:val="88"/>
              </w:rPr>
            </w:pPr>
            <w:hyperlink w:anchor="page98">
              <w:r>
                <w:rPr>
                  <w:rFonts w:ascii="Arial" w:cs="Arial" w:eastAsia="Arial" w:hAnsi="Arial"/>
                  <w:sz w:val="22"/>
                  <w:szCs w:val="22"/>
                  <w:color w:val="0000EE"/>
                  <w:w w:val="88"/>
                </w:rPr>
                <w:t>Nontransferability of Cash-Based Awards and Other Stock-Based Awards</w:t>
              </w:r>
            </w:hyperlink>
          </w:p>
        </w:tc>
        <w:tc>
          <w:tcPr>
            <w:tcW w:w="2320" w:type="dxa"/>
            <w:vAlign w:val="bottom"/>
            <w:gridSpan w:val="3"/>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A-31</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12.</w:t>
            </w:r>
          </w:p>
        </w:tc>
        <w:tc>
          <w:tcPr>
            <w:tcW w:w="3260" w:type="dxa"/>
            <w:vAlign w:val="bottom"/>
            <w:tcBorders>
              <w:bottom w:val="single" w:sz="8" w:color="0000EE"/>
            </w:tcBorders>
            <w:gridSpan w:val="9"/>
          </w:tcPr>
          <w:p>
            <w:pPr>
              <w:spacing w:after="0"/>
              <w:rPr>
                <w:rFonts w:ascii="Arial" w:cs="Arial" w:eastAsia="Arial" w:hAnsi="Arial"/>
                <w:sz w:val="22"/>
                <w:szCs w:val="22"/>
                <w:color w:val="0000EE"/>
                <w:w w:val="88"/>
              </w:rPr>
            </w:pPr>
            <w:hyperlink w:anchor="page98">
              <w:r>
                <w:rPr>
                  <w:rFonts w:ascii="Arial" w:cs="Arial" w:eastAsia="Arial" w:hAnsi="Arial"/>
                  <w:sz w:val="22"/>
                  <w:szCs w:val="22"/>
                  <w:color w:val="0000EE"/>
                  <w:w w:val="88"/>
                </w:rPr>
                <w:t>Standard Forms of Award Agreement</w:t>
              </w:r>
            </w:hyperlink>
          </w:p>
        </w:tc>
        <w:tc>
          <w:tcPr>
            <w:tcW w:w="6220" w:type="dxa"/>
            <w:vAlign w:val="bottom"/>
            <w:gridSpan w:val="21"/>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12.1</w:t>
            </w:r>
          </w:p>
        </w:tc>
        <w:tc>
          <w:tcPr>
            <w:tcW w:w="80" w:type="dxa"/>
            <w:vAlign w:val="bottom"/>
          </w:tcPr>
          <w:p>
            <w:pPr>
              <w:spacing w:after="0"/>
              <w:rPr>
                <w:sz w:val="24"/>
                <w:szCs w:val="24"/>
                <w:color w:val="auto"/>
              </w:rPr>
            </w:pPr>
          </w:p>
        </w:tc>
        <w:tc>
          <w:tcPr>
            <w:tcW w:w="8700" w:type="dxa"/>
            <w:vAlign w:val="bottom"/>
            <w:gridSpan w:val="28"/>
          </w:tcPr>
          <w:p>
            <w:pPr>
              <w:spacing w:after="0"/>
              <w:rPr>
                <w:rFonts w:ascii="Arial" w:cs="Arial" w:eastAsia="Arial" w:hAnsi="Arial"/>
                <w:sz w:val="22"/>
                <w:szCs w:val="22"/>
                <w:color w:val="0000EE"/>
              </w:rPr>
            </w:pPr>
            <w:hyperlink w:anchor="page98">
              <w:r>
                <w:rPr>
                  <w:rFonts w:ascii="Arial" w:cs="Arial" w:eastAsia="Arial" w:hAnsi="Arial"/>
                  <w:sz w:val="22"/>
                  <w:szCs w:val="22"/>
                  <w:color w:val="0000EE"/>
                </w:rPr>
                <w:t>Award Agreements</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A-31</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12.2</w:t>
            </w:r>
          </w:p>
        </w:tc>
        <w:tc>
          <w:tcPr>
            <w:tcW w:w="80" w:type="dxa"/>
            <w:vAlign w:val="bottom"/>
          </w:tcPr>
          <w:p>
            <w:pPr>
              <w:spacing w:after="0"/>
              <w:rPr>
                <w:sz w:val="24"/>
                <w:szCs w:val="24"/>
                <w:color w:val="auto"/>
              </w:rPr>
            </w:pPr>
          </w:p>
        </w:tc>
        <w:tc>
          <w:tcPr>
            <w:tcW w:w="2120" w:type="dxa"/>
            <w:vAlign w:val="bottom"/>
            <w:tcBorders>
              <w:bottom w:val="single" w:sz="8" w:color="0000EE"/>
            </w:tcBorders>
            <w:gridSpan w:val="6"/>
          </w:tcPr>
          <w:p>
            <w:pPr>
              <w:spacing w:after="0"/>
              <w:rPr>
                <w:rFonts w:ascii="Arial" w:cs="Arial" w:eastAsia="Arial" w:hAnsi="Arial"/>
                <w:sz w:val="22"/>
                <w:szCs w:val="22"/>
                <w:color w:val="0000EE"/>
                <w:w w:val="90"/>
              </w:rPr>
            </w:pPr>
            <w:hyperlink w:anchor="page98">
              <w:r>
                <w:rPr>
                  <w:rFonts w:ascii="Arial" w:cs="Arial" w:eastAsia="Arial" w:hAnsi="Arial"/>
                  <w:sz w:val="22"/>
                  <w:szCs w:val="22"/>
                  <w:color w:val="0000EE"/>
                  <w:w w:val="90"/>
                </w:rPr>
                <w:t>Authority to Vary Terms</w:t>
              </w:r>
            </w:hyperlink>
          </w:p>
        </w:tc>
        <w:tc>
          <w:tcPr>
            <w:tcW w:w="6580" w:type="dxa"/>
            <w:vAlign w:val="bottom"/>
            <w:gridSpan w:val="22"/>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A-31</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13.</w:t>
            </w:r>
          </w:p>
        </w:tc>
        <w:tc>
          <w:tcPr>
            <w:tcW w:w="9480" w:type="dxa"/>
            <w:vAlign w:val="bottom"/>
            <w:gridSpan w:val="30"/>
          </w:tcPr>
          <w:p>
            <w:pPr>
              <w:spacing w:after="0"/>
              <w:rPr>
                <w:rFonts w:ascii="Arial" w:cs="Arial" w:eastAsia="Arial" w:hAnsi="Arial"/>
                <w:sz w:val="22"/>
                <w:szCs w:val="22"/>
                <w:color w:val="0000EE"/>
              </w:rPr>
            </w:pPr>
            <w:hyperlink w:anchor="page98">
              <w:r>
                <w:rPr>
                  <w:rFonts w:ascii="Arial" w:cs="Arial" w:eastAsia="Arial" w:hAnsi="Arial"/>
                  <w:sz w:val="22"/>
                  <w:szCs w:val="22"/>
                  <w:color w:val="0000EE"/>
                </w:rPr>
                <w:t>Change in Control</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A-31</w:t>
            </w:r>
          </w:p>
        </w:tc>
      </w:tr>
      <w:tr>
        <w:trPr>
          <w:trHeight w:val="20"/>
        </w:trPr>
        <w:tc>
          <w:tcPr>
            <w:tcW w:w="6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13.1</w:t>
            </w:r>
          </w:p>
        </w:tc>
        <w:tc>
          <w:tcPr>
            <w:tcW w:w="80" w:type="dxa"/>
            <w:vAlign w:val="bottom"/>
          </w:tcPr>
          <w:p>
            <w:pPr>
              <w:spacing w:after="0"/>
              <w:rPr>
                <w:sz w:val="24"/>
                <w:szCs w:val="24"/>
                <w:color w:val="auto"/>
              </w:rPr>
            </w:pPr>
          </w:p>
        </w:tc>
        <w:tc>
          <w:tcPr>
            <w:tcW w:w="8700" w:type="dxa"/>
            <w:vAlign w:val="bottom"/>
            <w:gridSpan w:val="28"/>
          </w:tcPr>
          <w:p>
            <w:pPr>
              <w:spacing w:after="0"/>
              <w:rPr>
                <w:rFonts w:ascii="Arial" w:cs="Arial" w:eastAsia="Arial" w:hAnsi="Arial"/>
                <w:sz w:val="22"/>
                <w:szCs w:val="22"/>
                <w:color w:val="0000EE"/>
              </w:rPr>
            </w:pPr>
            <w:hyperlink w:anchor="page98">
              <w:r>
                <w:rPr>
                  <w:rFonts w:ascii="Arial" w:cs="Arial" w:eastAsia="Arial" w:hAnsi="Arial"/>
                  <w:sz w:val="22"/>
                  <w:szCs w:val="22"/>
                  <w:color w:val="0000EE"/>
                </w:rPr>
                <w:t>Effect of Change in Control on Nonemployee Director Awards</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13.2</w:t>
            </w:r>
          </w:p>
        </w:tc>
        <w:tc>
          <w:tcPr>
            <w:tcW w:w="80" w:type="dxa"/>
            <w:vAlign w:val="bottom"/>
          </w:tcPr>
          <w:p>
            <w:pPr>
              <w:spacing w:after="0"/>
              <w:rPr>
                <w:sz w:val="24"/>
                <w:szCs w:val="24"/>
                <w:color w:val="auto"/>
              </w:rPr>
            </w:pPr>
          </w:p>
        </w:tc>
        <w:tc>
          <w:tcPr>
            <w:tcW w:w="5420" w:type="dxa"/>
            <w:vAlign w:val="bottom"/>
            <w:tcBorders>
              <w:top w:val="single" w:sz="8" w:color="0000EE"/>
            </w:tcBorders>
            <w:gridSpan w:val="24"/>
          </w:tcPr>
          <w:p>
            <w:pPr>
              <w:spacing w:after="0"/>
              <w:rPr>
                <w:rFonts w:ascii="Arial" w:cs="Arial" w:eastAsia="Arial" w:hAnsi="Arial"/>
                <w:sz w:val="22"/>
                <w:szCs w:val="22"/>
                <w:color w:val="0000EE"/>
              </w:rPr>
            </w:pPr>
            <w:hyperlink w:anchor="page99">
              <w:r>
                <w:rPr>
                  <w:rFonts w:ascii="Arial" w:cs="Arial" w:eastAsia="Arial" w:hAnsi="Arial"/>
                  <w:sz w:val="22"/>
                  <w:szCs w:val="22"/>
                  <w:color w:val="0000EE"/>
                </w:rPr>
                <w:t>Effect of Change in Control on Awards</w:t>
              </w:r>
            </w:hyperlink>
          </w:p>
        </w:tc>
        <w:tc>
          <w:tcPr>
            <w:tcW w:w="3280" w:type="dxa"/>
            <w:vAlign w:val="bottom"/>
            <w:gridSpan w:val="4"/>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A-32</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13.3</w:t>
            </w:r>
          </w:p>
        </w:tc>
        <w:tc>
          <w:tcPr>
            <w:tcW w:w="80" w:type="dxa"/>
            <w:vAlign w:val="bottom"/>
          </w:tcPr>
          <w:p>
            <w:pPr>
              <w:spacing w:after="0"/>
              <w:rPr>
                <w:sz w:val="24"/>
                <w:szCs w:val="24"/>
                <w:color w:val="auto"/>
              </w:rPr>
            </w:pPr>
          </w:p>
        </w:tc>
        <w:tc>
          <w:tcPr>
            <w:tcW w:w="4500" w:type="dxa"/>
            <w:vAlign w:val="bottom"/>
            <w:tcBorders>
              <w:bottom w:val="single" w:sz="8" w:color="0000EE"/>
            </w:tcBorders>
            <w:gridSpan w:val="20"/>
          </w:tcPr>
          <w:p>
            <w:pPr>
              <w:spacing w:after="0"/>
              <w:rPr>
                <w:rFonts w:ascii="Arial" w:cs="Arial" w:eastAsia="Arial" w:hAnsi="Arial"/>
                <w:sz w:val="22"/>
                <w:szCs w:val="22"/>
                <w:color w:val="0000EE"/>
                <w:w w:val="88"/>
              </w:rPr>
            </w:pPr>
            <w:hyperlink w:anchor="page100">
              <w:r>
                <w:rPr>
                  <w:rFonts w:ascii="Arial" w:cs="Arial" w:eastAsia="Arial" w:hAnsi="Arial"/>
                  <w:sz w:val="22"/>
                  <w:szCs w:val="22"/>
                  <w:color w:val="0000EE"/>
                  <w:w w:val="88"/>
                </w:rPr>
                <w:t>Federal Excise Tax Under Section 4999 of the Code</w:t>
              </w:r>
            </w:hyperlink>
          </w:p>
        </w:tc>
        <w:tc>
          <w:tcPr>
            <w:tcW w:w="4200" w:type="dxa"/>
            <w:vAlign w:val="bottom"/>
            <w:gridSpan w:val="8"/>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A-33</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14.</w:t>
            </w:r>
          </w:p>
        </w:tc>
        <w:tc>
          <w:tcPr>
            <w:tcW w:w="2840" w:type="dxa"/>
            <w:vAlign w:val="bottom"/>
            <w:tcBorders>
              <w:bottom w:val="single" w:sz="8" w:color="0000EE"/>
            </w:tcBorders>
            <w:gridSpan w:val="7"/>
          </w:tcPr>
          <w:p>
            <w:pPr>
              <w:spacing w:after="0"/>
              <w:rPr>
                <w:rFonts w:ascii="Arial" w:cs="Arial" w:eastAsia="Arial" w:hAnsi="Arial"/>
                <w:sz w:val="22"/>
                <w:szCs w:val="22"/>
                <w:color w:val="0000EE"/>
                <w:w w:val="90"/>
              </w:rPr>
            </w:pPr>
            <w:hyperlink w:anchor="page101">
              <w:r>
                <w:rPr>
                  <w:rFonts w:ascii="Arial" w:cs="Arial" w:eastAsia="Arial" w:hAnsi="Arial"/>
                  <w:sz w:val="22"/>
                  <w:szCs w:val="22"/>
                  <w:color w:val="0000EE"/>
                  <w:w w:val="90"/>
                </w:rPr>
                <w:t>Compliance with Securities Law</w:t>
              </w:r>
            </w:hyperlink>
          </w:p>
        </w:tc>
        <w:tc>
          <w:tcPr>
            <w:tcW w:w="6640" w:type="dxa"/>
            <w:vAlign w:val="bottom"/>
            <w:gridSpan w:val="23"/>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A-34</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15.</w:t>
            </w:r>
          </w:p>
        </w:tc>
        <w:tc>
          <w:tcPr>
            <w:tcW w:w="9480" w:type="dxa"/>
            <w:vAlign w:val="bottom"/>
            <w:gridSpan w:val="30"/>
          </w:tcPr>
          <w:p>
            <w:pPr>
              <w:spacing w:after="0"/>
              <w:rPr>
                <w:rFonts w:ascii="Arial" w:cs="Arial" w:eastAsia="Arial" w:hAnsi="Arial"/>
                <w:sz w:val="22"/>
                <w:szCs w:val="22"/>
                <w:color w:val="0000EE"/>
              </w:rPr>
            </w:pPr>
            <w:hyperlink w:anchor="page101">
              <w:r>
                <w:rPr>
                  <w:rFonts w:ascii="Arial" w:cs="Arial" w:eastAsia="Arial" w:hAnsi="Arial"/>
                  <w:sz w:val="22"/>
                  <w:szCs w:val="22"/>
                  <w:color w:val="0000EE"/>
                </w:rPr>
                <w:t>Compliance with Section 409A</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A-34</w:t>
            </w:r>
          </w:p>
        </w:tc>
      </w:tr>
      <w:tr>
        <w:trPr>
          <w:trHeight w:val="20"/>
        </w:trPr>
        <w:tc>
          <w:tcPr>
            <w:tcW w:w="6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15.1</w:t>
            </w:r>
          </w:p>
        </w:tc>
        <w:tc>
          <w:tcPr>
            <w:tcW w:w="80" w:type="dxa"/>
            <w:vAlign w:val="bottom"/>
          </w:tcPr>
          <w:p>
            <w:pPr>
              <w:spacing w:after="0"/>
              <w:rPr>
                <w:sz w:val="24"/>
                <w:szCs w:val="24"/>
                <w:color w:val="auto"/>
              </w:rPr>
            </w:pPr>
          </w:p>
        </w:tc>
        <w:tc>
          <w:tcPr>
            <w:tcW w:w="2820" w:type="dxa"/>
            <w:vAlign w:val="bottom"/>
            <w:tcBorders>
              <w:bottom w:val="single" w:sz="8" w:color="0000EE"/>
            </w:tcBorders>
            <w:gridSpan w:val="10"/>
          </w:tcPr>
          <w:p>
            <w:pPr>
              <w:spacing w:after="0"/>
              <w:rPr>
                <w:rFonts w:ascii="Arial" w:cs="Arial" w:eastAsia="Arial" w:hAnsi="Arial"/>
                <w:sz w:val="22"/>
                <w:szCs w:val="22"/>
                <w:color w:val="0000EE"/>
                <w:w w:val="89"/>
              </w:rPr>
            </w:pPr>
            <w:hyperlink w:anchor="page101">
              <w:r>
                <w:rPr>
                  <w:rFonts w:ascii="Arial" w:cs="Arial" w:eastAsia="Arial" w:hAnsi="Arial"/>
                  <w:sz w:val="22"/>
                  <w:szCs w:val="22"/>
                  <w:color w:val="0000EE"/>
                  <w:w w:val="89"/>
                </w:rPr>
                <w:t>Awards Subject to Section 409A</w:t>
              </w:r>
            </w:hyperlink>
          </w:p>
        </w:tc>
        <w:tc>
          <w:tcPr>
            <w:tcW w:w="5880" w:type="dxa"/>
            <w:vAlign w:val="bottom"/>
            <w:gridSpan w:val="18"/>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A-34</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15.2</w:t>
            </w:r>
          </w:p>
        </w:tc>
        <w:tc>
          <w:tcPr>
            <w:tcW w:w="80" w:type="dxa"/>
            <w:vAlign w:val="bottom"/>
          </w:tcPr>
          <w:p>
            <w:pPr>
              <w:spacing w:after="0"/>
              <w:rPr>
                <w:sz w:val="24"/>
                <w:szCs w:val="24"/>
                <w:color w:val="auto"/>
              </w:rPr>
            </w:pPr>
          </w:p>
        </w:tc>
        <w:tc>
          <w:tcPr>
            <w:tcW w:w="8700" w:type="dxa"/>
            <w:vAlign w:val="bottom"/>
            <w:gridSpan w:val="28"/>
          </w:tcPr>
          <w:p>
            <w:pPr>
              <w:spacing w:after="0"/>
              <w:rPr>
                <w:rFonts w:ascii="Arial" w:cs="Arial" w:eastAsia="Arial" w:hAnsi="Arial"/>
                <w:sz w:val="22"/>
                <w:szCs w:val="22"/>
                <w:color w:val="0000EE"/>
              </w:rPr>
            </w:pPr>
            <w:hyperlink w:anchor="page102">
              <w:r>
                <w:rPr>
                  <w:rFonts w:ascii="Arial" w:cs="Arial" w:eastAsia="Arial" w:hAnsi="Arial"/>
                  <w:sz w:val="22"/>
                  <w:szCs w:val="22"/>
                  <w:color w:val="0000EE"/>
                </w:rPr>
                <w:t>Deferral and/or Distribution Elections</w:t>
              </w:r>
            </w:hyperlink>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A-35</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15.3</w:t>
            </w:r>
          </w:p>
        </w:tc>
        <w:tc>
          <w:tcPr>
            <w:tcW w:w="8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3"/>
          </w:tcPr>
          <w:p>
            <w:pPr>
              <w:spacing w:after="0"/>
              <w:rPr>
                <w:rFonts w:ascii="Arial" w:cs="Arial" w:eastAsia="Arial" w:hAnsi="Arial"/>
                <w:sz w:val="22"/>
                <w:szCs w:val="22"/>
                <w:color w:val="0000EE"/>
                <w:w w:val="86"/>
              </w:rPr>
            </w:pPr>
            <w:hyperlink w:anchor="page102">
              <w:r>
                <w:rPr>
                  <w:rFonts w:ascii="Arial" w:cs="Arial" w:eastAsia="Arial" w:hAnsi="Arial"/>
                  <w:sz w:val="22"/>
                  <w:szCs w:val="22"/>
                  <w:color w:val="0000EE"/>
                  <w:w w:val="86"/>
                </w:rPr>
                <w:t>Subsequent Elections</w:t>
              </w:r>
            </w:hyperlink>
          </w:p>
        </w:tc>
        <w:tc>
          <w:tcPr>
            <w:tcW w:w="1420" w:type="dxa"/>
            <w:vAlign w:val="bottom"/>
            <w:tcBorders>
              <w:top w:val="single" w:sz="8" w:color="0000EE"/>
            </w:tcBorders>
            <w:gridSpan w:val="11"/>
          </w:tcPr>
          <w:p>
            <w:pPr>
              <w:spacing w:after="0"/>
              <w:rPr>
                <w:sz w:val="24"/>
                <w:szCs w:val="24"/>
                <w:color w:val="auto"/>
              </w:rPr>
            </w:pPr>
          </w:p>
        </w:tc>
        <w:tc>
          <w:tcPr>
            <w:tcW w:w="5420" w:type="dxa"/>
            <w:vAlign w:val="bottom"/>
            <w:gridSpan w:val="14"/>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A-35</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15.4</w:t>
            </w:r>
          </w:p>
        </w:tc>
        <w:tc>
          <w:tcPr>
            <w:tcW w:w="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22"/>
                <w:szCs w:val="22"/>
                <w:color w:val="0000EE"/>
                <w:w w:val="88"/>
              </w:rPr>
            </w:pPr>
            <w:hyperlink w:anchor="page103">
              <w:r>
                <w:rPr>
                  <w:rFonts w:ascii="Arial" w:cs="Arial" w:eastAsia="Arial" w:hAnsi="Arial"/>
                  <w:sz w:val="22"/>
                  <w:szCs w:val="22"/>
                  <w:color w:val="0000EE"/>
                  <w:w w:val="88"/>
                </w:rPr>
                <w:t>Payment of Section 409A Deferred Compensation</w:t>
              </w:r>
            </w:hyperlink>
          </w:p>
        </w:tc>
        <w:tc>
          <w:tcPr>
            <w:tcW w:w="4340" w:type="dxa"/>
            <w:vAlign w:val="bottom"/>
            <w:gridSpan w:val="9"/>
          </w:tcPr>
          <w:p>
            <w:pPr>
              <w:spacing w:after="0"/>
              <w:rPr>
                <w:sz w:val="24"/>
                <w:szCs w:val="24"/>
                <w:color w:val="auto"/>
              </w:rPr>
            </w:pPr>
          </w:p>
        </w:tc>
        <w:tc>
          <w:tcPr>
            <w:tcW w:w="1220" w:type="dxa"/>
            <w:vAlign w:val="bottom"/>
          </w:tcPr>
          <w:p>
            <w:pPr>
              <w:jc w:val="center"/>
              <w:ind w:left="672"/>
              <w:spacing w:after="0"/>
              <w:rPr>
                <w:sz w:val="20"/>
                <w:szCs w:val="20"/>
                <w:color w:val="auto"/>
              </w:rPr>
            </w:pPr>
            <w:r>
              <w:rPr>
                <w:rFonts w:ascii="Arial" w:cs="Arial" w:eastAsia="Arial" w:hAnsi="Arial"/>
                <w:sz w:val="22"/>
                <w:szCs w:val="22"/>
                <w:color w:val="auto"/>
                <w:w w:val="94"/>
              </w:rPr>
              <w:t>A-36</w:t>
            </w:r>
          </w:p>
        </w:tc>
      </w:tr>
      <w:tr>
        <w:trPr>
          <w:trHeight w:val="42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60" w:type="dxa"/>
            <w:vAlign w:val="bottom"/>
            <w:gridSpan w:val="10"/>
          </w:tcPr>
          <w:p>
            <w:pPr>
              <w:jc w:val="center"/>
              <w:ind w:right="3880"/>
              <w:spacing w:after="0"/>
              <w:rPr>
                <w:sz w:val="20"/>
                <w:szCs w:val="20"/>
                <w:color w:val="auto"/>
              </w:rPr>
            </w:pPr>
            <w:r>
              <w:rPr>
                <w:rFonts w:ascii="Arial" w:cs="Arial" w:eastAsia="Arial" w:hAnsi="Arial"/>
                <w:sz w:val="22"/>
                <w:szCs w:val="22"/>
                <w:color w:val="auto"/>
              </w:rPr>
              <w:t>A-iii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6" w:name="page67"/>
    <w:bookmarkEnd w:id="66"/>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Table of Contents</w:t>
              </w:r>
            </w:hyperlink>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539"/>
        </w:trPr>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80" w:type="dxa"/>
            <w:vAlign w:val="bottom"/>
            <w:gridSpan w:val="4"/>
          </w:tcPr>
          <w:p>
            <w:pPr>
              <w:jc w:val="center"/>
              <w:ind w:right="1832"/>
              <w:spacing w:after="0"/>
              <w:rPr>
                <w:sz w:val="20"/>
                <w:szCs w:val="20"/>
                <w:color w:val="auto"/>
              </w:rPr>
            </w:pPr>
            <w:r>
              <w:rPr>
                <w:rFonts w:ascii="Arial" w:cs="Arial" w:eastAsia="Arial" w:hAnsi="Arial"/>
                <w:sz w:val="22"/>
                <w:szCs w:val="22"/>
                <w:b w:val="1"/>
                <w:bCs w:val="1"/>
                <w:color w:val="auto"/>
                <w:w w:val="97"/>
              </w:rPr>
              <w:t>TABLE OF CONTENTS</w:t>
            </w:r>
          </w:p>
        </w:tc>
        <w:tc>
          <w:tcPr>
            <w:tcW w:w="248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0" w:type="dxa"/>
            <w:vAlign w:val="bottom"/>
            <w:gridSpan w:val="2"/>
          </w:tcPr>
          <w:p>
            <w:pPr>
              <w:jc w:val="center"/>
              <w:ind w:right="2412"/>
              <w:spacing w:after="0"/>
              <w:rPr>
                <w:sz w:val="20"/>
                <w:szCs w:val="20"/>
                <w:color w:val="auto"/>
              </w:rPr>
            </w:pPr>
            <w:r>
              <w:rPr>
                <w:rFonts w:ascii="Arial" w:cs="Arial" w:eastAsia="Arial" w:hAnsi="Arial"/>
                <w:sz w:val="22"/>
                <w:szCs w:val="22"/>
                <w:color w:val="auto"/>
                <w:w w:val="90"/>
              </w:rPr>
              <w:t>(continued)</w:t>
            </w:r>
          </w:p>
        </w:tc>
        <w:tc>
          <w:tcPr>
            <w:tcW w:w="2480" w:type="dxa"/>
            <w:vAlign w:val="bottom"/>
          </w:tcPr>
          <w:p>
            <w:pPr>
              <w:spacing w:after="0"/>
              <w:rPr>
                <w:sz w:val="23"/>
                <w:szCs w:val="23"/>
                <w:color w:val="auto"/>
              </w:rPr>
            </w:pPr>
          </w:p>
        </w:tc>
      </w:tr>
      <w:tr>
        <w:trPr>
          <w:trHeight w:val="39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80" w:type="dxa"/>
            <w:vAlign w:val="bottom"/>
          </w:tcPr>
          <w:p>
            <w:pPr>
              <w:jc w:val="center"/>
              <w:ind w:left="1892"/>
              <w:spacing w:after="0"/>
              <w:rPr>
                <w:sz w:val="20"/>
                <w:szCs w:val="20"/>
                <w:color w:val="auto"/>
              </w:rPr>
            </w:pPr>
            <w:r>
              <w:rPr>
                <w:rFonts w:ascii="Arial" w:cs="Arial" w:eastAsia="Arial" w:hAnsi="Arial"/>
                <w:sz w:val="22"/>
                <w:szCs w:val="22"/>
                <w:b w:val="1"/>
                <w:bCs w:val="1"/>
                <w:color w:val="auto"/>
                <w:w w:val="83"/>
              </w:rPr>
              <w:t>Page</w:t>
            </w:r>
          </w:p>
        </w:tc>
      </w:tr>
      <w:tr>
        <w:trPr>
          <w:trHeight w:val="476"/>
        </w:trPr>
        <w:tc>
          <w:tcPr>
            <w:tcW w:w="660" w:type="dxa"/>
            <w:vAlign w:val="bottom"/>
          </w:tcPr>
          <w:p>
            <w:pPr>
              <w:spacing w:after="0"/>
              <w:rPr>
                <w:sz w:val="20"/>
                <w:szCs w:val="20"/>
                <w:color w:val="auto"/>
              </w:rPr>
            </w:pPr>
            <w:r>
              <w:rPr>
                <w:rFonts w:ascii="Arial" w:cs="Arial" w:eastAsia="Arial" w:hAnsi="Arial"/>
                <w:sz w:val="22"/>
                <w:szCs w:val="22"/>
                <w:color w:val="auto"/>
              </w:rPr>
              <w:t>16.</w:t>
            </w:r>
          </w:p>
        </w:tc>
        <w:tc>
          <w:tcPr>
            <w:tcW w:w="8220" w:type="dxa"/>
            <w:vAlign w:val="bottom"/>
            <w:gridSpan w:val="19"/>
          </w:tcPr>
          <w:p>
            <w:pPr>
              <w:spacing w:after="0"/>
              <w:rPr>
                <w:rFonts w:ascii="Arial" w:cs="Arial" w:eastAsia="Arial" w:hAnsi="Arial"/>
                <w:sz w:val="22"/>
                <w:szCs w:val="22"/>
                <w:color w:val="0000EE"/>
              </w:rPr>
            </w:pPr>
            <w:hyperlink w:anchor="page105">
              <w:r>
                <w:rPr>
                  <w:rFonts w:ascii="Arial" w:cs="Arial" w:eastAsia="Arial" w:hAnsi="Arial"/>
                  <w:sz w:val="22"/>
                  <w:szCs w:val="22"/>
                  <w:color w:val="0000EE"/>
                </w:rPr>
                <w:t>Tax Withholding</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A-38</w:t>
            </w:r>
          </w:p>
        </w:tc>
      </w:tr>
      <w:tr>
        <w:trPr>
          <w:trHeight w:val="20"/>
        </w:trPr>
        <w:tc>
          <w:tcPr>
            <w:tcW w:w="6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16.1</w:t>
            </w:r>
          </w:p>
        </w:tc>
        <w:tc>
          <w:tcPr>
            <w:tcW w:w="100" w:type="dxa"/>
            <w:vAlign w:val="bottom"/>
          </w:tcPr>
          <w:p>
            <w:pPr>
              <w:spacing w:after="0"/>
              <w:rPr>
                <w:sz w:val="24"/>
                <w:szCs w:val="24"/>
                <w:color w:val="auto"/>
              </w:rPr>
            </w:pPr>
          </w:p>
        </w:tc>
        <w:tc>
          <w:tcPr>
            <w:tcW w:w="2420" w:type="dxa"/>
            <w:vAlign w:val="bottom"/>
            <w:tcBorders>
              <w:bottom w:val="single" w:sz="8" w:color="0000EE"/>
            </w:tcBorders>
            <w:gridSpan w:val="11"/>
          </w:tcPr>
          <w:p>
            <w:pPr>
              <w:spacing w:after="0"/>
              <w:rPr>
                <w:rFonts w:ascii="Arial" w:cs="Arial" w:eastAsia="Arial" w:hAnsi="Arial"/>
                <w:sz w:val="22"/>
                <w:szCs w:val="22"/>
                <w:color w:val="0000EE"/>
                <w:w w:val="90"/>
              </w:rPr>
            </w:pPr>
            <w:hyperlink w:anchor="page105">
              <w:r>
                <w:rPr>
                  <w:rFonts w:ascii="Arial" w:cs="Arial" w:eastAsia="Arial" w:hAnsi="Arial"/>
                  <w:sz w:val="22"/>
                  <w:szCs w:val="22"/>
                  <w:color w:val="0000EE"/>
                  <w:w w:val="90"/>
                </w:rPr>
                <w:t>Tax Withholding in General</w:t>
              </w:r>
            </w:hyperlink>
          </w:p>
        </w:tc>
        <w:tc>
          <w:tcPr>
            <w:tcW w:w="5000" w:type="dxa"/>
            <w:vAlign w:val="bottom"/>
            <w:gridSpan w:val="6"/>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A-38</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16.2</w:t>
            </w:r>
          </w:p>
        </w:tc>
        <w:tc>
          <w:tcPr>
            <w:tcW w:w="100" w:type="dxa"/>
            <w:vAlign w:val="bottom"/>
          </w:tcPr>
          <w:p>
            <w:pPr>
              <w:spacing w:after="0"/>
              <w:rPr>
                <w:sz w:val="24"/>
                <w:szCs w:val="24"/>
                <w:color w:val="auto"/>
              </w:rPr>
            </w:pPr>
          </w:p>
        </w:tc>
        <w:tc>
          <w:tcPr>
            <w:tcW w:w="7420" w:type="dxa"/>
            <w:vAlign w:val="bottom"/>
            <w:gridSpan w:val="17"/>
          </w:tcPr>
          <w:p>
            <w:pPr>
              <w:spacing w:after="0"/>
              <w:rPr>
                <w:rFonts w:ascii="Arial" w:cs="Arial" w:eastAsia="Arial" w:hAnsi="Arial"/>
                <w:sz w:val="22"/>
                <w:szCs w:val="22"/>
                <w:color w:val="0000EE"/>
              </w:rPr>
            </w:pPr>
            <w:hyperlink w:anchor="page105">
              <w:r>
                <w:rPr>
                  <w:rFonts w:ascii="Arial" w:cs="Arial" w:eastAsia="Arial" w:hAnsi="Arial"/>
                  <w:sz w:val="22"/>
                  <w:szCs w:val="22"/>
                  <w:color w:val="0000EE"/>
                </w:rPr>
                <w:t>Withholding in or Directed Sale of Shares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A-38</w:t>
            </w:r>
          </w:p>
        </w:tc>
      </w:tr>
      <w:tr>
        <w:trPr>
          <w:trHeight w:val="20"/>
        </w:trPr>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17.</w:t>
            </w:r>
          </w:p>
        </w:tc>
        <w:tc>
          <w:tcPr>
            <w:tcW w:w="8220" w:type="dxa"/>
            <w:vAlign w:val="bottom"/>
            <w:gridSpan w:val="19"/>
          </w:tcPr>
          <w:p>
            <w:pPr>
              <w:spacing w:after="0"/>
              <w:rPr>
                <w:rFonts w:ascii="Arial" w:cs="Arial" w:eastAsia="Arial" w:hAnsi="Arial"/>
                <w:sz w:val="22"/>
                <w:szCs w:val="22"/>
                <w:color w:val="0000EE"/>
              </w:rPr>
            </w:pPr>
            <w:hyperlink w:anchor="page106">
              <w:r>
                <w:rPr>
                  <w:rFonts w:ascii="Arial" w:cs="Arial" w:eastAsia="Arial" w:hAnsi="Arial"/>
                  <w:sz w:val="22"/>
                  <w:szCs w:val="22"/>
                  <w:color w:val="0000EE"/>
                </w:rPr>
                <w:t>Amendment, Suspension or Termination of Plan</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A-39</w:t>
            </w:r>
          </w:p>
        </w:tc>
      </w:tr>
      <w:tr>
        <w:trPr>
          <w:trHeight w:val="331"/>
        </w:trPr>
        <w:tc>
          <w:tcPr>
            <w:tcW w:w="660" w:type="dxa"/>
            <w:vAlign w:val="bottom"/>
          </w:tcPr>
          <w:p>
            <w:pPr>
              <w:spacing w:after="0"/>
              <w:rPr>
                <w:sz w:val="20"/>
                <w:szCs w:val="20"/>
                <w:color w:val="auto"/>
              </w:rPr>
            </w:pPr>
            <w:r>
              <w:rPr>
                <w:rFonts w:ascii="Arial" w:cs="Arial" w:eastAsia="Arial" w:hAnsi="Arial"/>
                <w:sz w:val="22"/>
                <w:szCs w:val="22"/>
                <w:color w:val="auto"/>
              </w:rPr>
              <w:t>18.</w:t>
            </w:r>
          </w:p>
        </w:tc>
        <w:tc>
          <w:tcPr>
            <w:tcW w:w="4180" w:type="dxa"/>
            <w:vAlign w:val="bottom"/>
            <w:tcBorders>
              <w:top w:val="single" w:sz="8" w:color="0000EE"/>
            </w:tcBorders>
            <w:gridSpan w:val="16"/>
          </w:tcPr>
          <w:p>
            <w:pPr>
              <w:spacing w:after="0"/>
              <w:rPr>
                <w:rFonts w:ascii="Arial" w:cs="Arial" w:eastAsia="Arial" w:hAnsi="Arial"/>
                <w:sz w:val="22"/>
                <w:szCs w:val="22"/>
                <w:color w:val="0000EE"/>
              </w:rPr>
            </w:pPr>
            <w:hyperlink w:anchor="page106">
              <w:r>
                <w:rPr>
                  <w:rFonts w:ascii="Arial" w:cs="Arial" w:eastAsia="Arial" w:hAnsi="Arial"/>
                  <w:sz w:val="22"/>
                  <w:szCs w:val="22"/>
                  <w:color w:val="0000EE"/>
                </w:rPr>
                <w:t>Miscellaneous Provisions</w:t>
              </w:r>
            </w:hyperlink>
          </w:p>
        </w:tc>
        <w:tc>
          <w:tcPr>
            <w:tcW w:w="4040" w:type="dxa"/>
            <w:vAlign w:val="bottom"/>
            <w:gridSpan w:val="3"/>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A-39</w:t>
            </w:r>
          </w:p>
        </w:tc>
      </w:tr>
      <w:tr>
        <w:trPr>
          <w:trHeight w:val="20"/>
        </w:trPr>
        <w:tc>
          <w:tcPr>
            <w:tcW w:w="6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18.1</w:t>
            </w:r>
          </w:p>
        </w:tc>
        <w:tc>
          <w:tcPr>
            <w:tcW w:w="100" w:type="dxa"/>
            <w:vAlign w:val="bottom"/>
          </w:tcPr>
          <w:p>
            <w:pPr>
              <w:spacing w:after="0"/>
              <w:rPr>
                <w:sz w:val="24"/>
                <w:szCs w:val="24"/>
                <w:color w:val="auto"/>
              </w:rPr>
            </w:pPr>
          </w:p>
        </w:tc>
        <w:tc>
          <w:tcPr>
            <w:tcW w:w="1620" w:type="dxa"/>
            <w:vAlign w:val="bottom"/>
            <w:tcBorders>
              <w:bottom w:val="single" w:sz="8" w:color="0000EE"/>
            </w:tcBorders>
            <w:gridSpan w:val="6"/>
          </w:tcPr>
          <w:p>
            <w:pPr>
              <w:spacing w:after="0"/>
              <w:rPr>
                <w:rFonts w:ascii="Arial" w:cs="Arial" w:eastAsia="Arial" w:hAnsi="Arial"/>
                <w:sz w:val="22"/>
                <w:szCs w:val="22"/>
                <w:color w:val="0000EE"/>
                <w:w w:val="85"/>
              </w:rPr>
            </w:pPr>
            <w:hyperlink w:anchor="page106">
              <w:r>
                <w:rPr>
                  <w:rFonts w:ascii="Arial" w:cs="Arial" w:eastAsia="Arial" w:hAnsi="Arial"/>
                  <w:sz w:val="22"/>
                  <w:szCs w:val="22"/>
                  <w:color w:val="0000EE"/>
                  <w:w w:val="85"/>
                </w:rPr>
                <w:t>Repurchase Rights</w:t>
              </w:r>
            </w:hyperlink>
          </w:p>
        </w:tc>
        <w:tc>
          <w:tcPr>
            <w:tcW w:w="5800" w:type="dxa"/>
            <w:vAlign w:val="bottom"/>
            <w:gridSpan w:val="11"/>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A-39</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18.2</w:t>
            </w:r>
          </w:p>
        </w:tc>
        <w:tc>
          <w:tcPr>
            <w:tcW w:w="100" w:type="dxa"/>
            <w:vAlign w:val="bottom"/>
          </w:tcPr>
          <w:p>
            <w:pPr>
              <w:spacing w:after="0"/>
              <w:rPr>
                <w:sz w:val="24"/>
                <w:szCs w:val="24"/>
                <w:color w:val="auto"/>
              </w:rPr>
            </w:pPr>
          </w:p>
        </w:tc>
        <w:tc>
          <w:tcPr>
            <w:tcW w:w="1500" w:type="dxa"/>
            <w:vAlign w:val="bottom"/>
            <w:tcBorders>
              <w:bottom w:val="single" w:sz="8" w:color="0000EE"/>
            </w:tcBorders>
            <w:gridSpan w:val="5"/>
          </w:tcPr>
          <w:p>
            <w:pPr>
              <w:spacing w:after="0"/>
              <w:rPr>
                <w:rFonts w:ascii="Arial" w:cs="Arial" w:eastAsia="Arial" w:hAnsi="Arial"/>
                <w:sz w:val="22"/>
                <w:szCs w:val="22"/>
                <w:color w:val="0000EE"/>
                <w:w w:val="88"/>
              </w:rPr>
            </w:pPr>
            <w:hyperlink w:anchor="page106">
              <w:r>
                <w:rPr>
                  <w:rFonts w:ascii="Arial" w:cs="Arial" w:eastAsia="Arial" w:hAnsi="Arial"/>
                  <w:sz w:val="22"/>
                  <w:szCs w:val="22"/>
                  <w:color w:val="0000EE"/>
                  <w:w w:val="88"/>
                </w:rPr>
                <w:t>Forfeiture Events</w:t>
              </w:r>
            </w:hyperlink>
          </w:p>
        </w:tc>
        <w:tc>
          <w:tcPr>
            <w:tcW w:w="5920" w:type="dxa"/>
            <w:vAlign w:val="bottom"/>
            <w:gridSpan w:val="12"/>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A-39</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18.3</w:t>
            </w:r>
          </w:p>
        </w:tc>
        <w:tc>
          <w:tcPr>
            <w:tcW w:w="100" w:type="dxa"/>
            <w:vAlign w:val="bottom"/>
          </w:tcPr>
          <w:p>
            <w:pPr>
              <w:spacing w:after="0"/>
              <w:rPr>
                <w:sz w:val="24"/>
                <w:szCs w:val="24"/>
                <w:color w:val="auto"/>
              </w:rPr>
            </w:pPr>
          </w:p>
        </w:tc>
        <w:tc>
          <w:tcPr>
            <w:tcW w:w="7420" w:type="dxa"/>
            <w:vAlign w:val="bottom"/>
            <w:gridSpan w:val="17"/>
          </w:tcPr>
          <w:p>
            <w:pPr>
              <w:spacing w:after="0"/>
              <w:rPr>
                <w:rFonts w:ascii="Arial" w:cs="Arial" w:eastAsia="Arial" w:hAnsi="Arial"/>
                <w:sz w:val="22"/>
                <w:szCs w:val="22"/>
                <w:color w:val="0000EE"/>
              </w:rPr>
            </w:pPr>
            <w:hyperlink w:anchor="page107">
              <w:r>
                <w:rPr>
                  <w:rFonts w:ascii="Arial" w:cs="Arial" w:eastAsia="Arial" w:hAnsi="Arial"/>
                  <w:sz w:val="22"/>
                  <w:szCs w:val="22"/>
                  <w:color w:val="0000EE"/>
                </w:rPr>
                <w:t>Provision of Information</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A-40</w:t>
            </w: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18.4</w:t>
            </w:r>
          </w:p>
        </w:tc>
        <w:tc>
          <w:tcPr>
            <w:tcW w:w="100" w:type="dxa"/>
            <w:vAlign w:val="bottom"/>
          </w:tcPr>
          <w:p>
            <w:pPr>
              <w:spacing w:after="0"/>
              <w:rPr>
                <w:sz w:val="24"/>
                <w:szCs w:val="24"/>
                <w:color w:val="auto"/>
              </w:rPr>
            </w:pPr>
          </w:p>
        </w:tc>
        <w:tc>
          <w:tcPr>
            <w:tcW w:w="3780" w:type="dxa"/>
            <w:vAlign w:val="bottom"/>
            <w:tcBorders>
              <w:bottom w:val="single" w:sz="8" w:color="0000EE"/>
            </w:tcBorders>
            <w:gridSpan w:val="16"/>
          </w:tcPr>
          <w:p>
            <w:pPr>
              <w:spacing w:after="0"/>
              <w:rPr>
                <w:rFonts w:ascii="Arial" w:cs="Arial" w:eastAsia="Arial" w:hAnsi="Arial"/>
                <w:sz w:val="22"/>
                <w:szCs w:val="22"/>
                <w:color w:val="0000EE"/>
                <w:w w:val="89"/>
              </w:rPr>
            </w:pPr>
            <w:hyperlink w:anchor="page107">
              <w:r>
                <w:rPr>
                  <w:rFonts w:ascii="Arial" w:cs="Arial" w:eastAsia="Arial" w:hAnsi="Arial"/>
                  <w:sz w:val="22"/>
                  <w:szCs w:val="22"/>
                  <w:color w:val="0000EE"/>
                  <w:w w:val="89"/>
                </w:rPr>
                <w:t>Rights as Employee, Consultant or Director</w:t>
              </w:r>
            </w:hyperlink>
          </w:p>
        </w:tc>
        <w:tc>
          <w:tcPr>
            <w:tcW w:w="3640" w:type="dxa"/>
            <w:vAlign w:val="bottom"/>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18.5</w:t>
            </w:r>
          </w:p>
        </w:tc>
        <w:tc>
          <w:tcPr>
            <w:tcW w:w="10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rFonts w:ascii="Arial" w:cs="Arial" w:eastAsia="Arial" w:hAnsi="Arial"/>
                <w:sz w:val="22"/>
                <w:szCs w:val="22"/>
                <w:color w:val="0000EE"/>
                <w:w w:val="86"/>
              </w:rPr>
            </w:pPr>
            <w:hyperlink w:anchor="page107">
              <w:r>
                <w:rPr>
                  <w:rFonts w:ascii="Arial" w:cs="Arial" w:eastAsia="Arial" w:hAnsi="Arial"/>
                  <w:sz w:val="22"/>
                  <w:szCs w:val="22"/>
                  <w:color w:val="0000EE"/>
                  <w:w w:val="86"/>
                </w:rPr>
                <w:t>Rights as a Stockholder</w:t>
              </w:r>
            </w:hyperlink>
          </w:p>
        </w:tc>
        <w:tc>
          <w:tcPr>
            <w:tcW w:w="5380" w:type="dxa"/>
            <w:vAlign w:val="bottom"/>
            <w:gridSpan w:val="9"/>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18.6</w:t>
            </w:r>
          </w:p>
        </w:tc>
        <w:tc>
          <w:tcPr>
            <w:tcW w:w="100" w:type="dxa"/>
            <w:vAlign w:val="bottom"/>
          </w:tcPr>
          <w:p>
            <w:pPr>
              <w:spacing w:after="0"/>
              <w:rPr>
                <w:sz w:val="24"/>
                <w:szCs w:val="24"/>
                <w:color w:val="auto"/>
              </w:rPr>
            </w:pPr>
          </w:p>
        </w:tc>
        <w:tc>
          <w:tcPr>
            <w:tcW w:w="7420" w:type="dxa"/>
            <w:vAlign w:val="bottom"/>
            <w:gridSpan w:val="17"/>
          </w:tcPr>
          <w:p>
            <w:pPr>
              <w:spacing w:after="0"/>
              <w:rPr>
                <w:rFonts w:ascii="Arial" w:cs="Arial" w:eastAsia="Arial" w:hAnsi="Arial"/>
                <w:sz w:val="22"/>
                <w:szCs w:val="22"/>
                <w:color w:val="0000EE"/>
              </w:rPr>
            </w:pPr>
            <w:hyperlink w:anchor="page107">
              <w:r>
                <w:rPr>
                  <w:rFonts w:ascii="Arial" w:cs="Arial" w:eastAsia="Arial" w:hAnsi="Arial"/>
                  <w:sz w:val="22"/>
                  <w:szCs w:val="22"/>
                  <w:color w:val="0000EE"/>
                </w:rPr>
                <w:t>Delivery of Title to Shares</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18.7</w:t>
            </w:r>
          </w:p>
        </w:tc>
        <w:tc>
          <w:tcPr>
            <w:tcW w:w="10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22"/>
                <w:szCs w:val="22"/>
                <w:color w:val="0000EE"/>
                <w:w w:val="85"/>
              </w:rPr>
            </w:pPr>
            <w:hyperlink w:anchor="page107">
              <w:r>
                <w:rPr>
                  <w:rFonts w:ascii="Arial" w:cs="Arial" w:eastAsia="Arial" w:hAnsi="Arial"/>
                  <w:sz w:val="22"/>
                  <w:szCs w:val="22"/>
                  <w:color w:val="0000EE"/>
                  <w:w w:val="85"/>
                </w:rPr>
                <w:t>Fractional Shares</w:t>
              </w:r>
            </w:hyperlink>
          </w:p>
        </w:tc>
        <w:tc>
          <w:tcPr>
            <w:tcW w:w="780" w:type="dxa"/>
            <w:vAlign w:val="bottom"/>
            <w:tcBorders>
              <w:top w:val="single" w:sz="8" w:color="0000EE"/>
            </w:tcBorders>
            <w:gridSpan w:val="5"/>
          </w:tcPr>
          <w:p>
            <w:pPr>
              <w:spacing w:after="0"/>
              <w:rPr>
                <w:sz w:val="24"/>
                <w:szCs w:val="24"/>
                <w:color w:val="auto"/>
              </w:rPr>
            </w:pPr>
          </w:p>
        </w:tc>
        <w:tc>
          <w:tcPr>
            <w:tcW w:w="5140" w:type="dxa"/>
            <w:vAlign w:val="bottom"/>
            <w:gridSpan w:val="7"/>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18.8</w:t>
            </w:r>
          </w:p>
        </w:tc>
        <w:tc>
          <w:tcPr>
            <w:tcW w:w="100" w:type="dxa"/>
            <w:vAlign w:val="bottom"/>
          </w:tcPr>
          <w:p>
            <w:pPr>
              <w:spacing w:after="0"/>
              <w:rPr>
                <w:sz w:val="24"/>
                <w:szCs w:val="24"/>
                <w:color w:val="auto"/>
              </w:rPr>
            </w:pPr>
          </w:p>
        </w:tc>
        <w:tc>
          <w:tcPr>
            <w:tcW w:w="2580" w:type="dxa"/>
            <w:vAlign w:val="bottom"/>
            <w:tcBorders>
              <w:bottom w:val="single" w:sz="8" w:color="0000EE"/>
            </w:tcBorders>
            <w:gridSpan w:val="12"/>
          </w:tcPr>
          <w:p>
            <w:pPr>
              <w:spacing w:after="0"/>
              <w:rPr>
                <w:rFonts w:ascii="Arial" w:cs="Arial" w:eastAsia="Arial" w:hAnsi="Arial"/>
                <w:sz w:val="22"/>
                <w:szCs w:val="22"/>
                <w:color w:val="0000EE"/>
                <w:w w:val="87"/>
              </w:rPr>
            </w:pPr>
            <w:hyperlink w:anchor="page107">
              <w:r>
                <w:rPr>
                  <w:rFonts w:ascii="Arial" w:cs="Arial" w:eastAsia="Arial" w:hAnsi="Arial"/>
                  <w:sz w:val="22"/>
                  <w:szCs w:val="22"/>
                  <w:color w:val="0000EE"/>
                  <w:w w:val="87"/>
                </w:rPr>
                <w:t>Retirement and Welfare Plans</w:t>
              </w:r>
            </w:hyperlink>
          </w:p>
        </w:tc>
        <w:tc>
          <w:tcPr>
            <w:tcW w:w="4840" w:type="dxa"/>
            <w:vAlign w:val="bottom"/>
            <w:gridSpan w:val="5"/>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A-40</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18.9</w:t>
            </w:r>
          </w:p>
        </w:tc>
        <w:tc>
          <w:tcPr>
            <w:tcW w:w="100" w:type="dxa"/>
            <w:vAlign w:val="bottom"/>
          </w:tcPr>
          <w:p>
            <w:pPr>
              <w:spacing w:after="0"/>
              <w:rPr>
                <w:sz w:val="24"/>
                <w:szCs w:val="24"/>
                <w:color w:val="auto"/>
              </w:rPr>
            </w:pPr>
          </w:p>
        </w:tc>
        <w:tc>
          <w:tcPr>
            <w:tcW w:w="2140" w:type="dxa"/>
            <w:vAlign w:val="bottom"/>
            <w:tcBorders>
              <w:bottom w:val="single" w:sz="8" w:color="0000EE"/>
            </w:tcBorders>
            <w:gridSpan w:val="9"/>
          </w:tcPr>
          <w:p>
            <w:pPr>
              <w:spacing w:after="0"/>
              <w:rPr>
                <w:rFonts w:ascii="Arial" w:cs="Arial" w:eastAsia="Arial" w:hAnsi="Arial"/>
                <w:sz w:val="22"/>
                <w:szCs w:val="22"/>
                <w:color w:val="0000EE"/>
                <w:w w:val="90"/>
              </w:rPr>
            </w:pPr>
            <w:hyperlink w:anchor="page108">
              <w:r>
                <w:rPr>
                  <w:rFonts w:ascii="Arial" w:cs="Arial" w:eastAsia="Arial" w:hAnsi="Arial"/>
                  <w:sz w:val="22"/>
                  <w:szCs w:val="22"/>
                  <w:color w:val="0000EE"/>
                  <w:w w:val="90"/>
                </w:rPr>
                <w:t>Beneficiary Designation</w:t>
              </w:r>
            </w:hyperlink>
          </w:p>
        </w:tc>
        <w:tc>
          <w:tcPr>
            <w:tcW w:w="5280" w:type="dxa"/>
            <w:vAlign w:val="bottom"/>
            <w:gridSpan w:val="8"/>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18.10</w:t>
            </w:r>
          </w:p>
        </w:tc>
        <w:tc>
          <w:tcPr>
            <w:tcW w:w="100" w:type="dxa"/>
            <w:vAlign w:val="bottom"/>
          </w:tcPr>
          <w:p>
            <w:pPr>
              <w:spacing w:after="0"/>
              <w:rPr>
                <w:sz w:val="24"/>
                <w:szCs w:val="24"/>
                <w:color w:val="auto"/>
              </w:rPr>
            </w:pPr>
          </w:p>
        </w:tc>
        <w:tc>
          <w:tcPr>
            <w:tcW w:w="1040" w:type="dxa"/>
            <w:vAlign w:val="bottom"/>
            <w:tcBorders>
              <w:bottom w:val="single" w:sz="8" w:color="0000EE"/>
            </w:tcBorders>
            <w:gridSpan w:val="2"/>
          </w:tcPr>
          <w:p>
            <w:pPr>
              <w:spacing w:after="0"/>
              <w:rPr>
                <w:rFonts w:ascii="Arial" w:cs="Arial" w:eastAsia="Arial" w:hAnsi="Arial"/>
                <w:sz w:val="22"/>
                <w:szCs w:val="22"/>
                <w:color w:val="0000EE"/>
                <w:w w:val="89"/>
              </w:rPr>
            </w:pPr>
            <w:hyperlink w:anchor="page108">
              <w:r>
                <w:rPr>
                  <w:rFonts w:ascii="Arial" w:cs="Arial" w:eastAsia="Arial" w:hAnsi="Arial"/>
                  <w:sz w:val="22"/>
                  <w:szCs w:val="22"/>
                  <w:color w:val="0000EE"/>
                  <w:w w:val="89"/>
                </w:rPr>
                <w:t>Severability</w:t>
              </w:r>
            </w:hyperlink>
          </w:p>
        </w:tc>
        <w:tc>
          <w:tcPr>
            <w:tcW w:w="6380" w:type="dxa"/>
            <w:vAlign w:val="bottom"/>
            <w:gridSpan w:val="15"/>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18.11</w:t>
            </w:r>
          </w:p>
        </w:tc>
        <w:tc>
          <w:tcPr>
            <w:tcW w:w="100" w:type="dxa"/>
            <w:vAlign w:val="bottom"/>
          </w:tcPr>
          <w:p>
            <w:pPr>
              <w:spacing w:after="0"/>
              <w:rPr>
                <w:sz w:val="24"/>
                <w:szCs w:val="24"/>
                <w:color w:val="auto"/>
              </w:rPr>
            </w:pPr>
          </w:p>
        </w:tc>
        <w:tc>
          <w:tcPr>
            <w:tcW w:w="7420" w:type="dxa"/>
            <w:vAlign w:val="bottom"/>
            <w:gridSpan w:val="17"/>
          </w:tcPr>
          <w:p>
            <w:pPr>
              <w:spacing w:after="0"/>
              <w:rPr>
                <w:rFonts w:ascii="Arial" w:cs="Arial" w:eastAsia="Arial" w:hAnsi="Arial"/>
                <w:sz w:val="22"/>
                <w:szCs w:val="22"/>
                <w:color w:val="0000EE"/>
              </w:rPr>
            </w:pPr>
            <w:hyperlink w:anchor="page108">
              <w:r>
                <w:rPr>
                  <w:rFonts w:ascii="Arial" w:cs="Arial" w:eastAsia="Arial" w:hAnsi="Arial"/>
                  <w:sz w:val="22"/>
                  <w:szCs w:val="22"/>
                  <w:color w:val="0000EE"/>
                </w:rPr>
                <w:t>No Constraint on Corporate Action</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18.12</w:t>
            </w:r>
          </w:p>
        </w:tc>
        <w:tc>
          <w:tcPr>
            <w:tcW w:w="100" w:type="dxa"/>
            <w:vAlign w:val="bottom"/>
          </w:tcPr>
          <w:p>
            <w:pPr>
              <w:spacing w:after="0"/>
              <w:rPr>
                <w:sz w:val="24"/>
                <w:szCs w:val="24"/>
                <w:color w:val="auto"/>
              </w:rPr>
            </w:pPr>
          </w:p>
        </w:tc>
        <w:tc>
          <w:tcPr>
            <w:tcW w:w="1840" w:type="dxa"/>
            <w:vAlign w:val="bottom"/>
            <w:tcBorders>
              <w:top w:val="single" w:sz="8" w:color="0000EE"/>
              <w:bottom w:val="single" w:sz="8" w:color="0000EE"/>
            </w:tcBorders>
            <w:gridSpan w:val="7"/>
          </w:tcPr>
          <w:p>
            <w:pPr>
              <w:spacing w:after="0"/>
              <w:rPr>
                <w:rFonts w:ascii="Arial" w:cs="Arial" w:eastAsia="Arial" w:hAnsi="Arial"/>
                <w:sz w:val="22"/>
                <w:szCs w:val="22"/>
                <w:color w:val="0000EE"/>
                <w:w w:val="90"/>
              </w:rPr>
            </w:pPr>
            <w:hyperlink w:anchor="page108">
              <w:r>
                <w:rPr>
                  <w:rFonts w:ascii="Arial" w:cs="Arial" w:eastAsia="Arial" w:hAnsi="Arial"/>
                  <w:sz w:val="22"/>
                  <w:szCs w:val="22"/>
                  <w:color w:val="0000EE"/>
                  <w:w w:val="90"/>
                </w:rPr>
                <w:t>Unfunded Obligation</w:t>
              </w:r>
            </w:hyperlink>
          </w:p>
        </w:tc>
        <w:tc>
          <w:tcPr>
            <w:tcW w:w="1200" w:type="dxa"/>
            <w:vAlign w:val="bottom"/>
            <w:tcBorders>
              <w:top w:val="single" w:sz="8" w:color="0000EE"/>
            </w:tcBorders>
            <w:gridSpan w:val="6"/>
          </w:tcPr>
          <w:p>
            <w:pPr>
              <w:spacing w:after="0"/>
              <w:rPr>
                <w:sz w:val="24"/>
                <w:szCs w:val="24"/>
                <w:color w:val="auto"/>
              </w:rPr>
            </w:pPr>
          </w:p>
        </w:tc>
        <w:tc>
          <w:tcPr>
            <w:tcW w:w="4380" w:type="dxa"/>
            <w:vAlign w:val="bottom"/>
            <w:gridSpan w:val="4"/>
          </w:tcPr>
          <w:p>
            <w:pPr>
              <w:spacing w:after="0"/>
              <w:rPr>
                <w:sz w:val="24"/>
                <w:szCs w:val="24"/>
                <w:color w:val="auto"/>
              </w:rPr>
            </w:pPr>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A-41</w:t>
            </w:r>
          </w:p>
        </w:tc>
      </w:tr>
      <w:tr>
        <w:trPr>
          <w:trHeight w:val="331"/>
        </w:trPr>
        <w:tc>
          <w:tcPr>
            <w:tcW w:w="6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18.13</w:t>
            </w:r>
          </w:p>
        </w:tc>
        <w:tc>
          <w:tcPr>
            <w:tcW w:w="100" w:type="dxa"/>
            <w:vAlign w:val="bottom"/>
          </w:tcPr>
          <w:p>
            <w:pPr>
              <w:spacing w:after="0"/>
              <w:rPr>
                <w:sz w:val="24"/>
                <w:szCs w:val="24"/>
                <w:color w:val="auto"/>
              </w:rPr>
            </w:pPr>
          </w:p>
        </w:tc>
        <w:tc>
          <w:tcPr>
            <w:tcW w:w="7420" w:type="dxa"/>
            <w:vAlign w:val="bottom"/>
            <w:gridSpan w:val="17"/>
          </w:tcPr>
          <w:p>
            <w:pPr>
              <w:spacing w:after="0"/>
              <w:rPr>
                <w:rFonts w:ascii="Arial" w:cs="Arial" w:eastAsia="Arial" w:hAnsi="Arial"/>
                <w:sz w:val="22"/>
                <w:szCs w:val="22"/>
                <w:color w:val="0000EE"/>
              </w:rPr>
            </w:pPr>
            <w:hyperlink w:anchor="page108">
              <w:r>
                <w:rPr>
                  <w:rFonts w:ascii="Arial" w:cs="Arial" w:eastAsia="Arial" w:hAnsi="Arial"/>
                  <w:sz w:val="22"/>
                  <w:szCs w:val="22"/>
                  <w:color w:val="0000EE"/>
                </w:rPr>
                <w:t>Choice of Law</w:t>
              </w:r>
            </w:hyperlink>
          </w:p>
        </w:tc>
        <w:tc>
          <w:tcPr>
            <w:tcW w:w="2480" w:type="dxa"/>
            <w:vAlign w:val="bottom"/>
          </w:tcPr>
          <w:p>
            <w:pPr>
              <w:jc w:val="center"/>
              <w:ind w:left="1932"/>
              <w:spacing w:after="0"/>
              <w:rPr>
                <w:sz w:val="20"/>
                <w:szCs w:val="20"/>
                <w:color w:val="auto"/>
              </w:rPr>
            </w:pPr>
            <w:r>
              <w:rPr>
                <w:rFonts w:ascii="Arial" w:cs="Arial" w:eastAsia="Arial" w:hAnsi="Arial"/>
                <w:sz w:val="22"/>
                <w:szCs w:val="22"/>
                <w:color w:val="auto"/>
                <w:w w:val="94"/>
              </w:rPr>
              <w:t>A-41</w:t>
            </w:r>
          </w:p>
        </w:tc>
      </w:tr>
      <w:tr>
        <w:trPr>
          <w:trHeight w:val="42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tcPr>
          <w:p>
            <w:pPr>
              <w:jc w:val="center"/>
              <w:ind w:right="2572"/>
              <w:spacing w:after="0"/>
              <w:rPr>
                <w:sz w:val="20"/>
                <w:szCs w:val="20"/>
                <w:color w:val="auto"/>
              </w:rPr>
            </w:pPr>
            <w:r>
              <w:rPr>
                <w:rFonts w:ascii="Arial" w:cs="Arial" w:eastAsia="Arial" w:hAnsi="Arial"/>
                <w:sz w:val="22"/>
                <w:szCs w:val="22"/>
                <w:color w:val="auto"/>
              </w:rPr>
              <w:t>A-iv</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Grand Canyon Education, Inc.</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2017 Equity Incentive Plan</w:t>
      </w:r>
    </w:p>
    <w:p>
      <w:pPr>
        <w:spacing w:after="0" w:line="200" w:lineRule="exact"/>
        <w:rPr>
          <w:sz w:val="20"/>
          <w:szCs w:val="20"/>
          <w:color w:val="auto"/>
        </w:rPr>
      </w:pPr>
    </w:p>
    <w:p>
      <w:pPr>
        <w:spacing w:after="0" w:line="276" w:lineRule="exact"/>
        <w:rPr>
          <w:sz w:val="20"/>
          <w:szCs w:val="20"/>
          <w:color w:val="auto"/>
        </w:rPr>
      </w:pPr>
    </w:p>
    <w:p>
      <w:pPr>
        <w:ind w:left="1500" w:hanging="69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STABLISHMENT</w:t>
      </w:r>
      <w:r>
        <w:rPr>
          <w:rFonts w:ascii="Arial" w:cs="Arial" w:eastAsia="Arial" w:hAnsi="Arial"/>
          <w:sz w:val="22"/>
          <w:szCs w:val="22"/>
          <w:b w:val="1"/>
          <w:bCs w:val="1"/>
          <w:u w:val="single" w:color="auto"/>
          <w:color w:val="auto"/>
        </w:rPr>
        <w:t>, P</w:t>
      </w:r>
      <w:r>
        <w:rPr>
          <w:rFonts w:ascii="Arial" w:cs="Arial" w:eastAsia="Arial" w:hAnsi="Arial"/>
          <w:sz w:val="18"/>
          <w:szCs w:val="18"/>
          <w:b w:val="1"/>
          <w:bCs w:val="1"/>
          <w:u w:val="single" w:color="auto"/>
          <w:color w:val="auto"/>
        </w:rPr>
        <w:t>URPOSE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ERM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jc w:val="right"/>
              <w:ind w:right="312"/>
              <w:spacing w:after="0"/>
              <w:rPr>
                <w:sz w:val="20"/>
                <w:szCs w:val="20"/>
                <w:color w:val="auto"/>
              </w:rPr>
            </w:pPr>
            <w:r>
              <w:rPr>
                <w:rFonts w:ascii="Arial" w:cs="Arial" w:eastAsia="Arial" w:hAnsi="Arial"/>
                <w:sz w:val="22"/>
                <w:szCs w:val="22"/>
                <w:color w:val="auto"/>
              </w:rPr>
              <w:t>1.1</w:t>
            </w:r>
          </w:p>
        </w:tc>
        <w:tc>
          <w:tcPr>
            <w:tcW w:w="8940" w:type="dxa"/>
            <w:vAlign w:val="bottom"/>
            <w:gridSpan w:val="2"/>
          </w:tcPr>
          <w:p>
            <w:pPr>
              <w:spacing w:after="0"/>
              <w:rPr>
                <w:sz w:val="20"/>
                <w:szCs w:val="20"/>
                <w:color w:val="auto"/>
              </w:rPr>
            </w:pPr>
            <w:r>
              <w:rPr>
                <w:rFonts w:ascii="Arial" w:cs="Arial" w:eastAsia="Arial" w:hAnsi="Arial"/>
                <w:sz w:val="22"/>
                <w:szCs w:val="22"/>
                <w:b w:val="1"/>
                <w:bCs w:val="1"/>
                <w:color w:val="auto"/>
                <w:w w:val="90"/>
              </w:rPr>
              <w:t>Establishment</w:t>
            </w:r>
            <w:r>
              <w:rPr>
                <w:rFonts w:ascii="Arial" w:cs="Arial" w:eastAsia="Arial" w:hAnsi="Arial"/>
                <w:sz w:val="22"/>
                <w:szCs w:val="22"/>
                <w:b w:val="1"/>
                <w:bCs w:val="1"/>
                <w:i w:val="1"/>
                <w:iCs w:val="1"/>
                <w:color w:val="auto"/>
                <w:w w:val="90"/>
              </w:rPr>
              <w:t>.</w:t>
            </w:r>
            <w:r>
              <w:rPr>
                <w:rFonts w:ascii="Arial" w:cs="Arial" w:eastAsia="Arial" w:hAnsi="Arial"/>
                <w:sz w:val="22"/>
                <w:szCs w:val="22"/>
                <w:b w:val="1"/>
                <w:bCs w:val="1"/>
                <w:color w:val="auto"/>
                <w:w w:val="90"/>
              </w:rPr>
              <w:t xml:space="preserve"> </w:t>
            </w:r>
            <w:r>
              <w:rPr>
                <w:rFonts w:ascii="Arial" w:cs="Arial" w:eastAsia="Arial" w:hAnsi="Arial"/>
                <w:sz w:val="22"/>
                <w:szCs w:val="22"/>
                <w:color w:val="auto"/>
                <w:w w:val="90"/>
              </w:rPr>
              <w:t>The Grand Canyon Education, Inc. 2017 Equity Incentive Plan (the</w:t>
            </w:r>
            <w:r>
              <w:rPr>
                <w:rFonts w:ascii="Arial" w:cs="Arial" w:eastAsia="Arial" w:hAnsi="Arial"/>
                <w:sz w:val="22"/>
                <w:szCs w:val="22"/>
                <w:b w:val="1"/>
                <w:bCs w:val="1"/>
                <w:color w:val="auto"/>
                <w:w w:val="90"/>
              </w:rPr>
              <w:t xml:space="preserve"> </w:t>
            </w:r>
            <w:r>
              <w:rPr>
                <w:rFonts w:ascii="Arial" w:cs="Arial" w:eastAsia="Arial" w:hAnsi="Arial"/>
                <w:sz w:val="22"/>
                <w:szCs w:val="22"/>
                <w:i w:val="1"/>
                <w:iCs w:val="1"/>
                <w:color w:val="auto"/>
                <w:w w:val="90"/>
              </w:rPr>
              <w:t>“</w:t>
            </w:r>
            <w:r>
              <w:rPr>
                <w:rFonts w:ascii="Arial" w:cs="Arial" w:eastAsia="Arial" w:hAnsi="Arial"/>
                <w:sz w:val="22"/>
                <w:szCs w:val="22"/>
                <w:b w:val="1"/>
                <w:bCs w:val="1"/>
                <w:i w:val="1"/>
                <w:iCs w:val="1"/>
                <w:color w:val="auto"/>
                <w:w w:val="90"/>
              </w:rPr>
              <w:t>Plan</w:t>
            </w:r>
            <w:r>
              <w:rPr>
                <w:rFonts w:ascii="Arial" w:cs="Arial" w:eastAsia="Arial" w:hAnsi="Arial"/>
                <w:sz w:val="22"/>
                <w:szCs w:val="22"/>
                <w:i w:val="1"/>
                <w:iCs w:val="1"/>
                <w:color w:val="auto"/>
                <w:w w:val="90"/>
              </w:rPr>
              <w:t>”</w:t>
            </w:r>
            <w:r>
              <w:rPr>
                <w:rFonts w:ascii="Arial" w:cs="Arial" w:eastAsia="Arial" w:hAnsi="Arial"/>
                <w:sz w:val="22"/>
                <w:szCs w:val="22"/>
                <w:color w:val="auto"/>
                <w:w w:val="90"/>
              </w:rPr>
              <w:t>) is hereby</w:t>
            </w:r>
          </w:p>
        </w:tc>
      </w:tr>
      <w:tr>
        <w:trPr>
          <w:trHeight w:val="224"/>
        </w:trPr>
        <w:tc>
          <w:tcPr>
            <w:tcW w:w="2300" w:type="dxa"/>
            <w:vAlign w:val="bottom"/>
          </w:tcPr>
          <w:p>
            <w:pPr>
              <w:jc w:val="right"/>
              <w:spacing w:after="0" w:line="224" w:lineRule="exact"/>
              <w:rPr>
                <w:sz w:val="20"/>
                <w:szCs w:val="20"/>
                <w:color w:val="auto"/>
              </w:rPr>
            </w:pPr>
            <w:r>
              <w:rPr>
                <w:rFonts w:ascii="Arial" w:cs="Arial" w:eastAsia="Arial" w:hAnsi="Arial"/>
                <w:sz w:val="22"/>
                <w:szCs w:val="22"/>
                <w:color w:val="auto"/>
                <w:w w:val="87"/>
              </w:rPr>
              <w:t>established effective as of</w:t>
            </w:r>
          </w:p>
        </w:tc>
        <w:tc>
          <w:tcPr>
            <w:tcW w:w="960" w:type="dxa"/>
            <w:vAlign w:val="bottom"/>
            <w:tcBorders>
              <w:bottom w:val="single" w:sz="8" w:color="auto"/>
            </w:tcBorders>
          </w:tcPr>
          <w:p>
            <w:pPr>
              <w:spacing w:after="0"/>
              <w:rPr>
                <w:sz w:val="19"/>
                <w:szCs w:val="19"/>
                <w:color w:val="auto"/>
              </w:rPr>
            </w:pPr>
          </w:p>
        </w:tc>
        <w:tc>
          <w:tcPr>
            <w:tcW w:w="7980" w:type="dxa"/>
            <w:vAlign w:val="bottom"/>
          </w:tcPr>
          <w:p>
            <w:pPr>
              <w:spacing w:after="0" w:line="224" w:lineRule="exact"/>
              <w:rPr>
                <w:sz w:val="20"/>
                <w:szCs w:val="20"/>
                <w:color w:val="auto"/>
              </w:rPr>
            </w:pPr>
            <w:r>
              <w:rPr>
                <w:rFonts w:ascii="Arial" w:cs="Arial" w:eastAsia="Arial" w:hAnsi="Arial"/>
                <w:sz w:val="22"/>
                <w:szCs w:val="22"/>
                <w:color w:val="auto"/>
                <w:w w:val="90"/>
              </w:rPr>
              <w:t xml:space="preserve">, 2017, the date of its approval by the stockholders of the Company (the </w:t>
            </w:r>
            <w:r>
              <w:rPr>
                <w:rFonts w:ascii="Arial" w:cs="Arial" w:eastAsia="Arial" w:hAnsi="Arial"/>
                <w:sz w:val="22"/>
                <w:szCs w:val="22"/>
                <w:i w:val="1"/>
                <w:iCs w:val="1"/>
                <w:color w:val="auto"/>
                <w:w w:val="90"/>
              </w:rPr>
              <w:t>“</w:t>
            </w:r>
            <w:r>
              <w:rPr>
                <w:rFonts w:ascii="Arial" w:cs="Arial" w:eastAsia="Arial" w:hAnsi="Arial"/>
                <w:sz w:val="22"/>
                <w:szCs w:val="22"/>
                <w:b w:val="1"/>
                <w:bCs w:val="1"/>
                <w:i w:val="1"/>
                <w:iCs w:val="1"/>
                <w:color w:val="auto"/>
                <w:w w:val="90"/>
              </w:rPr>
              <w:t>Effective Date</w:t>
            </w:r>
            <w:r>
              <w:rPr>
                <w:rFonts w:ascii="Arial" w:cs="Arial" w:eastAsia="Arial" w:hAnsi="Arial"/>
                <w:sz w:val="22"/>
                <w:szCs w:val="22"/>
                <w:i w:val="1"/>
                <w:iCs w:val="1"/>
                <w:color w:val="auto"/>
                <w:w w:val="90"/>
              </w:rPr>
              <w:t>”</w:t>
            </w:r>
            <w:r>
              <w:rPr>
                <w:rFonts w:ascii="Arial" w:cs="Arial" w:eastAsia="Arial" w:hAnsi="Arial"/>
                <w:sz w:val="22"/>
                <w:szCs w:val="22"/>
                <w:color w:val="auto"/>
                <w:w w:val="90"/>
              </w:rPr>
              <w:t>).</w:t>
            </w:r>
          </w:p>
        </w:tc>
      </w:tr>
    </w:tbl>
    <w:p>
      <w:pPr>
        <w:spacing w:after="0" w:line="216" w:lineRule="exact"/>
        <w:rPr>
          <w:sz w:val="20"/>
          <w:szCs w:val="20"/>
          <w:color w:val="auto"/>
        </w:rPr>
      </w:pPr>
    </w:p>
    <w:p>
      <w:pPr>
        <w:ind w:firstLine="1598"/>
        <w:spacing w:after="0" w:line="284"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color w:val="auto"/>
        </w:rPr>
        <w:t>Purpose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39" w:lineRule="exact"/>
        <w:rPr>
          <w:sz w:val="20"/>
          <w:szCs w:val="20"/>
          <w:color w:val="auto"/>
        </w:rPr>
      </w:pPr>
    </w:p>
    <w:p>
      <w:pPr>
        <w:ind w:right="640" w:firstLine="1598"/>
        <w:spacing w:after="0" w:line="25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color w:val="auto"/>
        </w:rPr>
        <w:t>Term of Plan.</w:t>
      </w:r>
      <w:r>
        <w:rPr>
          <w:rFonts w:ascii="Arial" w:cs="Arial" w:eastAsia="Arial" w:hAnsi="Arial"/>
          <w:sz w:val="22"/>
          <w:szCs w:val="22"/>
          <w:color w:val="auto"/>
        </w:rPr>
        <w:t xml:space="preserve"> The Plan shall continue in effect until its termination by the Committee; provided, however, that all Awards shall be granted, if at all, within ten (10) years from the Effective Date.</w:t>
      </w:r>
    </w:p>
    <w:p>
      <w:pPr>
        <w:spacing w:after="0" w:line="163" w:lineRule="exact"/>
        <w:rPr>
          <w:sz w:val="20"/>
          <w:szCs w:val="20"/>
          <w:color w:val="auto"/>
        </w:rPr>
      </w:pPr>
    </w:p>
    <w:p>
      <w:pPr>
        <w:ind w:left="1500" w:hanging="693"/>
        <w:spacing w:after="0"/>
        <w:tabs>
          <w:tab w:leader="none" w:pos="1500"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D</w:t>
      </w:r>
      <w:r>
        <w:rPr>
          <w:rFonts w:ascii="Arial" w:cs="Arial" w:eastAsia="Arial" w:hAnsi="Arial"/>
          <w:sz w:val="18"/>
          <w:szCs w:val="18"/>
          <w:b w:val="1"/>
          <w:bCs w:val="1"/>
          <w:u w:val="single" w:color="auto"/>
          <w:color w:val="auto"/>
        </w:rPr>
        <w:t>EFINITIONS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ONSTRUCTION</w:t>
      </w:r>
      <w:r>
        <w:rPr>
          <w:rFonts w:ascii="Arial" w:cs="Arial" w:eastAsia="Arial" w:hAnsi="Arial"/>
          <w:sz w:val="22"/>
          <w:szCs w:val="22"/>
          <w:b w:val="1"/>
          <w:bCs w:val="1"/>
          <w:color w:val="auto"/>
        </w:rPr>
        <w:t>.</w:t>
      </w:r>
    </w:p>
    <w:p>
      <w:pPr>
        <w:spacing w:after="0" w:line="206" w:lineRule="exact"/>
        <w:rPr>
          <w:sz w:val="20"/>
          <w:szCs w:val="20"/>
          <w:color w:val="auto"/>
        </w:rPr>
      </w:pPr>
    </w:p>
    <w:p>
      <w:pPr>
        <w:ind w:left="1600"/>
        <w:spacing w:after="0"/>
        <w:tabs>
          <w:tab w:leader="none" w:pos="23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 xml:space="preserve">Definitions. </w:t>
      </w:r>
      <w:r>
        <w:rPr>
          <w:rFonts w:ascii="Arial" w:cs="Arial" w:eastAsia="Arial" w:hAnsi="Arial"/>
          <w:sz w:val="19"/>
          <w:szCs w:val="19"/>
          <w:color w:val="auto"/>
        </w:rPr>
        <w:t>Whenever used herein, the following terms shall have their respective meanings set forth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ind w:right="180" w:firstLine="2404"/>
        <w:spacing w:after="0" w:line="236" w:lineRule="auto"/>
        <w:tabs>
          <w:tab w:leader="none" w:pos="29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i w:val="1"/>
          <w:iCs w:val="1"/>
          <w:color w:val="auto"/>
        </w:rPr>
        <w:t xml:space="preserve">” </w:t>
      </w:r>
      <w:r>
        <w:rPr>
          <w:rFonts w:ascii="Arial" w:cs="Arial" w:eastAsia="Arial" w:hAnsi="Arial"/>
          <w:sz w:val="22"/>
          <w:szCs w:val="22"/>
          <w:color w:val="auto"/>
        </w:rPr>
        <w:t>means (i) a parent entity, other than a Parent Corporation, that directly, or indirectly</w:t>
      </w:r>
      <w:r>
        <w:rPr>
          <w:rFonts w:ascii="Arial" w:cs="Arial" w:eastAsia="Arial" w:hAnsi="Arial"/>
          <w:sz w:val="22"/>
          <w:szCs w:val="22"/>
          <w:i w:val="1"/>
          <w:iCs w:val="1"/>
          <w:color w:val="auto"/>
        </w:rPr>
        <w:t xml:space="preserve"> </w:t>
      </w:r>
      <w:r>
        <w:rPr>
          <w:rFonts w:ascii="Arial" w:cs="Arial" w:eastAsia="Arial" w:hAnsi="Arial"/>
          <w:sz w:val="22"/>
          <w:szCs w:val="22"/>
          <w:color w:val="auto"/>
        </w:rPr>
        <w:t>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such terms for the purposes of registration of securities on Form S-8 under the Securities Act.</w:t>
      </w:r>
    </w:p>
    <w:p>
      <w:pPr>
        <w:spacing w:after="0" w:line="187" w:lineRule="exact"/>
        <w:rPr>
          <w:rFonts w:ascii="Arial" w:cs="Arial" w:eastAsia="Arial" w:hAnsi="Arial"/>
          <w:sz w:val="22"/>
          <w:szCs w:val="22"/>
          <w:color w:val="auto"/>
        </w:rPr>
      </w:pPr>
    </w:p>
    <w:p>
      <w:pPr>
        <w:ind w:right="300" w:firstLine="2404"/>
        <w:spacing w:after="0"/>
        <w:tabs>
          <w:tab w:leader="none" w:pos="2972"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Option, Stock Appreciation Right, Restricted Stock Purchase Right,</w:t>
      </w:r>
      <w:r>
        <w:rPr>
          <w:rFonts w:ascii="Arial" w:cs="Arial" w:eastAsia="Arial" w:hAnsi="Arial"/>
          <w:sz w:val="22"/>
          <w:szCs w:val="22"/>
          <w:i w:val="1"/>
          <w:iCs w:val="1"/>
          <w:color w:val="auto"/>
        </w:rPr>
        <w:t xml:space="preserve"> </w:t>
      </w:r>
      <w:r>
        <w:rPr>
          <w:rFonts w:ascii="Arial" w:cs="Arial" w:eastAsia="Arial" w:hAnsi="Arial"/>
          <w:sz w:val="22"/>
          <w:szCs w:val="22"/>
          <w:color w:val="auto"/>
        </w:rPr>
        <w:t>Restricted Stock Bonus, Restricted Stock Unit, Performance Share, Performance Unit, Cash-Based Award or Other Stock-Based Award granted under the Plan.</w:t>
      </w:r>
    </w:p>
    <w:p>
      <w:pPr>
        <w:spacing w:after="0" w:line="186" w:lineRule="exact"/>
        <w:rPr>
          <w:rFonts w:ascii="Arial" w:cs="Arial" w:eastAsia="Arial" w:hAnsi="Arial"/>
          <w:sz w:val="22"/>
          <w:szCs w:val="22"/>
          <w:color w:val="auto"/>
        </w:rPr>
      </w:pPr>
    </w:p>
    <w:p>
      <w:pPr>
        <w:ind w:right="580" w:firstLine="2404"/>
        <w:spacing w:after="0" w:line="251" w:lineRule="auto"/>
        <w:tabs>
          <w:tab w:leader="none" w:pos="296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written or electronic agreement between the Company and a</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 setting forth the terms, conditions and restrictions applicable to an Award.</w:t>
      </w:r>
    </w:p>
    <w:p>
      <w:pPr>
        <w:spacing w:after="0" w:line="173" w:lineRule="exact"/>
        <w:rPr>
          <w:rFonts w:ascii="Arial" w:cs="Arial" w:eastAsia="Arial" w:hAnsi="Arial"/>
          <w:sz w:val="22"/>
          <w:szCs w:val="22"/>
          <w:color w:val="auto"/>
        </w:rPr>
      </w:pPr>
    </w:p>
    <w:p>
      <w:pPr>
        <w:ind w:left="2980" w:hanging="576"/>
        <w:spacing w:after="0"/>
        <w:tabs>
          <w:tab w:leader="none" w:pos="298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Board of Directors of the Company.</w:t>
      </w:r>
    </w:p>
    <w:p>
      <w:pPr>
        <w:spacing w:after="0" w:line="206" w:lineRule="exact"/>
        <w:rPr>
          <w:rFonts w:ascii="Arial" w:cs="Arial" w:eastAsia="Arial" w:hAnsi="Arial"/>
          <w:sz w:val="22"/>
          <w:szCs w:val="22"/>
          <w:color w:val="auto"/>
        </w:rPr>
      </w:pPr>
    </w:p>
    <w:p>
      <w:pPr>
        <w:ind w:left="5540" w:right="80" w:hanging="3136"/>
        <w:spacing w:after="0" w:line="392" w:lineRule="auto"/>
        <w:tabs>
          <w:tab w:leader="none" w:pos="2962"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Cash-Based 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Award denominated in cash and granted pursuant to Section 11.</w:t>
      </w:r>
      <w:r>
        <w:rPr>
          <w:rFonts w:ascii="Arial" w:cs="Arial" w:eastAsia="Arial" w:hAnsi="Arial"/>
          <w:sz w:val="22"/>
          <w:szCs w:val="22"/>
          <w:i w:val="1"/>
          <w:iCs w:val="1"/>
          <w:color w:val="auto"/>
        </w:rPr>
        <w:t xml:space="preserve"> </w:t>
      </w:r>
      <w:r>
        <w:rPr>
          <w:rFonts w:ascii="Arial" w:cs="Arial" w:eastAsia="Arial" w:hAnsi="Arial"/>
          <w:sz w:val="22"/>
          <w:szCs w:val="22"/>
          <w:color w:val="auto"/>
        </w:rPr>
        <w:t>A-1</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980" w:hanging="576"/>
        <w:spacing w:after="0"/>
        <w:tabs>
          <w:tab w:leader="none" w:pos="2980" w:val="left"/>
        </w:tabs>
        <w:numPr>
          <w:ilvl w:val="1"/>
          <w:numId w:val="65"/>
        </w:numPr>
        <w:rPr>
          <w:rFonts w:ascii="Arial" w:cs="Arial" w:eastAsia="Arial" w:hAnsi="Arial"/>
          <w:sz w:val="22"/>
          <w:szCs w:val="22"/>
          <w:i w:val="1"/>
          <w:iCs w:val="1"/>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Cashless Exercise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Cashless Exercise as defined in Section 6.3(b)(i).</w:t>
      </w:r>
    </w:p>
    <w:p>
      <w:pPr>
        <w:spacing w:after="0" w:line="206" w:lineRule="exact"/>
        <w:rPr>
          <w:rFonts w:ascii="Arial" w:cs="Arial" w:eastAsia="Arial" w:hAnsi="Arial"/>
          <w:sz w:val="22"/>
          <w:szCs w:val="22"/>
          <w:i w:val="1"/>
          <w:iCs w:val="1"/>
          <w:color w:val="auto"/>
        </w:rPr>
      </w:pPr>
    </w:p>
    <w:p>
      <w:pPr>
        <w:ind w:right="40" w:firstLine="2404"/>
        <w:spacing w:after="0" w:line="269" w:lineRule="auto"/>
        <w:tabs>
          <w:tab w:leader="none" w:pos="2972" w:val="left"/>
        </w:tabs>
        <w:numPr>
          <w:ilvl w:val="1"/>
          <w:numId w:val="6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i w:val="1"/>
          <w:iCs w:val="1"/>
          <w:color w:val="auto"/>
        </w:rPr>
        <w:t xml:space="preserve">” </w:t>
      </w:r>
      <w:r>
        <w:rPr>
          <w:rFonts w:ascii="Arial" w:cs="Arial" w:eastAsia="Arial" w:hAnsi="Arial"/>
          <w:sz w:val="19"/>
          <w:szCs w:val="19"/>
          <w:color w:val="auto"/>
        </w:rPr>
        <w:t>means, unless such term or an equivalent term is otherwise defined by the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Award Agreement or other written agreement between a Participant and a Participating Company applicable to an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to perform any reasonable assigned duties after written notice from a Participating Company of, and a reasonable opportunity to cure, such failure;</w:t>
      </w:r>
    </w:p>
    <w:p>
      <w:pPr>
        <w:ind w:right="80" w:firstLine="8"/>
        <w:spacing w:after="0" w:line="233" w:lineRule="auto"/>
        <w:tabs>
          <w:tab w:leader="none" w:pos="366"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of any criminal act involving fraud, dishonesty, misappropriation or moral turpitude, or which impairs the Participant’s ability to perform his or her duties with a Participating Company.</w:t>
      </w:r>
    </w:p>
    <w:p>
      <w:pPr>
        <w:spacing w:after="0" w:line="185" w:lineRule="exact"/>
        <w:rPr>
          <w:rFonts w:ascii="Arial" w:cs="Arial" w:eastAsia="Arial" w:hAnsi="Arial"/>
          <w:sz w:val="22"/>
          <w:szCs w:val="22"/>
          <w:color w:val="auto"/>
        </w:rPr>
      </w:pPr>
    </w:p>
    <w:p>
      <w:pPr>
        <w:ind w:left="2980" w:hanging="576"/>
        <w:spacing w:after="0"/>
        <w:tabs>
          <w:tab w:leader="none" w:pos="2980" w:val="left"/>
        </w:tabs>
        <w:numPr>
          <w:ilvl w:val="1"/>
          <w:numId w:val="66"/>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Change in Control</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occurrence of any one or a combination of the following:</w:t>
      </w:r>
    </w:p>
    <w:p>
      <w:pPr>
        <w:spacing w:after="0" w:line="217" w:lineRule="exact"/>
        <w:rPr>
          <w:rFonts w:ascii="Arial" w:cs="Arial" w:eastAsia="Arial" w:hAnsi="Arial"/>
          <w:sz w:val="21"/>
          <w:szCs w:val="21"/>
          <w:color w:val="auto"/>
        </w:rPr>
      </w:pPr>
    </w:p>
    <w:p>
      <w:pPr>
        <w:ind w:right="40" w:firstLine="3089"/>
        <w:spacing w:after="0" w:line="270" w:lineRule="auto"/>
        <w:tabs>
          <w:tab w:leader="none" w:pos="3717" w:val="left"/>
        </w:tabs>
        <w:numPr>
          <w:ilvl w:val="2"/>
          <w:numId w:val="66"/>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w:t>
      </w:r>
    </w:p>
    <w:p>
      <w:pPr>
        <w:spacing w:after="0" w:line="1" w:lineRule="exact"/>
        <w:rPr>
          <w:rFonts w:ascii="Arial" w:cs="Arial" w:eastAsia="Arial" w:hAnsi="Arial"/>
          <w:sz w:val="19"/>
          <w:szCs w:val="19"/>
          <w:color w:val="auto"/>
        </w:rPr>
      </w:pPr>
    </w:p>
    <w:p>
      <w:pPr>
        <w:ind w:right="60"/>
        <w:spacing w:after="0" w:line="280" w:lineRule="auto"/>
        <w:rPr>
          <w:rFonts w:ascii="Arial" w:cs="Arial" w:eastAsia="Arial" w:hAnsi="Arial"/>
          <w:sz w:val="19"/>
          <w:szCs w:val="19"/>
          <w:color w:val="auto"/>
        </w:rPr>
      </w:pPr>
      <w:r>
        <w:rPr>
          <w:rFonts w:ascii="Arial" w:cs="Arial" w:eastAsia="Arial" w:hAnsi="Arial"/>
          <w:sz w:val="19"/>
          <w:szCs w:val="19"/>
          <w:color w:val="auto"/>
        </w:rPr>
        <w:t>(B)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50" w:lineRule="exact"/>
        <w:rPr>
          <w:rFonts w:ascii="Arial" w:cs="Arial" w:eastAsia="Arial" w:hAnsi="Arial"/>
          <w:sz w:val="19"/>
          <w:szCs w:val="19"/>
          <w:color w:val="auto"/>
        </w:rPr>
      </w:pPr>
    </w:p>
    <w:p>
      <w:pPr>
        <w:ind w:firstLine="3089"/>
        <w:spacing w:after="0" w:line="282" w:lineRule="auto"/>
        <w:tabs>
          <w:tab w:leader="none" w:pos="3723" w:val="left"/>
        </w:tabs>
        <w:numPr>
          <w:ilvl w:val="2"/>
          <w:numId w:val="66"/>
        </w:numPr>
        <w:rPr>
          <w:rFonts w:ascii="Arial" w:cs="Arial" w:eastAsia="Arial" w:hAnsi="Arial"/>
          <w:sz w:val="19"/>
          <w:szCs w:val="19"/>
          <w:color w:val="auto"/>
        </w:rPr>
      </w:pPr>
      <w:r>
        <w:rPr>
          <w:rFonts w:ascii="Arial" w:cs="Arial" w:eastAsia="Arial" w:hAnsi="Arial"/>
          <w:sz w:val="19"/>
          <w:szCs w:val="19"/>
          <w:color w:val="auto"/>
        </w:rPr>
        <w:t xml:space="preserve">an Ownership Change Event or series of related Ownership Change Events (collectively,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Transaction</w:t>
      </w:r>
      <w:r>
        <w:rPr>
          <w:rFonts w:ascii="Arial" w:cs="Arial" w:eastAsia="Arial" w:hAnsi="Arial"/>
          <w:sz w:val="19"/>
          <w:szCs w:val="19"/>
          <w:i w:val="1"/>
          <w:iCs w:val="1"/>
          <w:color w:val="auto"/>
        </w:rPr>
        <w:t>”</w:t>
      </w:r>
      <w:r>
        <w:rPr>
          <w:rFonts w:ascii="Arial" w:cs="Arial" w:eastAsia="Arial" w:hAnsi="Arial"/>
          <w:sz w:val="19"/>
          <w:szCs w:val="19"/>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Transferee</w:t>
      </w:r>
      <w:r>
        <w:rPr>
          <w:rFonts w:ascii="Arial" w:cs="Arial" w:eastAsia="Arial" w:hAnsi="Arial"/>
          <w:sz w:val="19"/>
          <w:szCs w:val="19"/>
          <w:i w:val="1"/>
          <w:iCs w:val="1"/>
          <w:color w:val="auto"/>
        </w:rPr>
        <w:t>”</w:t>
      </w:r>
      <w:r>
        <w:rPr>
          <w:rFonts w:ascii="Arial" w:cs="Arial" w:eastAsia="Arial" w:hAnsi="Arial"/>
          <w:sz w:val="19"/>
          <w:szCs w:val="19"/>
          <w:color w:val="auto"/>
        </w:rPr>
        <w:t>), as the case may be; or</w:t>
      </w:r>
    </w:p>
    <w:p>
      <w:pPr>
        <w:spacing w:after="0" w:line="147" w:lineRule="exact"/>
        <w:rPr>
          <w:rFonts w:ascii="Arial" w:cs="Arial" w:eastAsia="Arial" w:hAnsi="Arial"/>
          <w:sz w:val="19"/>
          <w:szCs w:val="19"/>
          <w:color w:val="auto"/>
        </w:rPr>
      </w:pPr>
    </w:p>
    <w:p>
      <w:pPr>
        <w:ind w:right="240" w:firstLine="3089"/>
        <w:spacing w:after="0" w:line="251" w:lineRule="auto"/>
        <w:tabs>
          <w:tab w:leader="none" w:pos="3729" w:val="left"/>
        </w:tabs>
        <w:numPr>
          <w:ilvl w:val="2"/>
          <w:numId w:val="66"/>
        </w:numPr>
        <w:rPr>
          <w:rFonts w:ascii="Arial" w:cs="Arial" w:eastAsia="Arial" w:hAnsi="Arial"/>
          <w:sz w:val="22"/>
          <w:szCs w:val="22"/>
          <w:color w:val="auto"/>
        </w:rPr>
      </w:pPr>
      <w:r>
        <w:rPr>
          <w:rFonts w:ascii="Arial" w:cs="Arial" w:eastAsia="Arial" w:hAnsi="Arial"/>
          <w:sz w:val="22"/>
          <w:szCs w:val="22"/>
          <w:color w:val="auto"/>
        </w:rPr>
        <w:t>a date specified by the Committee following approval by the stockholders of a plan of complete liquidation or dissolution of the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799"/>
        <w:spacing w:after="0" w:line="282" w:lineRule="auto"/>
        <w:rPr>
          <w:sz w:val="20"/>
          <w:szCs w:val="20"/>
          <w:color w:val="auto"/>
        </w:rPr>
      </w:pPr>
      <w:r>
        <w:rPr>
          <w:rFonts w:ascii="Arial" w:cs="Arial" w:eastAsia="Arial" w:hAnsi="Arial"/>
          <w:sz w:val="19"/>
          <w:szCs w:val="19"/>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148" w:lineRule="exact"/>
        <w:rPr>
          <w:sz w:val="20"/>
          <w:szCs w:val="20"/>
          <w:color w:val="auto"/>
        </w:rPr>
      </w:pPr>
    </w:p>
    <w:p>
      <w:pPr>
        <w:ind w:right="60" w:firstLine="2404"/>
        <w:spacing w:after="0" w:line="251" w:lineRule="auto"/>
        <w:tabs>
          <w:tab w:leader="none" w:pos="3032" w:val="left"/>
        </w:tabs>
        <w:numPr>
          <w:ilvl w:val="1"/>
          <w:numId w:val="6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Internal Revenue Code of 1986, as amended, and any applicable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administrative guidelines promulgated thereunder.</w:t>
      </w:r>
    </w:p>
    <w:p>
      <w:pPr>
        <w:spacing w:after="0" w:line="173" w:lineRule="exact"/>
        <w:rPr>
          <w:rFonts w:ascii="Arial" w:cs="Arial" w:eastAsia="Arial" w:hAnsi="Arial"/>
          <w:sz w:val="22"/>
          <w:szCs w:val="22"/>
          <w:color w:val="auto"/>
        </w:rPr>
      </w:pPr>
    </w:p>
    <w:p>
      <w:pPr>
        <w:ind w:right="80" w:firstLine="2404"/>
        <w:spacing w:after="0" w:line="236" w:lineRule="auto"/>
        <w:tabs>
          <w:tab w:leader="none" w:pos="3032" w:val="left"/>
        </w:tabs>
        <w:numPr>
          <w:ilvl w:val="1"/>
          <w:numId w:val="6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Compensation Committee and such other committee or subcommittee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87" w:lineRule="exact"/>
        <w:rPr>
          <w:rFonts w:ascii="Arial" w:cs="Arial" w:eastAsia="Arial" w:hAnsi="Arial"/>
          <w:sz w:val="22"/>
          <w:szCs w:val="22"/>
          <w:color w:val="auto"/>
        </w:rPr>
      </w:pPr>
    </w:p>
    <w:p>
      <w:pPr>
        <w:ind w:left="3040" w:hanging="636"/>
        <w:spacing w:after="0"/>
        <w:tabs>
          <w:tab w:leader="none" w:pos="3040" w:val="left"/>
        </w:tabs>
        <w:numPr>
          <w:ilvl w:val="1"/>
          <w:numId w:val="67"/>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i w:val="1"/>
          <w:iCs w:val="1"/>
          <w:color w:val="auto"/>
        </w:rPr>
        <w:t xml:space="preserve">” </w:t>
      </w:r>
      <w:r>
        <w:rPr>
          <w:rFonts w:ascii="Arial" w:cs="Arial" w:eastAsia="Arial" w:hAnsi="Arial"/>
          <w:sz w:val="19"/>
          <w:szCs w:val="19"/>
          <w:color w:val="auto"/>
        </w:rPr>
        <w:t>means Grand Canyon Education, Inc., a Delaware corporation, and any successor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corporation thereto.</w:t>
      </w:r>
    </w:p>
    <w:p>
      <w:pPr>
        <w:spacing w:after="0" w:line="188" w:lineRule="exact"/>
        <w:rPr>
          <w:rFonts w:ascii="Arial" w:cs="Arial" w:eastAsia="Arial" w:hAnsi="Arial"/>
          <w:sz w:val="19"/>
          <w:szCs w:val="19"/>
          <w:color w:val="auto"/>
        </w:rPr>
      </w:pPr>
    </w:p>
    <w:p>
      <w:pPr>
        <w:jc w:val="both"/>
        <w:ind w:right="20" w:firstLine="2404"/>
        <w:spacing w:after="0" w:line="252" w:lineRule="auto"/>
        <w:tabs>
          <w:tab w:leader="none" w:pos="3032" w:val="left"/>
        </w:tabs>
        <w:numPr>
          <w:ilvl w:val="1"/>
          <w:numId w:val="67"/>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person engaged to provide consulting or advisory services (other than as</w:t>
      </w:r>
      <w:r>
        <w:rPr>
          <w:rFonts w:ascii="Arial" w:cs="Arial" w:eastAsia="Arial" w:hAnsi="Arial"/>
          <w:sz w:val="21"/>
          <w:szCs w:val="21"/>
          <w:i w:val="1"/>
          <w:iCs w:val="1"/>
          <w:color w:val="auto"/>
        </w:rPr>
        <w:t xml:space="preserve"> </w:t>
      </w:r>
      <w:r>
        <w:rPr>
          <w:rFonts w:ascii="Arial" w:cs="Arial" w:eastAsia="Arial" w:hAnsi="Arial"/>
          <w:sz w:val="21"/>
          <w:szCs w:val="21"/>
          <w:color w:val="auto"/>
        </w:rPr>
        <w:t>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74" w:lineRule="exact"/>
        <w:rPr>
          <w:rFonts w:ascii="Arial" w:cs="Arial" w:eastAsia="Arial" w:hAnsi="Arial"/>
          <w:sz w:val="21"/>
          <w:szCs w:val="21"/>
          <w:color w:val="auto"/>
        </w:rPr>
      </w:pPr>
    </w:p>
    <w:p>
      <w:pPr>
        <w:ind w:firstLine="2404"/>
        <w:spacing w:after="0" w:line="271" w:lineRule="auto"/>
        <w:tabs>
          <w:tab w:leader="none" w:pos="3087" w:val="left"/>
        </w:tabs>
        <w:numPr>
          <w:ilvl w:val="1"/>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Employee</w:t>
      </w:r>
      <w:r>
        <w:rPr>
          <w:rFonts w:ascii="Arial" w:cs="Arial" w:eastAsia="Arial" w:hAnsi="Arial"/>
          <w:sz w:val="19"/>
          <w:szCs w:val="19"/>
          <w:i w:val="1"/>
          <w:iCs w:val="1"/>
          <w:color w:val="auto"/>
        </w:rPr>
        <w:t>”</w:t>
      </w:r>
      <w:r>
        <w:rPr>
          <w:rFonts w:ascii="Arial" w:cs="Arial" w:eastAsia="Arial" w:hAnsi="Arial"/>
          <w:sz w:val="19"/>
          <w:szCs w:val="19"/>
          <w:color w:val="auto"/>
        </w:rPr>
        <w:t xml:space="preserve"> means, at any time the Plan is subject to Section 162(m), any Employee who is or may reasonably be expected to become a “covered employee” as defined in Section 162(m), or any successor statute, and who, with respect to a Performance Award, is designated, either as an individual Employee or a member of a class of Employees, by the Committee no later than the earlier of (i) the date that is ninety (90) days after the beginning of the Performance Period, or</w:t>
      </w:r>
    </w:p>
    <w:p>
      <w:pPr>
        <w:spacing w:after="0" w:line="3" w:lineRule="exact"/>
        <w:rPr>
          <w:rFonts w:ascii="Arial" w:cs="Arial" w:eastAsia="Arial" w:hAnsi="Arial"/>
          <w:sz w:val="19"/>
          <w:szCs w:val="19"/>
          <w:color w:val="auto"/>
        </w:rPr>
      </w:pPr>
    </w:p>
    <w:p>
      <w:pPr>
        <w:ind w:right="100" w:firstLine="8"/>
        <w:spacing w:after="0" w:line="237" w:lineRule="auto"/>
        <w:tabs>
          <w:tab w:leader="none" w:pos="318"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date on which twenty-five percent (25%) of the Performance Period has elapsed, as a “Covered Employee” under this Plan for such applicable Performance Period.</w:t>
      </w:r>
    </w:p>
    <w:p>
      <w:pPr>
        <w:spacing w:after="0" w:line="184" w:lineRule="exact"/>
        <w:rPr>
          <w:rFonts w:ascii="Arial" w:cs="Arial" w:eastAsia="Arial" w:hAnsi="Arial"/>
          <w:sz w:val="22"/>
          <w:szCs w:val="22"/>
          <w:color w:val="auto"/>
        </w:rPr>
      </w:pPr>
    </w:p>
    <w:p>
      <w:pPr>
        <w:ind w:left="3040" w:hanging="636"/>
        <w:spacing w:after="0"/>
        <w:tabs>
          <w:tab w:leader="none" w:pos="3040" w:val="left"/>
        </w:tabs>
        <w:numPr>
          <w:ilvl w:val="1"/>
          <w:numId w:val="6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member of the Board.</w:t>
      </w:r>
    </w:p>
    <w:p>
      <w:pPr>
        <w:spacing w:after="0" w:line="206" w:lineRule="exact"/>
        <w:rPr>
          <w:rFonts w:ascii="Arial" w:cs="Arial" w:eastAsia="Arial" w:hAnsi="Arial"/>
          <w:sz w:val="22"/>
          <w:szCs w:val="22"/>
          <w:color w:val="auto"/>
        </w:rPr>
      </w:pPr>
    </w:p>
    <w:p>
      <w:pPr>
        <w:ind w:right="400" w:firstLine="2404"/>
        <w:spacing w:after="0" w:line="297" w:lineRule="auto"/>
        <w:tabs>
          <w:tab w:leader="none" w:pos="3026" w:val="left"/>
        </w:tabs>
        <w:numPr>
          <w:ilvl w:val="1"/>
          <w:numId w:val="68"/>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means, unless such term or an equivalent term is otherwise defined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Award Agreement or other written agreement between the Participant and a Participating Company applicable to an Award, the permanent and total disability of the Participant, within the meaning of Section 22(e)(3) of the Code.</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320" w:firstLine="2290"/>
        <w:spacing w:after="0" w:line="297" w:lineRule="auto"/>
        <w:tabs>
          <w:tab w:leader="none" w:pos="2913"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Dividend Equivalent Right</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right of a Participant, granted at the discretion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134" w:lineRule="exact"/>
        <w:rPr>
          <w:rFonts w:ascii="Arial" w:cs="Arial" w:eastAsia="Arial" w:hAnsi="Arial"/>
          <w:sz w:val="19"/>
          <w:szCs w:val="19"/>
          <w:color w:val="auto"/>
        </w:rPr>
      </w:pPr>
    </w:p>
    <w:p>
      <w:pPr>
        <w:ind w:firstLine="2290"/>
        <w:spacing w:after="0" w:line="245" w:lineRule="auto"/>
        <w:tabs>
          <w:tab w:leader="none" w:pos="2913" w:val="left"/>
        </w:tabs>
        <w:numPr>
          <w:ilvl w:val="0"/>
          <w:numId w:val="69"/>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Employee</w:t>
      </w:r>
      <w:r>
        <w:rPr>
          <w:rFonts w:ascii="Arial" w:cs="Arial" w:eastAsia="Arial" w:hAnsi="Arial"/>
          <w:sz w:val="21"/>
          <w:szCs w:val="21"/>
          <w:i w:val="1"/>
          <w:iCs w:val="1"/>
          <w:color w:val="auto"/>
        </w:rPr>
        <w:t xml:space="preserve">” </w:t>
      </w:r>
      <w:r>
        <w:rPr>
          <w:rFonts w:ascii="Arial" w:cs="Arial" w:eastAsia="Arial" w:hAnsi="Arial"/>
          <w:sz w:val="21"/>
          <w:szCs w:val="21"/>
          <w:color w:val="auto"/>
        </w:rPr>
        <w:t>means any person treated as an employee (including an Officer or a Director who is</w:t>
      </w:r>
      <w:r>
        <w:rPr>
          <w:rFonts w:ascii="Arial" w:cs="Arial" w:eastAsia="Arial" w:hAnsi="Arial"/>
          <w:sz w:val="21"/>
          <w:szCs w:val="21"/>
          <w:i w:val="1"/>
          <w:iCs w:val="1"/>
          <w:color w:val="auto"/>
        </w:rPr>
        <w:t xml:space="preserve"> </w:t>
      </w:r>
      <w:r>
        <w:rPr>
          <w:rFonts w:ascii="Arial" w:cs="Arial" w:eastAsia="Arial" w:hAnsi="Arial"/>
          <w:sz w:val="21"/>
          <w:szCs w:val="21"/>
          <w:color w:val="auto"/>
        </w:rPr>
        <w:t>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81" w:lineRule="exact"/>
        <w:rPr>
          <w:rFonts w:ascii="Arial" w:cs="Arial" w:eastAsia="Arial" w:hAnsi="Arial"/>
          <w:sz w:val="21"/>
          <w:szCs w:val="21"/>
          <w:color w:val="auto"/>
        </w:rPr>
      </w:pPr>
    </w:p>
    <w:p>
      <w:pPr>
        <w:ind w:left="2880" w:hanging="590"/>
        <w:spacing w:after="0"/>
        <w:tabs>
          <w:tab w:leader="none" w:pos="2880"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Exchange Act of 1934, as amended.</w:t>
      </w:r>
    </w:p>
    <w:p>
      <w:pPr>
        <w:spacing w:after="0" w:line="206" w:lineRule="exact"/>
        <w:rPr>
          <w:rFonts w:ascii="Arial" w:cs="Arial" w:eastAsia="Arial" w:hAnsi="Arial"/>
          <w:sz w:val="22"/>
          <w:szCs w:val="22"/>
          <w:color w:val="auto"/>
        </w:rPr>
      </w:pPr>
    </w:p>
    <w:p>
      <w:pPr>
        <w:ind w:right="140" w:firstLine="2290"/>
        <w:spacing w:after="0"/>
        <w:tabs>
          <w:tab w:leader="none" w:pos="2888"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as of any date, the value of a share of Stock or other property as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by the Committee, in its discretion, or by the Company, in its discretion, if such determination is expressly allocated to the Company herein, subject to the following:</w:t>
      </w:r>
    </w:p>
    <w:p>
      <w:pPr>
        <w:spacing w:after="0" w:line="186" w:lineRule="exact"/>
        <w:rPr>
          <w:rFonts w:ascii="Arial" w:cs="Arial" w:eastAsia="Arial" w:hAnsi="Arial"/>
          <w:sz w:val="22"/>
          <w:szCs w:val="22"/>
          <w:color w:val="auto"/>
        </w:rPr>
      </w:pPr>
    </w:p>
    <w:p>
      <w:pPr>
        <w:ind w:right="260" w:firstLine="2861"/>
        <w:spacing w:after="0" w:line="277" w:lineRule="auto"/>
        <w:tabs>
          <w:tab w:leader="none" w:pos="3489"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52" w:lineRule="exact"/>
        <w:rPr>
          <w:rFonts w:ascii="Arial" w:cs="Arial" w:eastAsia="Arial" w:hAnsi="Arial"/>
          <w:sz w:val="19"/>
          <w:szCs w:val="19"/>
          <w:color w:val="auto"/>
        </w:rPr>
      </w:pPr>
    </w:p>
    <w:p>
      <w:pPr>
        <w:ind w:right="80" w:firstLine="2861"/>
        <w:spacing w:after="0" w:line="274" w:lineRule="auto"/>
        <w:tabs>
          <w:tab w:leader="none" w:pos="3495" w:val="left"/>
        </w:tabs>
        <w:numPr>
          <w:ilvl w:val="1"/>
          <w:numId w:val="69"/>
        </w:numPr>
        <w:rPr>
          <w:rFonts w:ascii="Arial" w:cs="Arial" w:eastAsia="Arial" w:hAnsi="Arial"/>
          <w:sz w:val="19"/>
          <w:szCs w:val="19"/>
          <w:color w:val="auto"/>
        </w:rPr>
      </w:pPr>
      <w:r>
        <w:rPr>
          <w:rFonts w:ascii="Arial" w:cs="Arial" w:eastAsia="Arial" w:hAnsi="Arial"/>
          <w:sz w:val="19"/>
          <w:szCs w:val="19"/>
          <w:color w:val="auto"/>
        </w:rPr>
        <w:t>Notwithstanding the foregoing, 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The Committee may vary its method of determination of the Fair Market Value as provided in this Section for different purposes under the Plan to the extent consistent with the requirements of Section 409A.</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right="280" w:firstLine="2861"/>
        <w:spacing w:after="0" w:line="238" w:lineRule="auto"/>
        <w:tabs>
          <w:tab w:leader="none" w:pos="3501"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260" w:firstLine="2290"/>
        <w:spacing w:after="0" w:line="238" w:lineRule="auto"/>
        <w:tabs>
          <w:tab w:leader="none" w:pos="2910"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Full Value 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Award settled in Stock, other than (i) an Option, (ii) a Stock</w:t>
      </w:r>
      <w:r>
        <w:rPr>
          <w:rFonts w:ascii="Arial" w:cs="Arial" w:eastAsia="Arial" w:hAnsi="Arial"/>
          <w:sz w:val="22"/>
          <w:szCs w:val="22"/>
          <w:i w:val="1"/>
          <w:iCs w:val="1"/>
          <w:color w:val="auto"/>
        </w:rPr>
        <w:t xml:space="preserve"> </w:t>
      </w:r>
      <w:r>
        <w:rPr>
          <w:rFonts w:ascii="Arial" w:cs="Arial" w:eastAsia="Arial" w:hAnsi="Arial"/>
          <w:sz w:val="22"/>
          <w:szCs w:val="22"/>
          <w:color w:val="auto"/>
        </w:rPr>
        <w:t>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185" w:lineRule="exact"/>
        <w:rPr>
          <w:rFonts w:ascii="Arial" w:cs="Arial" w:eastAsia="Arial" w:hAnsi="Arial"/>
          <w:sz w:val="22"/>
          <w:szCs w:val="22"/>
          <w:color w:val="auto"/>
        </w:rPr>
      </w:pPr>
    </w:p>
    <w:p>
      <w:pPr>
        <w:ind w:firstLine="2290"/>
        <w:spacing w:after="0" w:line="272" w:lineRule="auto"/>
        <w:tabs>
          <w:tab w:leader="none" w:pos="2913"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i w:val="1"/>
          <w:iCs w:val="1"/>
          <w:color w:val="auto"/>
        </w:rPr>
        <w:t xml:space="preserve">” </w:t>
      </w:r>
      <w:r>
        <w:rPr>
          <w:rFonts w:ascii="Arial" w:cs="Arial" w:eastAsia="Arial" w:hAnsi="Arial"/>
          <w:sz w:val="19"/>
          <w:szCs w:val="19"/>
          <w:color w:val="auto"/>
        </w:rPr>
        <w:t>means, unless such term or an equivalent term is otherwise defined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Award Agreement or other written agreement between a Participant and a Participating Company applicable to an Award, any of the following with respect to a particular Participant without the Participant’s informed written consent: (i) a material diminution of the Participant’s authority, duties or responsibilities causing the Participant’s authority, duties or responsibilities to be of materially lesser rank within the Company or an equivalent business unit of its parent, as measured against the Participant’s authority, duties and responsibilities immediately prior to such diminution; (ii) a material reduction by the Company of the Participant’s base salary or annual bonus opportunity, other than any such material reduction that occurs in connection with a reduction that is imposed on all Participants at the time of such reduction; (iii) the relocation of the Participant’s work place for the Company to a location that increases the Participant’s regular one-way commute distance between the Participant’s residence and work place by more than thirty-five (35) miles. The existence of Good Reason shall not be affected by the Participant’s temporary incapacity due to physical or mental illness not constituting a Disability. The Participant’s continued employment for a period not exceeding six (6) months following the initial occurrence of any condition constituting Good Reason shall not constitute consent to, or a waiver of rights with respect to, such condition.</w:t>
      </w:r>
    </w:p>
    <w:p>
      <w:pPr>
        <w:spacing w:after="0" w:line="157" w:lineRule="exact"/>
        <w:rPr>
          <w:rFonts w:ascii="Arial" w:cs="Arial" w:eastAsia="Arial" w:hAnsi="Arial"/>
          <w:sz w:val="19"/>
          <w:szCs w:val="19"/>
          <w:color w:val="auto"/>
        </w:rPr>
      </w:pPr>
    </w:p>
    <w:p>
      <w:pPr>
        <w:ind w:right="60" w:firstLine="2290"/>
        <w:spacing w:after="0" w:line="251" w:lineRule="auto"/>
        <w:tabs>
          <w:tab w:leader="none" w:pos="2958"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Option intended to be (as set forth in the Award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and which qualifies as an incentive stock option within the meaning of Section 422(b) of the Code.</w:t>
      </w:r>
    </w:p>
    <w:p>
      <w:pPr>
        <w:spacing w:after="0" w:line="173" w:lineRule="exact"/>
        <w:rPr>
          <w:rFonts w:ascii="Arial" w:cs="Arial" w:eastAsia="Arial" w:hAnsi="Arial"/>
          <w:sz w:val="22"/>
          <w:szCs w:val="22"/>
          <w:color w:val="auto"/>
        </w:rPr>
      </w:pPr>
    </w:p>
    <w:p>
      <w:pPr>
        <w:ind w:right="620" w:firstLine="2290"/>
        <w:spacing w:after="0" w:line="287" w:lineRule="auto"/>
        <w:tabs>
          <w:tab w:leader="none" w:pos="2960"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Incumbent Director</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director who either (i) is a member of the Board as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920" w:hanging="630"/>
        <w:spacing w:after="0"/>
        <w:tabs>
          <w:tab w:leader="none" w:pos="2920" w:val="left"/>
        </w:tabs>
        <w:numPr>
          <w:ilvl w:val="1"/>
          <w:numId w:val="7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Insider</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Officer, a Director or other person whose transactions in Stock are subject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16 of the Exchange Act.</w:t>
      </w:r>
    </w:p>
    <w:p>
      <w:pPr>
        <w:spacing w:after="0" w:line="188" w:lineRule="exact"/>
        <w:rPr>
          <w:rFonts w:ascii="Arial" w:cs="Arial" w:eastAsia="Arial" w:hAnsi="Arial"/>
          <w:sz w:val="19"/>
          <w:szCs w:val="19"/>
          <w:color w:val="auto"/>
        </w:rPr>
      </w:pPr>
    </w:p>
    <w:p>
      <w:pPr>
        <w:ind w:right="140" w:firstLine="2290"/>
        <w:spacing w:after="0" w:line="270" w:lineRule="auto"/>
        <w:tabs>
          <w:tab w:leader="none" w:pos="2913" w:val="left"/>
        </w:tabs>
        <w:numPr>
          <w:ilvl w:val="1"/>
          <w:numId w:val="7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Involuntary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means as to a particular Participant, the occurrence of any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upon or within a period of time established by the Committee (not exceeding twenty-four (24) months) following a Change in Control: (i) the Participant’s Service is terminated without Cause or (ii) the Participant terminates his or her Service for Good Reason; provided the Participant has given the Company written notice of the existence of a condition constituting Good Reason within sixty (60) days following the initial occurrence of such condition, the Company fails to remedy such condition within thirty (30) days following such written notice, and the Participant’s resignation from Service is effective no later than six</w:t>
      </w:r>
    </w:p>
    <w:p>
      <w:pPr>
        <w:spacing w:after="0" w:line="1" w:lineRule="exact"/>
        <w:rPr>
          <w:rFonts w:ascii="Arial" w:cs="Arial" w:eastAsia="Arial" w:hAnsi="Arial"/>
          <w:sz w:val="19"/>
          <w:szCs w:val="19"/>
          <w:color w:val="auto"/>
        </w:rPr>
      </w:pPr>
    </w:p>
    <w:p>
      <w:pPr>
        <w:ind w:right="240" w:firstLine="8"/>
        <w:spacing w:after="0" w:line="234" w:lineRule="auto"/>
        <w:tabs>
          <w:tab w:leader="none" w:pos="306" w:val="left"/>
        </w:tabs>
        <w:numPr>
          <w:ilvl w:val="0"/>
          <w:numId w:val="72"/>
        </w:numPr>
        <w:rPr>
          <w:rFonts w:ascii="Arial" w:cs="Arial" w:eastAsia="Arial" w:hAnsi="Arial"/>
          <w:sz w:val="22"/>
          <w:szCs w:val="22"/>
          <w:color w:val="auto"/>
        </w:rPr>
      </w:pPr>
      <w:r>
        <w:rPr>
          <w:rFonts w:ascii="Arial" w:cs="Arial" w:eastAsia="Arial" w:hAnsi="Arial"/>
          <w:sz w:val="22"/>
          <w:szCs w:val="22"/>
          <w:color w:val="auto"/>
        </w:rPr>
        <w:t>months following the initial occurrence of such condition. Involuntary Termination shall not include any termination of the Participant’s Service which is (i) for Cause, (ii) a result of the Participant’s death or Disability, or (iii) a result of the Participant’s voluntary termination of Service other than for Good Reason.</w:t>
      </w:r>
    </w:p>
    <w:p>
      <w:pPr>
        <w:spacing w:after="0" w:line="187" w:lineRule="exact"/>
        <w:rPr>
          <w:rFonts w:ascii="Arial" w:cs="Arial" w:eastAsia="Arial" w:hAnsi="Arial"/>
          <w:sz w:val="22"/>
          <w:szCs w:val="22"/>
          <w:color w:val="auto"/>
        </w:rPr>
      </w:pPr>
    </w:p>
    <w:p>
      <w:pPr>
        <w:ind w:left="2900" w:hanging="610"/>
        <w:spacing w:after="0"/>
        <w:tabs>
          <w:tab w:leader="none" w:pos="2900"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Net Exercise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Net Exercise as defined in Section 6.3(b)(iii).</w:t>
      </w:r>
    </w:p>
    <w:p>
      <w:pPr>
        <w:spacing w:after="0" w:line="206" w:lineRule="exact"/>
        <w:rPr>
          <w:sz w:val="20"/>
          <w:szCs w:val="20"/>
          <w:color w:val="auto"/>
        </w:rPr>
      </w:pPr>
    </w:p>
    <w:p>
      <w:pPr>
        <w:ind w:left="2900" w:hanging="610"/>
        <w:spacing w:after="0"/>
        <w:tabs>
          <w:tab w:leader="none" w:pos="2900"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Nonemployee Director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Director who is not an Employee.</w:t>
      </w:r>
    </w:p>
    <w:p>
      <w:pPr>
        <w:spacing w:after="0" w:line="206" w:lineRule="exact"/>
        <w:rPr>
          <w:rFonts w:ascii="Arial" w:cs="Arial" w:eastAsia="Arial" w:hAnsi="Arial"/>
          <w:sz w:val="22"/>
          <w:szCs w:val="22"/>
          <w:color w:val="auto"/>
        </w:rPr>
      </w:pPr>
    </w:p>
    <w:p>
      <w:pPr>
        <w:ind w:left="2920" w:hanging="630"/>
        <w:spacing w:after="0"/>
        <w:tabs>
          <w:tab w:leader="none" w:pos="2920"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Nonemployee Director Award</w:t>
      </w:r>
      <w:r>
        <w:rPr>
          <w:rFonts w:ascii="Arial" w:cs="Arial" w:eastAsia="Arial" w:hAnsi="Arial"/>
          <w:sz w:val="21"/>
          <w:szCs w:val="21"/>
          <w:i w:val="1"/>
          <w:iCs w:val="1"/>
          <w:color w:val="auto"/>
        </w:rPr>
        <w:t xml:space="preserve">” </w:t>
      </w:r>
      <w:r>
        <w:rPr>
          <w:rFonts w:ascii="Arial" w:cs="Arial" w:eastAsia="Arial" w:hAnsi="Arial"/>
          <w:sz w:val="21"/>
          <w:szCs w:val="21"/>
          <w:color w:val="auto"/>
        </w:rPr>
        <w:t>means any Award granted to a Nonemployee Director.</w:t>
      </w:r>
    </w:p>
    <w:p>
      <w:pPr>
        <w:spacing w:after="0" w:line="217" w:lineRule="exact"/>
        <w:rPr>
          <w:rFonts w:ascii="Arial" w:cs="Arial" w:eastAsia="Arial" w:hAnsi="Arial"/>
          <w:sz w:val="21"/>
          <w:szCs w:val="21"/>
          <w:color w:val="auto"/>
        </w:rPr>
      </w:pPr>
    </w:p>
    <w:p>
      <w:pPr>
        <w:ind w:right="500" w:firstLine="2290"/>
        <w:spacing w:after="0" w:line="328" w:lineRule="auto"/>
        <w:tabs>
          <w:tab w:leader="none" w:pos="2888"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Nonstatutory Stock Option</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Option not intended to be (as set forth in the Award</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or which does not qualify as an incentive stock option within the meaning of Section 422(b) of the Code.</w:t>
      </w:r>
    </w:p>
    <w:p>
      <w:pPr>
        <w:spacing w:after="0" w:line="105" w:lineRule="exact"/>
        <w:rPr>
          <w:rFonts w:ascii="Arial" w:cs="Arial" w:eastAsia="Arial" w:hAnsi="Arial"/>
          <w:sz w:val="19"/>
          <w:szCs w:val="19"/>
          <w:color w:val="auto"/>
        </w:rPr>
      </w:pPr>
    </w:p>
    <w:p>
      <w:pPr>
        <w:ind w:left="2920" w:hanging="630"/>
        <w:spacing w:after="0"/>
        <w:tabs>
          <w:tab w:leader="none" w:pos="2920"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person designated by the Board as an officer of the Company.</w:t>
      </w:r>
    </w:p>
    <w:p>
      <w:pPr>
        <w:spacing w:after="0" w:line="206" w:lineRule="exact"/>
        <w:rPr>
          <w:rFonts w:ascii="Arial" w:cs="Arial" w:eastAsia="Arial" w:hAnsi="Arial"/>
          <w:sz w:val="22"/>
          <w:szCs w:val="22"/>
          <w:color w:val="auto"/>
        </w:rPr>
      </w:pPr>
    </w:p>
    <w:p>
      <w:pPr>
        <w:ind w:left="2900" w:hanging="610"/>
        <w:spacing w:after="0"/>
        <w:tabs>
          <w:tab w:leader="none" w:pos="2900"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Incentive Stock Option or a Nonstatutory Stock Option granted pursuant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88" w:lineRule="exact"/>
        <w:rPr>
          <w:rFonts w:ascii="Arial" w:cs="Arial" w:eastAsia="Arial" w:hAnsi="Arial"/>
          <w:sz w:val="19"/>
          <w:szCs w:val="19"/>
          <w:color w:val="auto"/>
        </w:rPr>
      </w:pPr>
    </w:p>
    <w:p>
      <w:pPr>
        <w:ind w:left="2900" w:hanging="610"/>
        <w:spacing w:after="0"/>
        <w:tabs>
          <w:tab w:leader="none" w:pos="2900"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Other Stock-Based 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Award denominated in shares of Stock and granted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pursuant to Section 11.</w:t>
      </w:r>
    </w:p>
    <w:p>
      <w:pPr>
        <w:spacing w:after="0" w:line="188" w:lineRule="exact"/>
        <w:rPr>
          <w:rFonts w:ascii="Arial" w:cs="Arial" w:eastAsia="Arial" w:hAnsi="Arial"/>
          <w:sz w:val="19"/>
          <w:szCs w:val="19"/>
          <w:color w:val="auto"/>
        </w:rPr>
      </w:pPr>
    </w:p>
    <w:p>
      <w:pPr>
        <w:ind w:firstLine="2290"/>
        <w:spacing w:after="0" w:line="248" w:lineRule="auto"/>
        <w:tabs>
          <w:tab w:leader="none" w:pos="2913"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Ownership Change Event</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occurrence of any of the following with respect to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80" w:firstLine="2290"/>
        <w:spacing w:after="0" w:line="251" w:lineRule="auto"/>
        <w:tabs>
          <w:tab w:leader="none" w:pos="2913"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Parent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“parent corporation” of the Company,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Section 424(e) of the Code.</w:t>
      </w:r>
    </w:p>
    <w:p>
      <w:pPr>
        <w:spacing w:after="0" w:line="173" w:lineRule="exact"/>
        <w:rPr>
          <w:rFonts w:ascii="Arial" w:cs="Arial" w:eastAsia="Arial" w:hAnsi="Arial"/>
          <w:sz w:val="22"/>
          <w:szCs w:val="22"/>
          <w:color w:val="auto"/>
        </w:rPr>
      </w:pPr>
    </w:p>
    <w:p>
      <w:pPr>
        <w:ind w:left="2940" w:hanging="650"/>
        <w:spacing w:after="0"/>
        <w:tabs>
          <w:tab w:leader="none" w:pos="294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eligible person who has been granted one or more Awards.</w:t>
      </w:r>
    </w:p>
    <w:p>
      <w:pPr>
        <w:spacing w:after="0" w:line="206" w:lineRule="exact"/>
        <w:rPr>
          <w:rFonts w:ascii="Arial" w:cs="Arial" w:eastAsia="Arial" w:hAnsi="Arial"/>
          <w:sz w:val="22"/>
          <w:szCs w:val="22"/>
          <w:color w:val="auto"/>
        </w:rPr>
      </w:pPr>
    </w:p>
    <w:p>
      <w:pPr>
        <w:ind w:left="2920" w:hanging="630"/>
        <w:spacing w:after="0"/>
        <w:tabs>
          <w:tab w:leader="none" w:pos="292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Participating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Company or any Parent Corporation, Subsidiary</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Corporation or Affiliate.</w:t>
      </w:r>
    </w:p>
    <w:p>
      <w:pPr>
        <w:spacing w:after="0" w:line="188" w:lineRule="exact"/>
        <w:rPr>
          <w:rFonts w:ascii="Arial" w:cs="Arial" w:eastAsia="Arial" w:hAnsi="Arial"/>
          <w:sz w:val="22"/>
          <w:szCs w:val="22"/>
          <w:color w:val="auto"/>
        </w:rPr>
      </w:pPr>
    </w:p>
    <w:p>
      <w:pPr>
        <w:ind w:right="60" w:firstLine="2290"/>
        <w:spacing w:after="0" w:line="251" w:lineRule="auto"/>
        <w:tabs>
          <w:tab w:leader="none" w:pos="2913"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Participating Company Group</w:t>
      </w:r>
      <w:r>
        <w:rPr>
          <w:rFonts w:ascii="Arial" w:cs="Arial" w:eastAsia="Arial" w:hAnsi="Arial"/>
          <w:sz w:val="22"/>
          <w:szCs w:val="22"/>
          <w:i w:val="1"/>
          <w:iCs w:val="1"/>
          <w:color w:val="auto"/>
        </w:rPr>
        <w:t xml:space="preserve">” </w:t>
      </w:r>
      <w:r>
        <w:rPr>
          <w:rFonts w:ascii="Arial" w:cs="Arial" w:eastAsia="Arial" w:hAnsi="Arial"/>
          <w:sz w:val="22"/>
          <w:szCs w:val="22"/>
          <w:color w:val="auto"/>
        </w:rPr>
        <w:t>means, at any point in time, the Company and all other entities</w:t>
      </w:r>
      <w:r>
        <w:rPr>
          <w:rFonts w:ascii="Arial" w:cs="Arial" w:eastAsia="Arial" w:hAnsi="Arial"/>
          <w:sz w:val="22"/>
          <w:szCs w:val="22"/>
          <w:i w:val="1"/>
          <w:iCs w:val="1"/>
          <w:color w:val="auto"/>
        </w:rPr>
        <w:t xml:space="preserve"> </w:t>
      </w:r>
      <w:r>
        <w:rPr>
          <w:rFonts w:ascii="Arial" w:cs="Arial" w:eastAsia="Arial" w:hAnsi="Arial"/>
          <w:sz w:val="22"/>
          <w:szCs w:val="22"/>
          <w:color w:val="auto"/>
        </w:rPr>
        <w:t>collectively which are then Participating Companies.</w:t>
      </w:r>
    </w:p>
    <w:p>
      <w:pPr>
        <w:spacing w:after="0" w:line="173" w:lineRule="exact"/>
        <w:rPr>
          <w:rFonts w:ascii="Arial" w:cs="Arial" w:eastAsia="Arial" w:hAnsi="Arial"/>
          <w:sz w:val="22"/>
          <w:szCs w:val="22"/>
          <w:color w:val="auto"/>
        </w:rPr>
      </w:pPr>
    </w:p>
    <w:p>
      <w:pPr>
        <w:ind w:left="2940" w:hanging="650"/>
        <w:spacing w:after="0"/>
        <w:tabs>
          <w:tab w:leader="none" w:pos="2940" w:val="left"/>
        </w:tabs>
        <w:numPr>
          <w:ilvl w:val="0"/>
          <w:numId w:val="74"/>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Performance Award</w:t>
      </w:r>
      <w:r>
        <w:rPr>
          <w:rFonts w:ascii="Arial" w:cs="Arial" w:eastAsia="Arial" w:hAnsi="Arial"/>
          <w:sz w:val="21"/>
          <w:szCs w:val="21"/>
          <w:i w:val="1"/>
          <w:iCs w:val="1"/>
          <w:color w:val="auto"/>
        </w:rPr>
        <w:t xml:space="preserve">” </w:t>
      </w:r>
      <w:r>
        <w:rPr>
          <w:rFonts w:ascii="Arial" w:cs="Arial" w:eastAsia="Arial" w:hAnsi="Arial"/>
          <w:sz w:val="21"/>
          <w:szCs w:val="21"/>
          <w:color w:val="auto"/>
        </w:rPr>
        <w:t>means an Award of Performance Shares or Performance Units.</w:t>
      </w:r>
    </w:p>
    <w:p>
      <w:pPr>
        <w:spacing w:after="0" w:line="217" w:lineRule="exact"/>
        <w:rPr>
          <w:rFonts w:ascii="Arial" w:cs="Arial" w:eastAsia="Arial" w:hAnsi="Arial"/>
          <w:sz w:val="21"/>
          <w:szCs w:val="21"/>
          <w:color w:val="auto"/>
        </w:rPr>
      </w:pPr>
    </w:p>
    <w:p>
      <w:pPr>
        <w:ind w:firstLine="2290"/>
        <w:spacing w:after="0" w:line="238" w:lineRule="auto"/>
        <w:tabs>
          <w:tab w:leader="none" w:pos="2916"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Award Formula</w:t>
      </w:r>
      <w:r>
        <w:rPr>
          <w:rFonts w:ascii="Arial" w:cs="Arial" w:eastAsia="Arial" w:hAnsi="Arial"/>
          <w:sz w:val="22"/>
          <w:szCs w:val="22"/>
          <w:i w:val="1"/>
          <w:iCs w:val="1"/>
          <w:color w:val="auto"/>
        </w:rPr>
        <w:t xml:space="preserve">” </w:t>
      </w:r>
      <w:r>
        <w:rPr>
          <w:rFonts w:ascii="Arial" w:cs="Arial" w:eastAsia="Arial" w:hAnsi="Arial"/>
          <w:sz w:val="22"/>
          <w:szCs w:val="22"/>
          <w:color w:val="auto"/>
        </w:rPr>
        <w:t>means, for any Performance Award, a formula or table</w:t>
      </w:r>
      <w:r>
        <w:rPr>
          <w:rFonts w:ascii="Arial" w:cs="Arial" w:eastAsia="Arial" w:hAnsi="Arial"/>
          <w:sz w:val="22"/>
          <w:szCs w:val="22"/>
          <w:i w:val="1"/>
          <w:iCs w:val="1"/>
          <w:color w:val="auto"/>
        </w:rPr>
        <w:t xml:space="preserve"> </w:t>
      </w:r>
      <w:r>
        <w:rPr>
          <w:rFonts w:ascii="Arial" w:cs="Arial" w:eastAsia="Arial" w:hAnsi="Arial"/>
          <w:sz w:val="22"/>
          <w:szCs w:val="22"/>
          <w:color w:val="auto"/>
        </w:rPr>
        <w:t>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85" w:lineRule="exact"/>
        <w:rPr>
          <w:rFonts w:ascii="Arial" w:cs="Arial" w:eastAsia="Arial" w:hAnsi="Arial"/>
          <w:sz w:val="22"/>
          <w:szCs w:val="22"/>
          <w:color w:val="auto"/>
        </w:rPr>
      </w:pPr>
    </w:p>
    <w:p>
      <w:pPr>
        <w:ind w:right="400" w:firstLine="2290"/>
        <w:spacing w:after="0" w:line="328" w:lineRule="auto"/>
        <w:tabs>
          <w:tab w:leader="none" w:pos="2958"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Performance-Based Compensation</w:t>
      </w:r>
      <w:r>
        <w:rPr>
          <w:rFonts w:ascii="Arial" w:cs="Arial" w:eastAsia="Arial" w:hAnsi="Arial"/>
          <w:sz w:val="19"/>
          <w:szCs w:val="19"/>
          <w:color w:val="auto"/>
        </w:rPr>
        <w:t>” means compensation under an Award that satisfies the requirements of Section 162(m) for certain performance-based compensation paid to Covered Employees.</w:t>
      </w:r>
    </w:p>
    <w:p>
      <w:pPr>
        <w:spacing w:after="0" w:line="105" w:lineRule="exact"/>
        <w:rPr>
          <w:rFonts w:ascii="Arial" w:cs="Arial" w:eastAsia="Arial" w:hAnsi="Arial"/>
          <w:sz w:val="19"/>
          <w:szCs w:val="19"/>
          <w:color w:val="auto"/>
        </w:rPr>
      </w:pPr>
    </w:p>
    <w:p>
      <w:pPr>
        <w:ind w:left="2920" w:hanging="630"/>
        <w:spacing w:after="0"/>
        <w:tabs>
          <w:tab w:leader="none" w:pos="2920" w:val="left"/>
        </w:tabs>
        <w:numPr>
          <w:ilvl w:val="0"/>
          <w:numId w:val="74"/>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Performance Goal</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performance goal established by the Committee pursuant to</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10.3.</w:t>
      </w:r>
    </w:p>
    <w:p>
      <w:pPr>
        <w:spacing w:after="0" w:line="188" w:lineRule="exact"/>
        <w:rPr>
          <w:rFonts w:ascii="Arial" w:cs="Arial" w:eastAsia="Arial" w:hAnsi="Arial"/>
          <w:sz w:val="21"/>
          <w:szCs w:val="21"/>
          <w:color w:val="auto"/>
        </w:rPr>
      </w:pPr>
    </w:p>
    <w:p>
      <w:pPr>
        <w:ind w:right="80" w:firstLine="2290"/>
        <w:spacing w:after="0" w:line="251" w:lineRule="auto"/>
        <w:tabs>
          <w:tab w:leader="none" w:pos="2913"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period established by the Committee pursuant to Section 10.3 at</w:t>
      </w:r>
      <w:r>
        <w:rPr>
          <w:rFonts w:ascii="Arial" w:cs="Arial" w:eastAsia="Arial" w:hAnsi="Arial"/>
          <w:sz w:val="22"/>
          <w:szCs w:val="22"/>
          <w:i w:val="1"/>
          <w:iCs w:val="1"/>
          <w:color w:val="auto"/>
        </w:rPr>
        <w:t xml:space="preserve"> </w:t>
      </w:r>
      <w:r>
        <w:rPr>
          <w:rFonts w:ascii="Arial" w:cs="Arial" w:eastAsia="Arial" w:hAnsi="Arial"/>
          <w:sz w:val="22"/>
          <w:szCs w:val="22"/>
          <w:color w:val="auto"/>
        </w:rPr>
        <w:t>the end of which one or more Performance Goals are to be measured.</w:t>
      </w:r>
    </w:p>
    <w:p>
      <w:pPr>
        <w:spacing w:after="0" w:line="173" w:lineRule="exact"/>
        <w:rPr>
          <w:rFonts w:ascii="Arial" w:cs="Arial" w:eastAsia="Arial" w:hAnsi="Arial"/>
          <w:sz w:val="22"/>
          <w:szCs w:val="22"/>
          <w:color w:val="auto"/>
        </w:rPr>
      </w:pPr>
    </w:p>
    <w:p>
      <w:pPr>
        <w:ind w:right="160" w:firstLine="2290"/>
        <w:spacing w:after="0"/>
        <w:tabs>
          <w:tab w:leader="none" w:pos="2913"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Share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 Participant pursuant to Section 10 to receive a</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equal to the value of a Performance Share, as determined by the Committee, based upon attainment of applicable Performance Goal(s).</w:t>
      </w:r>
    </w:p>
    <w:p>
      <w:pPr>
        <w:spacing w:after="0" w:line="186" w:lineRule="exact"/>
        <w:rPr>
          <w:rFonts w:ascii="Arial" w:cs="Arial" w:eastAsia="Arial" w:hAnsi="Arial"/>
          <w:sz w:val="22"/>
          <w:szCs w:val="22"/>
          <w:color w:val="auto"/>
        </w:rPr>
      </w:pPr>
    </w:p>
    <w:p>
      <w:pPr>
        <w:ind w:right="320" w:firstLine="2290"/>
        <w:spacing w:after="0"/>
        <w:tabs>
          <w:tab w:leader="none" w:pos="2894"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Unit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 Participant pursuant to Section 10 to receive a</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equal to the value of a Performance Unit, as determined by the Committee, based upon attainment of applicable Performance Goal(s).</w:t>
      </w:r>
    </w:p>
    <w:p>
      <w:pPr>
        <w:spacing w:after="0" w:line="186" w:lineRule="exact"/>
        <w:rPr>
          <w:rFonts w:ascii="Arial" w:cs="Arial" w:eastAsia="Arial" w:hAnsi="Arial"/>
          <w:sz w:val="22"/>
          <w:szCs w:val="22"/>
          <w:color w:val="auto"/>
        </w:rPr>
      </w:pPr>
    </w:p>
    <w:p>
      <w:pPr>
        <w:ind w:right="100" w:firstLine="2290"/>
        <w:spacing w:after="0" w:line="238" w:lineRule="auto"/>
        <w:tabs>
          <w:tab w:leader="none" w:pos="291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Performance-Vesting 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Award granted to a Participant, the vesting or earning</w:t>
      </w:r>
      <w:r>
        <w:rPr>
          <w:rFonts w:ascii="Arial" w:cs="Arial" w:eastAsia="Arial" w:hAnsi="Arial"/>
          <w:sz w:val="22"/>
          <w:szCs w:val="22"/>
          <w:i w:val="1"/>
          <w:iCs w:val="1"/>
          <w:color w:val="auto"/>
        </w:rPr>
        <w:t xml:space="preserve"> </w:t>
      </w:r>
      <w:r>
        <w:rPr>
          <w:rFonts w:ascii="Arial" w:cs="Arial" w:eastAsia="Arial" w:hAnsi="Arial"/>
          <w:sz w:val="22"/>
          <w:szCs w:val="22"/>
          <w:color w:val="auto"/>
        </w:rPr>
        <w:t>of which is conditioned in whole or in part upon the achievement of one or more performance goals (including, without limitation, Performance Goals established pursuant to Section 10.3), notwithstanding that the vesting or earning of such Award may also be conditioned upon the continued Service of the Participant.</w:t>
      </w:r>
    </w:p>
    <w:p>
      <w:pPr>
        <w:spacing w:after="0" w:line="185" w:lineRule="exact"/>
        <w:rPr>
          <w:rFonts w:ascii="Arial" w:cs="Arial" w:eastAsia="Arial" w:hAnsi="Arial"/>
          <w:sz w:val="22"/>
          <w:szCs w:val="22"/>
          <w:color w:val="auto"/>
        </w:rPr>
      </w:pPr>
    </w:p>
    <w:p>
      <w:pPr>
        <w:ind w:left="2880" w:hanging="590"/>
        <w:spacing w:after="0"/>
        <w:tabs>
          <w:tab w:leader="none" w:pos="288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Predecessor Plan</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Company’s 2008 Equity Incentive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920" w:hanging="630"/>
        <w:spacing w:after="0"/>
        <w:tabs>
          <w:tab w:leader="none" w:pos="2920"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Award of a Restricted Stock Bonus or a Restricted Stock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Purchase Right.</w:t>
      </w:r>
    </w:p>
    <w:p>
      <w:pPr>
        <w:spacing w:after="0" w:line="188" w:lineRule="exact"/>
        <w:rPr>
          <w:sz w:val="20"/>
          <w:szCs w:val="20"/>
          <w:color w:val="auto"/>
        </w:rPr>
      </w:pPr>
    </w:p>
    <w:p>
      <w:pPr>
        <w:ind w:left="2920" w:hanging="630"/>
        <w:spacing w:after="0"/>
        <w:tabs>
          <w:tab w:leader="none" w:pos="2920" w:val="left"/>
        </w:tabs>
        <w:numPr>
          <w:ilvl w:val="0"/>
          <w:numId w:val="76"/>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Restricted Stock Bonus</w:t>
      </w:r>
      <w:r>
        <w:rPr>
          <w:rFonts w:ascii="Arial" w:cs="Arial" w:eastAsia="Arial" w:hAnsi="Arial"/>
          <w:sz w:val="21"/>
          <w:szCs w:val="21"/>
          <w:i w:val="1"/>
          <w:iCs w:val="1"/>
          <w:color w:val="auto"/>
        </w:rPr>
        <w:t xml:space="preserve">” </w:t>
      </w:r>
      <w:r>
        <w:rPr>
          <w:rFonts w:ascii="Arial" w:cs="Arial" w:eastAsia="Arial" w:hAnsi="Arial"/>
          <w:sz w:val="21"/>
          <w:szCs w:val="21"/>
          <w:color w:val="auto"/>
        </w:rPr>
        <w:t>means Stock granted to a Participant pursuant to Section 8.</w:t>
      </w:r>
    </w:p>
    <w:p>
      <w:pPr>
        <w:spacing w:after="0" w:line="217" w:lineRule="exact"/>
        <w:rPr>
          <w:rFonts w:ascii="Arial" w:cs="Arial" w:eastAsia="Arial" w:hAnsi="Arial"/>
          <w:sz w:val="21"/>
          <w:szCs w:val="21"/>
          <w:color w:val="auto"/>
        </w:rPr>
      </w:pPr>
    </w:p>
    <w:p>
      <w:pPr>
        <w:ind w:left="2960" w:hanging="670"/>
        <w:spacing w:after="0"/>
        <w:tabs>
          <w:tab w:leader="none" w:pos="2960"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Purchase Right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right to purchase Stock granted to a Participant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pursuant to Section 8.</w:t>
      </w:r>
    </w:p>
    <w:p>
      <w:pPr>
        <w:spacing w:after="0" w:line="188" w:lineRule="exact"/>
        <w:rPr>
          <w:sz w:val="20"/>
          <w:szCs w:val="20"/>
          <w:color w:val="auto"/>
        </w:rPr>
      </w:pPr>
    </w:p>
    <w:p>
      <w:pPr>
        <w:ind w:firstLine="2290"/>
        <w:spacing w:after="0" w:line="328" w:lineRule="auto"/>
        <w:tabs>
          <w:tab w:leader="none" w:pos="2913" w:val="left"/>
        </w:tabs>
        <w:numPr>
          <w:ilvl w:val="0"/>
          <w:numId w:val="77"/>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Unit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right granted to a Participant pursuant to Section 9 to receive on</w:t>
      </w:r>
      <w:r>
        <w:rPr>
          <w:rFonts w:ascii="Arial" w:cs="Arial" w:eastAsia="Arial" w:hAnsi="Arial"/>
          <w:sz w:val="19"/>
          <w:szCs w:val="19"/>
          <w:i w:val="1"/>
          <w:iCs w:val="1"/>
          <w:color w:val="auto"/>
        </w:rPr>
        <w:t xml:space="preserve"> </w:t>
      </w:r>
      <w:r>
        <w:rPr>
          <w:rFonts w:ascii="Arial" w:cs="Arial" w:eastAsia="Arial" w:hAnsi="Arial"/>
          <w:sz w:val="19"/>
          <w:szCs w:val="19"/>
          <w:color w:val="auto"/>
        </w:rPr>
        <w:t>a future date or occurrence of a future event a share of Stock or cash in lieu thereof, as determined by the Committee.</w:t>
      </w:r>
    </w:p>
    <w:p>
      <w:pPr>
        <w:spacing w:after="0" w:line="105" w:lineRule="exact"/>
        <w:rPr>
          <w:rFonts w:ascii="Arial" w:cs="Arial" w:eastAsia="Arial" w:hAnsi="Arial"/>
          <w:sz w:val="19"/>
          <w:szCs w:val="19"/>
          <w:color w:val="auto"/>
        </w:rPr>
      </w:pPr>
    </w:p>
    <w:p>
      <w:pPr>
        <w:ind w:left="2920" w:hanging="630"/>
        <w:spacing w:after="0"/>
        <w:tabs>
          <w:tab w:leader="none" w:pos="2920" w:val="left"/>
        </w:tabs>
        <w:numPr>
          <w:ilvl w:val="0"/>
          <w:numId w:val="77"/>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Rule 16b-3</w:t>
      </w:r>
      <w:r>
        <w:rPr>
          <w:rFonts w:ascii="Arial" w:cs="Arial" w:eastAsia="Arial" w:hAnsi="Arial"/>
          <w:sz w:val="19"/>
          <w:szCs w:val="19"/>
          <w:i w:val="1"/>
          <w:iCs w:val="1"/>
          <w:color w:val="auto"/>
        </w:rPr>
        <w:t xml:space="preserve">” </w:t>
      </w:r>
      <w:r>
        <w:rPr>
          <w:rFonts w:ascii="Arial" w:cs="Arial" w:eastAsia="Arial" w:hAnsi="Arial"/>
          <w:sz w:val="19"/>
          <w:szCs w:val="19"/>
          <w:color w:val="auto"/>
        </w:rPr>
        <w:t>means Rule 16b-3 under the Exchange Act, as amended from time to time, or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successor rule or regulation.</w:t>
      </w:r>
    </w:p>
    <w:p>
      <w:pPr>
        <w:spacing w:after="0" w:line="188" w:lineRule="exact"/>
        <w:rPr>
          <w:rFonts w:ascii="Arial" w:cs="Arial" w:eastAsia="Arial" w:hAnsi="Arial"/>
          <w:sz w:val="19"/>
          <w:szCs w:val="19"/>
          <w:color w:val="auto"/>
        </w:rPr>
      </w:pPr>
    </w:p>
    <w:p>
      <w:pPr>
        <w:ind w:right="280" w:firstLine="2290"/>
        <w:spacing w:after="0" w:line="258" w:lineRule="auto"/>
        <w:tabs>
          <w:tab w:leader="none" w:pos="2942" w:val="left"/>
        </w:tabs>
        <w:numPr>
          <w:ilvl w:val="0"/>
          <w:numId w:val="77"/>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SAR</w:t>
      </w:r>
      <w:r>
        <w:rPr>
          <w:rFonts w:ascii="Arial" w:cs="Arial" w:eastAsia="Arial" w:hAnsi="Arial"/>
          <w:sz w:val="21"/>
          <w:szCs w:val="21"/>
          <w:i w:val="1"/>
          <w:iCs w:val="1"/>
          <w:color w:val="auto"/>
        </w:rPr>
        <w:t xml:space="preserve">” </w:t>
      </w:r>
      <w:r>
        <w:rPr>
          <w:rFonts w:ascii="Arial" w:cs="Arial" w:eastAsia="Arial" w:hAnsi="Arial"/>
          <w:sz w:val="21"/>
          <w:szCs w:val="21"/>
          <w:color w:val="auto"/>
        </w:rPr>
        <w:t>or</w:t>
      </w:r>
      <w:r>
        <w:rPr>
          <w:rFonts w:ascii="Arial" w:cs="Arial" w:eastAsia="Arial" w:hAnsi="Arial"/>
          <w:sz w:val="21"/>
          <w:szCs w:val="21"/>
          <w:i w:val="1"/>
          <w:iCs w:val="1"/>
          <w:color w:val="auto"/>
        </w:rPr>
        <w:t xml:space="preserve"> “</w:t>
      </w:r>
      <w:r>
        <w:rPr>
          <w:rFonts w:ascii="Arial" w:cs="Arial" w:eastAsia="Arial" w:hAnsi="Arial"/>
          <w:sz w:val="21"/>
          <w:szCs w:val="21"/>
          <w:b w:val="1"/>
          <w:bCs w:val="1"/>
          <w:i w:val="1"/>
          <w:iCs w:val="1"/>
          <w:color w:val="auto"/>
        </w:rPr>
        <w:t>Stock Appreciation Right</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right granted to a Participant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7 to receive payment, for each share of Stock subject to such Award, of an amount equal to the excess, if any, of the Fair Market Value of a share of Stock on the date of exercise of the Award over the exercise price thereof.</w:t>
      </w:r>
    </w:p>
    <w:p>
      <w:pPr>
        <w:spacing w:after="0" w:line="167" w:lineRule="exact"/>
        <w:rPr>
          <w:sz w:val="20"/>
          <w:szCs w:val="20"/>
          <w:color w:val="auto"/>
        </w:rPr>
      </w:pPr>
    </w:p>
    <w:p>
      <w:pPr>
        <w:ind w:left="3000" w:hanging="710"/>
        <w:spacing w:after="0"/>
        <w:tabs>
          <w:tab w:leader="none" w:pos="300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Section 162(m)</w:t>
      </w:r>
      <w:r>
        <w:rPr>
          <w:rFonts w:ascii="Arial" w:cs="Arial" w:eastAsia="Arial" w:hAnsi="Arial"/>
          <w:sz w:val="22"/>
          <w:szCs w:val="22"/>
          <w:i w:val="1"/>
          <w:iCs w:val="1"/>
          <w:color w:val="auto"/>
        </w:rPr>
        <w:t xml:space="preserve">” </w:t>
      </w:r>
      <w:r>
        <w:rPr>
          <w:rFonts w:ascii="Arial" w:cs="Arial" w:eastAsia="Arial" w:hAnsi="Arial"/>
          <w:sz w:val="22"/>
          <w:szCs w:val="22"/>
          <w:color w:val="auto"/>
        </w:rPr>
        <w:t>means Section 162(m) of the Code.</w:t>
      </w:r>
    </w:p>
    <w:p>
      <w:pPr>
        <w:spacing w:after="0" w:line="206" w:lineRule="exact"/>
        <w:rPr>
          <w:rFonts w:ascii="Arial" w:cs="Arial" w:eastAsia="Arial" w:hAnsi="Arial"/>
          <w:sz w:val="22"/>
          <w:szCs w:val="22"/>
          <w:color w:val="auto"/>
        </w:rPr>
      </w:pPr>
    </w:p>
    <w:p>
      <w:pPr>
        <w:ind w:left="2980" w:hanging="690"/>
        <w:spacing w:after="0"/>
        <w:tabs>
          <w:tab w:leader="none" w:pos="298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Section 409A</w:t>
      </w:r>
      <w:r>
        <w:rPr>
          <w:rFonts w:ascii="Arial" w:cs="Arial" w:eastAsia="Arial" w:hAnsi="Arial"/>
          <w:sz w:val="22"/>
          <w:szCs w:val="22"/>
          <w:i w:val="1"/>
          <w:iCs w:val="1"/>
          <w:color w:val="auto"/>
        </w:rPr>
        <w:t xml:space="preserve">” </w:t>
      </w:r>
      <w:r>
        <w:rPr>
          <w:rFonts w:ascii="Arial" w:cs="Arial" w:eastAsia="Arial" w:hAnsi="Arial"/>
          <w:sz w:val="22"/>
          <w:szCs w:val="22"/>
          <w:color w:val="auto"/>
        </w:rPr>
        <w:t>means Section 409A of the Code.</w:t>
      </w:r>
    </w:p>
    <w:p>
      <w:pPr>
        <w:spacing w:after="0" w:line="206" w:lineRule="exact"/>
        <w:rPr>
          <w:rFonts w:ascii="Arial" w:cs="Arial" w:eastAsia="Arial" w:hAnsi="Arial"/>
          <w:sz w:val="22"/>
          <w:szCs w:val="22"/>
          <w:color w:val="auto"/>
        </w:rPr>
      </w:pPr>
    </w:p>
    <w:p>
      <w:pPr>
        <w:ind w:right="200" w:firstLine="2290"/>
        <w:spacing w:after="0" w:line="251" w:lineRule="auto"/>
        <w:tabs>
          <w:tab w:leader="none" w:pos="2984"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Section 409A Deferred Compensation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compensation provided pursuant to an Award</w:t>
      </w:r>
      <w:r>
        <w:rPr>
          <w:rFonts w:ascii="Arial" w:cs="Arial" w:eastAsia="Arial" w:hAnsi="Arial"/>
          <w:sz w:val="22"/>
          <w:szCs w:val="22"/>
          <w:i w:val="1"/>
          <w:iCs w:val="1"/>
          <w:color w:val="auto"/>
        </w:rPr>
        <w:t xml:space="preserve"> </w:t>
      </w:r>
      <w:r>
        <w:rPr>
          <w:rFonts w:ascii="Arial" w:cs="Arial" w:eastAsia="Arial" w:hAnsi="Arial"/>
          <w:sz w:val="22"/>
          <w:szCs w:val="22"/>
          <w:color w:val="auto"/>
        </w:rPr>
        <w:t>that constitutes nonqualified deferred compensation within the meaning of Section 409A.</w:t>
      </w:r>
    </w:p>
    <w:p>
      <w:pPr>
        <w:spacing w:after="0" w:line="173" w:lineRule="exact"/>
        <w:rPr>
          <w:rFonts w:ascii="Arial" w:cs="Arial" w:eastAsia="Arial" w:hAnsi="Arial"/>
          <w:sz w:val="22"/>
          <w:szCs w:val="22"/>
          <w:color w:val="auto"/>
        </w:rPr>
      </w:pPr>
    </w:p>
    <w:p>
      <w:pPr>
        <w:ind w:left="2980" w:hanging="690"/>
        <w:spacing w:after="0"/>
        <w:tabs>
          <w:tab w:leader="none" w:pos="298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Act of 1933, as amended.</w:t>
      </w:r>
    </w:p>
    <w:p>
      <w:pPr>
        <w:spacing w:after="0" w:line="206" w:lineRule="exact"/>
        <w:rPr>
          <w:rFonts w:ascii="Arial" w:cs="Arial" w:eastAsia="Arial" w:hAnsi="Arial"/>
          <w:sz w:val="22"/>
          <w:szCs w:val="22"/>
          <w:color w:val="auto"/>
        </w:rPr>
      </w:pPr>
    </w:p>
    <w:p>
      <w:pPr>
        <w:ind w:right="60" w:firstLine="2290"/>
        <w:spacing w:after="0" w:line="271" w:lineRule="auto"/>
        <w:tabs>
          <w:tab w:leader="none" w:pos="2984"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Participant’s employment or service with the Participating Company Group,</w:t>
      </w:r>
      <w:r>
        <w:rPr>
          <w:rFonts w:ascii="Arial" w:cs="Arial" w:eastAsia="Arial" w:hAnsi="Arial"/>
          <w:sz w:val="19"/>
          <w:szCs w:val="19"/>
          <w:i w:val="1"/>
          <w:iCs w:val="1"/>
          <w:color w:val="auto"/>
        </w:rPr>
        <w:t xml:space="preserve"> </w:t>
      </w:r>
      <w:r>
        <w:rPr>
          <w:rFonts w:ascii="Arial" w:cs="Arial" w:eastAsia="Arial" w:hAnsi="Arial"/>
          <w:sz w:val="19"/>
          <w:szCs w:val="19"/>
          <w:color w:val="auto"/>
        </w:rPr>
        <w:t>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960" w:hanging="670"/>
        <w:spacing w:after="0"/>
        <w:tabs>
          <w:tab w:leader="none" w:pos="2960"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Stock</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common stock of the Company, as adjusted from time to time in accordance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with Section 4.4.</w:t>
      </w:r>
    </w:p>
    <w:p>
      <w:pPr>
        <w:spacing w:after="0" w:line="188" w:lineRule="exact"/>
        <w:rPr>
          <w:sz w:val="20"/>
          <w:szCs w:val="20"/>
          <w:color w:val="auto"/>
        </w:rPr>
      </w:pPr>
    </w:p>
    <w:p>
      <w:pPr>
        <w:ind w:left="2980" w:hanging="690"/>
        <w:spacing w:after="0"/>
        <w:tabs>
          <w:tab w:leader="none" w:pos="2980" w:val="left"/>
        </w:tabs>
        <w:numPr>
          <w:ilvl w:val="0"/>
          <w:numId w:val="80"/>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Stock Tender Exercise</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Stock Tender Exercise as defined in Section 6.3(b)(ii).</w:t>
      </w:r>
    </w:p>
    <w:p>
      <w:pPr>
        <w:spacing w:after="0" w:line="217" w:lineRule="exact"/>
        <w:rPr>
          <w:rFonts w:ascii="Arial" w:cs="Arial" w:eastAsia="Arial" w:hAnsi="Arial"/>
          <w:sz w:val="21"/>
          <w:szCs w:val="21"/>
          <w:color w:val="auto"/>
        </w:rPr>
      </w:pPr>
    </w:p>
    <w:p>
      <w:pPr>
        <w:ind w:right="920" w:firstLine="2290"/>
        <w:spacing w:after="0" w:line="251" w:lineRule="auto"/>
        <w:tabs>
          <w:tab w:leader="none" w:pos="2967"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Subsidiary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“subsidiary corporation”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as defined in Section 424(f) of the Code.</w:t>
      </w:r>
    </w:p>
    <w:p>
      <w:pPr>
        <w:spacing w:after="0" w:line="173" w:lineRule="exact"/>
        <w:rPr>
          <w:rFonts w:ascii="Arial" w:cs="Arial" w:eastAsia="Arial" w:hAnsi="Arial"/>
          <w:sz w:val="22"/>
          <w:szCs w:val="22"/>
          <w:color w:val="auto"/>
        </w:rPr>
      </w:pPr>
    </w:p>
    <w:p>
      <w:pPr>
        <w:ind w:right="520" w:firstLine="2290"/>
        <w:spacing w:after="0" w:line="258" w:lineRule="auto"/>
        <w:tabs>
          <w:tab w:leader="none" w:pos="2930" w:val="left"/>
        </w:tabs>
        <w:numPr>
          <w:ilvl w:val="0"/>
          <w:numId w:val="80"/>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Ten Percent Owner</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Participant who, at the time an Option is granted to the</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 owns stock possessing more than ten percent (10%) of the total combined voting power of all classes of stock of a Participating Company (other than an Affiliate) within the meaning of Section 422(b)(6) of the Code.</w:t>
      </w:r>
    </w:p>
    <w:p>
      <w:pPr>
        <w:spacing w:after="0" w:line="166" w:lineRule="exact"/>
        <w:rPr>
          <w:rFonts w:ascii="Arial" w:cs="Arial" w:eastAsia="Arial" w:hAnsi="Arial"/>
          <w:sz w:val="21"/>
          <w:szCs w:val="21"/>
          <w:color w:val="auto"/>
        </w:rPr>
      </w:pPr>
    </w:p>
    <w:p>
      <w:pPr>
        <w:ind w:right="560" w:firstLine="2290"/>
        <w:spacing w:after="0" w:line="251" w:lineRule="auto"/>
        <w:tabs>
          <w:tab w:leader="none" w:pos="293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Time-Vesting 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Award granted to a Participant, the vesting or earning of</w:t>
      </w:r>
      <w:r>
        <w:rPr>
          <w:rFonts w:ascii="Arial" w:cs="Arial" w:eastAsia="Arial" w:hAnsi="Arial"/>
          <w:sz w:val="22"/>
          <w:szCs w:val="22"/>
          <w:i w:val="1"/>
          <w:iCs w:val="1"/>
          <w:color w:val="auto"/>
        </w:rPr>
        <w:t xml:space="preserve"> </w:t>
      </w:r>
      <w:r>
        <w:rPr>
          <w:rFonts w:ascii="Arial" w:cs="Arial" w:eastAsia="Arial" w:hAnsi="Arial"/>
          <w:sz w:val="22"/>
          <w:szCs w:val="22"/>
          <w:color w:val="auto"/>
        </w:rPr>
        <w:t>which is based solely upon the continued Service of the Participant over a specified period of time.</w:t>
      </w:r>
    </w:p>
    <w:p>
      <w:pPr>
        <w:spacing w:after="0" w:line="173" w:lineRule="exact"/>
        <w:rPr>
          <w:rFonts w:ascii="Arial" w:cs="Arial" w:eastAsia="Arial" w:hAnsi="Arial"/>
          <w:sz w:val="22"/>
          <w:szCs w:val="22"/>
          <w:color w:val="auto"/>
        </w:rPr>
      </w:pPr>
    </w:p>
    <w:p>
      <w:pPr>
        <w:ind w:right="240" w:firstLine="2290"/>
        <w:spacing w:after="0" w:line="258" w:lineRule="auto"/>
        <w:tabs>
          <w:tab w:leader="none" w:pos="2967" w:val="left"/>
        </w:tabs>
        <w:numPr>
          <w:ilvl w:val="0"/>
          <w:numId w:val="80"/>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Trading Compliance Policy</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written policy of the Company pertaining to the</w:t>
      </w:r>
      <w:r>
        <w:rPr>
          <w:rFonts w:ascii="Arial" w:cs="Arial" w:eastAsia="Arial" w:hAnsi="Arial"/>
          <w:sz w:val="21"/>
          <w:szCs w:val="21"/>
          <w:i w:val="1"/>
          <w:iCs w:val="1"/>
          <w:color w:val="auto"/>
        </w:rPr>
        <w:t xml:space="preserve"> </w:t>
      </w:r>
      <w:r>
        <w:rPr>
          <w:rFonts w:ascii="Arial" w:cs="Arial" w:eastAsia="Arial" w:hAnsi="Arial"/>
          <w:sz w:val="21"/>
          <w:szCs w:val="21"/>
          <w:color w:val="auto"/>
        </w:rPr>
        <w:t>purchase, sale, transfer or other disposition of the Company’s equity securities by Directors, Officers, Employees or other service providers who may possess material, nonpublic information regarding the Company or its securities.</w:t>
      </w:r>
    </w:p>
    <w:p>
      <w:pPr>
        <w:spacing w:after="0" w:line="166" w:lineRule="exact"/>
        <w:rPr>
          <w:rFonts w:ascii="Arial" w:cs="Arial" w:eastAsia="Arial" w:hAnsi="Arial"/>
          <w:sz w:val="21"/>
          <w:szCs w:val="21"/>
          <w:color w:val="auto"/>
        </w:rPr>
      </w:pPr>
    </w:p>
    <w:p>
      <w:pPr>
        <w:ind w:right="100" w:firstLine="2290"/>
        <w:spacing w:after="0" w:line="238" w:lineRule="auto"/>
        <w:tabs>
          <w:tab w:leader="none" w:pos="293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Vesting Conditions</w:t>
      </w:r>
      <w:r>
        <w:rPr>
          <w:rFonts w:ascii="Arial" w:cs="Arial" w:eastAsia="Arial" w:hAnsi="Arial"/>
          <w:sz w:val="22"/>
          <w:szCs w:val="22"/>
          <w:i w:val="1"/>
          <w:iCs w:val="1"/>
          <w:color w:val="auto"/>
        </w:rPr>
        <w:t xml:space="preserve">” </w:t>
      </w:r>
      <w:r>
        <w:rPr>
          <w:rFonts w:ascii="Arial" w:cs="Arial" w:eastAsia="Arial" w:hAnsi="Arial"/>
          <w:sz w:val="22"/>
          <w:szCs w:val="22"/>
          <w:color w:val="auto"/>
        </w:rPr>
        <w:t>mean those conditions established in accordance with the Plan prior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79" w:lineRule="exact"/>
        <w:rPr>
          <w:sz w:val="20"/>
          <w:szCs w:val="20"/>
          <w:color w:val="auto"/>
        </w:rPr>
      </w:pPr>
    </w:p>
    <w:p>
      <w:pPr>
        <w:ind w:right="240" w:firstLine="1712"/>
        <w:spacing w:after="0" w:line="239"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Construction.</w:t>
      </w:r>
      <w:r>
        <w:rPr>
          <w:rFonts w:ascii="Arial" w:cs="Arial" w:eastAsia="Arial" w:hAnsi="Arial"/>
          <w:sz w:val="22"/>
          <w:szCs w:val="22"/>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81" w:lineRule="exact"/>
        <w:rPr>
          <w:sz w:val="20"/>
          <w:szCs w:val="20"/>
          <w:color w:val="auto"/>
        </w:rPr>
      </w:pPr>
    </w:p>
    <w:p>
      <w:pPr>
        <w:ind w:left="1620" w:hanging="813"/>
        <w:spacing w:after="0"/>
        <w:tabs>
          <w:tab w:leader="none" w:pos="1620"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DMINISTRATION</w:t>
      </w:r>
      <w:r>
        <w:rPr>
          <w:rFonts w:ascii="Arial" w:cs="Arial" w:eastAsia="Arial" w:hAnsi="Arial"/>
          <w:sz w:val="22"/>
          <w:szCs w:val="22"/>
          <w:b w:val="1"/>
          <w:bCs w:val="1"/>
          <w:color w:val="auto"/>
        </w:rPr>
        <w:t>.</w:t>
      </w:r>
    </w:p>
    <w:p>
      <w:pPr>
        <w:spacing w:after="0" w:line="206" w:lineRule="exact"/>
        <w:rPr>
          <w:sz w:val="20"/>
          <w:szCs w:val="20"/>
          <w:color w:val="auto"/>
        </w:rPr>
      </w:pPr>
    </w:p>
    <w:p>
      <w:pPr>
        <w:ind w:firstLine="1712"/>
        <w:spacing w:after="0" w:line="280"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Administration by the Committee.</w:t>
      </w:r>
      <w:r>
        <w:rPr>
          <w:rFonts w:ascii="Arial" w:cs="Arial" w:eastAsia="Arial" w:hAnsi="Arial"/>
          <w:sz w:val="19"/>
          <w:szCs w:val="19"/>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preceding sentence) shall be final, binding and conclusive upon all persons having an interest therein. All expenses incurred in connection with the administration of the Plan shall be paid by the Company.</w:t>
      </w:r>
    </w:p>
    <w:p>
      <w:pPr>
        <w:spacing w:after="0" w:line="167" w:lineRule="exact"/>
        <w:rPr>
          <w:sz w:val="20"/>
          <w:szCs w:val="20"/>
          <w:color w:val="auto"/>
        </w:rPr>
      </w:pPr>
    </w:p>
    <w:p>
      <w:pPr>
        <w:ind w:right="60" w:firstLine="1712"/>
        <w:spacing w:after="0" w:line="30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Authority of Officers.</w:t>
      </w:r>
      <w:r>
        <w:rPr>
          <w:rFonts w:ascii="Arial" w:cs="Arial" w:eastAsia="Arial" w:hAnsi="Arial"/>
          <w:sz w:val="19"/>
          <w:szCs w:val="19"/>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spacing w:after="0" w:line="123" w:lineRule="exact"/>
        <w:rPr>
          <w:sz w:val="20"/>
          <w:szCs w:val="20"/>
          <w:color w:val="auto"/>
        </w:rPr>
      </w:pPr>
    </w:p>
    <w:p>
      <w:pPr>
        <w:jc w:val="both"/>
        <w:ind w:right="240" w:firstLine="1712"/>
        <w:spacing w:after="0" w:line="24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Administration with Respect to Insiders.</w:t>
      </w:r>
      <w:r>
        <w:rPr>
          <w:rFonts w:ascii="Arial" w:cs="Arial" w:eastAsia="Arial" w:hAnsi="Arial"/>
          <w:sz w:val="22"/>
          <w:szCs w:val="22"/>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77" w:lineRule="exact"/>
        <w:rPr>
          <w:sz w:val="20"/>
          <w:szCs w:val="20"/>
          <w:color w:val="auto"/>
        </w:rPr>
      </w:pPr>
    </w:p>
    <w:p>
      <w:pPr>
        <w:ind w:firstLine="1712"/>
        <w:spacing w:after="0" w:line="261"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b w:val="1"/>
          <w:bCs w:val="1"/>
          <w:color w:val="auto"/>
        </w:rPr>
        <w:t>Committee Complying with Section 162(m).</w:t>
      </w:r>
      <w:r>
        <w:rPr>
          <w:rFonts w:ascii="Arial" w:cs="Arial" w:eastAsia="Arial" w:hAnsi="Arial"/>
          <w:sz w:val="21"/>
          <w:szCs w:val="21"/>
          <w:color w:val="auto"/>
        </w:rPr>
        <w:t xml:space="preserve"> If the Company is a “publicly held corporation” within the meaning of Section 162(m), the Board may establish a Committee of “outside directors” within the meaning of Section 162(m) to approve the grant of any Award intended to result in the payment of Performance-Based Compensation.</w:t>
      </w:r>
    </w:p>
    <w:p>
      <w:pPr>
        <w:spacing w:after="0" w:line="158" w:lineRule="exact"/>
        <w:rPr>
          <w:sz w:val="20"/>
          <w:szCs w:val="20"/>
          <w:color w:val="auto"/>
        </w:rPr>
      </w:pPr>
    </w:p>
    <w:p>
      <w:pPr>
        <w:ind w:right="700" w:firstLine="1712"/>
        <w:spacing w:after="0" w:line="280"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b w:val="1"/>
          <w:bCs w:val="1"/>
          <w:color w:val="auto"/>
        </w:rPr>
        <w:t>Powers of the Committee</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In addition to any other powers set forth in the Plan and subject to the provisions of the Plan, the Committee shall have the full and final power and authority, in its discretion:</w:t>
      </w:r>
    </w:p>
    <w:p>
      <w:pPr>
        <w:spacing w:after="0" w:line="145" w:lineRule="exact"/>
        <w:rPr>
          <w:sz w:val="20"/>
          <w:szCs w:val="20"/>
          <w:color w:val="auto"/>
        </w:rPr>
      </w:pPr>
    </w:p>
    <w:p>
      <w:pPr>
        <w:ind w:right="300" w:firstLine="2290"/>
        <w:spacing w:after="0" w:line="251" w:lineRule="auto"/>
        <w:tabs>
          <w:tab w:leader="none" w:pos="29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to determine the persons to whom, and the time or times at which, Awards shall be granted and the number of shares of Stock, units or monetary value to be subject to each Award;</w:t>
      </w:r>
    </w:p>
    <w:p>
      <w:pPr>
        <w:spacing w:after="0" w:line="173" w:lineRule="exact"/>
        <w:rPr>
          <w:rFonts w:ascii="Arial" w:cs="Arial" w:eastAsia="Arial" w:hAnsi="Arial"/>
          <w:sz w:val="22"/>
          <w:szCs w:val="22"/>
          <w:color w:val="auto"/>
        </w:rPr>
      </w:pPr>
    </w:p>
    <w:p>
      <w:pPr>
        <w:ind w:left="2920" w:hanging="630"/>
        <w:spacing w:after="0"/>
        <w:tabs>
          <w:tab w:leader="none" w:pos="292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to determine the type of Award granted;</w:t>
      </w:r>
    </w:p>
    <w:p>
      <w:pPr>
        <w:spacing w:after="0" w:line="206" w:lineRule="exact"/>
        <w:rPr>
          <w:rFonts w:ascii="Arial" w:cs="Arial" w:eastAsia="Arial" w:hAnsi="Arial"/>
          <w:sz w:val="22"/>
          <w:szCs w:val="22"/>
          <w:color w:val="auto"/>
        </w:rPr>
      </w:pPr>
    </w:p>
    <w:p>
      <w:pPr>
        <w:ind w:right="500" w:firstLine="2290"/>
        <w:spacing w:after="0" w:line="251" w:lineRule="auto"/>
        <w:tabs>
          <w:tab w:leader="none" w:pos="29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to determine whether an Award granted to a Covered Employee shall be intended to result in Performance-Based Compensation;</w:t>
      </w:r>
    </w:p>
    <w:p>
      <w:pPr>
        <w:spacing w:after="0" w:line="173" w:lineRule="exact"/>
        <w:rPr>
          <w:rFonts w:ascii="Arial" w:cs="Arial" w:eastAsia="Arial" w:hAnsi="Arial"/>
          <w:sz w:val="22"/>
          <w:szCs w:val="22"/>
          <w:color w:val="auto"/>
        </w:rPr>
      </w:pPr>
    </w:p>
    <w:p>
      <w:pPr>
        <w:ind w:left="2920" w:hanging="630"/>
        <w:spacing w:after="0"/>
        <w:tabs>
          <w:tab w:leader="none" w:pos="292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to determine the Fair Market Value of shares of Stock or other property;</w:t>
      </w:r>
    </w:p>
    <w:p>
      <w:pPr>
        <w:spacing w:after="0" w:line="206" w:lineRule="exact"/>
        <w:rPr>
          <w:rFonts w:ascii="Arial" w:cs="Arial" w:eastAsia="Arial" w:hAnsi="Arial"/>
          <w:sz w:val="22"/>
          <w:szCs w:val="22"/>
          <w:color w:val="auto"/>
        </w:rPr>
      </w:pPr>
    </w:p>
    <w:p>
      <w:pPr>
        <w:ind w:right="160" w:firstLine="2290"/>
        <w:spacing w:after="0" w:line="271" w:lineRule="auto"/>
        <w:tabs>
          <w:tab w:leader="none" w:pos="290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w:t>
      </w:r>
    </w:p>
    <w:p>
      <w:pPr>
        <w:spacing w:after="0" w:line="3" w:lineRule="exact"/>
        <w:rPr>
          <w:rFonts w:ascii="Arial" w:cs="Arial" w:eastAsia="Arial" w:hAnsi="Arial"/>
          <w:sz w:val="19"/>
          <w:szCs w:val="19"/>
          <w:color w:val="auto"/>
        </w:rPr>
      </w:pPr>
    </w:p>
    <w:p>
      <w:pPr>
        <w:ind w:right="60" w:firstLine="8"/>
        <w:spacing w:after="0" w:line="245" w:lineRule="auto"/>
        <w:tabs>
          <w:tab w:leader="none" w:pos="366"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880" w:hanging="590"/>
        <w:spacing w:after="0"/>
        <w:tabs>
          <w:tab w:leader="none" w:pos="288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to determine whether an Award will be settled in shares of Stock, cash, other property or in 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combination thereof;</w:t>
      </w:r>
    </w:p>
    <w:p>
      <w:pPr>
        <w:spacing w:after="0" w:line="188" w:lineRule="exact"/>
        <w:rPr>
          <w:sz w:val="20"/>
          <w:szCs w:val="20"/>
          <w:color w:val="auto"/>
        </w:rPr>
      </w:pPr>
    </w:p>
    <w:p>
      <w:pPr>
        <w:ind w:left="2920" w:hanging="630"/>
        <w:spacing w:after="0"/>
        <w:tabs>
          <w:tab w:leader="none" w:pos="29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approve one or more forms of Award Agreement;</w:t>
      </w:r>
    </w:p>
    <w:p>
      <w:pPr>
        <w:spacing w:after="0" w:line="206" w:lineRule="exact"/>
        <w:rPr>
          <w:rFonts w:ascii="Arial" w:cs="Arial" w:eastAsia="Arial" w:hAnsi="Arial"/>
          <w:sz w:val="22"/>
          <w:szCs w:val="22"/>
          <w:color w:val="auto"/>
        </w:rPr>
      </w:pPr>
    </w:p>
    <w:p>
      <w:pPr>
        <w:jc w:val="both"/>
        <w:ind w:right="200" w:firstLine="2290"/>
        <w:spacing w:after="0" w:line="238" w:lineRule="auto"/>
        <w:tabs>
          <w:tab w:leader="none" w:pos="291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amend, modify, extend, cancel or renew any Award or to waive any restrictions or conditions applicable to any Award or any shares acquired pursuant thereto, provided that no such amendment or waiver shall accelerate the vesting of any Award unless the power of the Committee to accelerate the vesting of such Award is expressly provided by another provision of the Plan;</w:t>
      </w:r>
    </w:p>
    <w:p>
      <w:pPr>
        <w:spacing w:after="0" w:line="185" w:lineRule="exact"/>
        <w:rPr>
          <w:rFonts w:ascii="Arial" w:cs="Arial" w:eastAsia="Arial" w:hAnsi="Arial"/>
          <w:sz w:val="22"/>
          <w:szCs w:val="22"/>
          <w:color w:val="auto"/>
        </w:rPr>
      </w:pPr>
    </w:p>
    <w:p>
      <w:pPr>
        <w:ind w:right="320" w:firstLine="2290"/>
        <w:spacing w:after="0" w:line="274" w:lineRule="auto"/>
        <w:tabs>
          <w:tab w:leader="none" w:pos="2865" w:val="left"/>
        </w:tabs>
        <w:numPr>
          <w:ilvl w:val="0"/>
          <w:numId w:val="85"/>
        </w:numPr>
        <w:rPr>
          <w:rFonts w:ascii="Arial" w:cs="Arial" w:eastAsia="Arial" w:hAnsi="Arial"/>
          <w:sz w:val="21"/>
          <w:szCs w:val="21"/>
          <w:color w:val="auto"/>
        </w:rPr>
      </w:pPr>
      <w:r>
        <w:rPr>
          <w:rFonts w:ascii="Arial" w:cs="Arial" w:eastAsia="Arial" w:hAnsi="Arial"/>
          <w:sz w:val="21"/>
          <w:szCs w:val="21"/>
          <w:color w:val="auto"/>
        </w:rPr>
        <w:t>to accelerate, continue, extend or defer the exercisability or vesting of any Award or any shares acquired pursuant thereto, including with respect to the period following a Participant’s termination of Service;</w:t>
      </w:r>
    </w:p>
    <w:p>
      <w:pPr>
        <w:spacing w:after="0" w:line="150" w:lineRule="exact"/>
        <w:rPr>
          <w:rFonts w:ascii="Arial" w:cs="Arial" w:eastAsia="Arial" w:hAnsi="Arial"/>
          <w:sz w:val="21"/>
          <w:szCs w:val="21"/>
          <w:color w:val="auto"/>
        </w:rPr>
      </w:pPr>
    </w:p>
    <w:p>
      <w:pPr>
        <w:ind w:left="2880" w:hanging="590"/>
        <w:spacing w:after="0"/>
        <w:tabs>
          <w:tab w:leader="none" w:pos="28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to prescribe, amend or rescind rules, guidelines and policies relating to the Plan, or to adopt</w:t>
      </w:r>
    </w:p>
    <w:p>
      <w:pPr>
        <w:spacing w:after="0" w:line="20"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p>
    <w:p>
      <w:pPr>
        <w:spacing w:after="0" w:line="187" w:lineRule="exact"/>
        <w:rPr>
          <w:sz w:val="20"/>
          <w:szCs w:val="20"/>
          <w:color w:val="auto"/>
        </w:rPr>
      </w:pPr>
    </w:p>
    <w:p>
      <w:pPr>
        <w:ind w:right="360" w:firstLine="2290"/>
        <w:spacing w:after="0" w:line="297" w:lineRule="auto"/>
        <w:tabs>
          <w:tab w:leader="none" w:pos="2913"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28" w:lineRule="exact"/>
        <w:rPr>
          <w:sz w:val="20"/>
          <w:szCs w:val="20"/>
          <w:color w:val="auto"/>
        </w:rPr>
      </w:pPr>
    </w:p>
    <w:p>
      <w:pPr>
        <w:ind w:right="160" w:firstLine="1712"/>
        <w:spacing w:after="0" w:line="275"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b w:val="1"/>
          <w:bCs w:val="1"/>
          <w:color w:val="auto"/>
        </w:rPr>
        <w:t>Option or SAR Repricing.</w:t>
      </w:r>
      <w:r>
        <w:rPr>
          <w:rFonts w:ascii="Arial" w:cs="Arial" w:eastAsia="Arial" w:hAnsi="Arial"/>
          <w:sz w:val="19"/>
          <w:szCs w:val="19"/>
          <w:color w:val="auto"/>
        </w:rPr>
        <w:t xml:space="preserve">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w:t>
      </w:r>
    </w:p>
    <w:p>
      <w:pPr>
        <w:spacing w:after="0" w:line="2" w:lineRule="exact"/>
        <w:rPr>
          <w:sz w:val="20"/>
          <w:szCs w:val="20"/>
          <w:color w:val="auto"/>
        </w:rPr>
      </w:pPr>
    </w:p>
    <w:p>
      <w:pPr>
        <w:ind w:firstLine="8"/>
        <w:spacing w:after="0" w:line="275" w:lineRule="auto"/>
        <w:tabs>
          <w:tab w:leader="none" w:pos="294"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cancellation of outstanding Options or SARs having exercise prices per share greater than the then Fair Market Value of a share of Stock (“</w:t>
      </w:r>
      <w:r>
        <w:rPr>
          <w:rFonts w:ascii="Arial" w:cs="Arial" w:eastAsia="Arial" w:hAnsi="Arial"/>
          <w:sz w:val="19"/>
          <w:szCs w:val="19"/>
          <w:b w:val="1"/>
          <w:bCs w:val="1"/>
          <w:i w:val="1"/>
          <w:iCs w:val="1"/>
          <w:color w:val="auto"/>
        </w:rPr>
        <w:t>Underwater Awards</w:t>
      </w:r>
      <w:r>
        <w:rPr>
          <w:rFonts w:ascii="Arial" w:cs="Arial" w:eastAsia="Arial" w:hAnsi="Arial"/>
          <w:sz w:val="19"/>
          <w:szCs w:val="19"/>
          <w:color w:val="auto"/>
        </w:rPr>
        <w:t>”) and the grant in substitution therefor of new Options or SARs having a lower exercise price, Full Value Awards or payments in cash, or (b) the amendment of outstanding Underwater Awards to reduce the exercise price thereof. This Section shall not be construed to apply to (i) “issuing or assuming a stock option in a transaction to which Section 424(a) applies,” within the meaning of Section 424 of the Code, (ii) adjustments pursuant to the assumption of or substitution for an Option or SAR in a manner that would comply with Section 409A, or (iii) an adjustment pursuant to Section 4.4.</w:t>
      </w:r>
    </w:p>
    <w:p>
      <w:pPr>
        <w:spacing w:after="0" w:line="149" w:lineRule="exact"/>
        <w:rPr>
          <w:sz w:val="20"/>
          <w:szCs w:val="20"/>
          <w:color w:val="auto"/>
        </w:rPr>
      </w:pPr>
    </w:p>
    <w:p>
      <w:pPr>
        <w:ind w:right="20" w:firstLine="1712"/>
        <w:spacing w:after="0" w:line="280"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b w:val="1"/>
          <w:bCs w:val="1"/>
          <w:color w:val="auto"/>
        </w:rPr>
        <w:t>Indemnification.</w:t>
      </w:r>
      <w:r>
        <w:rPr>
          <w:rFonts w:ascii="Arial" w:cs="Arial" w:eastAsia="Arial" w:hAnsi="Arial"/>
          <w:sz w:val="19"/>
          <w:szCs w:val="19"/>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45" w:lineRule="exact"/>
        <w:rPr>
          <w:sz w:val="20"/>
          <w:szCs w:val="20"/>
          <w:color w:val="auto"/>
        </w:rPr>
      </w:pPr>
    </w:p>
    <w:p>
      <w:pPr>
        <w:ind w:left="1560" w:hanging="753"/>
        <w:spacing w:after="0"/>
        <w:tabs>
          <w:tab w:leader="none" w:pos="1560" w:val="left"/>
        </w:tabs>
        <w:numPr>
          <w:ilvl w:val="0"/>
          <w:numId w:val="88"/>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HARES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UBJECT TO</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206" w:lineRule="exact"/>
        <w:rPr>
          <w:sz w:val="20"/>
          <w:szCs w:val="20"/>
          <w:color w:val="auto"/>
        </w:rPr>
      </w:pPr>
    </w:p>
    <w:p>
      <w:pPr>
        <w:ind w:right="120" w:firstLine="1712"/>
        <w:spacing w:after="0" w:line="301"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Maximum Number of Shares Issuable.</w:t>
      </w:r>
      <w:r>
        <w:rPr>
          <w:rFonts w:ascii="Arial" w:cs="Arial" w:eastAsia="Arial" w:hAnsi="Arial"/>
          <w:sz w:val="19"/>
          <w:szCs w:val="19"/>
          <w:color w:val="auto"/>
        </w:rPr>
        <w:t xml:space="preserve"> Subject to adjustment as provided in Sections 4.2, 4.3 and 4.4, the maximum aggregate number of shares of Stock that may be issued under the Plan shall be equal to two million (2,000,000) shares and shall consist of authorized but unissued or reacquired shares of Stock or any combination thereof.</w:t>
      </w:r>
    </w:p>
    <w:p>
      <w:pPr>
        <w:spacing w:after="0" w:line="123" w:lineRule="exact"/>
        <w:rPr>
          <w:sz w:val="20"/>
          <w:szCs w:val="20"/>
          <w:color w:val="auto"/>
        </w:rPr>
      </w:pPr>
    </w:p>
    <w:p>
      <w:pPr>
        <w:jc w:val="both"/>
        <w:ind w:right="160" w:firstLine="1712"/>
        <w:spacing w:after="0" w:line="335"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Adjustment for Unissued or Forfeited Predecessor Plan Shares.</w:t>
      </w:r>
      <w:r>
        <w:rPr>
          <w:rFonts w:ascii="Arial" w:cs="Arial" w:eastAsia="Arial" w:hAnsi="Arial"/>
          <w:sz w:val="19"/>
          <w:szCs w:val="19"/>
          <w:color w:val="auto"/>
        </w:rPr>
        <w:t xml:space="preserve"> The maximum aggregate number of shares of Stock that may be issued under the Plan as set forth in Section 4.1 shall be cumulatively increased from time to time by:</w:t>
      </w:r>
    </w:p>
    <w:p>
      <w:pPr>
        <w:spacing w:after="0" w:line="98" w:lineRule="exact"/>
        <w:rPr>
          <w:sz w:val="20"/>
          <w:szCs w:val="20"/>
          <w:color w:val="auto"/>
        </w:rPr>
      </w:pPr>
    </w:p>
    <w:p>
      <w:pPr>
        <w:ind w:right="120" w:firstLine="2290"/>
        <w:spacing w:after="0"/>
        <w:tabs>
          <w:tab w:leader="none" w:pos="295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number of shares of Stock subject to that portion of any option or other award outstanding pursuant to the Predecessor Plan as of the Effective Date which, on or after the Effective Date, expires or is terminated or canceled for any reason without having been exercised or settled in full; and</w:t>
      </w:r>
    </w:p>
    <w:p>
      <w:pPr>
        <w:spacing w:after="0" w:line="186" w:lineRule="exact"/>
        <w:rPr>
          <w:rFonts w:ascii="Arial" w:cs="Arial" w:eastAsia="Arial" w:hAnsi="Arial"/>
          <w:sz w:val="22"/>
          <w:szCs w:val="22"/>
          <w:color w:val="auto"/>
        </w:rPr>
      </w:pPr>
    </w:p>
    <w:p>
      <w:pPr>
        <w:ind w:right="100" w:firstLine="2290"/>
        <w:spacing w:after="0"/>
        <w:tabs>
          <w:tab w:leader="none" w:pos="2967"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number of shares of Stock acquired pursuant to the Predecessor Plan subject to forfeiture or repurchase by the Company for an amount not greater than the Participant’s purchase price which, on or after the Effective Date, is so forfeited or repurchased;</w:t>
      </w:r>
    </w:p>
    <w:p>
      <w:pPr>
        <w:spacing w:after="0" w:line="186" w:lineRule="exact"/>
        <w:rPr>
          <w:sz w:val="20"/>
          <w:szCs w:val="20"/>
          <w:color w:val="auto"/>
        </w:rPr>
      </w:pPr>
    </w:p>
    <w:p>
      <w:pPr>
        <w:ind w:right="580"/>
        <w:spacing w:after="0" w:line="328" w:lineRule="auto"/>
        <w:rPr>
          <w:sz w:val="20"/>
          <w:szCs w:val="20"/>
          <w:color w:val="auto"/>
        </w:rPr>
      </w:pPr>
      <w:r>
        <w:rPr>
          <w:rFonts w:ascii="Arial" w:cs="Arial" w:eastAsia="Arial" w:hAnsi="Arial"/>
          <w:sz w:val="19"/>
          <w:szCs w:val="19"/>
          <w:color w:val="auto"/>
        </w:rPr>
        <w:t>provided, however, that the aggregate number of shares of Stock authorized for issuance under the Predecessor Plan that may become authorized for issuance under the Plan pursuant to this Section 4.2 shall not exceed one million (1,000,000) shares.</w:t>
      </w:r>
    </w:p>
    <w:p>
      <w:pPr>
        <w:spacing w:after="0" w:line="99" w:lineRule="exact"/>
        <w:rPr>
          <w:sz w:val="20"/>
          <w:szCs w:val="20"/>
          <w:color w:val="auto"/>
        </w:rPr>
      </w:pPr>
    </w:p>
    <w:p>
      <w:pPr>
        <w:ind w:right="20" w:firstLine="1712"/>
        <w:spacing w:after="0" w:line="274"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Share Counting.</w:t>
      </w:r>
      <w:r>
        <w:rPr>
          <w:rFonts w:ascii="Arial" w:cs="Arial" w:eastAsia="Arial" w:hAnsi="Arial"/>
          <w:sz w:val="19"/>
          <w:szCs w:val="19"/>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by the gross number of shares for which the Option is exercised. Shares purchased in the open market with proceeds from the exercise of Options shall not be added to the limit set forth in Section 4.1.</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Shares withheld or reacquired by the Company in satisfaction of tax withholding obligations pursuant to the exercise or settlement of Options or SARs pursuant to Section 16.2 shall not again be available for issuance under the Plan. Shares withheld or reacquired by the Company in satisfaction of tax withholding obligations pursuant to the vesting or settlement of Full Value Awards pursuant to Section 16.2 shall not again be available for issuance under the Plan.</w:t>
      </w:r>
    </w:p>
    <w:p>
      <w:pPr>
        <w:spacing w:after="0" w:line="179" w:lineRule="exact"/>
        <w:rPr>
          <w:sz w:val="20"/>
          <w:szCs w:val="20"/>
          <w:color w:val="auto"/>
        </w:rPr>
      </w:pPr>
    </w:p>
    <w:p>
      <w:pPr>
        <w:ind w:firstLine="1712"/>
        <w:spacing w:after="0" w:line="27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Adjustments for Changes in Capital Structure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Award limits set forth in Section 5.3 and Section 5.4,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New Shares</w:t>
      </w:r>
      <w:r>
        <w:rPr>
          <w:rFonts w:ascii="Arial" w:cs="Arial" w:eastAsia="Arial" w:hAnsi="Arial"/>
          <w:sz w:val="19"/>
          <w:szCs w:val="19"/>
          <w:i w:val="1"/>
          <w:iCs w:val="1"/>
          <w:color w:val="auto"/>
        </w:rPr>
        <w:t>”</w:t>
      </w:r>
      <w:r>
        <w:rPr>
          <w:rFonts w:ascii="Arial" w:cs="Arial" w:eastAsia="Arial" w:hAnsi="Arial"/>
          <w:sz w:val="19"/>
          <w:szCs w:val="19"/>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57" w:lineRule="exact"/>
        <w:rPr>
          <w:sz w:val="20"/>
          <w:szCs w:val="20"/>
          <w:color w:val="auto"/>
        </w:rPr>
      </w:pPr>
    </w:p>
    <w:p>
      <w:pPr>
        <w:ind w:right="60" w:firstLine="1712"/>
        <w:spacing w:after="0" w:line="289"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b w:val="1"/>
          <w:bCs w:val="1"/>
          <w:color w:val="auto"/>
        </w:rPr>
        <w:t>Assumption or Substitution of Awards.</w:t>
      </w:r>
      <w:r>
        <w:rPr>
          <w:rFonts w:ascii="Arial" w:cs="Arial" w:eastAsia="Arial" w:hAnsi="Arial"/>
          <w:sz w:val="19"/>
          <w:szCs w:val="19"/>
          <w:color w:val="auto"/>
        </w:rPr>
        <w:t xml:space="preserve"> 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20" w:hanging="813"/>
        <w:spacing w:after="0"/>
        <w:tabs>
          <w:tab w:leader="none" w:pos="1620"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LIGIBILITY</w:t>
      </w:r>
      <w:r>
        <w:rPr>
          <w:rFonts w:ascii="Arial" w:cs="Arial" w:eastAsia="Arial" w:hAnsi="Arial"/>
          <w:sz w:val="22"/>
          <w:szCs w:val="22"/>
          <w:b w:val="1"/>
          <w:bCs w:val="1"/>
          <w:u w:val="single" w:color="auto"/>
          <w:color w:val="auto"/>
        </w:rPr>
        <w:t>, P</w:t>
      </w:r>
      <w:r>
        <w:rPr>
          <w:rFonts w:ascii="Arial" w:cs="Arial" w:eastAsia="Arial" w:hAnsi="Arial"/>
          <w:sz w:val="18"/>
          <w:szCs w:val="18"/>
          <w:b w:val="1"/>
          <w:bCs w:val="1"/>
          <w:u w:val="single" w:color="auto"/>
          <w:color w:val="auto"/>
        </w:rPr>
        <w:t>ARTICIPATION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L</w:t>
      </w:r>
      <w:r>
        <w:rPr>
          <w:rFonts w:ascii="Arial" w:cs="Arial" w:eastAsia="Arial" w:hAnsi="Arial"/>
          <w:sz w:val="18"/>
          <w:szCs w:val="18"/>
          <w:b w:val="1"/>
          <w:bCs w:val="1"/>
          <w:u w:val="single" w:color="auto"/>
          <w:color w:val="auto"/>
        </w:rPr>
        <w:t>IMITATIONS</w:t>
      </w:r>
      <w:r>
        <w:rPr>
          <w:rFonts w:ascii="Arial" w:cs="Arial" w:eastAsia="Arial" w:hAnsi="Arial"/>
          <w:sz w:val="22"/>
          <w:szCs w:val="22"/>
          <w:b w:val="1"/>
          <w:bCs w:val="1"/>
          <w:color w:val="auto"/>
        </w:rPr>
        <w:t>.</w:t>
      </w:r>
    </w:p>
    <w:p>
      <w:pPr>
        <w:spacing w:after="0" w:line="206" w:lineRule="exact"/>
        <w:rPr>
          <w:sz w:val="20"/>
          <w:szCs w:val="20"/>
          <w:color w:val="auto"/>
        </w:rPr>
      </w:pPr>
    </w:p>
    <w:p>
      <w:pPr>
        <w:ind w:left="1720"/>
        <w:spacing w:after="0"/>
        <w:tabs>
          <w:tab w:leader="none" w:pos="21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 xml:space="preserve">Persons Eligible for Awards. </w:t>
      </w:r>
      <w:r>
        <w:rPr>
          <w:rFonts w:ascii="Arial" w:cs="Arial" w:eastAsia="Arial" w:hAnsi="Arial"/>
          <w:sz w:val="19"/>
          <w:szCs w:val="19"/>
          <w:color w:val="auto"/>
        </w:rPr>
        <w:t>Awards may be granted only to Employees, Consultants and Directors.</w:t>
      </w:r>
    </w:p>
    <w:p>
      <w:pPr>
        <w:spacing w:after="0" w:line="206" w:lineRule="exact"/>
        <w:rPr>
          <w:sz w:val="20"/>
          <w:szCs w:val="20"/>
          <w:color w:val="auto"/>
        </w:rPr>
      </w:pPr>
    </w:p>
    <w:p>
      <w:pPr>
        <w:jc w:val="both"/>
        <w:ind w:firstLine="1712"/>
        <w:spacing w:after="0" w:line="243"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Participation in the Plan.</w:t>
      </w:r>
      <w:r>
        <w:rPr>
          <w:rFonts w:ascii="Arial" w:cs="Arial" w:eastAsia="Arial" w:hAnsi="Arial"/>
          <w:sz w:val="22"/>
          <w:szCs w:val="22"/>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77" w:lineRule="exact"/>
        <w:rPr>
          <w:sz w:val="20"/>
          <w:szCs w:val="20"/>
          <w:color w:val="auto"/>
        </w:rPr>
      </w:pPr>
    </w:p>
    <w:p>
      <w:pPr>
        <w:ind w:left="1720"/>
        <w:spacing w:after="0"/>
        <w:tabs>
          <w:tab w:leader="none" w:pos="21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Incentive Stock Option Limitations.</w:t>
      </w:r>
    </w:p>
    <w:p>
      <w:pPr>
        <w:spacing w:after="0" w:line="212" w:lineRule="exact"/>
        <w:rPr>
          <w:sz w:val="20"/>
          <w:szCs w:val="20"/>
          <w:color w:val="auto"/>
        </w:rPr>
      </w:pPr>
    </w:p>
    <w:p>
      <w:pPr>
        <w:ind w:right="80" w:firstLine="2290"/>
        <w:spacing w:after="0" w:line="282" w:lineRule="auto"/>
        <w:tabs>
          <w:tab w:leader="none" w:pos="2846"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Maximum Number of Shares Issuable Pursuant to Incentive Stock Options. </w:t>
      </w:r>
      <w:r>
        <w:rPr>
          <w:rFonts w:ascii="Arial" w:cs="Arial" w:eastAsia="Arial" w:hAnsi="Arial"/>
          <w:sz w:val="19"/>
          <w:szCs w:val="19"/>
          <w:color w:val="auto"/>
        </w:rPr>
        <w:t>Subject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adjustment as provided in Section 4.4, the maximum aggregate number of shares of Stock that may be issued under the Plan pursuant to the exercise of Incentive Stock Options shall not exceed three million (3,000,000) shares. The maximum aggregate number of shares of Stock that may be issued under the Plan pursuant to all Awards other than Incentive Stock Options shall be the number of shares determined in accordance with Section 4.1, subject to adjustment as provided in Sections 4.2, 4.3 and 4.4.</w:t>
      </w:r>
    </w:p>
    <w:p>
      <w:pPr>
        <w:spacing w:after="0" w:line="147" w:lineRule="exact"/>
        <w:rPr>
          <w:rFonts w:ascii="Arial" w:cs="Arial" w:eastAsia="Arial" w:hAnsi="Arial"/>
          <w:sz w:val="19"/>
          <w:szCs w:val="19"/>
          <w:color w:val="auto"/>
        </w:rPr>
      </w:pPr>
    </w:p>
    <w:p>
      <w:pPr>
        <w:ind w:right="260" w:firstLine="2290"/>
        <w:spacing w:after="0" w:line="252" w:lineRule="auto"/>
        <w:tabs>
          <w:tab w:leader="none" w:pos="2859" w:val="left"/>
        </w:tabs>
        <w:numPr>
          <w:ilvl w:val="0"/>
          <w:numId w:val="9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Persons Eligible. </w:t>
      </w:r>
      <w:r>
        <w:rPr>
          <w:rFonts w:ascii="Arial" w:cs="Arial" w:eastAsia="Arial" w:hAnsi="Arial"/>
          <w:sz w:val="21"/>
          <w:szCs w:val="21"/>
          <w:color w:val="auto"/>
        </w:rPr>
        <w:t>An Incentive Stock Option may be granted only to a person who, 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effective date of grant, is an Employee of the Company, a Parent Corporation or a Subsidiary Corporation (each being an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ISO-Qualifying Corporation</w:t>
      </w:r>
      <w:r>
        <w:rPr>
          <w:rFonts w:ascii="Arial" w:cs="Arial" w:eastAsia="Arial" w:hAnsi="Arial"/>
          <w:sz w:val="21"/>
          <w:szCs w:val="21"/>
          <w:i w:val="1"/>
          <w:iCs w:val="1"/>
          <w:color w:val="auto"/>
        </w:rPr>
        <w:t>”</w:t>
      </w:r>
      <w:r>
        <w:rPr>
          <w:rFonts w:ascii="Arial" w:cs="Arial" w:eastAsia="Arial" w:hAnsi="Arial"/>
          <w:sz w:val="21"/>
          <w:szCs w:val="21"/>
          <w:color w:val="auto"/>
        </w:rPr>
        <w:t>). Any person who is not an Employee of an ISO-Qualifying Corporation on the effective date of</w:t>
      </w:r>
      <w:r>
        <w:rPr>
          <w:rFonts w:ascii="Arial" w:cs="Arial" w:eastAsia="Arial" w:hAnsi="Arial"/>
          <w:sz w:val="21"/>
          <w:szCs w:val="21"/>
          <w:i w:val="1"/>
          <w:iCs w:val="1"/>
          <w:color w:val="auto"/>
        </w:rPr>
        <w:t xml:space="preserve"> </w:t>
      </w:r>
      <w:r>
        <w:rPr>
          <w:rFonts w:ascii="Arial" w:cs="Arial" w:eastAsia="Arial" w:hAnsi="Arial"/>
          <w:sz w:val="21"/>
          <w:szCs w:val="21"/>
          <w:color w:val="auto"/>
        </w:rPr>
        <w:t>the grant of an Option to such person may be granted only a Nonstatutory Stock Option.</w:t>
      </w:r>
    </w:p>
    <w:p>
      <w:pPr>
        <w:spacing w:after="0" w:line="174" w:lineRule="exact"/>
        <w:rPr>
          <w:rFonts w:ascii="Arial" w:cs="Arial" w:eastAsia="Arial" w:hAnsi="Arial"/>
          <w:sz w:val="21"/>
          <w:szCs w:val="21"/>
          <w:color w:val="auto"/>
        </w:rPr>
      </w:pPr>
    </w:p>
    <w:p>
      <w:pPr>
        <w:ind w:right="100" w:firstLine="2290"/>
        <w:spacing w:after="0" w:line="272" w:lineRule="auto"/>
        <w:tabs>
          <w:tab w:leader="none" w:pos="2846"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Fair Market Value Limitation. </w:t>
      </w:r>
      <w:r>
        <w:rPr>
          <w:rFonts w:ascii="Arial" w:cs="Arial" w:eastAsia="Arial" w:hAnsi="Arial"/>
          <w:sz w:val="19"/>
          <w:szCs w:val="19"/>
          <w:color w:val="auto"/>
        </w:rPr>
        <w:t>To the extent that options designated as Incentive Stock Options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56" w:lineRule="exact"/>
        <w:rPr>
          <w:sz w:val="20"/>
          <w:szCs w:val="20"/>
          <w:color w:val="auto"/>
        </w:rPr>
      </w:pPr>
    </w:p>
    <w:p>
      <w:pPr>
        <w:ind w:right="20" w:firstLine="1712"/>
        <w:spacing w:after="0" w:line="24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Section 162(m) Award Limits.</w:t>
      </w:r>
      <w:r>
        <w:rPr>
          <w:rFonts w:ascii="Arial" w:cs="Arial" w:eastAsia="Arial" w:hAnsi="Arial"/>
          <w:sz w:val="22"/>
          <w:szCs w:val="22"/>
          <w:color w:val="auto"/>
        </w:rPr>
        <w:t xml:space="preserve"> Subject to adjustment as provided in Section 4.4, no Covered Employee shall be granted within any fiscal year of the Company one or more Awards intended to qualify for treatment as Performance-Based Compensation which in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aggregate are for more than two million (2,000,000) shares or, if applicable, which could result in such Covered Employee receiving more than five million dollars ($5,000,000) for each full fiscal year of the Company contained in the Performance Period for such Award.</w:t>
      </w:r>
    </w:p>
    <w:p>
      <w:pPr>
        <w:spacing w:after="0" w:line="180" w:lineRule="exact"/>
        <w:rPr>
          <w:sz w:val="20"/>
          <w:szCs w:val="20"/>
          <w:color w:val="auto"/>
        </w:rPr>
      </w:pPr>
    </w:p>
    <w:p>
      <w:pPr>
        <w:ind w:right="80" w:firstLine="1712"/>
        <w:spacing w:after="0" w:line="237"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b w:val="1"/>
          <w:bCs w:val="1"/>
          <w:color w:val="auto"/>
        </w:rPr>
        <w:t>Nonemployee Director Award Limit.</w:t>
      </w:r>
      <w:r>
        <w:rPr>
          <w:rFonts w:ascii="Arial" w:cs="Arial" w:eastAsia="Arial" w:hAnsi="Arial"/>
          <w:sz w:val="22"/>
          <w:szCs w:val="22"/>
          <w:color w:val="auto"/>
        </w:rPr>
        <w:t xml:space="preserve"> No Nonemployee Director shall be granted within any fiscal year of the Company one or more Nonemployee Director Awards pursuant to the Plan which in the aggregate are for more than a number of shares of Stock determined by dividing two hundred thousand dollars ($200,000) by the Fair Market Value of a share of Stock determined on the last trading day immediately preceding the date on which the applicable Nonemployee Director Award is granted.</w:t>
      </w:r>
    </w:p>
    <w:p>
      <w:pPr>
        <w:spacing w:after="0" w:line="183" w:lineRule="exact"/>
        <w:rPr>
          <w:sz w:val="20"/>
          <w:szCs w:val="20"/>
          <w:color w:val="auto"/>
        </w:rPr>
      </w:pPr>
    </w:p>
    <w:p>
      <w:pPr>
        <w:ind w:right="20" w:firstLine="1712"/>
        <w:spacing w:after="0" w:line="23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b w:val="1"/>
          <w:bCs w:val="1"/>
          <w:color w:val="auto"/>
        </w:rPr>
        <w:t>Minimum Vesting.</w:t>
      </w:r>
      <w:r>
        <w:rPr>
          <w:rFonts w:ascii="Arial" w:cs="Arial" w:eastAsia="Arial" w:hAnsi="Arial"/>
          <w:sz w:val="22"/>
          <w:szCs w:val="22"/>
          <w:color w:val="auto"/>
        </w:rPr>
        <w:t xml:space="preserve"> Except with respect to five percent (5%) of the maximum aggregate number of shares of Stock that may be issued under the Plan, as provided in Section 4, no Award which vests on the basis of the Participant’s continued Service shall vest earlier than one year following the date of grant of such Award and no Award which vests on the basis of attainment of performance goals shall provide for a performance period of less than one year; provided, however, that such limitations shall not preclude the acceleration of vesting of such Award upon the death, disability, or in connection with a Change in Control, as provided herein.</w:t>
      </w:r>
    </w:p>
    <w:p>
      <w:pPr>
        <w:spacing w:after="0" w:line="182" w:lineRule="exact"/>
        <w:rPr>
          <w:sz w:val="20"/>
          <w:szCs w:val="20"/>
          <w:color w:val="auto"/>
        </w:rPr>
      </w:pPr>
    </w:p>
    <w:p>
      <w:pPr>
        <w:ind w:left="1560" w:hanging="753"/>
        <w:spacing w:after="0"/>
        <w:tabs>
          <w:tab w:leader="none" w:pos="1560" w:val="left"/>
        </w:tabs>
        <w:numPr>
          <w:ilvl w:val="0"/>
          <w:numId w:val="92"/>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w:t>
      </w:r>
      <w:r>
        <w:rPr>
          <w:rFonts w:ascii="Arial" w:cs="Arial" w:eastAsia="Arial" w:hAnsi="Arial"/>
          <w:sz w:val="18"/>
          <w:szCs w:val="18"/>
          <w:b w:val="1"/>
          <w:bCs w:val="1"/>
          <w:u w:val="single" w:color="auto"/>
          <w:color w:val="auto"/>
        </w:rPr>
        <w:t>PTIONS</w:t>
      </w:r>
      <w:r>
        <w:rPr>
          <w:rFonts w:ascii="Arial" w:cs="Arial" w:eastAsia="Arial" w:hAnsi="Arial"/>
          <w:sz w:val="22"/>
          <w:szCs w:val="22"/>
          <w:b w:val="1"/>
          <w:bCs w:val="1"/>
          <w:color w:val="auto"/>
        </w:rPr>
        <w:t>.</w:t>
      </w:r>
    </w:p>
    <w:p>
      <w:pPr>
        <w:spacing w:after="0" w:line="212" w:lineRule="exact"/>
        <w:rPr>
          <w:sz w:val="20"/>
          <w:szCs w:val="20"/>
          <w:color w:val="auto"/>
        </w:rPr>
      </w:pPr>
    </w:p>
    <w:p>
      <w:pPr>
        <w:ind w:right="80" w:firstLine="1712"/>
        <w:spacing w:after="0"/>
        <w:rPr>
          <w:sz w:val="20"/>
          <w:szCs w:val="20"/>
          <w:color w:val="auto"/>
        </w:rPr>
      </w:pPr>
      <w:r>
        <w:rPr>
          <w:rFonts w:ascii="Arial" w:cs="Arial" w:eastAsia="Arial" w:hAnsi="Arial"/>
          <w:sz w:val="22"/>
          <w:szCs w:val="22"/>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80" w:lineRule="exact"/>
        <w:rPr>
          <w:sz w:val="20"/>
          <w:szCs w:val="20"/>
          <w:color w:val="auto"/>
        </w:rPr>
      </w:pPr>
    </w:p>
    <w:p>
      <w:pPr>
        <w:ind w:firstLine="1712"/>
        <w:spacing w:after="0" w:line="235"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Exercise Price.</w:t>
      </w:r>
      <w:r>
        <w:rPr>
          <w:rFonts w:ascii="Arial" w:cs="Arial" w:eastAsia="Arial" w:hAnsi="Arial"/>
          <w:sz w:val="22"/>
          <w:szCs w:val="22"/>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79" w:lineRule="exact"/>
        <w:rPr>
          <w:sz w:val="20"/>
          <w:szCs w:val="20"/>
          <w:color w:val="auto"/>
        </w:rPr>
      </w:pPr>
    </w:p>
    <w:p>
      <w:pPr>
        <w:ind w:firstLine="1712"/>
        <w:spacing w:after="0" w:line="27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Exercisability and Term of Options.</w:t>
      </w:r>
      <w:r>
        <w:rPr>
          <w:rFonts w:ascii="Arial" w:cs="Arial" w:eastAsia="Arial" w:hAnsi="Arial"/>
          <w:sz w:val="19"/>
          <w:szCs w:val="19"/>
          <w:color w:val="auto"/>
        </w:rPr>
        <w:t xml:space="preserve"> Subject to the minimum vesting provisions of Section 5.6,]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37" w:lineRule="exact"/>
        <w:rPr>
          <w:sz w:val="20"/>
          <w:szCs w:val="20"/>
          <w:color w:val="auto"/>
        </w:rPr>
      </w:pPr>
    </w:p>
    <w:p>
      <w:pPr>
        <w:ind w:left="1720"/>
        <w:spacing w:after="0"/>
        <w:tabs>
          <w:tab w:leader="none" w:pos="230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Payment of Exercise Price.</w:t>
      </w:r>
    </w:p>
    <w:p>
      <w:pPr>
        <w:spacing w:after="0" w:line="212" w:lineRule="exact"/>
        <w:rPr>
          <w:sz w:val="20"/>
          <w:szCs w:val="20"/>
          <w:color w:val="auto"/>
        </w:rPr>
      </w:pPr>
    </w:p>
    <w:p>
      <w:pPr>
        <w:ind w:right="100" w:firstLine="2404"/>
        <w:spacing w:after="0" w:line="277" w:lineRule="auto"/>
        <w:tabs>
          <w:tab w:leader="none" w:pos="2960" w:val="left"/>
        </w:tabs>
        <w:numPr>
          <w:ilvl w:val="0"/>
          <w:numId w:val="9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Forms of Consideration Authorized. </w:t>
      </w:r>
      <w:r>
        <w:rPr>
          <w:rFonts w:ascii="Arial" w:cs="Arial" w:eastAsia="Arial" w:hAnsi="Arial"/>
          <w:sz w:val="19"/>
          <w:szCs w:val="19"/>
          <w:color w:val="auto"/>
        </w:rPr>
        <w:t>Except as otherwise provided below, payment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52" w:lineRule="exact"/>
        <w:rPr>
          <w:rFonts w:ascii="Arial" w:cs="Arial" w:eastAsia="Arial" w:hAnsi="Arial"/>
          <w:sz w:val="19"/>
          <w:szCs w:val="19"/>
          <w:color w:val="auto"/>
        </w:rPr>
      </w:pPr>
    </w:p>
    <w:p>
      <w:pPr>
        <w:ind w:left="2980" w:hanging="576"/>
        <w:spacing w:after="0"/>
        <w:tabs>
          <w:tab w:leader="none" w:pos="2980" w:val="left"/>
        </w:tabs>
        <w:numPr>
          <w:ilvl w:val="0"/>
          <w:numId w:val="93"/>
        </w:numPr>
        <w:rPr>
          <w:rFonts w:ascii="Arial" w:cs="Arial" w:eastAsia="Arial" w:hAnsi="Arial"/>
          <w:sz w:val="22"/>
          <w:szCs w:val="22"/>
          <w:color w:val="auto"/>
        </w:rPr>
      </w:pPr>
      <w:r>
        <w:rPr>
          <w:rFonts w:ascii="Arial" w:cs="Arial" w:eastAsia="Arial" w:hAnsi="Arial"/>
          <w:sz w:val="22"/>
          <w:szCs w:val="22"/>
          <w:b w:val="1"/>
          <w:bCs w:val="1"/>
          <w:i w:val="1"/>
          <w:iCs w:val="1"/>
          <w:color w:val="auto"/>
        </w:rPr>
        <w:t>Limitations on Forms of Consideration.</w:t>
      </w:r>
    </w:p>
    <w:p>
      <w:pPr>
        <w:spacing w:after="0" w:line="200" w:lineRule="exact"/>
        <w:rPr>
          <w:rFonts w:ascii="Arial" w:cs="Arial" w:eastAsia="Arial" w:hAnsi="Arial"/>
          <w:sz w:val="22"/>
          <w:szCs w:val="22"/>
          <w:color w:val="auto"/>
        </w:rPr>
      </w:pPr>
    </w:p>
    <w:p>
      <w:pPr>
        <w:ind w:firstLine="3089"/>
        <w:spacing w:after="0" w:line="247" w:lineRule="auto"/>
        <w:tabs>
          <w:tab w:leader="none" w:pos="3501" w:val="left"/>
        </w:tabs>
        <w:numPr>
          <w:ilvl w:val="1"/>
          <w:numId w:val="93"/>
        </w:numPr>
        <w:rPr>
          <w:rFonts w:ascii="Arial" w:cs="Arial" w:eastAsia="Arial" w:hAnsi="Arial"/>
          <w:sz w:val="21"/>
          <w:szCs w:val="21"/>
          <w:color w:val="auto"/>
        </w:rPr>
      </w:pPr>
      <w:r>
        <w:rPr>
          <w:rFonts w:ascii="Arial" w:cs="Arial" w:eastAsia="Arial" w:hAnsi="Arial"/>
          <w:sz w:val="21"/>
          <w:szCs w:val="21"/>
          <w:b w:val="1"/>
          <w:bCs w:val="1"/>
          <w:color w:val="auto"/>
        </w:rPr>
        <w:t xml:space="preserve">Cashless Exercise. </w:t>
      </w:r>
      <w:r>
        <w:rPr>
          <w:rFonts w:ascii="Arial" w:cs="Arial" w:eastAsia="Arial" w:hAnsi="Arial"/>
          <w:sz w:val="21"/>
          <w:szCs w:val="21"/>
          <w:color w:val="auto"/>
        </w:rPr>
        <w:t>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Cashless Exercise</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delivery of a properly executed</w:t>
      </w:r>
      <w:r>
        <w:rPr>
          <w:rFonts w:ascii="Arial" w:cs="Arial" w:eastAsia="Arial" w:hAnsi="Arial"/>
          <w:sz w:val="21"/>
          <w:szCs w:val="21"/>
          <w:b w:val="1"/>
          <w:bCs w:val="1"/>
          <w:color w:val="auto"/>
        </w:rPr>
        <w:t xml:space="preserve"> </w:t>
      </w:r>
      <w:r>
        <w:rPr>
          <w:rFonts w:ascii="Arial" w:cs="Arial" w:eastAsia="Arial" w:hAnsi="Arial"/>
          <w:sz w:val="21"/>
          <w:szCs w:val="21"/>
          <w:color w:val="auto"/>
        </w:rPr>
        <w:t>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72" w:lineRule="exact"/>
        <w:rPr>
          <w:rFonts w:ascii="Arial" w:cs="Arial" w:eastAsia="Arial" w:hAnsi="Arial"/>
          <w:sz w:val="21"/>
          <w:szCs w:val="21"/>
          <w:color w:val="auto"/>
        </w:rPr>
      </w:pPr>
    </w:p>
    <w:p>
      <w:pPr>
        <w:ind w:right="100" w:firstLine="3089"/>
        <w:spacing w:after="0" w:line="246" w:lineRule="auto"/>
        <w:tabs>
          <w:tab w:leader="none" w:pos="3507" w:val="left"/>
        </w:tabs>
        <w:numPr>
          <w:ilvl w:val="1"/>
          <w:numId w:val="93"/>
        </w:numPr>
        <w:rPr>
          <w:rFonts w:ascii="Arial" w:cs="Arial" w:eastAsia="Arial" w:hAnsi="Arial"/>
          <w:sz w:val="21"/>
          <w:szCs w:val="21"/>
          <w:color w:val="auto"/>
        </w:rPr>
      </w:pPr>
      <w:r>
        <w:rPr>
          <w:rFonts w:ascii="Arial" w:cs="Arial" w:eastAsia="Arial" w:hAnsi="Arial"/>
          <w:sz w:val="21"/>
          <w:szCs w:val="21"/>
          <w:b w:val="1"/>
          <w:bCs w:val="1"/>
          <w:color w:val="auto"/>
        </w:rPr>
        <w:t xml:space="preserve">Stock Tender Exercise. </w:t>
      </w:r>
      <w:r>
        <w:rPr>
          <w:rFonts w:ascii="Arial" w:cs="Arial" w:eastAsia="Arial" w:hAnsi="Arial"/>
          <w:sz w:val="21"/>
          <w:szCs w:val="21"/>
          <w:color w:val="auto"/>
        </w:rPr>
        <w:t>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Stock Tender Exercise</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delivery of a properly</w:t>
      </w:r>
      <w:r>
        <w:rPr>
          <w:rFonts w:ascii="Arial" w:cs="Arial" w:eastAsia="Arial" w:hAnsi="Arial"/>
          <w:sz w:val="21"/>
          <w:szCs w:val="21"/>
          <w:b w:val="1"/>
          <w:bCs w:val="1"/>
          <w:color w:val="auto"/>
        </w:rPr>
        <w:t xml:space="preserve"> </w:t>
      </w:r>
      <w:r>
        <w:rPr>
          <w:rFonts w:ascii="Arial" w:cs="Arial" w:eastAsia="Arial" w:hAnsi="Arial"/>
          <w:sz w:val="21"/>
          <w:szCs w:val="21"/>
          <w:color w:val="auto"/>
        </w:rPr>
        <w:t>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76" w:lineRule="exact"/>
        <w:rPr>
          <w:rFonts w:ascii="Arial" w:cs="Arial" w:eastAsia="Arial" w:hAnsi="Arial"/>
          <w:sz w:val="21"/>
          <w:szCs w:val="21"/>
          <w:color w:val="auto"/>
        </w:rPr>
      </w:pPr>
    </w:p>
    <w:p>
      <w:pPr>
        <w:ind w:right="540" w:firstLine="3089"/>
        <w:spacing w:after="0" w:line="256" w:lineRule="auto"/>
        <w:tabs>
          <w:tab w:leader="none" w:pos="3513" w:val="left"/>
        </w:tabs>
        <w:numPr>
          <w:ilvl w:val="1"/>
          <w:numId w:val="93"/>
        </w:numPr>
        <w:rPr>
          <w:rFonts w:ascii="Arial" w:cs="Arial" w:eastAsia="Arial" w:hAnsi="Arial"/>
          <w:sz w:val="22"/>
          <w:szCs w:val="22"/>
          <w:color w:val="auto"/>
        </w:rPr>
      </w:pPr>
      <w:r>
        <w:rPr>
          <w:rFonts w:ascii="Arial" w:cs="Arial" w:eastAsia="Arial" w:hAnsi="Arial"/>
          <w:sz w:val="22"/>
          <w:szCs w:val="22"/>
          <w:b w:val="1"/>
          <w:bCs w:val="1"/>
          <w:color w:val="auto"/>
        </w:rPr>
        <w:t xml:space="preserve">Net Exercise. </w:t>
      </w:r>
      <w:r>
        <w:rPr>
          <w:rFonts w:ascii="Arial" w:cs="Arial" w:eastAsia="Arial" w:hAnsi="Arial"/>
          <w:sz w:val="22"/>
          <w:szCs w:val="22"/>
          <w:color w:val="auto"/>
        </w:rPr>
        <w:t>A</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Net Exercise</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delivery of a properly executed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followed by a procedure pursuant to which (1) the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68" w:lineRule="exact"/>
        <w:rPr>
          <w:sz w:val="20"/>
          <w:szCs w:val="20"/>
          <w:color w:val="auto"/>
        </w:rPr>
      </w:pPr>
    </w:p>
    <w:p>
      <w:pPr>
        <w:ind w:left="1720"/>
        <w:spacing w:after="0"/>
        <w:tabs>
          <w:tab w:leader="none" w:pos="21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color w:val="auto"/>
        </w:rPr>
        <w:t>Effect of Termination of Service.</w:t>
      </w:r>
    </w:p>
    <w:p>
      <w:pPr>
        <w:spacing w:after="0" w:line="212" w:lineRule="exact"/>
        <w:rPr>
          <w:sz w:val="20"/>
          <w:szCs w:val="20"/>
          <w:color w:val="auto"/>
        </w:rPr>
      </w:pPr>
    </w:p>
    <w:p>
      <w:pPr>
        <w:ind w:right="80" w:firstLine="2290"/>
        <w:spacing w:after="0" w:line="287" w:lineRule="auto"/>
        <w:tabs>
          <w:tab w:leader="none" w:pos="2792" w:val="left"/>
        </w:tabs>
        <w:numPr>
          <w:ilvl w:val="1"/>
          <w:numId w:val="9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Option Exercisability. </w:t>
      </w:r>
      <w:r>
        <w:rPr>
          <w:rFonts w:ascii="Arial" w:cs="Arial" w:eastAsia="Arial" w:hAnsi="Arial"/>
          <w:sz w:val="19"/>
          <w:szCs w:val="19"/>
          <w:color w:val="auto"/>
        </w:rPr>
        <w:t>Subject to earlier termination of the Option as otherwise provided by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and unless otherwise provided by the Committee,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137" w:lineRule="exact"/>
        <w:rPr>
          <w:rFonts w:ascii="Arial" w:cs="Arial" w:eastAsia="Arial" w:hAnsi="Arial"/>
          <w:sz w:val="19"/>
          <w:szCs w:val="19"/>
          <w:color w:val="auto"/>
        </w:rPr>
      </w:pPr>
    </w:p>
    <w:p>
      <w:pPr>
        <w:ind w:right="140" w:firstLine="2861"/>
        <w:spacing w:after="0" w:line="280" w:lineRule="auto"/>
        <w:tabs>
          <w:tab w:leader="none" w:pos="3381" w:val="left"/>
        </w:tabs>
        <w:numPr>
          <w:ilvl w:val="2"/>
          <w:numId w:val="94"/>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If the Participant’s Service terminates because of the Disability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provided by the Award Agreement) after the date on which the Participant’s Service terminated, but in any event no later than the date of expiration of the Option’s term as set forth in the Award Agreement evidencing such Option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 Expiration Date</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firstLine="2861"/>
        <w:spacing w:after="0" w:line="271" w:lineRule="auto"/>
        <w:tabs>
          <w:tab w:leader="none" w:pos="3387" w:val="left"/>
        </w:tabs>
        <w:numPr>
          <w:ilvl w:val="2"/>
          <w:numId w:val="94"/>
        </w:numPr>
        <w:rPr>
          <w:rFonts w:ascii="Arial" w:cs="Arial" w:eastAsia="Arial" w:hAnsi="Arial"/>
          <w:sz w:val="19"/>
          <w:szCs w:val="19"/>
          <w:color w:val="auto"/>
        </w:rPr>
      </w:pPr>
      <w:r>
        <w:rPr>
          <w:rFonts w:ascii="Arial" w:cs="Arial" w:eastAsia="Arial" w:hAnsi="Arial"/>
          <w:sz w:val="19"/>
          <w:szCs w:val="19"/>
          <w:b w:val="1"/>
          <w:bCs w:val="1"/>
          <w:color w:val="auto"/>
        </w:rPr>
        <w:t xml:space="preserve">Death. </w:t>
      </w:r>
      <w:r>
        <w:rPr>
          <w:rFonts w:ascii="Arial" w:cs="Arial" w:eastAsia="Arial" w:hAnsi="Arial"/>
          <w:sz w:val="19"/>
          <w:szCs w:val="19"/>
          <w:color w:val="auto"/>
        </w:rPr>
        <w:t>If the Participant’s Service terminates because of the death of the Participant,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provided by the Award Agreement) after the date on which the Participant’s Service terminated, but in any event no later than the Option Expiration Date. The Participant’s Service shall be deemed to have terminated on account of death if the Participant dies within three</w:t>
      </w:r>
    </w:p>
    <w:p>
      <w:pPr>
        <w:spacing w:after="0" w:line="2" w:lineRule="exact"/>
        <w:rPr>
          <w:rFonts w:ascii="Arial" w:cs="Arial" w:eastAsia="Arial" w:hAnsi="Arial"/>
          <w:sz w:val="19"/>
          <w:szCs w:val="19"/>
          <w:color w:val="auto"/>
        </w:rPr>
      </w:pPr>
    </w:p>
    <w:p>
      <w:pPr>
        <w:ind w:left="320" w:hanging="312"/>
        <w:spacing w:after="0"/>
        <w:tabs>
          <w:tab w:leader="none" w:pos="3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months (or such longer or shorter period provided by the Award Agreement) after the Participant’s termination of Service.</w:t>
      </w:r>
    </w:p>
    <w:p>
      <w:pPr>
        <w:spacing w:after="0" w:line="216" w:lineRule="exact"/>
        <w:rPr>
          <w:rFonts w:ascii="Arial" w:cs="Arial" w:eastAsia="Arial" w:hAnsi="Arial"/>
          <w:sz w:val="19"/>
          <w:szCs w:val="19"/>
          <w:color w:val="auto"/>
        </w:rPr>
      </w:pPr>
    </w:p>
    <w:p>
      <w:pPr>
        <w:ind w:right="40" w:firstLine="2861"/>
        <w:spacing w:after="0" w:line="289" w:lineRule="auto"/>
        <w:tabs>
          <w:tab w:leader="none" w:pos="3393" w:val="left"/>
        </w:tabs>
        <w:numPr>
          <w:ilvl w:val="2"/>
          <w:numId w:val="95"/>
        </w:numPr>
        <w:rPr>
          <w:rFonts w:ascii="Arial" w:cs="Arial" w:eastAsia="Arial" w:hAnsi="Arial"/>
          <w:sz w:val="19"/>
          <w:szCs w:val="19"/>
          <w:color w:val="auto"/>
        </w:rPr>
      </w:pPr>
      <w:r>
        <w:rPr>
          <w:rFonts w:ascii="Arial" w:cs="Arial" w:eastAsia="Arial" w:hAnsi="Arial"/>
          <w:sz w:val="19"/>
          <w:szCs w:val="19"/>
          <w:b w:val="1"/>
          <w:bCs w:val="1"/>
          <w:color w:val="auto"/>
        </w:rPr>
        <w:t xml:space="preserve">Termination for Cause. </w:t>
      </w:r>
      <w:r>
        <w:rPr>
          <w:rFonts w:ascii="Arial" w:cs="Arial" w:eastAsia="Arial" w:hAnsi="Arial"/>
          <w:sz w:val="19"/>
          <w:szCs w:val="19"/>
          <w:color w:val="auto"/>
        </w:rPr>
        <w:t>Notwithstanding any other provision of the Plan to the contrary, if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36" w:lineRule="exact"/>
        <w:rPr>
          <w:rFonts w:ascii="Arial" w:cs="Arial" w:eastAsia="Arial" w:hAnsi="Arial"/>
          <w:sz w:val="19"/>
          <w:szCs w:val="19"/>
          <w:color w:val="auto"/>
        </w:rPr>
      </w:pPr>
    </w:p>
    <w:p>
      <w:pPr>
        <w:ind w:right="20" w:firstLine="2861"/>
        <w:spacing w:after="0" w:line="237" w:lineRule="auto"/>
        <w:tabs>
          <w:tab w:leader="none" w:pos="3381" w:val="left"/>
        </w:tabs>
        <w:numPr>
          <w:ilvl w:val="2"/>
          <w:numId w:val="95"/>
        </w:numPr>
        <w:rPr>
          <w:rFonts w:ascii="Arial" w:cs="Arial" w:eastAsia="Arial" w:hAnsi="Arial"/>
          <w:sz w:val="22"/>
          <w:szCs w:val="22"/>
          <w:color w:val="auto"/>
        </w:rPr>
      </w:pPr>
      <w:r>
        <w:rPr>
          <w:rFonts w:ascii="Arial" w:cs="Arial" w:eastAsia="Arial" w:hAnsi="Arial"/>
          <w:sz w:val="22"/>
          <w:szCs w:val="22"/>
          <w:b w:val="1"/>
          <w:bCs w:val="1"/>
          <w:color w:val="auto"/>
        </w:rPr>
        <w:t xml:space="preserve">Other Termination of Service. </w:t>
      </w:r>
      <w:r>
        <w:rPr>
          <w:rFonts w:ascii="Arial" w:cs="Arial" w:eastAsia="Arial" w:hAnsi="Arial"/>
          <w:sz w:val="22"/>
          <w:szCs w:val="22"/>
          <w:color w:val="auto"/>
        </w:rPr>
        <w:t>If the Participant’s Service terminates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Disability, death or Cause, the Option, to the extent unexercised and exercisable for vested shares on the date on which the Participant’s Service terminated, may be exercised by the Participant at any time prior to the expiration of three (3) months (or such longer or shorter period provided by the Award Agreement) after the date on which the Participant’s Service terminated, but in any event no later than the Option Expiration Date.</w:t>
      </w:r>
    </w:p>
    <w:p>
      <w:pPr>
        <w:spacing w:after="0" w:line="188" w:lineRule="exact"/>
        <w:rPr>
          <w:rFonts w:ascii="Arial" w:cs="Arial" w:eastAsia="Arial" w:hAnsi="Arial"/>
          <w:sz w:val="22"/>
          <w:szCs w:val="22"/>
          <w:color w:val="auto"/>
        </w:rPr>
      </w:pPr>
    </w:p>
    <w:p>
      <w:pPr>
        <w:ind w:right="60" w:firstLine="2290"/>
        <w:spacing w:after="0" w:line="236" w:lineRule="auto"/>
        <w:tabs>
          <w:tab w:leader="none" w:pos="2859" w:val="left"/>
        </w:tabs>
        <w:numPr>
          <w:ilvl w:val="1"/>
          <w:numId w:val="9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Extension if Exercise Prevented by Law. </w:t>
      </w:r>
      <w:r>
        <w:rPr>
          <w:rFonts w:ascii="Arial" w:cs="Arial" w:eastAsia="Arial" w:hAnsi="Arial"/>
          <w:sz w:val="22"/>
          <w:szCs w:val="22"/>
          <w:color w:val="auto"/>
        </w:rPr>
        <w:t>Notwithstanding the foregoing, other than termination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Service for Cause, if the exercise of an Option within the applicable time periods set forth in Section 6.4(a) is prevented by the provisions of Section 14 below, the Option shall remain exercisable until the later of (i) thirty (30) days after the date such exercise first would no longer be prevented by such provisions or (ii) the end of the applicable time period under Section 6.4(a), but in any event no later than the Option Expiration Date.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20" w:firstLine="1712"/>
        <w:spacing w:after="0" w:line="276"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color w:val="auto"/>
        </w:rPr>
        <w:t>Transferability of Options.</w:t>
      </w:r>
      <w:r>
        <w:rPr>
          <w:rFonts w:ascii="Arial" w:cs="Arial" w:eastAsia="Arial" w:hAnsi="Arial"/>
          <w:sz w:val="19"/>
          <w:szCs w:val="19"/>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51" w:lineRule="exact"/>
        <w:rPr>
          <w:sz w:val="20"/>
          <w:szCs w:val="20"/>
          <w:color w:val="auto"/>
        </w:rPr>
      </w:pPr>
    </w:p>
    <w:p>
      <w:pPr>
        <w:ind w:left="1620" w:hanging="813"/>
        <w:spacing w:after="0"/>
        <w:tabs>
          <w:tab w:leader="none" w:pos="1620"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PPRECIATION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IGHTS</w:t>
      </w:r>
      <w:r>
        <w:rPr>
          <w:rFonts w:ascii="Arial" w:cs="Arial" w:eastAsia="Arial" w:hAnsi="Arial"/>
          <w:sz w:val="22"/>
          <w:szCs w:val="22"/>
          <w:b w:val="1"/>
          <w:bCs w:val="1"/>
          <w:color w:val="auto"/>
        </w:rPr>
        <w:t>.</w:t>
      </w:r>
    </w:p>
    <w:p>
      <w:pPr>
        <w:spacing w:after="0" w:line="212" w:lineRule="exact"/>
        <w:rPr>
          <w:sz w:val="20"/>
          <w:szCs w:val="20"/>
          <w:color w:val="auto"/>
        </w:rPr>
      </w:pPr>
    </w:p>
    <w:p>
      <w:pPr>
        <w:ind w:right="180" w:firstLine="1712"/>
        <w:spacing w:after="0" w:line="297" w:lineRule="auto"/>
        <w:rPr>
          <w:sz w:val="20"/>
          <w:szCs w:val="20"/>
          <w:color w:val="auto"/>
        </w:rPr>
      </w:pPr>
      <w:r>
        <w:rPr>
          <w:rFonts w:ascii="Arial" w:cs="Arial" w:eastAsia="Arial" w:hAnsi="Arial"/>
          <w:sz w:val="19"/>
          <w:szCs w:val="19"/>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28" w:lineRule="exact"/>
        <w:rPr>
          <w:sz w:val="20"/>
          <w:szCs w:val="20"/>
          <w:color w:val="auto"/>
        </w:rPr>
      </w:pPr>
    </w:p>
    <w:p>
      <w:pPr>
        <w:ind w:firstLine="1712"/>
        <w:spacing w:after="0" w:line="24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Types of SARs Authorized.</w:t>
      </w:r>
      <w:r>
        <w:rPr>
          <w:rFonts w:ascii="Arial" w:cs="Arial" w:eastAsia="Arial" w:hAnsi="Arial"/>
          <w:sz w:val="22"/>
          <w:szCs w:val="22"/>
          <w:color w:val="auto"/>
        </w:rPr>
        <w:t xml:space="preserve"> SARs may be granted in tandem with all or any portion of a related Option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Tandem SAR</w:t>
      </w:r>
      <w:r>
        <w:rPr>
          <w:rFonts w:ascii="Arial" w:cs="Arial" w:eastAsia="Arial" w:hAnsi="Arial"/>
          <w:sz w:val="22"/>
          <w:szCs w:val="22"/>
          <w:i w:val="1"/>
          <w:iCs w:val="1"/>
          <w:color w:val="auto"/>
        </w:rPr>
        <w:t>”</w:t>
      </w:r>
      <w:r>
        <w:rPr>
          <w:rFonts w:ascii="Arial" w:cs="Arial" w:eastAsia="Arial" w:hAnsi="Arial"/>
          <w:sz w:val="22"/>
          <w:szCs w:val="22"/>
          <w:color w:val="auto"/>
        </w:rPr>
        <w:t xml:space="preserve">) or may be granted independently of any Option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Freestanding SAR</w:t>
      </w:r>
      <w:r>
        <w:rPr>
          <w:rFonts w:ascii="Arial" w:cs="Arial" w:eastAsia="Arial" w:hAnsi="Arial"/>
          <w:sz w:val="22"/>
          <w:szCs w:val="22"/>
          <w:i w:val="1"/>
          <w:iCs w:val="1"/>
          <w:color w:val="auto"/>
        </w:rPr>
        <w:t>”</w:t>
      </w:r>
      <w:r>
        <w:rPr>
          <w:rFonts w:ascii="Arial" w:cs="Arial" w:eastAsia="Arial" w:hAnsi="Arial"/>
          <w:sz w:val="22"/>
          <w:szCs w:val="22"/>
          <w:color w:val="auto"/>
        </w:rPr>
        <w:t>). A Tandem SAR may only be granted concurrently with the grant of the related Option.</w:t>
      </w:r>
    </w:p>
    <w:p>
      <w:pPr>
        <w:spacing w:after="0" w:line="177" w:lineRule="exact"/>
        <w:rPr>
          <w:sz w:val="20"/>
          <w:szCs w:val="20"/>
          <w:color w:val="auto"/>
        </w:rPr>
      </w:pPr>
    </w:p>
    <w:p>
      <w:pPr>
        <w:ind w:right="120" w:firstLine="1712"/>
        <w:spacing w:after="0" w:line="28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b w:val="1"/>
          <w:bCs w:val="1"/>
          <w:color w:val="auto"/>
        </w:rPr>
        <w:t>Exercise Price.</w:t>
      </w:r>
      <w:r>
        <w:rPr>
          <w:rFonts w:ascii="Arial" w:cs="Arial" w:eastAsia="Arial" w:hAnsi="Arial"/>
          <w:sz w:val="19"/>
          <w:szCs w:val="19"/>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 of the Code.</w:t>
      </w:r>
    </w:p>
    <w:p>
      <w:pPr>
        <w:spacing w:after="0" w:line="145" w:lineRule="exact"/>
        <w:rPr>
          <w:sz w:val="20"/>
          <w:szCs w:val="20"/>
          <w:color w:val="auto"/>
        </w:rPr>
      </w:pPr>
    </w:p>
    <w:p>
      <w:pPr>
        <w:ind w:left="1720"/>
        <w:spacing w:after="0"/>
        <w:tabs>
          <w:tab w:leader="none" w:pos="21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Exercisability and Term of SARs.</w:t>
      </w:r>
    </w:p>
    <w:p>
      <w:pPr>
        <w:spacing w:after="0" w:line="212" w:lineRule="exact"/>
        <w:rPr>
          <w:sz w:val="20"/>
          <w:szCs w:val="20"/>
          <w:color w:val="auto"/>
        </w:rPr>
      </w:pPr>
    </w:p>
    <w:p>
      <w:pPr>
        <w:ind w:right="180" w:firstLine="2290"/>
        <w:spacing w:after="0" w:line="251" w:lineRule="auto"/>
        <w:tabs>
          <w:tab w:leader="none" w:pos="2846" w:val="left"/>
        </w:tabs>
        <w:numPr>
          <w:ilvl w:val="0"/>
          <w:numId w:val="9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Tandem SARs. </w:t>
      </w:r>
      <w:r>
        <w:rPr>
          <w:rFonts w:ascii="Arial" w:cs="Arial" w:eastAsia="Arial" w:hAnsi="Arial"/>
          <w:sz w:val="22"/>
          <w:szCs w:val="22"/>
          <w:color w:val="auto"/>
        </w:rPr>
        <w:t>Tandem SARs shall be exercisable only at the time and to the extent, and only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extent, that the related Option is exercisable, subject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59" w:lineRule="exact"/>
        <w:rPr>
          <w:sz w:val="20"/>
          <w:szCs w:val="20"/>
          <w:color w:val="auto"/>
        </w:rPr>
      </w:pPr>
    </w:p>
    <w:p>
      <w:pPr>
        <w:ind w:right="40" w:firstLine="2344"/>
        <w:spacing w:after="0" w:line="273" w:lineRule="auto"/>
        <w:tabs>
          <w:tab w:leader="none" w:pos="3021" w:val="left"/>
        </w:tabs>
        <w:numPr>
          <w:ilvl w:val="0"/>
          <w:numId w:val="9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Freestanding SARs. </w:t>
      </w:r>
      <w:r>
        <w:rPr>
          <w:rFonts w:ascii="Arial" w:cs="Arial" w:eastAsia="Arial" w:hAnsi="Arial"/>
          <w:sz w:val="19"/>
          <w:szCs w:val="19"/>
          <w:color w:val="auto"/>
        </w:rPr>
        <w:t>Subject to the minimum vesting provisions of Section 5.6, Freestanding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56" w:lineRule="exact"/>
        <w:rPr>
          <w:sz w:val="20"/>
          <w:szCs w:val="20"/>
          <w:color w:val="auto"/>
        </w:rPr>
      </w:pPr>
    </w:p>
    <w:p>
      <w:pPr>
        <w:ind w:right="140" w:firstLine="1712"/>
        <w:spacing w:after="0" w:line="274"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Exercise of SARs.</w:t>
      </w:r>
      <w:r>
        <w:rPr>
          <w:rFonts w:ascii="Arial" w:cs="Arial" w:eastAsia="Arial" w:hAnsi="Arial"/>
          <w:sz w:val="19"/>
          <w:szCs w:val="19"/>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53" w:lineRule="exact"/>
        <w:rPr>
          <w:sz w:val="20"/>
          <w:szCs w:val="20"/>
          <w:color w:val="auto"/>
        </w:rPr>
      </w:pPr>
    </w:p>
    <w:p>
      <w:pPr>
        <w:ind w:right="160" w:firstLine="1712"/>
        <w:spacing w:after="0" w:line="254"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b w:val="1"/>
          <w:bCs w:val="1"/>
          <w:color w:val="auto"/>
        </w:rPr>
        <w:t>Deemed Exercise of SARs.</w:t>
      </w:r>
      <w:r>
        <w:rPr>
          <w:rFonts w:ascii="Arial" w:cs="Arial" w:eastAsia="Arial" w:hAnsi="Arial"/>
          <w:sz w:val="21"/>
          <w:szCs w:val="21"/>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both"/>
        <w:ind w:right="220" w:firstLine="1712"/>
        <w:spacing w:after="0" w:line="239"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81" w:lineRule="exact"/>
        <w:rPr>
          <w:sz w:val="20"/>
          <w:szCs w:val="20"/>
          <w:color w:val="auto"/>
        </w:rPr>
      </w:pPr>
    </w:p>
    <w:p>
      <w:pPr>
        <w:ind w:right="80" w:firstLine="1712"/>
        <w:spacing w:after="0" w:line="278"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b w:val="1"/>
          <w:bCs w:val="1"/>
          <w:color w:val="auto"/>
        </w:rPr>
        <w:t>Transferability of SARs.</w:t>
      </w:r>
      <w:r>
        <w:rPr>
          <w:rFonts w:ascii="Arial" w:cs="Arial" w:eastAsia="Arial" w:hAnsi="Arial"/>
          <w:sz w:val="19"/>
          <w:szCs w:val="19"/>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46" w:lineRule="exact"/>
        <w:rPr>
          <w:sz w:val="20"/>
          <w:szCs w:val="20"/>
          <w:color w:val="auto"/>
        </w:rPr>
      </w:pPr>
    </w:p>
    <w:p>
      <w:pPr>
        <w:ind w:left="1500" w:hanging="693"/>
        <w:spacing w:after="0"/>
        <w:tabs>
          <w:tab w:leader="none" w:pos="1500" w:val="left"/>
        </w:tabs>
        <w:numPr>
          <w:ilvl w:val="0"/>
          <w:numId w:val="99"/>
        </w:numPr>
        <w:rPr>
          <w:rFonts w:ascii="Arial" w:cs="Arial" w:eastAsia="Arial" w:hAnsi="Arial"/>
          <w:sz w:val="22"/>
          <w:szCs w:val="22"/>
          <w:color w:val="auto"/>
        </w:rPr>
      </w:pP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ESTRICTED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w:t>
      </w:r>
      <w:r>
        <w:rPr>
          <w:rFonts w:ascii="Arial" w:cs="Arial" w:eastAsia="Arial" w:hAnsi="Arial"/>
          <w:sz w:val="22"/>
          <w:szCs w:val="22"/>
          <w:b w:val="1"/>
          <w:bCs w:val="1"/>
          <w:color w:val="auto"/>
        </w:rPr>
        <w:t>.</w:t>
      </w:r>
    </w:p>
    <w:p>
      <w:pPr>
        <w:spacing w:after="0" w:line="212" w:lineRule="exact"/>
        <w:rPr>
          <w:sz w:val="20"/>
          <w:szCs w:val="20"/>
          <w:color w:val="auto"/>
        </w:rPr>
      </w:pPr>
    </w:p>
    <w:p>
      <w:pPr>
        <w:ind w:firstLine="1712"/>
        <w:spacing w:after="0" w:line="238" w:lineRule="auto"/>
        <w:rPr>
          <w:sz w:val="20"/>
          <w:szCs w:val="20"/>
          <w:color w:val="auto"/>
        </w:rPr>
      </w:pPr>
      <w:r>
        <w:rPr>
          <w:rFonts w:ascii="Arial" w:cs="Arial" w:eastAsia="Arial" w:hAnsi="Arial"/>
          <w:sz w:val="22"/>
          <w:szCs w:val="22"/>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79" w:lineRule="exact"/>
        <w:rPr>
          <w:sz w:val="20"/>
          <w:szCs w:val="20"/>
          <w:color w:val="auto"/>
        </w:rPr>
      </w:pPr>
    </w:p>
    <w:p>
      <w:pPr>
        <w:ind w:right="40" w:firstLine="1712"/>
        <w:spacing w:after="0" w:line="236"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color w:val="auto"/>
        </w:rPr>
        <w:t>Types of Restricted Stock Awards Authorized.</w:t>
      </w:r>
      <w:r>
        <w:rPr>
          <w:rFonts w:ascii="Arial" w:cs="Arial" w:eastAsia="Arial" w:hAnsi="Arial"/>
          <w:sz w:val="22"/>
          <w:szCs w:val="22"/>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82" w:lineRule="exact"/>
        <w:rPr>
          <w:sz w:val="20"/>
          <w:szCs w:val="20"/>
          <w:color w:val="auto"/>
        </w:rPr>
      </w:pPr>
    </w:p>
    <w:p>
      <w:pPr>
        <w:ind w:firstLine="1712"/>
        <w:spacing w:after="0" w:line="280"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45" w:lineRule="exact"/>
        <w:rPr>
          <w:sz w:val="20"/>
          <w:szCs w:val="20"/>
          <w:color w:val="auto"/>
        </w:rPr>
      </w:pPr>
    </w:p>
    <w:p>
      <w:pPr>
        <w:ind w:right="140" w:firstLine="1712"/>
        <w:spacing w:after="0" w:line="24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Purchase Period.</w:t>
      </w:r>
      <w:r>
        <w:rPr>
          <w:rFonts w:ascii="Arial" w:cs="Arial" w:eastAsia="Arial" w:hAnsi="Arial"/>
          <w:sz w:val="22"/>
          <w:szCs w:val="22"/>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60" w:firstLine="1712"/>
        <w:spacing w:after="0" w:line="239"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color w:val="auto"/>
        </w:rPr>
        <w:t>Payment of Purchase Price.</w:t>
      </w:r>
      <w:r>
        <w:rPr>
          <w:rFonts w:ascii="Arial" w:cs="Arial" w:eastAsia="Arial" w:hAnsi="Arial"/>
          <w:sz w:val="22"/>
          <w:szCs w:val="22"/>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181" w:lineRule="exact"/>
        <w:rPr>
          <w:sz w:val="20"/>
          <w:szCs w:val="20"/>
          <w:color w:val="auto"/>
        </w:rPr>
      </w:pPr>
    </w:p>
    <w:p>
      <w:pPr>
        <w:ind w:firstLine="1712"/>
        <w:spacing w:after="0" w:line="272"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color w:val="auto"/>
        </w:rPr>
        <w:t>Vesting and Restrictions on Transfer.</w:t>
      </w:r>
      <w:r>
        <w:rPr>
          <w:rFonts w:ascii="Arial" w:cs="Arial" w:eastAsia="Arial" w:hAnsi="Arial"/>
          <w:sz w:val="19"/>
          <w:szCs w:val="19"/>
          <w:color w:val="auto"/>
        </w:rPr>
        <w:t xml:space="preserve"> Subject to the minimum vesting provisions of Section 5.6,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53" w:lineRule="exact"/>
        <w:rPr>
          <w:sz w:val="20"/>
          <w:szCs w:val="20"/>
          <w:color w:val="auto"/>
        </w:rPr>
      </w:pPr>
    </w:p>
    <w:p>
      <w:pPr>
        <w:ind w:right="40" w:firstLine="1712"/>
        <w:spacing w:after="0" w:line="245"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b w:val="1"/>
          <w:bCs w:val="1"/>
          <w:color w:val="auto"/>
        </w:rPr>
        <w:t>Voting Rights; Dividends and Distributions.</w:t>
      </w:r>
      <w:r>
        <w:rPr>
          <w:rFonts w:ascii="Arial" w:cs="Arial" w:eastAsia="Arial" w:hAnsi="Arial"/>
          <w:sz w:val="21"/>
          <w:szCs w:val="21"/>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4.4,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78" w:lineRule="exact"/>
        <w:rPr>
          <w:sz w:val="20"/>
          <w:szCs w:val="20"/>
          <w:color w:val="auto"/>
        </w:rPr>
      </w:pPr>
    </w:p>
    <w:p>
      <w:pPr>
        <w:ind w:right="220" w:firstLine="1712"/>
        <w:spacing w:after="0" w:line="237"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79" w:lineRule="exact"/>
        <w:rPr>
          <w:sz w:val="20"/>
          <w:szCs w:val="20"/>
          <w:color w:val="auto"/>
        </w:rPr>
      </w:pPr>
    </w:p>
    <w:p>
      <w:pPr>
        <w:ind w:firstLine="1712"/>
        <w:spacing w:after="0" w:line="284"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b w:val="1"/>
          <w:bCs w:val="1"/>
          <w:color w:val="auto"/>
        </w:rPr>
        <w:t>Nontransferability of Restricted Stock Award Rights.</w:t>
      </w:r>
      <w:r>
        <w:rPr>
          <w:rFonts w:ascii="Arial" w:cs="Arial" w:eastAsia="Arial" w:hAnsi="Arial"/>
          <w:sz w:val="19"/>
          <w:szCs w:val="19"/>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39" w:lineRule="exact"/>
        <w:rPr>
          <w:sz w:val="20"/>
          <w:szCs w:val="20"/>
          <w:color w:val="auto"/>
        </w:rPr>
      </w:pPr>
    </w:p>
    <w:p>
      <w:pPr>
        <w:ind w:left="1560" w:hanging="753"/>
        <w:spacing w:after="0"/>
        <w:tabs>
          <w:tab w:leader="none" w:pos="1560" w:val="left"/>
        </w:tabs>
        <w:numPr>
          <w:ilvl w:val="0"/>
          <w:numId w:val="100"/>
        </w:numPr>
        <w:rPr>
          <w:rFonts w:ascii="Arial" w:cs="Arial" w:eastAsia="Arial" w:hAnsi="Arial"/>
          <w:sz w:val="22"/>
          <w:szCs w:val="22"/>
          <w:color w:val="auto"/>
        </w:rPr>
      </w:pP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ESTRICTED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U</w:t>
      </w:r>
      <w:r>
        <w:rPr>
          <w:rFonts w:ascii="Arial" w:cs="Arial" w:eastAsia="Arial" w:hAnsi="Arial"/>
          <w:sz w:val="18"/>
          <w:szCs w:val="18"/>
          <w:b w:val="1"/>
          <w:bCs w:val="1"/>
          <w:u w:val="single" w:color="auto"/>
          <w:color w:val="auto"/>
        </w:rPr>
        <w:t>NITS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right="300" w:firstLine="1712"/>
        <w:spacing w:after="0" w:line="297" w:lineRule="auto"/>
        <w:rPr>
          <w:sz w:val="20"/>
          <w:szCs w:val="20"/>
          <w:color w:val="auto"/>
        </w:rPr>
      </w:pPr>
      <w:r>
        <w:rPr>
          <w:rFonts w:ascii="Arial" w:cs="Arial" w:eastAsia="Arial" w:hAnsi="Arial"/>
          <w:sz w:val="19"/>
          <w:szCs w:val="19"/>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128" w:lineRule="exact"/>
        <w:rPr>
          <w:sz w:val="20"/>
          <w:szCs w:val="20"/>
          <w:color w:val="auto"/>
        </w:rPr>
      </w:pPr>
    </w:p>
    <w:p>
      <w:pPr>
        <w:ind w:right="40" w:firstLine="1712"/>
        <w:spacing w:after="0" w:line="237"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color w:val="auto"/>
        </w:rPr>
        <w:t>Grant of Restricted Stock Unit Awards.</w:t>
      </w:r>
      <w:r>
        <w:rPr>
          <w:rFonts w:ascii="Arial" w:cs="Arial" w:eastAsia="Arial" w:hAnsi="Arial"/>
          <w:sz w:val="22"/>
          <w:szCs w:val="22"/>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83" w:lineRule="exact"/>
        <w:rPr>
          <w:sz w:val="20"/>
          <w:szCs w:val="20"/>
          <w:color w:val="auto"/>
        </w:rPr>
      </w:pPr>
    </w:p>
    <w:p>
      <w:pPr>
        <w:ind w:right="160" w:firstLine="1712"/>
        <w:spacing w:after="0" w:line="284"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39" w:lineRule="exact"/>
        <w:rPr>
          <w:sz w:val="20"/>
          <w:szCs w:val="20"/>
          <w:color w:val="auto"/>
        </w:rPr>
      </w:pPr>
    </w:p>
    <w:p>
      <w:pPr>
        <w:ind w:right="20" w:firstLine="1712"/>
        <w:spacing w:after="0" w:line="254"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b w:val="1"/>
          <w:bCs w:val="1"/>
          <w:color w:val="auto"/>
        </w:rPr>
        <w:t>Vesting.</w:t>
      </w:r>
      <w:r>
        <w:rPr>
          <w:rFonts w:ascii="Arial" w:cs="Arial" w:eastAsia="Arial" w:hAnsi="Arial"/>
          <w:sz w:val="21"/>
          <w:szCs w:val="21"/>
          <w:color w:val="auto"/>
        </w:rPr>
        <w:t xml:space="preserve"> Subject to the minimum vesting provisions of Section 5.6,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66" w:lineRule="exact"/>
        <w:rPr>
          <w:sz w:val="20"/>
          <w:szCs w:val="20"/>
          <w:color w:val="auto"/>
        </w:rPr>
      </w:pPr>
    </w:p>
    <w:p>
      <w:pPr>
        <w:ind w:right="360" w:firstLine="1712"/>
        <w:spacing w:after="0" w:line="243"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b w:val="1"/>
          <w:bCs w:val="1"/>
          <w:color w:val="auto"/>
        </w:rPr>
        <w:t>Voting Rights, Dividend Equivalent Rights and Distributions.</w:t>
      </w:r>
      <w:r>
        <w:rPr>
          <w:rFonts w:ascii="Arial" w:cs="Arial" w:eastAsia="Arial" w:hAnsi="Arial"/>
          <w:sz w:val="22"/>
          <w:szCs w:val="22"/>
          <w:color w:val="auto"/>
        </w:rPr>
        <w:t xml:space="preserve"> Participants shall have no voting rights with respect to shares of Stock represented by Restricted Stock Units until the date of the issuance of such shares (as evidenced by the appropriate entry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64" w:lineRule="exact"/>
        <w:rPr>
          <w:sz w:val="20"/>
          <w:szCs w:val="20"/>
          <w:color w:val="auto"/>
        </w:rPr>
      </w:pPr>
    </w:p>
    <w:p>
      <w:pPr>
        <w:ind w:right="260" w:firstLine="1712"/>
        <w:spacing w:after="0" w:line="237"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83" w:lineRule="exact"/>
        <w:rPr>
          <w:sz w:val="20"/>
          <w:szCs w:val="20"/>
          <w:color w:val="auto"/>
        </w:rPr>
      </w:pPr>
    </w:p>
    <w:p>
      <w:pPr>
        <w:ind w:firstLine="1712"/>
        <w:spacing w:after="0" w:line="273"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b w:val="1"/>
          <w:bCs w:val="1"/>
          <w:color w:val="auto"/>
        </w:rPr>
        <w:t>Settlement of Restricted Stock Unit Awards.</w:t>
      </w:r>
      <w:r>
        <w:rPr>
          <w:rFonts w:ascii="Arial" w:cs="Arial" w:eastAsia="Arial" w:hAnsi="Arial"/>
          <w:sz w:val="19"/>
          <w:szCs w:val="19"/>
          <w:color w:val="auto"/>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w:t>
      </w:r>
      <w:r>
        <w:rPr>
          <w:rFonts w:ascii="Arial" w:cs="Arial" w:eastAsia="Arial" w:hAnsi="Arial"/>
          <w:sz w:val="16"/>
          <w:szCs w:val="16"/>
          <w:color w:val="auto"/>
        </w:rPr>
        <w:t>th</w:t>
      </w:r>
      <w:r>
        <w:rPr>
          <w:rFonts w:ascii="Arial" w:cs="Arial" w:eastAsia="Arial" w:hAnsi="Arial"/>
          <w:sz w:val="19"/>
          <w:szCs w:val="19"/>
          <w:color w:val="auto"/>
        </w:rPr>
        <w:t xml:space="preserve">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68" w:lineRule="exact"/>
        <w:rPr>
          <w:sz w:val="20"/>
          <w:szCs w:val="20"/>
          <w:color w:val="auto"/>
        </w:rPr>
      </w:pPr>
    </w:p>
    <w:p>
      <w:pPr>
        <w:ind w:right="260" w:firstLine="1712"/>
        <w:spacing w:after="0" w:line="284"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b w:val="1"/>
          <w:bCs w:val="1"/>
          <w:color w:val="auto"/>
        </w:rPr>
        <w:t>Nontransferability of Restricted Stock Unit Awards.</w:t>
      </w:r>
      <w:r>
        <w:rPr>
          <w:rFonts w:ascii="Arial" w:cs="Arial" w:eastAsia="Arial" w:hAnsi="Arial"/>
          <w:sz w:val="19"/>
          <w:szCs w:val="19"/>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39" w:lineRule="exact"/>
        <w:rPr>
          <w:sz w:val="20"/>
          <w:szCs w:val="20"/>
          <w:color w:val="auto"/>
        </w:rPr>
      </w:pPr>
    </w:p>
    <w:p>
      <w:pPr>
        <w:ind w:left="1500" w:hanging="693"/>
        <w:spacing w:after="0"/>
        <w:tabs>
          <w:tab w:leader="none" w:pos="1500"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ERFORMANCE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right="180" w:firstLine="1712"/>
        <w:spacing w:after="0"/>
        <w:rPr>
          <w:sz w:val="20"/>
          <w:szCs w:val="20"/>
          <w:color w:val="auto"/>
        </w:rPr>
      </w:pPr>
      <w:r>
        <w:rPr>
          <w:rFonts w:ascii="Arial" w:cs="Arial" w:eastAsia="Arial" w:hAnsi="Arial"/>
          <w:sz w:val="22"/>
          <w:szCs w:val="22"/>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80" w:lineRule="exact"/>
        <w:rPr>
          <w:sz w:val="20"/>
          <w:szCs w:val="20"/>
          <w:color w:val="auto"/>
        </w:rPr>
      </w:pPr>
    </w:p>
    <w:p>
      <w:pPr>
        <w:ind w:right="280" w:firstLine="1712"/>
        <w:spacing w:after="0" w:line="289"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b w:val="1"/>
          <w:bCs w:val="1"/>
          <w:color w:val="auto"/>
        </w:rPr>
        <w:t>Types of Performance Awards Authorized.</w:t>
      </w:r>
      <w:r>
        <w:rPr>
          <w:rFonts w:ascii="Arial" w:cs="Arial" w:eastAsia="Arial" w:hAnsi="Arial"/>
          <w:sz w:val="19"/>
          <w:szCs w:val="19"/>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36" w:lineRule="exact"/>
        <w:rPr>
          <w:sz w:val="20"/>
          <w:szCs w:val="20"/>
          <w:color w:val="auto"/>
        </w:rPr>
      </w:pPr>
    </w:p>
    <w:p>
      <w:pPr>
        <w:ind w:firstLine="1712"/>
        <w:spacing w:after="0" w:line="248"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b w:val="1"/>
          <w:bCs w:val="1"/>
          <w:color w:val="auto"/>
        </w:rPr>
        <w:t>Initial Value of Performance Shares and Performance Units.</w:t>
      </w:r>
      <w:r>
        <w:rPr>
          <w:rFonts w:ascii="Arial" w:cs="Arial" w:eastAsia="Arial" w:hAnsi="Arial"/>
          <w:sz w:val="21"/>
          <w:szCs w:val="21"/>
          <w:color w:val="auto"/>
        </w:rPr>
        <w:t xml:space="preserve"> Unless otherwise provided by the Committee in granting a Performance Award, each Performance Share shall have an initial monetary value equal to the Fair Market Value of one (1) 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71" w:lineRule="exact"/>
        <w:rPr>
          <w:sz w:val="20"/>
          <w:szCs w:val="20"/>
          <w:color w:val="auto"/>
        </w:rPr>
      </w:pPr>
    </w:p>
    <w:p>
      <w:pPr>
        <w:ind w:firstLine="1712"/>
        <w:spacing w:after="0" w:line="248"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b w:val="1"/>
          <w:bCs w:val="1"/>
          <w:color w:val="auto"/>
        </w:rPr>
        <w:t>Establishment of Performance Period, Performance Goals and Performance Award Formula.</w:t>
      </w:r>
      <w:r>
        <w:rPr>
          <w:rFonts w:ascii="Arial" w:cs="Arial" w:eastAsia="Arial" w:hAnsi="Arial"/>
          <w:sz w:val="21"/>
          <w:szCs w:val="21"/>
          <w:color w:val="auto"/>
        </w:rPr>
        <w:t xml:space="preserve"> In granting each Performance Award, the Committee shall establish in writing the applicable Performance Period (subject to the minimum vesting provisions of Section 5.6), Performance Award Formula and one or more Performance Goals which, when measured at the end of the Performance Period, shall determine on the basis of the Performance Award Formula the final value of the Performance Award to be paid to the Participant. Unless otherwise permitted in compliance with the requirements under Section 162(m) with respect to each Performance Award intended to result in the payment of Performance-Based Compensation, the Committee shall establish the Performance Goal(s) and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Performance Award Formula applicable to each Performance Award no later than the earlier of (a) the date ninety (90) days after the commencement of the applicable Performance Period or (b) the date on which 25% of the Performance Period has elapsed, and, in any event, at a time when the outcome of the Performance Goals remains substantially uncertain. Once established, the Performance Goals and Performance Award Formula applicable to a Performance Award intended to result in the payment of Performance-Based Compensation to a Covered Employee shall not be changed during the Performance Period. The Company shall notify each Participant granted a Performance Award of the terms of such Award, including the Performance Period, Performance Goal(s) and Performance Award Formula.</w:t>
      </w:r>
    </w:p>
    <w:p>
      <w:pPr>
        <w:spacing w:after="0" w:line="172" w:lineRule="exact"/>
        <w:rPr>
          <w:sz w:val="20"/>
          <w:szCs w:val="20"/>
          <w:color w:val="auto"/>
        </w:rPr>
      </w:pPr>
    </w:p>
    <w:p>
      <w:pPr>
        <w:jc w:val="both"/>
        <w:ind w:right="20" w:firstLine="1712"/>
        <w:spacing w:after="0" w:line="243"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color w:val="auto"/>
        </w:rPr>
        <w:t>Measurement of Performance Goals.</w:t>
      </w:r>
      <w:r>
        <w:rPr>
          <w:rFonts w:ascii="Arial" w:cs="Arial" w:eastAsia="Arial" w:hAnsi="Arial"/>
          <w:sz w:val="22"/>
          <w:szCs w:val="22"/>
          <w:color w:val="auto"/>
        </w:rPr>
        <w:t xml:space="preserve"> Performance Goals shall be established by the Committee on the basis of targets to be attained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Targets</w:t>
      </w:r>
      <w:r>
        <w:rPr>
          <w:rFonts w:ascii="Arial" w:cs="Arial" w:eastAsia="Arial" w:hAnsi="Arial"/>
          <w:sz w:val="22"/>
          <w:szCs w:val="22"/>
          <w:i w:val="1"/>
          <w:iCs w:val="1"/>
          <w:color w:val="auto"/>
        </w:rPr>
        <w:t>”</w:t>
      </w:r>
      <w:r>
        <w:rPr>
          <w:rFonts w:ascii="Arial" w:cs="Arial" w:eastAsia="Arial" w:hAnsi="Arial"/>
          <w:sz w:val="22"/>
          <w:szCs w:val="22"/>
          <w:color w:val="auto"/>
        </w:rPr>
        <w:t xml:space="preserve">) with respect to one or more measures of business or financial performance (each,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Measure</w:t>
      </w:r>
      <w:r>
        <w:rPr>
          <w:rFonts w:ascii="Arial" w:cs="Arial" w:eastAsia="Arial" w:hAnsi="Arial"/>
          <w:sz w:val="22"/>
          <w:szCs w:val="22"/>
          <w:i w:val="1"/>
          <w:iCs w:val="1"/>
          <w:color w:val="auto"/>
        </w:rPr>
        <w:t>”</w:t>
      </w:r>
      <w:r>
        <w:rPr>
          <w:rFonts w:ascii="Arial" w:cs="Arial" w:eastAsia="Arial" w:hAnsi="Arial"/>
          <w:sz w:val="22"/>
          <w:szCs w:val="22"/>
          <w:color w:val="auto"/>
        </w:rPr>
        <w:t>), subject to the following:</w:t>
      </w:r>
    </w:p>
    <w:p>
      <w:pPr>
        <w:spacing w:after="0" w:line="183" w:lineRule="exact"/>
        <w:rPr>
          <w:sz w:val="20"/>
          <w:szCs w:val="20"/>
          <w:color w:val="auto"/>
        </w:rPr>
      </w:pPr>
    </w:p>
    <w:p>
      <w:pPr>
        <w:ind w:firstLine="2344"/>
        <w:spacing w:after="0" w:line="271" w:lineRule="auto"/>
        <w:tabs>
          <w:tab w:leader="none" w:pos="2900" w:val="left"/>
        </w:tabs>
        <w:numPr>
          <w:ilvl w:val="0"/>
          <w:numId w:val="10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Performance Measures. </w:t>
      </w:r>
      <w:r>
        <w:rPr>
          <w:rFonts w:ascii="Arial" w:cs="Arial" w:eastAsia="Arial" w:hAnsi="Arial"/>
          <w:sz w:val="19"/>
          <w:szCs w:val="19"/>
          <w:color w:val="auto"/>
        </w:rPr>
        <w:t>Performance Measures shall be calculated in accordance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prior to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based upon one or more of the following, as determined by the Committee:</w:t>
      </w:r>
    </w:p>
    <w:p>
      <w:pPr>
        <w:spacing w:after="0" w:line="165" w:lineRule="exact"/>
        <w:rPr>
          <w:rFonts w:ascii="Arial" w:cs="Arial" w:eastAsia="Arial" w:hAnsi="Arial"/>
          <w:sz w:val="19"/>
          <w:szCs w:val="19"/>
          <w:color w:val="auto"/>
        </w:rPr>
      </w:pPr>
    </w:p>
    <w:p>
      <w:pPr>
        <w:ind w:left="3600" w:hanging="739"/>
        <w:spacing w:after="0"/>
        <w:tabs>
          <w:tab w:leader="none" w:pos="36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revenue;</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sales;</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expenses;</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operating income;</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gross margin;</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operating margin;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3620" w:hanging="759"/>
        <w:spacing w:after="0"/>
        <w:tabs>
          <w:tab w:leader="none" w:pos="36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earnings before any one or more of: stock-based compensation expense, interest, taxes,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w:t>
      </w:r>
    </w:p>
    <w:p>
      <w:pPr>
        <w:spacing w:after="0" w:line="188" w:lineRule="exact"/>
        <w:rPr>
          <w:sz w:val="20"/>
          <w:szCs w:val="20"/>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pre-tax profit;</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net operating income;</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net income;</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economic value added;</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free cash flow;</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operating cash flow;</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balance of cash, cash equivalents and marketable securities;</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stock price;</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return on stockholder equity;</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return on capital;</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return on assets;</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return on investment;</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total stockholder return;</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employee satisfaction;</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employee retention;</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market share;</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customer satisfaction;</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product development;</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research and development expenses;</w:t>
      </w:r>
    </w:p>
    <w:p>
      <w:pPr>
        <w:spacing w:after="0" w:line="206" w:lineRule="exact"/>
        <w:rPr>
          <w:rFonts w:ascii="Arial" w:cs="Arial" w:eastAsia="Arial" w:hAnsi="Arial"/>
          <w:sz w:val="22"/>
          <w:szCs w:val="22"/>
          <w:color w:val="auto"/>
        </w:rPr>
      </w:pPr>
    </w:p>
    <w:p>
      <w:pPr>
        <w:ind w:left="3620" w:hanging="759"/>
        <w:spacing w:after="0"/>
        <w:tabs>
          <w:tab w:leader="none" w:pos="36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completion of an identified special project; and</w:t>
      </w:r>
    </w:p>
    <w:p>
      <w:pPr>
        <w:spacing w:after="0" w:line="206" w:lineRule="exact"/>
        <w:rPr>
          <w:rFonts w:ascii="Arial" w:cs="Arial" w:eastAsia="Arial" w:hAnsi="Arial"/>
          <w:sz w:val="22"/>
          <w:szCs w:val="22"/>
          <w:color w:val="auto"/>
        </w:rPr>
      </w:pPr>
    </w:p>
    <w:p>
      <w:pPr>
        <w:ind w:left="3600" w:hanging="739"/>
        <w:spacing w:after="0"/>
        <w:tabs>
          <w:tab w:leader="none" w:pos="3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completion of a joint venture or other corporate transaction.</w:t>
      </w:r>
    </w:p>
    <w:p>
      <w:pPr>
        <w:spacing w:after="0" w:line="206" w:lineRule="exact"/>
        <w:rPr>
          <w:sz w:val="20"/>
          <w:szCs w:val="20"/>
          <w:color w:val="auto"/>
        </w:rPr>
      </w:pPr>
    </w:p>
    <w:p>
      <w:pPr>
        <w:ind w:firstLine="2290"/>
        <w:spacing w:after="0" w:line="251" w:lineRule="auto"/>
        <w:tabs>
          <w:tab w:leader="none" w:pos="2913" w:val="left"/>
        </w:tabs>
        <w:numPr>
          <w:ilvl w:val="0"/>
          <w:numId w:val="10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Performance Targets. </w:t>
      </w:r>
      <w:r>
        <w:rPr>
          <w:rFonts w:ascii="Arial" w:cs="Arial" w:eastAsia="Arial" w:hAnsi="Arial"/>
          <w:sz w:val="22"/>
          <w:szCs w:val="22"/>
          <w:color w:val="auto"/>
        </w:rPr>
        <w:t>Performance Targets may include a minimum, maximum, target level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intermediate levels of performance, with the final value of</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1320"/>
          </w:cols>
          <w:pgMar w:left="24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28" w:lineRule="exact"/>
        <w:rPr>
          <w:sz w:val="20"/>
          <w:szCs w:val="20"/>
          <w:color w:val="auto"/>
        </w:rPr>
      </w:pPr>
    </w:p>
    <w:p>
      <w:pPr>
        <w:ind w:left="1720"/>
        <w:spacing w:after="0"/>
        <w:tabs>
          <w:tab w:leader="none" w:pos="246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b w:val="1"/>
          <w:bCs w:val="1"/>
          <w:color w:val="auto"/>
        </w:rPr>
        <w:t>Settlement of Performance Awards.</w:t>
      </w:r>
    </w:p>
    <w:p>
      <w:pPr>
        <w:spacing w:after="0" w:line="212" w:lineRule="exact"/>
        <w:rPr>
          <w:sz w:val="20"/>
          <w:szCs w:val="20"/>
          <w:color w:val="auto"/>
        </w:rPr>
      </w:pPr>
    </w:p>
    <w:p>
      <w:pPr>
        <w:ind w:right="200" w:firstLine="2633"/>
        <w:spacing w:after="0" w:line="238" w:lineRule="auto"/>
        <w:tabs>
          <w:tab w:leader="none" w:pos="3243" w:val="left"/>
        </w:tabs>
        <w:numPr>
          <w:ilvl w:val="1"/>
          <w:numId w:val="10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Determination of Final Value. </w:t>
      </w:r>
      <w:r>
        <w:rPr>
          <w:rFonts w:ascii="Arial" w:cs="Arial" w:eastAsia="Arial" w:hAnsi="Arial"/>
          <w:sz w:val="22"/>
          <w:szCs w:val="22"/>
          <w:color w:val="auto"/>
        </w:rPr>
        <w:t>As soon as practicable following the completion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Performance Period applicable to a 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185" w:lineRule="exact"/>
        <w:rPr>
          <w:rFonts w:ascii="Arial" w:cs="Arial" w:eastAsia="Arial" w:hAnsi="Arial"/>
          <w:sz w:val="22"/>
          <w:szCs w:val="22"/>
          <w:color w:val="auto"/>
        </w:rPr>
      </w:pPr>
    </w:p>
    <w:p>
      <w:pPr>
        <w:ind w:firstLine="2633"/>
        <w:spacing w:after="0" w:line="245" w:lineRule="auto"/>
        <w:tabs>
          <w:tab w:leader="none" w:pos="3255" w:val="left"/>
        </w:tabs>
        <w:numPr>
          <w:ilvl w:val="1"/>
          <w:numId w:val="10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Discretionary Adjustment of Award Formula. </w:t>
      </w:r>
      <w:r>
        <w:rPr>
          <w:rFonts w:ascii="Arial" w:cs="Arial" w:eastAsia="Arial" w:hAnsi="Arial"/>
          <w:sz w:val="21"/>
          <w:szCs w:val="21"/>
          <w:color w:val="auto"/>
        </w:rPr>
        <w:t>In its discretion, the Committee may, either at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time it grants a Performance Award or at any time thereafter, 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 No such reduction may result in an increase in the amount payable upon settlement of another Participant’s Performance Award that is intended to result in Performance-Based Compensation.</w:t>
      </w:r>
    </w:p>
    <w:p>
      <w:pPr>
        <w:spacing w:after="0" w:line="181" w:lineRule="exact"/>
        <w:rPr>
          <w:rFonts w:ascii="Arial" w:cs="Arial" w:eastAsia="Arial" w:hAnsi="Arial"/>
          <w:sz w:val="21"/>
          <w:szCs w:val="21"/>
          <w:color w:val="auto"/>
        </w:rPr>
      </w:pPr>
    </w:p>
    <w:p>
      <w:pPr>
        <w:jc w:val="both"/>
        <w:ind w:right="460" w:firstLine="2633"/>
        <w:spacing w:after="0" w:line="276" w:lineRule="auto"/>
        <w:tabs>
          <w:tab w:leader="none" w:pos="3243" w:val="left"/>
        </w:tabs>
        <w:numPr>
          <w:ilvl w:val="1"/>
          <w:numId w:val="10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Effect of Leaves of Absence. </w:t>
      </w:r>
      <w:r>
        <w:rPr>
          <w:rFonts w:ascii="Arial" w:cs="Arial" w:eastAsia="Arial" w:hAnsi="Arial"/>
          <w:sz w:val="19"/>
          <w:szCs w:val="19"/>
          <w:color w:val="auto"/>
        </w:rPr>
        <w:t>Unless otherwise required by law or a Participant’s Award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payment of the final value, if any, of a Performance Award held by a Participant who has taken in excess of thirty</w:t>
      </w:r>
    </w:p>
    <w:p>
      <w:pPr>
        <w:spacing w:after="0" w:line="1" w:lineRule="exact"/>
        <w:rPr>
          <w:rFonts w:ascii="Arial" w:cs="Arial" w:eastAsia="Arial" w:hAnsi="Arial"/>
          <w:sz w:val="19"/>
          <w:szCs w:val="19"/>
          <w:color w:val="auto"/>
        </w:rPr>
      </w:pPr>
    </w:p>
    <w:p>
      <w:pPr>
        <w:ind w:right="520" w:firstLine="8"/>
        <w:spacing w:after="0" w:line="308" w:lineRule="auto"/>
        <w:tabs>
          <w:tab w:leader="none" w:pos="41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days in unpaid leaves of absence during a Performance Period shall be prorated on the basis of the number of days of the Participant’s Service during the Performance Period during which the Participant was not on an unpaid leave of absence.</w:t>
      </w:r>
    </w:p>
    <w:p>
      <w:pPr>
        <w:spacing w:after="0" w:line="123" w:lineRule="exact"/>
        <w:rPr>
          <w:rFonts w:ascii="Arial" w:cs="Arial" w:eastAsia="Arial" w:hAnsi="Arial"/>
          <w:sz w:val="19"/>
          <w:szCs w:val="19"/>
          <w:color w:val="auto"/>
        </w:rPr>
      </w:pPr>
    </w:p>
    <w:p>
      <w:pPr>
        <w:ind w:right="100" w:firstLine="2633"/>
        <w:spacing w:after="0"/>
        <w:tabs>
          <w:tab w:leader="none" w:pos="3255" w:val="left"/>
        </w:tabs>
        <w:numPr>
          <w:ilvl w:val="1"/>
          <w:numId w:val="10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Notice to Participants. </w:t>
      </w:r>
      <w:r>
        <w:rPr>
          <w:rFonts w:ascii="Arial" w:cs="Arial" w:eastAsia="Arial" w:hAnsi="Arial"/>
          <w:sz w:val="22"/>
          <w:szCs w:val="22"/>
          <w:color w:val="auto"/>
        </w:rPr>
        <w:t>As soon as practicable following the Committee’s determination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certification in accordance with Sections 10.5(a) and (b), the Company shall notify each Participant of the determination of the Committee.</w:t>
      </w:r>
    </w:p>
    <w:p>
      <w:pPr>
        <w:spacing w:after="0" w:line="186" w:lineRule="exact"/>
        <w:rPr>
          <w:rFonts w:ascii="Arial" w:cs="Arial" w:eastAsia="Arial" w:hAnsi="Arial"/>
          <w:sz w:val="22"/>
          <w:szCs w:val="22"/>
          <w:color w:val="auto"/>
        </w:rPr>
      </w:pPr>
    </w:p>
    <w:p>
      <w:pPr>
        <w:ind w:right="260" w:firstLine="2633"/>
        <w:spacing w:after="0" w:line="273" w:lineRule="auto"/>
        <w:tabs>
          <w:tab w:leader="none" w:pos="3243" w:val="left"/>
        </w:tabs>
        <w:numPr>
          <w:ilvl w:val="1"/>
          <w:numId w:val="10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Payment in Settlement of Performance Awards. </w:t>
      </w:r>
      <w:r>
        <w:rPr>
          <w:rFonts w:ascii="Arial" w:cs="Arial" w:eastAsia="Arial" w:hAnsi="Arial"/>
          <w:sz w:val="19"/>
          <w:szCs w:val="19"/>
          <w:color w:val="auto"/>
        </w:rPr>
        <w:t>As soon as practicable following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Committee’s determination and certification in accordance with Sections 10.5(a) and (b), but in any event within the Short-Term Deferral Period described in Section 15.1 (except as otherwise provided below or consistent with the requirements of</w:t>
      </w:r>
    </w:p>
    <w:p>
      <w:pPr>
        <w:spacing w:after="0" w:line="1" w:lineRule="exact"/>
        <w:rPr>
          <w:rFonts w:ascii="Arial" w:cs="Arial" w:eastAsia="Arial" w:hAnsi="Arial"/>
          <w:sz w:val="19"/>
          <w:szCs w:val="19"/>
          <w:color w:val="auto"/>
        </w:rPr>
      </w:pPr>
    </w:p>
    <w:p>
      <w:pPr>
        <w:ind w:right="60"/>
        <w:spacing w:after="0" w:line="246" w:lineRule="auto"/>
        <w:rPr>
          <w:rFonts w:ascii="Arial" w:cs="Arial" w:eastAsia="Arial" w:hAnsi="Arial"/>
          <w:sz w:val="19"/>
          <w:szCs w:val="19"/>
          <w:color w:val="auto"/>
        </w:rPr>
      </w:pPr>
      <w:r>
        <w:rPr>
          <w:rFonts w:ascii="Arial" w:cs="Arial" w:eastAsia="Arial" w:hAnsi="Arial"/>
          <w:sz w:val="21"/>
          <w:szCs w:val="21"/>
          <w:color w:val="auto"/>
        </w:rPr>
        <w:t>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188" w:lineRule="exact"/>
        <w:rPr>
          <w:sz w:val="20"/>
          <w:szCs w:val="20"/>
          <w:color w:val="auto"/>
        </w:rPr>
      </w:pPr>
    </w:p>
    <w:p>
      <w:pPr>
        <w:ind w:firstLine="2633"/>
        <w:spacing w:after="0" w:line="248" w:lineRule="auto"/>
        <w:tabs>
          <w:tab w:leader="none" w:pos="3219" w:val="left"/>
        </w:tabs>
        <w:numPr>
          <w:ilvl w:val="0"/>
          <w:numId w:val="10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Provisions Applicable to Payment in Shares. </w:t>
      </w:r>
      <w:r>
        <w:rPr>
          <w:rFonts w:ascii="Arial" w:cs="Arial" w:eastAsia="Arial" w:hAnsi="Arial"/>
          <w:sz w:val="21"/>
          <w:szCs w:val="21"/>
          <w:color w:val="auto"/>
        </w:rPr>
        <w:t>If payment is to be made in shares of Stock,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71" w:lineRule="exact"/>
        <w:rPr>
          <w:sz w:val="20"/>
          <w:szCs w:val="20"/>
          <w:color w:val="auto"/>
        </w:rPr>
      </w:pPr>
    </w:p>
    <w:p>
      <w:pPr>
        <w:ind w:firstLine="1712"/>
        <w:spacing w:after="0" w:line="270"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b w:val="1"/>
          <w:bCs w:val="1"/>
          <w:color w:val="auto"/>
        </w:rPr>
        <w:t>Voting Rights; Dividend Equivalent Rights and Distributions.</w:t>
      </w:r>
      <w:r>
        <w:rPr>
          <w:rFonts w:ascii="Arial" w:cs="Arial" w:eastAsia="Arial" w:hAnsi="Arial"/>
          <w:sz w:val="19"/>
          <w:szCs w:val="19"/>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80" w:firstLine="1712"/>
        <w:spacing w:after="0" w:line="243"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xml:space="preserve"> Unless otherwise provided by the Committee and set forth in the Award Agreement evidencing a Performance Award, the effect of a Participant’s termination of Service on the Performance Award shall be as follows:</w:t>
      </w:r>
    </w:p>
    <w:p>
      <w:pPr>
        <w:spacing w:after="0" w:line="183" w:lineRule="exact"/>
        <w:rPr>
          <w:sz w:val="20"/>
          <w:szCs w:val="20"/>
          <w:color w:val="auto"/>
        </w:rPr>
      </w:pPr>
    </w:p>
    <w:p>
      <w:pPr>
        <w:ind w:right="80" w:firstLine="2633"/>
        <w:spacing w:after="0" w:line="235" w:lineRule="auto"/>
        <w:tabs>
          <w:tab w:leader="none" w:pos="3243" w:val="left"/>
        </w:tabs>
        <w:numPr>
          <w:ilvl w:val="0"/>
          <w:numId w:val="10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Death or Disability. </w:t>
      </w:r>
      <w:r>
        <w:rPr>
          <w:rFonts w:ascii="Arial" w:cs="Arial" w:eastAsia="Arial" w:hAnsi="Arial"/>
          <w:sz w:val="22"/>
          <w:szCs w:val="22"/>
          <w:color w:val="auto"/>
        </w:rPr>
        <w:t>If the Participant’s Service terminates because of the death or Disability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88" w:lineRule="exact"/>
        <w:rPr>
          <w:rFonts w:ascii="Arial" w:cs="Arial" w:eastAsia="Arial" w:hAnsi="Arial"/>
          <w:sz w:val="22"/>
          <w:szCs w:val="22"/>
          <w:color w:val="auto"/>
        </w:rPr>
      </w:pPr>
    </w:p>
    <w:p>
      <w:pPr>
        <w:ind w:right="140" w:firstLine="2633"/>
        <w:spacing w:after="0" w:line="279" w:lineRule="auto"/>
        <w:tabs>
          <w:tab w:leader="none" w:pos="3255" w:val="left"/>
        </w:tabs>
        <w:numPr>
          <w:ilvl w:val="0"/>
          <w:numId w:val="10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Other Termination of Service. </w:t>
      </w:r>
      <w:r>
        <w:rPr>
          <w:rFonts w:ascii="Arial" w:cs="Arial" w:eastAsia="Arial" w:hAnsi="Arial"/>
          <w:sz w:val="19"/>
          <w:szCs w:val="19"/>
          <w:color w:val="auto"/>
        </w:rPr>
        <w:t>If the Participant’s Service terminates for any reason except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145" w:lineRule="exact"/>
        <w:rPr>
          <w:sz w:val="20"/>
          <w:szCs w:val="20"/>
          <w:color w:val="auto"/>
        </w:rPr>
      </w:pPr>
    </w:p>
    <w:p>
      <w:pPr>
        <w:ind w:firstLine="1712"/>
        <w:spacing w:after="0" w:line="284"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b w:val="1"/>
          <w:bCs w:val="1"/>
          <w:color w:val="auto"/>
        </w:rPr>
        <w:t>Nontransferability of Performance Awards.</w:t>
      </w:r>
      <w:r>
        <w:rPr>
          <w:rFonts w:ascii="Arial" w:cs="Arial" w:eastAsia="Arial" w:hAnsi="Arial"/>
          <w:sz w:val="19"/>
          <w:szCs w:val="19"/>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39" w:lineRule="exact"/>
        <w:rPr>
          <w:sz w:val="20"/>
          <w:szCs w:val="20"/>
          <w:color w:val="auto"/>
        </w:rPr>
      </w:pPr>
    </w:p>
    <w:p>
      <w:pPr>
        <w:ind w:left="1640" w:hanging="833"/>
        <w:spacing w:after="0"/>
        <w:tabs>
          <w:tab w:leader="none" w:pos="1640"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ASH</w:t>
      </w:r>
      <w:r>
        <w:rPr>
          <w:rFonts w:ascii="Arial" w:cs="Arial" w:eastAsia="Arial" w:hAnsi="Arial"/>
          <w:sz w:val="22"/>
          <w:szCs w:val="22"/>
          <w:b w:val="1"/>
          <w:bCs w:val="1"/>
          <w:u w:val="single" w:color="auto"/>
          <w:color w:val="auto"/>
        </w:rPr>
        <w:t>-B</w:t>
      </w:r>
      <w:r>
        <w:rPr>
          <w:rFonts w:ascii="Arial" w:cs="Arial" w:eastAsia="Arial" w:hAnsi="Arial"/>
          <w:sz w:val="18"/>
          <w:szCs w:val="18"/>
          <w:b w:val="1"/>
          <w:bCs w:val="1"/>
          <w:u w:val="single" w:color="auto"/>
          <w:color w:val="auto"/>
        </w:rPr>
        <w:t>ASED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w:t>
      </w:r>
      <w:r>
        <w:rPr>
          <w:rFonts w:ascii="Arial" w:cs="Arial" w:eastAsia="Arial" w:hAnsi="Arial"/>
          <w:sz w:val="18"/>
          <w:szCs w:val="18"/>
          <w:b w:val="1"/>
          <w:bCs w:val="1"/>
          <w:u w:val="single" w:color="auto"/>
          <w:color w:val="auto"/>
        </w:rPr>
        <w:t>THER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u w:val="single" w:color="auto"/>
          <w:color w:val="auto"/>
        </w:rPr>
        <w:t>-B</w:t>
      </w:r>
      <w:r>
        <w:rPr>
          <w:rFonts w:ascii="Arial" w:cs="Arial" w:eastAsia="Arial" w:hAnsi="Arial"/>
          <w:sz w:val="18"/>
          <w:szCs w:val="18"/>
          <w:b w:val="1"/>
          <w:bCs w:val="1"/>
          <w:u w:val="single" w:color="auto"/>
          <w:color w:val="auto"/>
        </w:rPr>
        <w:t>ASED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right="140" w:firstLine="1712"/>
        <w:spacing w:after="0"/>
        <w:rPr>
          <w:sz w:val="20"/>
          <w:szCs w:val="20"/>
          <w:color w:val="auto"/>
        </w:rPr>
      </w:pPr>
      <w:r>
        <w:rPr>
          <w:rFonts w:ascii="Arial" w:cs="Arial" w:eastAsia="Arial" w:hAnsi="Arial"/>
          <w:sz w:val="22"/>
          <w:szCs w:val="22"/>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80" w:lineRule="exact"/>
        <w:rPr>
          <w:sz w:val="20"/>
          <w:szCs w:val="20"/>
          <w:color w:val="auto"/>
        </w:rPr>
      </w:pPr>
    </w:p>
    <w:p>
      <w:pPr>
        <w:ind w:right="100" w:firstLine="1712"/>
        <w:spacing w:after="0" w:line="24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Grant of Cash-Based Awards</w:t>
      </w:r>
      <w:r>
        <w:rPr>
          <w:rFonts w:ascii="Arial" w:cs="Arial" w:eastAsia="Arial" w:hAnsi="Arial"/>
          <w:sz w:val="22"/>
          <w:szCs w:val="22"/>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77" w:lineRule="exact"/>
        <w:rPr>
          <w:sz w:val="20"/>
          <w:szCs w:val="20"/>
          <w:color w:val="auto"/>
        </w:rPr>
      </w:pPr>
    </w:p>
    <w:p>
      <w:pPr>
        <w:ind w:right="160" w:firstLine="1712"/>
        <w:spacing w:after="0" w:line="237"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Grant of Other Stock-Based Awards</w:t>
      </w:r>
      <w:r>
        <w:rPr>
          <w:rFonts w:ascii="Arial" w:cs="Arial" w:eastAsia="Arial" w:hAnsi="Arial"/>
          <w:sz w:val="22"/>
          <w:szCs w:val="22"/>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A-29</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79" w:lineRule="exact"/>
        <w:rPr>
          <w:sz w:val="20"/>
          <w:szCs w:val="20"/>
          <w:color w:val="auto"/>
        </w:rPr>
      </w:pPr>
    </w:p>
    <w:p>
      <w:pPr>
        <w:ind w:firstLine="1712"/>
        <w:spacing w:after="0" w:line="274"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color w:val="auto"/>
        </w:rPr>
        <w:t>Value of Cash-Based and Other Stock-Based Awards</w:t>
      </w:r>
      <w:r>
        <w:rPr>
          <w:rFonts w:ascii="Arial" w:cs="Arial" w:eastAsia="Arial" w:hAnsi="Arial"/>
          <w:sz w:val="19"/>
          <w:szCs w:val="19"/>
          <w:color w:val="auto"/>
        </w:rPr>
        <w:t>. Each Cash-Based Award shall specify a monetary payment amount or payment range as determined by the Committee. Each Other Stock-Based Award shall be expressed in terms of shares of Stock or units based on such shares of Stock, as determined by the Committee. Subject to the minimum vesting provisions of Section 5.6,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 The establishment of performance criteria with respect to the grant or vesting of any Cash-Based Award or Other Stock-Based Award intended to result in Performance-Based Compensation shall follow procedures substantially equivalent to those applicable to Performance Awards set forth in Section 10.</w:t>
      </w:r>
    </w:p>
    <w:p>
      <w:pPr>
        <w:spacing w:after="0" w:line="153" w:lineRule="exact"/>
        <w:rPr>
          <w:sz w:val="20"/>
          <w:szCs w:val="20"/>
          <w:color w:val="auto"/>
        </w:rPr>
      </w:pPr>
    </w:p>
    <w:p>
      <w:pPr>
        <w:ind w:right="80" w:firstLine="1712"/>
        <w:spacing w:after="0" w:line="248"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color w:val="auto"/>
        </w:rPr>
        <w:t>Payment or Settlement of Cash-Based Awards and Other Stock-Based Awards</w:t>
      </w:r>
      <w:r>
        <w:rPr>
          <w:rFonts w:ascii="Arial" w:cs="Arial" w:eastAsia="Arial" w:hAnsi="Arial"/>
          <w:sz w:val="21"/>
          <w:szCs w:val="21"/>
          <w:color w:val="auto"/>
        </w:rPr>
        <w:t>. Payment or settlement, if any, with respect to a Cash-Based Award or an Other Stock-Based Award shall be made in accordance with the terms of the Award, in cash, shares of Stock or other securities or any combination thereof as the Committee determines. The determination and certification of the final value with respect to any Cash-Based Award or Other Stock-Based Award intended to result in Performance-Based Compensation shall comply with the requirements applicable to Performance Awards set forth in Section 10. To the extent applicable, payment or settlement with respect to each Cash-Based Award and Other Stock-Based Award shall be made in compliance with the requirements of Section 409A.</w:t>
      </w:r>
    </w:p>
    <w:p>
      <w:pPr>
        <w:spacing w:after="0" w:line="171" w:lineRule="exact"/>
        <w:rPr>
          <w:sz w:val="20"/>
          <w:szCs w:val="20"/>
          <w:color w:val="auto"/>
        </w:rPr>
      </w:pPr>
    </w:p>
    <w:p>
      <w:pPr>
        <w:ind w:right="80" w:firstLine="1712"/>
        <w:spacing w:after="0" w:line="273"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b w:val="1"/>
          <w:bCs w:val="1"/>
          <w:color w:val="auto"/>
        </w:rPr>
        <w:t>Voting Rights; Dividend Equivalent Rights and Distributions.</w:t>
      </w:r>
      <w:r>
        <w:rPr>
          <w:rFonts w:ascii="Arial" w:cs="Arial" w:eastAsia="Arial" w:hAnsi="Arial"/>
          <w:sz w:val="19"/>
          <w:szCs w:val="19"/>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4.4, appropriate adjustments shall be made in the Participant’s Other Stock-Based Award so that it represents the right to receive upon settlement any and all new, substituted or additional securities or other property (other than regular, periodic</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A-30</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180" w:lineRule="exact"/>
        <w:rPr>
          <w:sz w:val="20"/>
          <w:szCs w:val="20"/>
          <w:color w:val="auto"/>
        </w:rPr>
      </w:pPr>
    </w:p>
    <w:p>
      <w:pPr>
        <w:ind w:right="240" w:firstLine="1712"/>
        <w:spacing w:after="0" w:line="237"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83" w:lineRule="exact"/>
        <w:rPr>
          <w:sz w:val="20"/>
          <w:szCs w:val="20"/>
          <w:color w:val="auto"/>
        </w:rPr>
      </w:pPr>
    </w:p>
    <w:p>
      <w:pPr>
        <w:ind w:right="80" w:firstLine="1712"/>
        <w:spacing w:after="0" w:line="276"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b w:val="1"/>
          <w:bCs w:val="1"/>
          <w:color w:val="auto"/>
        </w:rPr>
        <w:t>Nontransferability of Cash-Based Awards and Other Stock-Based Awards.</w:t>
      </w:r>
      <w:r>
        <w:rPr>
          <w:rFonts w:ascii="Arial" w:cs="Arial" w:eastAsia="Arial" w:hAnsi="Arial"/>
          <w:sz w:val="19"/>
          <w:szCs w:val="19"/>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51" w:lineRule="exact"/>
        <w:rPr>
          <w:sz w:val="20"/>
          <w:szCs w:val="20"/>
          <w:color w:val="auto"/>
        </w:rPr>
      </w:pPr>
    </w:p>
    <w:p>
      <w:pPr>
        <w:ind w:left="1660" w:hanging="853"/>
        <w:spacing w:after="0"/>
        <w:tabs>
          <w:tab w:leader="none" w:pos="1660" w:val="left"/>
        </w:tabs>
        <w:numPr>
          <w:ilvl w:val="0"/>
          <w:numId w:val="111"/>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TANDARD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w:t>
      </w:r>
      <w:r>
        <w:rPr>
          <w:rFonts w:ascii="Arial" w:cs="Arial" w:eastAsia="Arial" w:hAnsi="Arial"/>
          <w:sz w:val="18"/>
          <w:szCs w:val="18"/>
          <w:b w:val="1"/>
          <w:bCs w:val="1"/>
          <w:u w:val="single" w:color="auto"/>
          <w:color w:val="auto"/>
        </w:rPr>
        <w:t>ORMS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GREEMENT</w:t>
      </w:r>
      <w:r>
        <w:rPr>
          <w:rFonts w:ascii="Arial" w:cs="Arial" w:eastAsia="Arial" w:hAnsi="Arial"/>
          <w:sz w:val="22"/>
          <w:szCs w:val="22"/>
          <w:b w:val="1"/>
          <w:bCs w:val="1"/>
          <w:color w:val="auto"/>
        </w:rPr>
        <w:t>.</w:t>
      </w:r>
    </w:p>
    <w:p>
      <w:pPr>
        <w:spacing w:after="0" w:line="206" w:lineRule="exact"/>
        <w:rPr>
          <w:sz w:val="20"/>
          <w:szCs w:val="20"/>
          <w:color w:val="auto"/>
        </w:rPr>
      </w:pPr>
    </w:p>
    <w:p>
      <w:pPr>
        <w:ind w:firstLine="1712"/>
        <w:spacing w:after="0" w:line="239"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b w:val="1"/>
          <w:bCs w:val="1"/>
          <w:color w:val="auto"/>
        </w:rPr>
        <w:t>Award Agreements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which execution may be evidenced by electronic means.</w:t>
      </w:r>
    </w:p>
    <w:p>
      <w:pPr>
        <w:spacing w:after="0" w:line="181" w:lineRule="exact"/>
        <w:rPr>
          <w:sz w:val="20"/>
          <w:szCs w:val="20"/>
          <w:color w:val="auto"/>
        </w:rPr>
      </w:pPr>
    </w:p>
    <w:p>
      <w:pPr>
        <w:ind w:right="100" w:firstLine="1712"/>
        <w:spacing w:after="0" w:line="289"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b w:val="1"/>
          <w:bCs w:val="1"/>
          <w:color w:val="auto"/>
        </w:rPr>
        <w:t>Authority to Vary Terms</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36" w:lineRule="exact"/>
        <w:rPr>
          <w:sz w:val="20"/>
          <w:szCs w:val="20"/>
          <w:color w:val="auto"/>
        </w:rPr>
      </w:pPr>
    </w:p>
    <w:p>
      <w:pPr>
        <w:ind w:left="1660" w:hanging="853"/>
        <w:spacing w:after="0"/>
        <w:tabs>
          <w:tab w:leader="none" w:pos="1660" w:val="left"/>
        </w:tabs>
        <w:numPr>
          <w:ilvl w:val="0"/>
          <w:numId w:val="112"/>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HANGE IN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ONTROL</w:t>
      </w:r>
      <w:r>
        <w:rPr>
          <w:rFonts w:ascii="Arial" w:cs="Arial" w:eastAsia="Arial" w:hAnsi="Arial"/>
          <w:sz w:val="22"/>
          <w:szCs w:val="22"/>
          <w:b w:val="1"/>
          <w:bCs w:val="1"/>
          <w:color w:val="auto"/>
        </w:rPr>
        <w:t>.</w:t>
      </w:r>
    </w:p>
    <w:p>
      <w:pPr>
        <w:spacing w:after="0" w:line="206" w:lineRule="exact"/>
        <w:rPr>
          <w:sz w:val="20"/>
          <w:szCs w:val="20"/>
          <w:color w:val="auto"/>
        </w:rPr>
      </w:pPr>
    </w:p>
    <w:p>
      <w:pPr>
        <w:ind w:right="440" w:firstLine="1712"/>
        <w:spacing w:after="0" w:line="237"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b w:val="1"/>
          <w:bCs w:val="1"/>
          <w:color w:val="auto"/>
        </w:rPr>
        <w:t>Effect of Change in Control on Nonemployee Director Awards.</w:t>
      </w:r>
      <w:r>
        <w:rPr>
          <w:rFonts w:ascii="Arial" w:cs="Arial" w:eastAsia="Arial" w:hAnsi="Arial"/>
          <w:sz w:val="22"/>
          <w:szCs w:val="22"/>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 pursuant to Section 13.1(b), shall be settled effective immediately prior to the time of consummation of the Change in Control.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40" w:firstLine="1712"/>
        <w:spacing w:after="0" w:line="239"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b w:val="1"/>
          <w:bCs w:val="1"/>
          <w:color w:val="auto"/>
        </w:rPr>
        <w:t>Effect of Change in Control on Awards.</w:t>
      </w:r>
      <w:r>
        <w:rPr>
          <w:rFonts w:ascii="Arial" w:cs="Arial" w:eastAsia="Arial" w:hAnsi="Arial"/>
          <w:sz w:val="22"/>
          <w:szCs w:val="22"/>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Committee may provide pursuant to such agreement for any one or more of the following:</w:t>
      </w:r>
    </w:p>
    <w:p>
      <w:pPr>
        <w:spacing w:after="0" w:line="187" w:lineRule="exact"/>
        <w:rPr>
          <w:sz w:val="20"/>
          <w:szCs w:val="20"/>
          <w:color w:val="auto"/>
        </w:rPr>
      </w:pPr>
    </w:p>
    <w:p>
      <w:pPr>
        <w:ind w:firstLine="2633"/>
        <w:spacing w:after="0" w:line="270" w:lineRule="auto"/>
        <w:tabs>
          <w:tab w:leader="none" w:pos="3235" w:val="left"/>
        </w:tabs>
        <w:numPr>
          <w:ilvl w:val="1"/>
          <w:numId w:val="1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Assumption, Continuation or Substitution. </w:t>
      </w:r>
      <w:r>
        <w:rPr>
          <w:rFonts w:ascii="Arial" w:cs="Arial" w:eastAsia="Arial" w:hAnsi="Arial"/>
          <w:sz w:val="19"/>
          <w:szCs w:val="19"/>
          <w:color w:val="auto"/>
        </w:rPr>
        <w:t>In the event of a Change in Control,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surviving, continuing, successor, or purchasing corporation or other business entity or parent thereof, as the case may be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Acquiror</w:t>
      </w:r>
      <w:r>
        <w:rPr>
          <w:rFonts w:ascii="Arial" w:cs="Arial" w:eastAsia="Arial" w:hAnsi="Arial"/>
          <w:sz w:val="19"/>
          <w:szCs w:val="19"/>
          <w:i w:val="1"/>
          <w:iCs w:val="1"/>
          <w:color w:val="auto"/>
        </w:rPr>
        <w:t>”</w:t>
      </w:r>
      <w:r>
        <w:rPr>
          <w:rFonts w:ascii="Arial" w:cs="Arial" w:eastAsia="Arial" w:hAnsi="Arial"/>
          <w:sz w:val="19"/>
          <w:szCs w:val="19"/>
          <w:color w:val="auto"/>
        </w:rPr>
        <w:t>), may, without the consent of any Participant, assume or continue the Company’s rights and obligations under each or</w:t>
      </w:r>
      <w:r>
        <w:rPr>
          <w:rFonts w:ascii="Arial" w:cs="Arial" w:eastAsia="Arial" w:hAnsi="Arial"/>
          <w:sz w:val="19"/>
          <w:szCs w:val="19"/>
          <w:i w:val="1"/>
          <w:iCs w:val="1"/>
          <w:color w:val="auto"/>
        </w:rPr>
        <w:t xml:space="preserve"> </w:t>
      </w:r>
      <w:r>
        <w:rPr>
          <w:rFonts w:ascii="Arial" w:cs="Arial" w:eastAsia="Arial" w:hAnsi="Arial"/>
          <w:sz w:val="19"/>
          <w:szCs w:val="19"/>
          <w:color w:val="auto"/>
        </w:rPr>
        <w:t>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20" w:firstLine="2633"/>
        <w:spacing w:after="0" w:line="270" w:lineRule="auto"/>
        <w:tabs>
          <w:tab w:leader="none" w:pos="3255" w:val="left"/>
        </w:tabs>
        <w:numPr>
          <w:ilvl w:val="1"/>
          <w:numId w:val="1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Cash-Out of Outstanding Stock-Based Awards. </w:t>
      </w:r>
      <w:r>
        <w:rPr>
          <w:rFonts w:ascii="Arial" w:cs="Arial" w:eastAsia="Arial" w:hAnsi="Arial"/>
          <w:sz w:val="19"/>
          <w:szCs w:val="19"/>
          <w:color w:val="auto"/>
        </w:rPr>
        <w:t>The Committee may, in its discretion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of Stock subject to such canceled Award in (i) cash, (ii) stock of the Company or of a corporation or other business entity a party to the Change in Control, or</w:t>
      </w:r>
    </w:p>
    <w:p>
      <w:pPr>
        <w:spacing w:after="0" w:line="4" w:lineRule="exact"/>
        <w:rPr>
          <w:rFonts w:ascii="Arial" w:cs="Arial" w:eastAsia="Arial" w:hAnsi="Arial"/>
          <w:sz w:val="19"/>
          <w:szCs w:val="19"/>
          <w:color w:val="auto"/>
        </w:rPr>
      </w:pPr>
    </w:p>
    <w:p>
      <w:pPr>
        <w:ind w:right="20" w:firstLine="8"/>
        <w:spacing w:after="0" w:line="244" w:lineRule="auto"/>
        <w:tabs>
          <w:tab w:leader="none" w:pos="37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86" w:lineRule="exact"/>
        <w:rPr>
          <w:sz w:val="20"/>
          <w:szCs w:val="20"/>
          <w:color w:val="auto"/>
        </w:rPr>
      </w:pPr>
    </w:p>
    <w:p>
      <w:pPr>
        <w:ind w:left="3300" w:hanging="667"/>
        <w:spacing w:after="0"/>
        <w:tabs>
          <w:tab w:leader="none" w:pos="3300" w:val="left"/>
        </w:tabs>
        <w:numPr>
          <w:ilvl w:val="0"/>
          <w:numId w:val="11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Accelerated Vesting of Time-Vesting Awards. </w:t>
      </w:r>
      <w:r>
        <w:rPr>
          <w:rFonts w:ascii="Arial" w:cs="Arial" w:eastAsia="Arial" w:hAnsi="Arial"/>
          <w:sz w:val="19"/>
          <w:szCs w:val="19"/>
          <w:color w:val="auto"/>
        </w:rPr>
        <w:t>The Committee may, in its discretion, provide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that if either:</w:t>
      </w:r>
    </w:p>
    <w:p>
      <w:pPr>
        <w:spacing w:after="0" w:line="188" w:lineRule="exact"/>
        <w:rPr>
          <w:sz w:val="20"/>
          <w:szCs w:val="20"/>
          <w:color w:val="auto"/>
        </w:rPr>
      </w:pPr>
    </w:p>
    <w:p>
      <w:pPr>
        <w:ind w:left="4060" w:hanging="628"/>
        <w:spacing w:after="0"/>
        <w:tabs>
          <w:tab w:leader="none" w:pos="40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Acquiror will not assume or continue the Time-Vesting Award or substitute a</w:t>
      </w:r>
    </w:p>
    <w:p>
      <w:pPr>
        <w:spacing w:after="0" w:line="42" w:lineRule="exact"/>
        <w:rPr>
          <w:rFonts w:ascii="Arial" w:cs="Arial" w:eastAsia="Arial" w:hAnsi="Arial"/>
          <w:sz w:val="19"/>
          <w:szCs w:val="19"/>
          <w:color w:val="auto"/>
        </w:rPr>
      </w:pPr>
    </w:p>
    <w:p>
      <w:pPr>
        <w:ind w:right="40"/>
        <w:spacing w:after="0" w:line="256" w:lineRule="auto"/>
        <w:rPr>
          <w:rFonts w:ascii="Arial" w:cs="Arial" w:eastAsia="Arial" w:hAnsi="Arial"/>
          <w:sz w:val="19"/>
          <w:szCs w:val="19"/>
          <w:color w:val="auto"/>
        </w:rPr>
      </w:pPr>
      <w:r>
        <w:rPr>
          <w:rFonts w:ascii="Arial" w:cs="Arial" w:eastAsia="Arial" w:hAnsi="Arial"/>
          <w:sz w:val="21"/>
          <w:szCs w:val="21"/>
          <w:color w:val="auto"/>
        </w:rPr>
        <w:t>substantially equivalent award pursuant to Section 13.1(a), in each case for equity securities of the Acquiror which are or promptly will be registered under the Securities Act and tradable on an established United States securities exchange, or</w:t>
      </w:r>
    </w:p>
    <w:p>
      <w:pPr>
        <w:spacing w:after="0" w:line="169" w:lineRule="exact"/>
        <w:rPr>
          <w:rFonts w:ascii="Arial" w:cs="Arial" w:eastAsia="Arial" w:hAnsi="Arial"/>
          <w:sz w:val="19"/>
          <w:szCs w:val="19"/>
          <w:color w:val="auto"/>
        </w:rPr>
      </w:pPr>
    </w:p>
    <w:p>
      <w:pPr>
        <w:ind w:right="100" w:firstLine="3432"/>
        <w:spacing w:after="0" w:line="251" w:lineRule="auto"/>
        <w:tabs>
          <w:tab w:leader="none" w:pos="406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Acquiror has so assumed, continued or substituted for the Time-Vesting Award, but the Participant’s Service terminates as a result of Involuntary Termination,</w:t>
      </w:r>
    </w:p>
    <w:p>
      <w:pPr>
        <w:spacing w:after="0" w:line="17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then the exercisability, vesting and/or settlement of the Time-Vesting Award and shares acquired pursuant thereto will accelerate in full or in part to such extent as the Committee determines.</w:t>
      </w:r>
    </w:p>
    <w:p>
      <w:pPr>
        <w:spacing w:after="0" w:line="173" w:lineRule="exact"/>
        <w:rPr>
          <w:sz w:val="20"/>
          <w:szCs w:val="20"/>
          <w:color w:val="auto"/>
        </w:rPr>
      </w:pPr>
    </w:p>
    <w:p>
      <w:pPr>
        <w:ind w:left="3300" w:hanging="667"/>
        <w:spacing w:after="0"/>
        <w:tabs>
          <w:tab w:leader="none" w:pos="3300" w:val="left"/>
        </w:tabs>
        <w:numPr>
          <w:ilvl w:val="0"/>
          <w:numId w:val="11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Accelerated or Pro Rata Settlement of Performance-Vesting Awards. </w:t>
      </w:r>
      <w:r>
        <w:rPr>
          <w:rFonts w:ascii="Arial" w:cs="Arial" w:eastAsia="Arial" w:hAnsi="Arial"/>
          <w:sz w:val="19"/>
          <w:szCs w:val="19"/>
          <w:color w:val="auto"/>
        </w:rPr>
        <w:t>The Committee may,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its discretion, provide that if either:</w:t>
      </w:r>
    </w:p>
    <w:p>
      <w:pPr>
        <w:spacing w:after="0" w:line="188" w:lineRule="exact"/>
        <w:rPr>
          <w:rFonts w:ascii="Arial" w:cs="Arial" w:eastAsia="Arial" w:hAnsi="Arial"/>
          <w:sz w:val="19"/>
          <w:szCs w:val="19"/>
          <w:color w:val="auto"/>
        </w:rPr>
      </w:pPr>
    </w:p>
    <w:p>
      <w:pPr>
        <w:ind w:left="4060" w:hanging="628"/>
        <w:spacing w:after="0"/>
        <w:tabs>
          <w:tab w:leader="none" w:pos="4060" w:val="left"/>
        </w:tabs>
        <w:numPr>
          <w:ilvl w:val="1"/>
          <w:numId w:val="117"/>
        </w:numPr>
        <w:rPr>
          <w:rFonts w:ascii="Arial" w:cs="Arial" w:eastAsia="Arial" w:hAnsi="Arial"/>
          <w:sz w:val="21"/>
          <w:szCs w:val="21"/>
          <w:color w:val="auto"/>
        </w:rPr>
      </w:pPr>
      <w:r>
        <w:rPr>
          <w:rFonts w:ascii="Arial" w:cs="Arial" w:eastAsia="Arial" w:hAnsi="Arial"/>
          <w:sz w:val="21"/>
          <w:szCs w:val="21"/>
          <w:color w:val="auto"/>
        </w:rPr>
        <w:t>the Acquiror will not assume or continue the Performance-Vesting Award or</w:t>
      </w:r>
    </w:p>
    <w:p>
      <w:pPr>
        <w:spacing w:after="0" w:line="19" w:lineRule="exact"/>
        <w:rPr>
          <w:rFonts w:ascii="Arial" w:cs="Arial" w:eastAsia="Arial" w:hAnsi="Arial"/>
          <w:sz w:val="21"/>
          <w:szCs w:val="21"/>
          <w:color w:val="auto"/>
        </w:rPr>
      </w:pPr>
    </w:p>
    <w:p>
      <w:pPr>
        <w:ind w:right="80"/>
        <w:spacing w:after="0" w:line="308" w:lineRule="auto"/>
        <w:rPr>
          <w:rFonts w:ascii="Arial" w:cs="Arial" w:eastAsia="Arial" w:hAnsi="Arial"/>
          <w:sz w:val="21"/>
          <w:szCs w:val="21"/>
          <w:color w:val="auto"/>
        </w:rPr>
      </w:pPr>
      <w:r>
        <w:rPr>
          <w:rFonts w:ascii="Arial" w:cs="Arial" w:eastAsia="Arial" w:hAnsi="Arial"/>
          <w:sz w:val="19"/>
          <w:szCs w:val="19"/>
          <w:color w:val="auto"/>
        </w:rPr>
        <w:t>substitute a substantially equivalent award pursuant to Section 13.1(a), in each case for equity securities of the Acquiror which are or promptly will be registered under the Securities Act and tradable on an established United States securities exchange, or</w:t>
      </w:r>
    </w:p>
    <w:p>
      <w:pPr>
        <w:spacing w:after="0" w:line="123" w:lineRule="exact"/>
        <w:rPr>
          <w:rFonts w:ascii="Arial" w:cs="Arial" w:eastAsia="Arial" w:hAnsi="Arial"/>
          <w:sz w:val="21"/>
          <w:szCs w:val="21"/>
          <w:color w:val="auto"/>
        </w:rPr>
      </w:pPr>
    </w:p>
    <w:p>
      <w:pPr>
        <w:ind w:left="4080" w:hanging="648"/>
        <w:spacing w:after="0"/>
        <w:tabs>
          <w:tab w:leader="none" w:pos="408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Acquiror has so assumed, continued or substituted for the Performance-Vesting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Award, but the Participant’s Service terminates as a result of Involuntary Termination,</w:t>
      </w:r>
    </w:p>
    <w:p>
      <w:pPr>
        <w:spacing w:after="0" w:line="188"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then the exercisability, vesting and/or settlement of the Performance-Vesting Award and shares acquired pursuant thereto will be determined, as specified by the Committee, either (A) based upon the actual achievement of the applicable performance goals(s) under the terms of the Performance-Based Award through the date of the Change in Control or the Involuntary Termination, as applicable or (B) to such extent as would occur under the terms of the Performance-Vesting Award had 100% of the target level of the applicable performance goals(s) been achieved but with the result prorated based on the period of the Participant’s actual Service during the applicable full performance period.</w:t>
      </w:r>
    </w:p>
    <w:p>
      <w:pPr>
        <w:spacing w:after="0" w:line="171" w:lineRule="exact"/>
        <w:rPr>
          <w:sz w:val="20"/>
          <w:szCs w:val="20"/>
          <w:color w:val="auto"/>
        </w:rPr>
      </w:pPr>
    </w:p>
    <w:p>
      <w:pPr>
        <w:ind w:left="1720"/>
        <w:spacing w:after="0"/>
        <w:tabs>
          <w:tab w:leader="none" w:pos="246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Federal Excise Tax Under Section 4999 of the Code.</w:t>
      </w:r>
    </w:p>
    <w:p>
      <w:pPr>
        <w:spacing w:after="0" w:line="212" w:lineRule="exact"/>
        <w:rPr>
          <w:sz w:val="20"/>
          <w:szCs w:val="20"/>
          <w:color w:val="auto"/>
        </w:rPr>
      </w:pPr>
    </w:p>
    <w:p>
      <w:pPr>
        <w:ind w:firstLine="2633"/>
        <w:spacing w:after="0" w:line="235" w:lineRule="auto"/>
        <w:tabs>
          <w:tab w:leader="none" w:pos="3288" w:val="left"/>
        </w:tabs>
        <w:numPr>
          <w:ilvl w:val="0"/>
          <w:numId w:val="11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Excess Parachute Payment. </w:t>
      </w:r>
      <w:r>
        <w:rPr>
          <w:rFonts w:ascii="Arial" w:cs="Arial" w:eastAsia="Arial" w:hAnsi="Arial"/>
          <w:sz w:val="22"/>
          <w:szCs w:val="22"/>
          <w:color w:val="auto"/>
        </w:rPr>
        <w:t>If any acceleration of vesting pursuant to an Award and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A-33</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90"/>
        <w:spacing w:after="0" w:line="244" w:lineRule="auto"/>
        <w:tabs>
          <w:tab w:leader="none" w:pos="2859" w:val="left"/>
        </w:tabs>
        <w:numPr>
          <w:ilvl w:val="1"/>
          <w:numId w:val="11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Determination by Tax Firm. </w:t>
      </w:r>
      <w:r>
        <w:rPr>
          <w:rFonts w:ascii="Arial" w:cs="Arial" w:eastAsia="Arial" w:hAnsi="Arial"/>
          <w:sz w:val="21"/>
          <w:szCs w:val="21"/>
          <w:color w:val="auto"/>
        </w:rPr>
        <w:t>To aid the Participant in making any election called for under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Section 13.3(a), 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 w:cs="Arial" w:eastAsia="Arial" w:hAnsi="Arial"/>
          <w:sz w:val="21"/>
          <w:szCs w:val="21"/>
          <w:b w:val="1"/>
          <w:bCs w:val="1"/>
          <w:i w:val="1"/>
          <w:iCs w:val="1"/>
          <w:color w:val="auto"/>
        </w:rPr>
        <w:t>Tax Firm</w:t>
      </w:r>
      <w:r>
        <w:rPr>
          <w:rFonts w:ascii="Arial" w:cs="Arial" w:eastAsia="Arial" w:hAnsi="Arial"/>
          <w:sz w:val="21"/>
          <w:szCs w:val="21"/>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81" w:lineRule="exact"/>
        <w:rPr>
          <w:rFonts w:ascii="Arial" w:cs="Arial" w:eastAsia="Arial" w:hAnsi="Arial"/>
          <w:sz w:val="21"/>
          <w:szCs w:val="21"/>
          <w:color w:val="auto"/>
        </w:rPr>
      </w:pPr>
    </w:p>
    <w:p>
      <w:pPr>
        <w:ind w:left="1620" w:hanging="813"/>
        <w:spacing w:after="0"/>
        <w:tabs>
          <w:tab w:leader="none" w:pos="1620" w:val="left"/>
        </w:tabs>
        <w:numPr>
          <w:ilvl w:val="0"/>
          <w:numId w:val="120"/>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OMPLIANCE WITH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ECURITIES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L</w:t>
      </w:r>
      <w:r>
        <w:rPr>
          <w:rFonts w:ascii="Arial" w:cs="Arial" w:eastAsia="Arial" w:hAnsi="Arial"/>
          <w:sz w:val="18"/>
          <w:szCs w:val="18"/>
          <w:b w:val="1"/>
          <w:bCs w:val="1"/>
          <w:u w:val="single" w:color="auto"/>
          <w:color w:val="auto"/>
        </w:rPr>
        <w:t>AW</w:t>
      </w:r>
      <w:r>
        <w:rPr>
          <w:rFonts w:ascii="Arial" w:cs="Arial" w:eastAsia="Arial" w:hAnsi="Arial"/>
          <w:sz w:val="22"/>
          <w:szCs w:val="22"/>
          <w:b w:val="1"/>
          <w:bCs w:val="1"/>
          <w:color w:val="auto"/>
        </w:rPr>
        <w:t>.</w:t>
      </w:r>
    </w:p>
    <w:p>
      <w:pPr>
        <w:spacing w:after="0" w:line="212" w:lineRule="exact"/>
        <w:rPr>
          <w:sz w:val="20"/>
          <w:szCs w:val="20"/>
          <w:color w:val="auto"/>
        </w:rPr>
      </w:pPr>
    </w:p>
    <w:p>
      <w:pPr>
        <w:ind w:right="20" w:firstLine="1712"/>
        <w:spacing w:after="0" w:line="272" w:lineRule="auto"/>
        <w:rPr>
          <w:sz w:val="20"/>
          <w:szCs w:val="20"/>
          <w:color w:val="auto"/>
        </w:rPr>
      </w:pPr>
      <w:r>
        <w:rPr>
          <w:rFonts w:ascii="Arial" w:cs="Arial" w:eastAsia="Arial" w:hAnsi="Arial"/>
          <w:sz w:val="19"/>
          <w:szCs w:val="19"/>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56" w:lineRule="exact"/>
        <w:rPr>
          <w:sz w:val="20"/>
          <w:szCs w:val="20"/>
          <w:color w:val="auto"/>
        </w:rPr>
      </w:pPr>
    </w:p>
    <w:p>
      <w:pPr>
        <w:ind w:left="1620" w:hanging="813"/>
        <w:spacing w:after="0"/>
        <w:tabs>
          <w:tab w:leader="none" w:pos="1620" w:val="left"/>
        </w:tabs>
        <w:numPr>
          <w:ilvl w:val="0"/>
          <w:numId w:val="121"/>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OMPLIANCE WITH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ECTION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409A</w:t>
      </w:r>
      <w:r>
        <w:rPr>
          <w:rFonts w:ascii="Arial" w:cs="Arial" w:eastAsia="Arial" w:hAnsi="Arial"/>
          <w:sz w:val="22"/>
          <w:szCs w:val="22"/>
          <w:b w:val="1"/>
          <w:bCs w:val="1"/>
          <w:color w:val="auto"/>
        </w:rPr>
        <w:t>.</w:t>
      </w:r>
    </w:p>
    <w:p>
      <w:pPr>
        <w:spacing w:after="0" w:line="206" w:lineRule="exact"/>
        <w:rPr>
          <w:sz w:val="20"/>
          <w:szCs w:val="20"/>
          <w:color w:val="auto"/>
        </w:rPr>
      </w:pPr>
    </w:p>
    <w:p>
      <w:pPr>
        <w:ind w:firstLine="1712"/>
        <w:spacing w:after="0" w:line="239"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b w:val="1"/>
          <w:bCs w:val="1"/>
          <w:color w:val="auto"/>
        </w:rPr>
        <w:t>Awards Subject to Section 409A.</w:t>
      </w:r>
      <w:r>
        <w:rPr>
          <w:rFonts w:ascii="Arial" w:cs="Arial" w:eastAsia="Arial" w:hAnsi="Arial"/>
          <w:sz w:val="22"/>
          <w:szCs w:val="22"/>
          <w:color w:val="auto"/>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A-34</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00" w:firstLine="2290"/>
        <w:spacing w:after="0"/>
        <w:tabs>
          <w:tab w:leader="none" w:pos="283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86" w:lineRule="exact"/>
        <w:rPr>
          <w:rFonts w:ascii="Arial" w:cs="Arial" w:eastAsia="Arial" w:hAnsi="Arial"/>
          <w:sz w:val="22"/>
          <w:szCs w:val="22"/>
          <w:color w:val="auto"/>
        </w:rPr>
      </w:pPr>
    </w:p>
    <w:p>
      <w:pPr>
        <w:ind w:right="80" w:firstLine="2290"/>
        <w:spacing w:after="0" w:line="287" w:lineRule="auto"/>
        <w:tabs>
          <w:tab w:leader="none" w:pos="284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43" w:lineRule="exact"/>
        <w:rPr>
          <w:sz w:val="20"/>
          <w:szCs w:val="20"/>
          <w:color w:val="auto"/>
        </w:rPr>
      </w:pPr>
    </w:p>
    <w:p>
      <w:pPr>
        <w:ind w:right="40" w:firstLine="799"/>
        <w:spacing w:after="0" w:line="235" w:lineRule="auto"/>
        <w:rPr>
          <w:sz w:val="20"/>
          <w:szCs w:val="20"/>
          <w:color w:val="auto"/>
        </w:rPr>
      </w:pPr>
      <w:r>
        <w:rPr>
          <w:rFonts w:ascii="Arial" w:cs="Arial" w:eastAsia="Arial" w:hAnsi="Arial"/>
          <w:sz w:val="22"/>
          <w:szCs w:val="22"/>
          <w:color w:val="auto"/>
        </w:rPr>
        <w:t>Subject to the provisions of Section 409A, the term “</w:t>
      </w:r>
      <w:r>
        <w:rPr>
          <w:rFonts w:ascii="Arial" w:cs="Arial" w:eastAsia="Arial" w:hAnsi="Arial"/>
          <w:sz w:val="22"/>
          <w:szCs w:val="22"/>
          <w:b w:val="1"/>
          <w:bCs w:val="1"/>
          <w:i w:val="1"/>
          <w:iCs w:val="1"/>
          <w:color w:val="auto"/>
        </w:rPr>
        <w:t>Short-Term Deferral Period</w:t>
      </w:r>
      <w:r>
        <w:rPr>
          <w:rFonts w:ascii="Arial" w:cs="Arial" w:eastAsia="Arial" w:hAnsi="Arial"/>
          <w:sz w:val="22"/>
          <w:szCs w:val="22"/>
          <w:i w:val="1"/>
          <w:iCs w:val="1"/>
          <w:color w:val="auto"/>
        </w:rPr>
        <w:t>”</w:t>
      </w:r>
      <w:r>
        <w:rPr>
          <w:rFonts w:ascii="Arial" w:cs="Arial" w:eastAsia="Arial" w:hAnsi="Arial"/>
          <w:sz w:val="22"/>
          <w:szCs w:val="22"/>
          <w:color w:val="auto"/>
        </w:rPr>
        <w:t xml:space="preserve"> means the 2 </w:t>
      </w:r>
      <w:r>
        <w:rPr>
          <w:rFonts w:ascii="Arial" w:cs="Arial" w:eastAsia="Arial" w:hAnsi="Arial"/>
          <w:sz w:val="18"/>
          <w:szCs w:val="18"/>
          <w:color w:val="auto"/>
        </w:rPr>
        <w:t>1</w:t>
      </w: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82" w:lineRule="exact"/>
        <w:rPr>
          <w:sz w:val="20"/>
          <w:szCs w:val="20"/>
          <w:color w:val="auto"/>
        </w:rPr>
      </w:pPr>
    </w:p>
    <w:p>
      <w:pPr>
        <w:ind w:right="20" w:firstLine="1712"/>
        <w:spacing w:after="0" w:line="261"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b w:val="1"/>
          <w:bCs w:val="1"/>
          <w:color w:val="auto"/>
        </w:rPr>
        <w:t>Deferral and/or Distribution Elections.</w:t>
      </w:r>
      <w:r>
        <w:rPr>
          <w:rFonts w:ascii="Arial" w:cs="Arial" w:eastAsia="Arial" w:hAnsi="Arial"/>
          <w:sz w:val="21"/>
          <w:szCs w:val="21"/>
          <w:color w:val="auto"/>
        </w:rPr>
        <w:t xml:space="preserve"> Except as otherwise permitted or required by Section 409A, the following rules shall apply to any compensation deferral and/or payment elections (each, an “</w:t>
      </w:r>
      <w:r>
        <w:rPr>
          <w:rFonts w:ascii="Arial" w:cs="Arial" w:eastAsia="Arial" w:hAnsi="Arial"/>
          <w:sz w:val="21"/>
          <w:szCs w:val="21"/>
          <w:b w:val="1"/>
          <w:bCs w:val="1"/>
          <w:i w:val="1"/>
          <w:iCs w:val="1"/>
          <w:color w:val="auto"/>
        </w:rPr>
        <w:t>Election</w:t>
      </w:r>
      <w:r>
        <w:rPr>
          <w:rFonts w:ascii="Arial" w:cs="Arial" w:eastAsia="Arial" w:hAnsi="Arial"/>
          <w:sz w:val="21"/>
          <w:szCs w:val="21"/>
          <w:color w:val="auto"/>
        </w:rPr>
        <w:t>”) that may be permitted or required by the Committee pursuant to an Award providing Section 409A Deferred Compensation:</w:t>
      </w:r>
    </w:p>
    <w:p>
      <w:pPr>
        <w:spacing w:after="0" w:line="164" w:lineRule="exact"/>
        <w:rPr>
          <w:sz w:val="20"/>
          <w:szCs w:val="20"/>
          <w:color w:val="auto"/>
        </w:rPr>
      </w:pPr>
    </w:p>
    <w:p>
      <w:pPr>
        <w:ind w:right="420" w:firstLine="2290"/>
        <w:spacing w:after="0" w:line="251" w:lineRule="auto"/>
        <w:tabs>
          <w:tab w:leader="none" w:pos="284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Elections must be in writing and specify the amount of the payment in settlement of an Award being deferred, as well as the time and form of payment as permitted by this Plan.</w:t>
      </w:r>
    </w:p>
    <w:p>
      <w:pPr>
        <w:spacing w:after="0" w:line="173" w:lineRule="exact"/>
        <w:rPr>
          <w:rFonts w:ascii="Arial" w:cs="Arial" w:eastAsia="Arial" w:hAnsi="Arial"/>
          <w:sz w:val="22"/>
          <w:szCs w:val="22"/>
          <w:color w:val="auto"/>
        </w:rPr>
      </w:pPr>
    </w:p>
    <w:p>
      <w:pPr>
        <w:ind w:right="500" w:firstLine="2290"/>
        <w:spacing w:after="0" w:line="251" w:lineRule="auto"/>
        <w:tabs>
          <w:tab w:leader="none" w:pos="285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Elections shall be made by the end of the Participant’s taxable year prior to the year in which services commence for which an Award may be granted to the Participant.</w:t>
      </w:r>
    </w:p>
    <w:p>
      <w:pPr>
        <w:spacing w:after="0" w:line="173" w:lineRule="exact"/>
        <w:rPr>
          <w:rFonts w:ascii="Arial" w:cs="Arial" w:eastAsia="Arial" w:hAnsi="Arial"/>
          <w:sz w:val="22"/>
          <w:szCs w:val="22"/>
          <w:color w:val="auto"/>
        </w:rPr>
      </w:pPr>
    </w:p>
    <w:p>
      <w:pPr>
        <w:ind w:right="20" w:firstLine="2290"/>
        <w:spacing w:after="0" w:line="258" w:lineRule="auto"/>
        <w:tabs>
          <w:tab w:leader="none" w:pos="284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61" w:lineRule="exact"/>
        <w:rPr>
          <w:sz w:val="20"/>
          <w:szCs w:val="20"/>
          <w:color w:val="auto"/>
        </w:rPr>
      </w:pPr>
    </w:p>
    <w:p>
      <w:pPr>
        <w:jc w:val="both"/>
        <w:ind w:firstLine="1712"/>
        <w:spacing w:after="0" w:line="243"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b w:val="1"/>
          <w:bCs w:val="1"/>
          <w:color w:val="auto"/>
        </w:rPr>
        <w:t>Subsequent Elections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83" w:lineRule="exact"/>
        <w:rPr>
          <w:sz w:val="20"/>
          <w:szCs w:val="20"/>
          <w:color w:val="auto"/>
        </w:rPr>
      </w:pPr>
    </w:p>
    <w:p>
      <w:pPr>
        <w:ind w:left="2860" w:hanging="570"/>
        <w:spacing w:after="0"/>
        <w:tabs>
          <w:tab w:leader="none" w:pos="28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 subsequent Election may take effect until at least twelve (12) months after the date on which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subsequent Election is made.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A-35</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0" w:firstLine="2290"/>
        <w:spacing w:after="0"/>
        <w:tabs>
          <w:tab w:leader="none" w:pos="280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186" w:lineRule="exact"/>
        <w:rPr>
          <w:rFonts w:ascii="Arial" w:cs="Arial" w:eastAsia="Arial" w:hAnsi="Arial"/>
          <w:sz w:val="22"/>
          <w:szCs w:val="22"/>
          <w:color w:val="auto"/>
        </w:rPr>
      </w:pPr>
    </w:p>
    <w:p>
      <w:pPr>
        <w:ind w:firstLine="2290"/>
        <w:spacing w:after="0" w:line="251" w:lineRule="auto"/>
        <w:tabs>
          <w:tab w:leader="none" w:pos="279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 subsequent Election related to a payment pursuant to Section 15.4(a)(iv) shall be made less than twelve (12) months before the date on which such payment would otherwise have been made.</w:t>
      </w:r>
    </w:p>
    <w:p>
      <w:pPr>
        <w:spacing w:after="0" w:line="173" w:lineRule="exact"/>
        <w:rPr>
          <w:rFonts w:ascii="Arial" w:cs="Arial" w:eastAsia="Arial" w:hAnsi="Arial"/>
          <w:sz w:val="22"/>
          <w:szCs w:val="22"/>
          <w:color w:val="auto"/>
        </w:rPr>
      </w:pPr>
    </w:p>
    <w:p>
      <w:pPr>
        <w:ind w:right="40" w:firstLine="2290"/>
        <w:spacing w:after="0" w:line="238" w:lineRule="auto"/>
        <w:tabs>
          <w:tab w:leader="none" w:pos="280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179" w:lineRule="exact"/>
        <w:rPr>
          <w:sz w:val="20"/>
          <w:szCs w:val="20"/>
          <w:color w:val="auto"/>
        </w:rPr>
      </w:pPr>
    </w:p>
    <w:p>
      <w:pPr>
        <w:ind w:left="1600"/>
        <w:spacing w:after="0"/>
        <w:tabs>
          <w:tab w:leader="none" w:pos="218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b w:val="1"/>
          <w:bCs w:val="1"/>
          <w:color w:val="auto"/>
        </w:rPr>
        <w:t>Payment of Section 409A Deferred Compensation</w:t>
      </w:r>
      <w:r>
        <w:rPr>
          <w:rFonts w:ascii="Arial" w:cs="Arial" w:eastAsia="Arial" w:hAnsi="Arial"/>
          <w:sz w:val="19"/>
          <w:szCs w:val="19"/>
          <w:b w:val="1"/>
          <w:bCs w:val="1"/>
          <w:i w:val="1"/>
          <w:iCs w:val="1"/>
          <w:color w:val="auto"/>
        </w:rPr>
        <w:t>.</w:t>
      </w:r>
    </w:p>
    <w:p>
      <w:pPr>
        <w:spacing w:after="0" w:line="212" w:lineRule="exact"/>
        <w:rPr>
          <w:sz w:val="20"/>
          <w:szCs w:val="20"/>
          <w:color w:val="auto"/>
        </w:rPr>
      </w:pPr>
    </w:p>
    <w:p>
      <w:pPr>
        <w:ind w:firstLine="2290"/>
        <w:spacing w:after="0"/>
        <w:tabs>
          <w:tab w:leader="none" w:pos="2792" w:val="left"/>
        </w:tabs>
        <w:numPr>
          <w:ilvl w:val="0"/>
          <w:numId w:val="12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Permissible Payments. </w:t>
      </w:r>
      <w:r>
        <w:rPr>
          <w:rFonts w:ascii="Arial" w:cs="Arial" w:eastAsia="Arial" w:hAnsi="Arial"/>
          <w:sz w:val="22"/>
          <w:szCs w:val="22"/>
          <w:color w:val="auto"/>
        </w:rPr>
        <w:t>Except as otherwise permitted or required by Section 409A, an Award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providing Section 409A Deferred Compensation must provide for payment in settlement of the Award only upon one or more of the following:</w:t>
      </w:r>
    </w:p>
    <w:p>
      <w:pPr>
        <w:spacing w:after="0" w:line="186" w:lineRule="exact"/>
        <w:rPr>
          <w:rFonts w:ascii="Arial" w:cs="Arial" w:eastAsia="Arial" w:hAnsi="Arial"/>
          <w:sz w:val="22"/>
          <w:szCs w:val="22"/>
          <w:color w:val="auto"/>
        </w:rPr>
      </w:pPr>
    </w:p>
    <w:p>
      <w:pPr>
        <w:ind w:left="3380" w:hanging="519"/>
        <w:spacing w:after="0"/>
        <w:tabs>
          <w:tab w:leader="none" w:pos="338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Participant’s “separation from service” (as defined by Section 409A);</w:t>
      </w:r>
    </w:p>
    <w:p>
      <w:pPr>
        <w:spacing w:after="0" w:line="206" w:lineRule="exact"/>
        <w:rPr>
          <w:rFonts w:ascii="Arial" w:cs="Arial" w:eastAsia="Arial" w:hAnsi="Arial"/>
          <w:sz w:val="22"/>
          <w:szCs w:val="22"/>
          <w:color w:val="auto"/>
        </w:rPr>
      </w:pPr>
    </w:p>
    <w:p>
      <w:pPr>
        <w:ind w:left="3440" w:hanging="579"/>
        <w:spacing w:after="0"/>
        <w:tabs>
          <w:tab w:leader="none" w:pos="34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Participant’s becoming “disabled” (as defined by Section 409A);</w:t>
      </w:r>
    </w:p>
    <w:p>
      <w:pPr>
        <w:spacing w:after="0" w:line="206" w:lineRule="exact"/>
        <w:rPr>
          <w:rFonts w:ascii="Arial" w:cs="Arial" w:eastAsia="Arial" w:hAnsi="Arial"/>
          <w:sz w:val="22"/>
          <w:szCs w:val="22"/>
          <w:color w:val="auto"/>
        </w:rPr>
      </w:pPr>
    </w:p>
    <w:p>
      <w:pPr>
        <w:ind w:left="3460" w:hanging="599"/>
        <w:spacing w:after="0"/>
        <w:tabs>
          <w:tab w:leader="none" w:pos="346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Participant’s death;</w:t>
      </w:r>
    </w:p>
    <w:p>
      <w:pPr>
        <w:spacing w:after="0" w:line="206" w:lineRule="exact"/>
        <w:rPr>
          <w:rFonts w:ascii="Arial" w:cs="Arial" w:eastAsia="Arial" w:hAnsi="Arial"/>
          <w:sz w:val="22"/>
          <w:szCs w:val="22"/>
          <w:color w:val="auto"/>
        </w:rPr>
      </w:pPr>
    </w:p>
    <w:p>
      <w:pPr>
        <w:jc w:val="both"/>
        <w:ind w:right="240" w:firstLine="2861"/>
        <w:spacing w:after="0"/>
        <w:tabs>
          <w:tab w:leader="none" w:pos="3423"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86" w:lineRule="exact"/>
        <w:rPr>
          <w:rFonts w:ascii="Arial" w:cs="Arial" w:eastAsia="Arial" w:hAnsi="Arial"/>
          <w:sz w:val="22"/>
          <w:szCs w:val="22"/>
          <w:color w:val="auto"/>
        </w:rPr>
      </w:pPr>
    </w:p>
    <w:p>
      <w:pPr>
        <w:ind w:left="3420" w:hanging="559"/>
        <w:spacing w:after="0"/>
        <w:tabs>
          <w:tab w:leader="none" w:pos="342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 change in the ownership or effective control or the Company or in the ownership of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substantial portion of the assets of the Company determined in accordance with Section 409A; or</w:t>
      </w:r>
    </w:p>
    <w:p>
      <w:pPr>
        <w:spacing w:after="0" w:line="188" w:lineRule="exact"/>
        <w:rPr>
          <w:rFonts w:ascii="Arial" w:cs="Arial" w:eastAsia="Arial" w:hAnsi="Arial"/>
          <w:sz w:val="19"/>
          <w:szCs w:val="19"/>
          <w:color w:val="auto"/>
        </w:rPr>
      </w:pPr>
    </w:p>
    <w:p>
      <w:pPr>
        <w:ind w:left="3440" w:hanging="579"/>
        <w:spacing w:after="0"/>
        <w:tabs>
          <w:tab w:leader="none" w:pos="34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occurrence of an “unforeseeable emergency” (as defined by Section 409A).</w:t>
      </w:r>
    </w:p>
    <w:p>
      <w:pPr>
        <w:spacing w:after="0" w:line="206" w:lineRule="exact"/>
        <w:rPr>
          <w:rFonts w:ascii="Arial" w:cs="Arial" w:eastAsia="Arial" w:hAnsi="Arial"/>
          <w:sz w:val="22"/>
          <w:szCs w:val="22"/>
          <w:color w:val="auto"/>
        </w:rPr>
      </w:pPr>
    </w:p>
    <w:p>
      <w:pPr>
        <w:ind w:right="120" w:firstLine="2290"/>
        <w:spacing w:after="0"/>
        <w:tabs>
          <w:tab w:leader="none" w:pos="2804" w:val="left"/>
        </w:tabs>
        <w:numPr>
          <w:ilvl w:val="0"/>
          <w:numId w:val="126"/>
        </w:numPr>
        <w:rPr>
          <w:rFonts w:ascii="Arial" w:cs="Arial" w:eastAsia="Arial" w:hAnsi="Arial"/>
          <w:sz w:val="22"/>
          <w:szCs w:val="22"/>
          <w:color w:val="auto"/>
        </w:rPr>
      </w:pPr>
      <w:r>
        <w:rPr>
          <w:rFonts w:ascii="Arial" w:cs="Arial" w:eastAsia="Arial" w:hAnsi="Arial"/>
          <w:sz w:val="22"/>
          <w:szCs w:val="22"/>
          <w:b w:val="1"/>
          <w:bCs w:val="1"/>
          <w:i w:val="1"/>
          <w:iCs w:val="1"/>
          <w:color w:val="auto"/>
        </w:rPr>
        <w:t>Installment Payments</w:t>
      </w:r>
      <w:r>
        <w:rPr>
          <w:rFonts w:ascii="Arial" w:cs="Arial" w:eastAsia="Arial" w:hAnsi="Arial"/>
          <w:sz w:val="22"/>
          <w:szCs w:val="22"/>
          <w:color w:val="auto"/>
        </w:rPr>
        <w:t>. It is the intent of this Plan that any right of a Participant to receive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installment payments (within the meaning of Section 409A) shall, for all purposes of Section 409A, be treated as a right to a series of separate payments.</w:t>
      </w:r>
    </w:p>
    <w:p>
      <w:pPr>
        <w:spacing w:after="0" w:line="186" w:lineRule="exact"/>
        <w:rPr>
          <w:rFonts w:ascii="Arial" w:cs="Arial" w:eastAsia="Arial" w:hAnsi="Arial"/>
          <w:sz w:val="22"/>
          <w:szCs w:val="22"/>
          <w:color w:val="auto"/>
        </w:rPr>
      </w:pPr>
    </w:p>
    <w:p>
      <w:pPr>
        <w:ind w:left="2800" w:hanging="510"/>
        <w:spacing w:after="0"/>
        <w:tabs>
          <w:tab w:leader="none" w:pos="2800" w:val="left"/>
        </w:tabs>
        <w:numPr>
          <w:ilvl w:val="0"/>
          <w:numId w:val="126"/>
        </w:numPr>
        <w:rPr>
          <w:rFonts w:ascii="Arial" w:cs="Arial" w:eastAsia="Arial" w:hAnsi="Arial"/>
          <w:sz w:val="22"/>
          <w:szCs w:val="22"/>
          <w:color w:val="auto"/>
        </w:rPr>
      </w:pPr>
      <w:r>
        <w:rPr>
          <w:rFonts w:ascii="Arial" w:cs="Arial" w:eastAsia="Arial" w:hAnsi="Arial"/>
          <w:sz w:val="22"/>
          <w:szCs w:val="22"/>
          <w:b w:val="1"/>
          <w:bCs w:val="1"/>
          <w:i w:val="1"/>
          <w:iCs w:val="1"/>
          <w:color w:val="auto"/>
        </w:rPr>
        <w:t>Required Delay in Payment to Specified Employee Pursuant to Separation from</w:t>
      </w:r>
    </w:p>
    <w:p>
      <w:pPr>
        <w:spacing w:after="0" w:line="8" w:lineRule="exact"/>
        <w:rPr>
          <w:sz w:val="20"/>
          <w:szCs w:val="20"/>
          <w:color w:val="auto"/>
        </w:rPr>
      </w:pPr>
    </w:p>
    <w:p>
      <w:pPr>
        <w:ind w:right="560"/>
        <w:spacing w:after="0" w:line="237" w:lineRule="auto"/>
        <w:rPr>
          <w:sz w:val="20"/>
          <w:szCs w:val="20"/>
          <w:color w:val="auto"/>
        </w:rPr>
      </w:pPr>
      <w:r>
        <w:rPr>
          <w:rFonts w:ascii="Arial" w:cs="Arial" w:eastAsia="Arial" w:hAnsi="Arial"/>
          <w:sz w:val="22"/>
          <w:szCs w:val="22"/>
          <w:b w:val="1"/>
          <w:bCs w:val="1"/>
          <w:i w:val="1"/>
          <w:iCs w:val="1"/>
          <w:color w:val="auto"/>
        </w:rPr>
        <w:t xml:space="preserve">Service. </w:t>
      </w:r>
      <w:r>
        <w:rPr>
          <w:rFonts w:ascii="Arial" w:cs="Arial" w:eastAsia="Arial" w:hAnsi="Arial"/>
          <w:sz w:val="22"/>
          <w:szCs w:val="22"/>
          <w:color w:val="auto"/>
        </w:rPr>
        <w:t>Notwithstanding any provision of the Plan or an Award Agreement to the contrary, except as otherwise permitted 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409A, no payment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 xml:space="preserve">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Delayed Payment Date</w:t>
      </w:r>
      <w:r>
        <w:rPr>
          <w:rFonts w:ascii="Arial" w:cs="Arial" w:eastAsia="Arial" w:hAnsi="Arial"/>
          <w:sz w:val="21"/>
          <w:szCs w:val="21"/>
          <w:i w:val="1"/>
          <w:iCs w:val="1"/>
          <w:color w:val="auto"/>
        </w:rPr>
        <w:t>”</w:t>
      </w:r>
      <w:r>
        <w:rPr>
          <w:rFonts w:ascii="Arial" w:cs="Arial" w:eastAsia="Arial" w:hAnsi="Arial"/>
          <w:sz w:val="21"/>
          <w:szCs w:val="21"/>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179" w:lineRule="exact"/>
        <w:rPr>
          <w:sz w:val="20"/>
          <w:szCs w:val="20"/>
          <w:color w:val="auto"/>
        </w:rPr>
      </w:pPr>
    </w:p>
    <w:p>
      <w:pPr>
        <w:ind w:right="80" w:firstLine="2290"/>
        <w:spacing w:after="0" w:line="236" w:lineRule="auto"/>
        <w:tabs>
          <w:tab w:leader="none" w:pos="2859" w:val="left"/>
        </w:tabs>
        <w:numPr>
          <w:ilvl w:val="0"/>
          <w:numId w:val="12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Payment Upon Disability. </w:t>
      </w:r>
      <w:r>
        <w:rPr>
          <w:rFonts w:ascii="Arial" w:cs="Arial" w:eastAsia="Arial" w:hAnsi="Arial"/>
          <w:sz w:val="22"/>
          <w:szCs w:val="22"/>
          <w:color w:val="auto"/>
        </w:rPr>
        <w:t>All distributions of Section 409A Deferred Compensation payable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upon the determination that the Participant has become disabled.</w:t>
      </w:r>
    </w:p>
    <w:p>
      <w:pPr>
        <w:spacing w:after="0" w:line="181" w:lineRule="exact"/>
        <w:rPr>
          <w:rFonts w:ascii="Arial" w:cs="Arial" w:eastAsia="Arial" w:hAnsi="Arial"/>
          <w:sz w:val="22"/>
          <w:szCs w:val="22"/>
          <w:color w:val="auto"/>
        </w:rPr>
      </w:pPr>
    </w:p>
    <w:p>
      <w:pPr>
        <w:ind w:right="60" w:firstLine="2290"/>
        <w:spacing w:after="0" w:line="249" w:lineRule="auto"/>
        <w:tabs>
          <w:tab w:leader="none" w:pos="2846" w:val="left"/>
        </w:tabs>
        <w:numPr>
          <w:ilvl w:val="0"/>
          <w:numId w:val="127"/>
        </w:numPr>
        <w:rPr>
          <w:rFonts w:ascii="Arial" w:cs="Arial" w:eastAsia="Arial" w:hAnsi="Arial"/>
          <w:sz w:val="21"/>
          <w:szCs w:val="21"/>
          <w:color w:val="auto"/>
        </w:rPr>
      </w:pPr>
      <w:r>
        <w:rPr>
          <w:rFonts w:ascii="Arial" w:cs="Arial" w:eastAsia="Arial" w:hAnsi="Arial"/>
          <w:sz w:val="21"/>
          <w:szCs w:val="21"/>
          <w:b w:val="1"/>
          <w:bCs w:val="1"/>
          <w:i w:val="1"/>
          <w:iCs w:val="1"/>
          <w:color w:val="auto"/>
        </w:rPr>
        <w:t>Payment Upon Death</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If a Participant dies before complete distribution of amounts payable upon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77" w:lineRule="exact"/>
        <w:rPr>
          <w:rFonts w:ascii="Arial" w:cs="Arial" w:eastAsia="Arial" w:hAnsi="Arial"/>
          <w:sz w:val="21"/>
          <w:szCs w:val="21"/>
          <w:color w:val="auto"/>
        </w:rPr>
      </w:pPr>
    </w:p>
    <w:p>
      <w:pPr>
        <w:ind w:right="40" w:firstLine="2290"/>
        <w:spacing w:after="0" w:line="244" w:lineRule="auto"/>
        <w:tabs>
          <w:tab w:leader="none" w:pos="2822" w:val="left"/>
        </w:tabs>
        <w:numPr>
          <w:ilvl w:val="0"/>
          <w:numId w:val="12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Payment Upon Change in Control. </w:t>
      </w:r>
      <w:r>
        <w:rPr>
          <w:rFonts w:ascii="Arial" w:cs="Arial" w:eastAsia="Arial" w:hAnsi="Arial"/>
          <w:sz w:val="21"/>
          <w:szCs w:val="21"/>
          <w:color w:val="auto"/>
        </w:rPr>
        <w:t>Notwithstanding any provision of the Plan or an Award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189" w:lineRule="exact"/>
        <w:rPr>
          <w:rFonts w:ascii="Arial" w:cs="Arial" w:eastAsia="Arial" w:hAnsi="Arial"/>
          <w:sz w:val="21"/>
          <w:szCs w:val="21"/>
          <w:color w:val="auto"/>
        </w:rPr>
      </w:pPr>
    </w:p>
    <w:p>
      <w:pPr>
        <w:ind w:firstLine="2290"/>
        <w:spacing w:after="0" w:line="279" w:lineRule="auto"/>
        <w:tabs>
          <w:tab w:leader="none" w:pos="2859" w:val="left"/>
        </w:tabs>
        <w:numPr>
          <w:ilvl w:val="0"/>
          <w:numId w:val="12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Payment Upon Unforeseeable Emergency. </w:t>
      </w:r>
      <w:r>
        <w:rPr>
          <w:rFonts w:ascii="Arial" w:cs="Arial" w:eastAsia="Arial" w:hAnsi="Arial"/>
          <w:sz w:val="19"/>
          <w:szCs w:val="19"/>
          <w:color w:val="auto"/>
        </w:rPr>
        <w:t>The Committee shall have the authority to provide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51" w:lineRule="exact"/>
        <w:rPr>
          <w:sz w:val="20"/>
          <w:szCs w:val="20"/>
          <w:color w:val="auto"/>
        </w:rPr>
      </w:pPr>
    </w:p>
    <w:p>
      <w:pPr>
        <w:ind w:firstLine="2290"/>
        <w:spacing w:after="0"/>
        <w:tabs>
          <w:tab w:leader="none" w:pos="2859" w:val="left"/>
        </w:tabs>
        <w:numPr>
          <w:ilvl w:val="0"/>
          <w:numId w:val="12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Prohibition of Acceleration of Payments. </w:t>
      </w:r>
      <w:r>
        <w:rPr>
          <w:rFonts w:ascii="Arial" w:cs="Arial" w:eastAsia="Arial" w:hAnsi="Arial"/>
          <w:sz w:val="22"/>
          <w:szCs w:val="22"/>
          <w:color w:val="auto"/>
        </w:rPr>
        <w:t>Notwithstanding any provision of the Plan or an Award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to the contrary, this Plan does not permit the acceleration of the time or schedule of any payment under an Award providing Section 409A Deferred Compensation, except as permitted by Section 409A.</w:t>
      </w:r>
    </w:p>
    <w:p>
      <w:pPr>
        <w:spacing w:after="0" w:line="186" w:lineRule="exact"/>
        <w:rPr>
          <w:rFonts w:ascii="Arial" w:cs="Arial" w:eastAsia="Arial" w:hAnsi="Arial"/>
          <w:sz w:val="22"/>
          <w:szCs w:val="22"/>
          <w:color w:val="auto"/>
        </w:rPr>
      </w:pPr>
    </w:p>
    <w:p>
      <w:pPr>
        <w:ind w:firstLine="2290"/>
        <w:spacing w:after="0" w:line="258" w:lineRule="auto"/>
        <w:tabs>
          <w:tab w:leader="none" w:pos="2810" w:val="left"/>
        </w:tabs>
        <w:numPr>
          <w:ilvl w:val="0"/>
          <w:numId w:val="128"/>
        </w:numPr>
        <w:rPr>
          <w:rFonts w:ascii="Arial" w:cs="Arial" w:eastAsia="Arial" w:hAnsi="Arial"/>
          <w:sz w:val="21"/>
          <w:szCs w:val="21"/>
          <w:color w:val="auto"/>
        </w:rPr>
      </w:pPr>
      <w:r>
        <w:rPr>
          <w:rFonts w:ascii="Arial" w:cs="Arial" w:eastAsia="Arial" w:hAnsi="Arial"/>
          <w:sz w:val="21"/>
          <w:szCs w:val="21"/>
          <w:b w:val="1"/>
          <w:bCs w:val="1"/>
          <w:i w:val="1"/>
          <w:iCs w:val="1"/>
          <w:color w:val="auto"/>
        </w:rPr>
        <w:t>No Representation Regarding Section 409A Compliance</w:t>
      </w:r>
      <w:r>
        <w:rPr>
          <w:rFonts w:ascii="Arial" w:cs="Arial" w:eastAsia="Arial" w:hAnsi="Arial"/>
          <w:sz w:val="21"/>
          <w:szCs w:val="21"/>
          <w:color w:val="auto"/>
        </w:rPr>
        <w:t>. Notwithstanding any other provision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Plan, the Company makes no representation that Awards shall be exempt from or comply with Section 409A. No Participating Company shall be liable for any tax, penalty or interest imposed on a Participant by Section 409A.</w:t>
      </w:r>
    </w:p>
    <w:p>
      <w:pPr>
        <w:spacing w:after="0" w:line="161" w:lineRule="exact"/>
        <w:rPr>
          <w:sz w:val="20"/>
          <w:szCs w:val="20"/>
          <w:color w:val="auto"/>
        </w:rPr>
      </w:pPr>
    </w:p>
    <w:p>
      <w:pPr>
        <w:ind w:left="1680" w:hanging="873"/>
        <w:spacing w:after="0"/>
        <w:tabs>
          <w:tab w:leader="none" w:pos="1680" w:val="left"/>
        </w:tabs>
        <w:numPr>
          <w:ilvl w:val="0"/>
          <w:numId w:val="129"/>
        </w:numPr>
        <w:rPr>
          <w:rFonts w:ascii="Arial" w:cs="Arial" w:eastAsia="Arial" w:hAnsi="Arial"/>
          <w:sz w:val="22"/>
          <w:szCs w:val="22"/>
          <w:color w:val="auto"/>
        </w:rPr>
      </w:pP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AX</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W</w:t>
      </w:r>
      <w:r>
        <w:rPr>
          <w:rFonts w:ascii="Arial" w:cs="Arial" w:eastAsia="Arial" w:hAnsi="Arial"/>
          <w:sz w:val="18"/>
          <w:szCs w:val="18"/>
          <w:b w:val="1"/>
          <w:bCs w:val="1"/>
          <w:u w:val="single" w:color="auto"/>
          <w:color w:val="auto"/>
        </w:rPr>
        <w:t>ITHHOLDING</w:t>
      </w:r>
      <w:r>
        <w:rPr>
          <w:rFonts w:ascii="Arial" w:cs="Arial" w:eastAsia="Arial" w:hAnsi="Arial"/>
          <w:sz w:val="22"/>
          <w:szCs w:val="22"/>
          <w:b w:val="1"/>
          <w:bCs w:val="1"/>
          <w:color w:val="auto"/>
        </w:rPr>
        <w:t>.</w:t>
      </w:r>
    </w:p>
    <w:p>
      <w:pPr>
        <w:spacing w:after="0" w:line="206" w:lineRule="exact"/>
        <w:rPr>
          <w:sz w:val="20"/>
          <w:szCs w:val="20"/>
          <w:color w:val="auto"/>
        </w:rPr>
      </w:pPr>
    </w:p>
    <w:p>
      <w:pPr>
        <w:ind w:right="100" w:firstLine="1712"/>
        <w:spacing w:after="0" w:line="235" w:lineRule="auto"/>
        <w:rPr>
          <w:sz w:val="20"/>
          <w:szCs w:val="20"/>
          <w:color w:val="auto"/>
        </w:rPr>
      </w:pPr>
      <w:r>
        <w:rPr>
          <w:rFonts w:ascii="Arial" w:cs="Arial" w:eastAsia="Arial" w:hAnsi="Arial"/>
          <w:sz w:val="22"/>
          <w:szCs w:val="22"/>
          <w:color w:val="auto"/>
        </w:rPr>
        <w:t xml:space="preserve">16.1 </w:t>
      </w:r>
      <w:r>
        <w:rPr>
          <w:rFonts w:ascii="Arial" w:cs="Arial" w:eastAsia="Arial" w:hAnsi="Arial"/>
          <w:sz w:val="22"/>
          <w:szCs w:val="22"/>
          <w:b w:val="1"/>
          <w:bCs w:val="1"/>
          <w:color w:val="auto"/>
        </w:rPr>
        <w:t>Tax Withholding in General.</w:t>
      </w:r>
      <w:r>
        <w:rPr>
          <w:rFonts w:ascii="Arial" w:cs="Arial" w:eastAsia="Arial" w:hAnsi="Arial"/>
          <w:sz w:val="22"/>
          <w:szCs w:val="22"/>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84" w:lineRule="exact"/>
        <w:rPr>
          <w:sz w:val="20"/>
          <w:szCs w:val="20"/>
          <w:color w:val="auto"/>
        </w:rPr>
      </w:pPr>
    </w:p>
    <w:p>
      <w:pPr>
        <w:ind w:right="20" w:firstLine="1712"/>
        <w:spacing w:after="0" w:line="274"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b w:val="1"/>
          <w:bCs w:val="1"/>
          <w:color w:val="auto"/>
        </w:rPr>
        <w:t>Withholding in or Directed Sale of Shares.</w:t>
      </w:r>
      <w:r>
        <w:rPr>
          <w:rFonts w:ascii="Arial" w:cs="Arial" w:eastAsia="Arial" w:hAnsi="Arial"/>
          <w:sz w:val="19"/>
          <w:szCs w:val="19"/>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A-38</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560" w:hanging="753"/>
        <w:spacing w:after="0"/>
        <w:tabs>
          <w:tab w:leader="none" w:pos="1560" w:val="left"/>
        </w:tabs>
        <w:numPr>
          <w:ilvl w:val="0"/>
          <w:numId w:val="130"/>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MENDMENT</w:t>
      </w:r>
      <w:r>
        <w:rPr>
          <w:rFonts w:ascii="Arial" w:cs="Arial" w:eastAsia="Arial" w:hAnsi="Arial"/>
          <w:sz w:val="22"/>
          <w:szCs w:val="22"/>
          <w:b w:val="1"/>
          <w:bCs w:val="1"/>
          <w:u w:val="single" w:color="auto"/>
          <w:color w:val="auto"/>
        </w:rPr>
        <w:t>, S</w:t>
      </w:r>
      <w:r>
        <w:rPr>
          <w:rFonts w:ascii="Arial" w:cs="Arial" w:eastAsia="Arial" w:hAnsi="Arial"/>
          <w:sz w:val="18"/>
          <w:szCs w:val="18"/>
          <w:b w:val="1"/>
          <w:bCs w:val="1"/>
          <w:u w:val="single" w:color="auto"/>
          <w:color w:val="auto"/>
        </w:rPr>
        <w:t>USPENSION 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ERMINATION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212" w:lineRule="exact"/>
        <w:rPr>
          <w:sz w:val="20"/>
          <w:szCs w:val="20"/>
          <w:color w:val="auto"/>
        </w:rPr>
      </w:pPr>
    </w:p>
    <w:p>
      <w:pPr>
        <w:ind w:firstLine="1712"/>
        <w:spacing w:after="0" w:line="272" w:lineRule="auto"/>
        <w:rPr>
          <w:sz w:val="20"/>
          <w:szCs w:val="20"/>
          <w:color w:val="auto"/>
        </w:rPr>
      </w:pPr>
      <w:r>
        <w:rPr>
          <w:rFonts w:ascii="Arial" w:cs="Arial" w:eastAsia="Arial" w:hAnsi="Arial"/>
          <w:sz w:val="19"/>
          <w:szCs w:val="19"/>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4.3 and 4.4),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56" w:lineRule="exact"/>
        <w:rPr>
          <w:sz w:val="20"/>
          <w:szCs w:val="20"/>
          <w:color w:val="auto"/>
        </w:rPr>
      </w:pPr>
    </w:p>
    <w:p>
      <w:pPr>
        <w:ind w:left="1620" w:hanging="813"/>
        <w:spacing w:after="0"/>
        <w:tabs>
          <w:tab w:leader="none" w:pos="1620" w:val="left"/>
        </w:tabs>
        <w:numPr>
          <w:ilvl w:val="0"/>
          <w:numId w:val="131"/>
        </w:numPr>
        <w:rPr>
          <w:rFonts w:ascii="Arial" w:cs="Arial" w:eastAsia="Arial" w:hAnsi="Arial"/>
          <w:sz w:val="22"/>
          <w:szCs w:val="22"/>
          <w:color w:val="auto"/>
        </w:rPr>
      </w:pPr>
      <w:r>
        <w:rPr>
          <w:rFonts w:ascii="Arial" w:cs="Arial" w:eastAsia="Arial" w:hAnsi="Arial"/>
          <w:sz w:val="22"/>
          <w:szCs w:val="22"/>
          <w:b w:val="1"/>
          <w:bCs w:val="1"/>
          <w:u w:val="single" w:color="auto"/>
          <w:color w:val="auto"/>
        </w:rPr>
        <w:t>M</w:t>
      </w:r>
      <w:r>
        <w:rPr>
          <w:rFonts w:ascii="Arial" w:cs="Arial" w:eastAsia="Arial" w:hAnsi="Arial"/>
          <w:sz w:val="18"/>
          <w:szCs w:val="18"/>
          <w:b w:val="1"/>
          <w:bCs w:val="1"/>
          <w:u w:val="single" w:color="auto"/>
          <w:color w:val="auto"/>
        </w:rPr>
        <w:t>ISCELLANEOUS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ROVISIONS</w:t>
      </w:r>
      <w:r>
        <w:rPr>
          <w:rFonts w:ascii="Arial" w:cs="Arial" w:eastAsia="Arial" w:hAnsi="Arial"/>
          <w:sz w:val="22"/>
          <w:szCs w:val="22"/>
          <w:b w:val="1"/>
          <w:bCs w:val="1"/>
          <w:color w:val="auto"/>
        </w:rPr>
        <w:t>.</w:t>
      </w:r>
    </w:p>
    <w:p>
      <w:pPr>
        <w:spacing w:after="0" w:line="206" w:lineRule="exact"/>
        <w:rPr>
          <w:sz w:val="20"/>
          <w:szCs w:val="20"/>
          <w:color w:val="auto"/>
        </w:rPr>
      </w:pPr>
    </w:p>
    <w:p>
      <w:pPr>
        <w:ind w:right="180" w:firstLine="1712"/>
        <w:spacing w:after="0" w:line="248" w:lineRule="auto"/>
        <w:rPr>
          <w:sz w:val="20"/>
          <w:szCs w:val="20"/>
          <w:color w:val="auto"/>
        </w:rPr>
      </w:pPr>
      <w:r>
        <w:rPr>
          <w:rFonts w:ascii="Arial" w:cs="Arial" w:eastAsia="Arial" w:hAnsi="Arial"/>
          <w:sz w:val="21"/>
          <w:szCs w:val="21"/>
          <w:color w:val="auto"/>
        </w:rPr>
        <w:t xml:space="preserve">18.1 </w:t>
      </w:r>
      <w:r>
        <w:rPr>
          <w:rFonts w:ascii="Arial" w:cs="Arial" w:eastAsia="Arial" w:hAnsi="Arial"/>
          <w:sz w:val="21"/>
          <w:szCs w:val="21"/>
          <w:b w:val="1"/>
          <w:bCs w:val="1"/>
          <w:color w:val="auto"/>
        </w:rPr>
        <w:t>Repurchase Rights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71"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 xml:space="preserve">18.2 </w:t>
      </w:r>
      <w:r>
        <w:rPr>
          <w:rFonts w:ascii="Arial" w:cs="Arial" w:eastAsia="Arial" w:hAnsi="Arial"/>
          <w:sz w:val="22"/>
          <w:szCs w:val="22"/>
          <w:b w:val="1"/>
          <w:bCs w:val="1"/>
          <w:color w:val="auto"/>
        </w:rPr>
        <w:t>Forfeiture Events.</w:t>
      </w:r>
    </w:p>
    <w:p>
      <w:pPr>
        <w:spacing w:after="0" w:line="212" w:lineRule="exact"/>
        <w:rPr>
          <w:sz w:val="20"/>
          <w:szCs w:val="20"/>
          <w:color w:val="auto"/>
        </w:rPr>
      </w:pPr>
    </w:p>
    <w:p>
      <w:pPr>
        <w:ind w:right="100" w:firstLine="2290"/>
        <w:spacing w:after="0" w:line="277" w:lineRule="auto"/>
        <w:tabs>
          <w:tab w:leader="none" w:pos="284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152" w:lineRule="exact"/>
        <w:rPr>
          <w:rFonts w:ascii="Arial" w:cs="Arial" w:eastAsia="Arial" w:hAnsi="Arial"/>
          <w:sz w:val="19"/>
          <w:szCs w:val="19"/>
          <w:color w:val="auto"/>
        </w:rPr>
      </w:pPr>
    </w:p>
    <w:p>
      <w:pPr>
        <w:ind w:right="160" w:firstLine="2290"/>
        <w:spacing w:after="0"/>
        <w:tabs>
          <w:tab w:leader="none" w:pos="285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If the Company is required to prepare an accounting restatement due to the material noncompliance of the Company, as a result of misconduct, with any financial reporting requirement under the securities laws, any Participant who knowingly or through gross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A-39</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w:t>
      </w:r>
    </w:p>
    <w:p>
      <w:pPr>
        <w:spacing w:after="0" w:line="145" w:lineRule="exact"/>
        <w:rPr>
          <w:sz w:val="20"/>
          <w:szCs w:val="20"/>
          <w:color w:val="auto"/>
        </w:rPr>
      </w:pPr>
    </w:p>
    <w:p>
      <w:pPr>
        <w:ind w:right="640" w:firstLine="1712"/>
        <w:spacing w:after="0" w:line="280" w:lineRule="auto"/>
        <w:rPr>
          <w:sz w:val="20"/>
          <w:szCs w:val="20"/>
          <w:color w:val="auto"/>
        </w:rPr>
      </w:pPr>
      <w:r>
        <w:rPr>
          <w:rFonts w:ascii="Arial" w:cs="Arial" w:eastAsia="Arial" w:hAnsi="Arial"/>
          <w:sz w:val="21"/>
          <w:szCs w:val="21"/>
          <w:color w:val="auto"/>
        </w:rPr>
        <w:t xml:space="preserve">18.3 </w:t>
      </w:r>
      <w:r>
        <w:rPr>
          <w:rFonts w:ascii="Arial" w:cs="Arial" w:eastAsia="Arial" w:hAnsi="Arial"/>
          <w:sz w:val="21"/>
          <w:szCs w:val="21"/>
          <w:b w:val="1"/>
          <w:bCs w:val="1"/>
          <w:color w:val="auto"/>
        </w:rPr>
        <w:t>Provision of Information.</w:t>
      </w:r>
      <w:r>
        <w:rPr>
          <w:rFonts w:ascii="Arial" w:cs="Arial" w:eastAsia="Arial" w:hAnsi="Arial"/>
          <w:sz w:val="21"/>
          <w:szCs w:val="21"/>
          <w:color w:val="auto"/>
        </w:rPr>
        <w:t xml:space="preserve"> Each Participant shall be given access to information concerning the Company equivalent to that information generally made available to the Company’s common stockholders.</w:t>
      </w:r>
    </w:p>
    <w:p>
      <w:pPr>
        <w:spacing w:after="0" w:line="139" w:lineRule="exact"/>
        <w:rPr>
          <w:sz w:val="20"/>
          <w:szCs w:val="20"/>
          <w:color w:val="auto"/>
        </w:rPr>
      </w:pPr>
    </w:p>
    <w:p>
      <w:pPr>
        <w:ind w:right="60" w:firstLine="1712"/>
        <w:spacing w:after="0" w:line="248" w:lineRule="auto"/>
        <w:rPr>
          <w:sz w:val="20"/>
          <w:szCs w:val="20"/>
          <w:color w:val="auto"/>
        </w:rPr>
      </w:pPr>
      <w:r>
        <w:rPr>
          <w:rFonts w:ascii="Arial" w:cs="Arial" w:eastAsia="Arial" w:hAnsi="Arial"/>
          <w:sz w:val="21"/>
          <w:szCs w:val="21"/>
          <w:color w:val="auto"/>
        </w:rPr>
        <w:t xml:space="preserve">18.4 </w:t>
      </w:r>
      <w:r>
        <w:rPr>
          <w:rFonts w:ascii="Arial" w:cs="Arial" w:eastAsia="Arial" w:hAnsi="Arial"/>
          <w:sz w:val="21"/>
          <w:szCs w:val="21"/>
          <w:b w:val="1"/>
          <w:bCs w:val="1"/>
          <w:color w:val="auto"/>
        </w:rPr>
        <w:t>Rights as Employee, Consultant or Director.</w:t>
      </w:r>
      <w:r>
        <w:rPr>
          <w:rFonts w:ascii="Arial" w:cs="Arial" w:eastAsia="Arial" w:hAnsi="Arial"/>
          <w:sz w:val="21"/>
          <w:szCs w:val="21"/>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71" w:lineRule="exact"/>
        <w:rPr>
          <w:sz w:val="20"/>
          <w:szCs w:val="20"/>
          <w:color w:val="auto"/>
        </w:rPr>
      </w:pPr>
    </w:p>
    <w:p>
      <w:pPr>
        <w:ind w:right="20" w:firstLine="1712"/>
        <w:spacing w:after="0" w:line="237" w:lineRule="auto"/>
        <w:rPr>
          <w:sz w:val="20"/>
          <w:szCs w:val="20"/>
          <w:color w:val="auto"/>
        </w:rPr>
      </w:pPr>
      <w:r>
        <w:rPr>
          <w:rFonts w:ascii="Arial" w:cs="Arial" w:eastAsia="Arial" w:hAnsi="Arial"/>
          <w:sz w:val="22"/>
          <w:szCs w:val="22"/>
          <w:color w:val="auto"/>
        </w:rPr>
        <w:t xml:space="preserve">18.5 </w:t>
      </w:r>
      <w:r>
        <w:rPr>
          <w:rFonts w:ascii="Arial" w:cs="Arial" w:eastAsia="Arial" w:hAnsi="Arial"/>
          <w:sz w:val="22"/>
          <w:szCs w:val="22"/>
          <w:b w:val="1"/>
          <w:bCs w:val="1"/>
          <w:color w:val="auto"/>
        </w:rPr>
        <w:t>Rights as a Stockholder.</w:t>
      </w:r>
      <w:r>
        <w:rPr>
          <w:rFonts w:ascii="Arial" w:cs="Arial" w:eastAsia="Arial" w:hAnsi="Arial"/>
          <w:sz w:val="22"/>
          <w:szCs w:val="22"/>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183" w:lineRule="exact"/>
        <w:rPr>
          <w:sz w:val="20"/>
          <w:szCs w:val="20"/>
          <w:color w:val="auto"/>
        </w:rPr>
      </w:pPr>
    </w:p>
    <w:p>
      <w:pPr>
        <w:ind w:right="100" w:firstLine="1712"/>
        <w:spacing w:after="0" w:line="236" w:lineRule="auto"/>
        <w:rPr>
          <w:sz w:val="20"/>
          <w:szCs w:val="20"/>
          <w:color w:val="auto"/>
        </w:rPr>
      </w:pPr>
      <w:r>
        <w:rPr>
          <w:rFonts w:ascii="Arial" w:cs="Arial" w:eastAsia="Arial" w:hAnsi="Arial"/>
          <w:sz w:val="22"/>
          <w:szCs w:val="22"/>
          <w:color w:val="auto"/>
        </w:rPr>
        <w:t xml:space="preserve">18.6 </w:t>
      </w:r>
      <w:r>
        <w:rPr>
          <w:rFonts w:ascii="Arial" w:cs="Arial" w:eastAsia="Arial" w:hAnsi="Arial"/>
          <w:sz w:val="22"/>
          <w:szCs w:val="22"/>
          <w:b w:val="1"/>
          <w:bCs w:val="1"/>
          <w:color w:val="auto"/>
        </w:rPr>
        <w:t>Delivery of Title to Shares.</w:t>
      </w:r>
      <w:r>
        <w:rPr>
          <w:rFonts w:ascii="Arial" w:cs="Arial" w:eastAsia="Arial" w:hAnsi="Arial"/>
          <w:sz w:val="22"/>
          <w:szCs w:val="22"/>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82" w:lineRule="exact"/>
        <w:rPr>
          <w:sz w:val="20"/>
          <w:szCs w:val="20"/>
          <w:color w:val="auto"/>
        </w:rPr>
      </w:pPr>
    </w:p>
    <w:p>
      <w:pPr>
        <w:ind w:right="160" w:firstLine="1712"/>
        <w:spacing w:after="0" w:line="256" w:lineRule="auto"/>
        <w:rPr>
          <w:sz w:val="20"/>
          <w:szCs w:val="20"/>
          <w:color w:val="auto"/>
        </w:rPr>
      </w:pPr>
      <w:r>
        <w:rPr>
          <w:rFonts w:ascii="Arial" w:cs="Arial" w:eastAsia="Arial" w:hAnsi="Arial"/>
          <w:sz w:val="22"/>
          <w:szCs w:val="22"/>
          <w:color w:val="auto"/>
        </w:rPr>
        <w:t xml:space="preserve">18.7 </w:t>
      </w:r>
      <w:r>
        <w:rPr>
          <w:rFonts w:ascii="Arial" w:cs="Arial" w:eastAsia="Arial" w:hAnsi="Arial"/>
          <w:sz w:val="22"/>
          <w:szCs w:val="22"/>
          <w:b w:val="1"/>
          <w:bCs w:val="1"/>
          <w:color w:val="auto"/>
        </w:rPr>
        <w:t>Fractional Shares.</w:t>
      </w:r>
      <w:r>
        <w:rPr>
          <w:rFonts w:ascii="Arial" w:cs="Arial" w:eastAsia="Arial" w:hAnsi="Arial"/>
          <w:sz w:val="22"/>
          <w:szCs w:val="22"/>
          <w:color w:val="auto"/>
        </w:rPr>
        <w:t xml:space="preserve"> The Company shall not be required to issue fractional shares upon the exercise or settlement of any Award.</w:t>
      </w:r>
    </w:p>
    <w:p>
      <w:pPr>
        <w:spacing w:after="0" w:line="163" w:lineRule="exact"/>
        <w:rPr>
          <w:sz w:val="20"/>
          <w:szCs w:val="20"/>
          <w:color w:val="auto"/>
        </w:rPr>
      </w:pPr>
    </w:p>
    <w:p>
      <w:pPr>
        <w:ind w:firstLine="1712"/>
        <w:spacing w:after="0" w:line="289" w:lineRule="auto"/>
        <w:rPr>
          <w:sz w:val="20"/>
          <w:szCs w:val="20"/>
          <w:color w:val="auto"/>
        </w:rPr>
      </w:pPr>
      <w:r>
        <w:rPr>
          <w:rFonts w:ascii="Arial" w:cs="Arial" w:eastAsia="Arial" w:hAnsi="Arial"/>
          <w:sz w:val="19"/>
          <w:szCs w:val="19"/>
          <w:color w:val="auto"/>
        </w:rPr>
        <w:t xml:space="preserve">18.8 </w:t>
      </w:r>
      <w:r>
        <w:rPr>
          <w:rFonts w:ascii="Arial" w:cs="Arial" w:eastAsia="Arial" w:hAnsi="Arial"/>
          <w:sz w:val="19"/>
          <w:szCs w:val="19"/>
          <w:b w:val="1"/>
          <w:bCs w:val="1"/>
          <w:color w:val="auto"/>
        </w:rPr>
        <w:t>Retirement and Welfare Plans</w:t>
      </w:r>
      <w:r>
        <w:rPr>
          <w:rFonts w:ascii="Arial" w:cs="Arial" w:eastAsia="Arial" w:hAnsi="Arial"/>
          <w:sz w:val="19"/>
          <w:szCs w:val="19"/>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180" w:firstLine="1712"/>
        <w:spacing w:after="0" w:line="276" w:lineRule="auto"/>
        <w:rPr>
          <w:sz w:val="20"/>
          <w:szCs w:val="20"/>
          <w:color w:val="auto"/>
        </w:rPr>
      </w:pPr>
      <w:r>
        <w:rPr>
          <w:rFonts w:ascii="Arial" w:cs="Arial" w:eastAsia="Arial" w:hAnsi="Arial"/>
          <w:sz w:val="19"/>
          <w:szCs w:val="19"/>
          <w:color w:val="auto"/>
        </w:rPr>
        <w:t xml:space="preserve">18.9 </w:t>
      </w:r>
      <w:r>
        <w:rPr>
          <w:rFonts w:ascii="Arial" w:cs="Arial" w:eastAsia="Arial" w:hAnsi="Arial"/>
          <w:sz w:val="19"/>
          <w:szCs w:val="19"/>
          <w:b w:val="1"/>
          <w:bCs w:val="1"/>
          <w:color w:val="auto"/>
        </w:rPr>
        <w:t>Beneficiary Designation.</w:t>
      </w:r>
      <w:r>
        <w:rPr>
          <w:rFonts w:ascii="Arial" w:cs="Arial" w:eastAsia="Arial" w:hAnsi="Arial"/>
          <w:sz w:val="19"/>
          <w:szCs w:val="19"/>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51" w:lineRule="exact"/>
        <w:rPr>
          <w:sz w:val="20"/>
          <w:szCs w:val="20"/>
          <w:color w:val="auto"/>
        </w:rPr>
      </w:pPr>
    </w:p>
    <w:p>
      <w:pPr>
        <w:ind w:firstLine="1712"/>
        <w:spacing w:after="0" w:line="239" w:lineRule="auto"/>
        <w:rPr>
          <w:sz w:val="20"/>
          <w:szCs w:val="20"/>
          <w:color w:val="auto"/>
        </w:rPr>
      </w:pPr>
      <w:r>
        <w:rPr>
          <w:rFonts w:ascii="Arial" w:cs="Arial" w:eastAsia="Arial" w:hAnsi="Arial"/>
          <w:sz w:val="22"/>
          <w:szCs w:val="22"/>
          <w:color w:val="auto"/>
        </w:rPr>
        <w:t xml:space="preserve">18.10 </w:t>
      </w:r>
      <w:r>
        <w:rPr>
          <w:rFonts w:ascii="Arial" w:cs="Arial" w:eastAsia="Arial" w:hAnsi="Arial"/>
          <w:sz w:val="22"/>
          <w:szCs w:val="22"/>
          <w:b w:val="1"/>
          <w:bCs w:val="1"/>
          <w:color w:val="auto"/>
        </w:rPr>
        <w:t>Severability</w:t>
      </w:r>
      <w:r>
        <w:rPr>
          <w:rFonts w:ascii="Arial" w:cs="Arial" w:eastAsia="Arial" w:hAnsi="Arial"/>
          <w:sz w:val="22"/>
          <w:szCs w:val="22"/>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81" w:lineRule="exact"/>
        <w:rPr>
          <w:sz w:val="20"/>
          <w:szCs w:val="20"/>
          <w:color w:val="auto"/>
        </w:rPr>
      </w:pPr>
    </w:p>
    <w:p>
      <w:pPr>
        <w:ind w:right="80" w:firstLine="1712"/>
        <w:spacing w:after="0" w:line="251" w:lineRule="auto"/>
        <w:rPr>
          <w:sz w:val="20"/>
          <w:szCs w:val="20"/>
          <w:color w:val="auto"/>
        </w:rPr>
      </w:pPr>
      <w:r>
        <w:rPr>
          <w:rFonts w:ascii="Arial" w:cs="Arial" w:eastAsia="Arial" w:hAnsi="Arial"/>
          <w:sz w:val="21"/>
          <w:szCs w:val="21"/>
          <w:color w:val="auto"/>
        </w:rPr>
        <w:t xml:space="preserve">18.11 </w:t>
      </w:r>
      <w:r>
        <w:rPr>
          <w:rFonts w:ascii="Arial" w:cs="Arial" w:eastAsia="Arial" w:hAnsi="Arial"/>
          <w:sz w:val="21"/>
          <w:szCs w:val="21"/>
          <w:b w:val="1"/>
          <w:bCs w:val="1"/>
          <w:color w:val="auto"/>
        </w:rPr>
        <w:t>No Constraint on Corporate Action.</w:t>
      </w:r>
      <w:r>
        <w:rPr>
          <w:rFonts w:ascii="Arial" w:cs="Arial" w:eastAsia="Arial" w:hAnsi="Arial"/>
          <w:sz w:val="21"/>
          <w:szCs w:val="21"/>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69" w:lineRule="exact"/>
        <w:rPr>
          <w:sz w:val="20"/>
          <w:szCs w:val="20"/>
          <w:color w:val="auto"/>
        </w:rPr>
      </w:pPr>
    </w:p>
    <w:p>
      <w:pPr>
        <w:ind w:right="20" w:firstLine="1712"/>
        <w:spacing w:after="0" w:line="245" w:lineRule="auto"/>
        <w:rPr>
          <w:sz w:val="20"/>
          <w:szCs w:val="20"/>
          <w:color w:val="auto"/>
        </w:rPr>
      </w:pPr>
      <w:r>
        <w:rPr>
          <w:rFonts w:ascii="Arial" w:cs="Arial" w:eastAsia="Arial" w:hAnsi="Arial"/>
          <w:sz w:val="21"/>
          <w:szCs w:val="21"/>
          <w:color w:val="auto"/>
        </w:rPr>
        <w:t xml:space="preserve">18.12 </w:t>
      </w:r>
      <w:r>
        <w:rPr>
          <w:rFonts w:ascii="Arial" w:cs="Arial" w:eastAsia="Arial" w:hAnsi="Arial"/>
          <w:sz w:val="21"/>
          <w:szCs w:val="21"/>
          <w:b w:val="1"/>
          <w:bCs w:val="1"/>
          <w:color w:val="auto"/>
        </w:rPr>
        <w:t>Unfunded Obligation.</w:t>
      </w:r>
      <w:r>
        <w:rPr>
          <w:rFonts w:ascii="Arial" w:cs="Arial" w:eastAsia="Arial" w:hAnsi="Arial"/>
          <w:sz w:val="21"/>
          <w:szCs w:val="21"/>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78" w:lineRule="exact"/>
        <w:rPr>
          <w:sz w:val="20"/>
          <w:szCs w:val="20"/>
          <w:color w:val="auto"/>
        </w:rPr>
      </w:pPr>
    </w:p>
    <w:p>
      <w:pPr>
        <w:ind w:right="180" w:firstLine="1712"/>
        <w:spacing w:after="0" w:line="243" w:lineRule="auto"/>
        <w:rPr>
          <w:sz w:val="20"/>
          <w:szCs w:val="20"/>
          <w:color w:val="auto"/>
        </w:rPr>
      </w:pPr>
      <w:r>
        <w:rPr>
          <w:rFonts w:ascii="Arial" w:cs="Arial" w:eastAsia="Arial" w:hAnsi="Arial"/>
          <w:sz w:val="22"/>
          <w:szCs w:val="22"/>
          <w:color w:val="auto"/>
        </w:rPr>
        <w:t xml:space="preserve">18.13 </w:t>
      </w:r>
      <w:r>
        <w:rPr>
          <w:rFonts w:ascii="Arial" w:cs="Arial" w:eastAsia="Arial" w:hAnsi="Arial"/>
          <w:sz w:val="22"/>
          <w:szCs w:val="22"/>
          <w:b w:val="1"/>
          <w:bCs w:val="1"/>
          <w:color w:val="auto"/>
        </w:rPr>
        <w:t>Choice of Law.</w:t>
      </w:r>
      <w:r>
        <w:rPr>
          <w:rFonts w:ascii="Arial" w:cs="Arial" w:eastAsia="Arial" w:hAnsi="Arial"/>
          <w:sz w:val="22"/>
          <w:szCs w:val="22"/>
          <w:color w:val="auto"/>
        </w:rPr>
        <w:t xml:space="preserve"> Except to the extent governed by applicable federal law, the validity, interpretation, construction and performance of the Plan and each Award Agreement shall be governed by the laws of the State of Arizona, without regard to its conflict of law rules.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A-41</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283210</wp:posOffset>
            </wp:positionV>
            <wp:extent cx="2255520" cy="831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555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IMPORTANT ANNUAL MEETING INFORMATION</w:t>
      </w:r>
    </w:p>
    <w:p>
      <w:pPr>
        <w:spacing w:after="0" w:line="200" w:lineRule="exact"/>
        <w:rPr>
          <w:sz w:val="20"/>
          <w:szCs w:val="20"/>
          <w:color w:val="auto"/>
        </w:rPr>
      </w:pPr>
    </w:p>
    <w:p>
      <w:pPr>
        <w:spacing w:after="0" w:line="340" w:lineRule="exact"/>
        <w:rPr>
          <w:sz w:val="20"/>
          <w:szCs w:val="20"/>
          <w:color w:val="auto"/>
        </w:rPr>
      </w:pPr>
    </w:p>
    <w:p>
      <w:pPr>
        <w:ind w:left="6660"/>
        <w:spacing w:after="0"/>
        <w:rPr>
          <w:sz w:val="20"/>
          <w:szCs w:val="20"/>
          <w:color w:val="auto"/>
        </w:rPr>
      </w:pPr>
      <w:r>
        <w:rPr>
          <w:rFonts w:ascii="Arial" w:cs="Arial" w:eastAsia="Arial" w:hAnsi="Arial"/>
          <w:sz w:val="22"/>
          <w:szCs w:val="22"/>
          <w:b w:val="1"/>
          <w:bCs w:val="1"/>
          <w:color w:val="auto"/>
        </w:rPr>
        <w:t>Electronic Voting Instructions</w:t>
      </w:r>
    </w:p>
    <w:p>
      <w:pPr>
        <w:spacing w:after="0" w:line="81"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104"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Instead of mailing your proxy, you may choose one of the voting methods</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outlined below to vote your proxy.</w:t>
      </w:r>
    </w:p>
    <w:p>
      <w:pPr>
        <w:spacing w:after="0" w:line="82"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VALIDATION DETAILS ARE LOCATED BELOW IN THE TITLE BAR.</w:t>
      </w:r>
    </w:p>
    <w:p>
      <w:pPr>
        <w:spacing w:after="0" w:line="64"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Proxies submitted by the Internet or telephone must be received by</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11:00 p.m., Pacific Time, on Tuesday, June 13, 2017.</w:t>
      </w:r>
    </w:p>
    <w:p>
      <w:pPr>
        <w:spacing w:after="0" w:line="68"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Vote by Internet</w:t>
      </w:r>
    </w:p>
    <w:p>
      <w:pPr>
        <w:spacing w:after="0" w:line="46"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www.envisionreports.com/LOPE</w:t>
      </w:r>
    </w:p>
    <w:p>
      <w:pPr>
        <w:spacing w:after="0" w:line="60"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 Or scan the QR code with your smartphone</w:t>
      </w:r>
    </w:p>
    <w:p>
      <w:pPr>
        <w:spacing w:after="0" w:line="42"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 Follow the steps outlined on the secure website</w:t>
      </w:r>
    </w:p>
    <w:p>
      <w:pPr>
        <w:spacing w:after="0" w:line="230"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Vote by telephone</w:t>
      </w:r>
    </w:p>
    <w:p>
      <w:pPr>
        <w:spacing w:after="0" w:line="64"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 Call toll free 1-800-652-VOTE (8683) within the USA, US territories &amp;</w:t>
      </w:r>
    </w:p>
    <w:p>
      <w:pPr>
        <w:spacing w:after="0" w:line="1"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Canada on a touch tone telephone</w:t>
      </w:r>
    </w:p>
    <w:p>
      <w:pPr>
        <w:spacing w:after="0" w:line="42"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 Follow the instructions provided by the recorded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134620</wp:posOffset>
            </wp:positionV>
            <wp:extent cx="342900" cy="308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0" cy="308610"/>
                    </a:xfrm>
                    <a:prstGeom prst="rect">
                      <a:avLst/>
                    </a:prstGeom>
                    <a:noFill/>
                  </pic:spPr>
                </pic:pic>
              </a:graphicData>
            </a:graphic>
          </wp:anchor>
        </w:drawing>
      </w:r>
    </w:p>
    <w:p>
      <w:pPr>
        <w:spacing w:after="0" w:line="206" w:lineRule="exact"/>
        <w:rPr>
          <w:sz w:val="20"/>
          <w:szCs w:val="20"/>
          <w:color w:val="auto"/>
        </w:rPr>
      </w:pPr>
    </w:p>
    <w:p>
      <w:pPr>
        <w:jc w:val="both"/>
        <w:ind w:right="7660"/>
        <w:spacing w:after="0" w:line="263" w:lineRule="auto"/>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3175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Meeting Proxy Card</w:t>
      </w:r>
    </w:p>
    <w:p>
      <w:pPr>
        <w:spacing w:after="0" w:line="189" w:lineRule="exact"/>
        <w:rPr>
          <w:sz w:val="20"/>
          <w:szCs w:val="20"/>
          <w:color w:val="auto"/>
        </w:rPr>
      </w:pPr>
    </w:p>
    <w:p>
      <w:pPr>
        <w:jc w:val="center"/>
        <w:spacing w:after="0" w:line="285" w:lineRule="auto"/>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w:t>
      </w:r>
    </w:p>
    <w:p>
      <w:pPr>
        <w:spacing w:after="0" w:line="229" w:lineRule="exact"/>
        <w:rPr>
          <w:sz w:val="20"/>
          <w:szCs w:val="20"/>
          <w:color w:val="auto"/>
        </w:rPr>
      </w:pPr>
    </w:p>
    <w:p>
      <w:pPr>
        <w:ind w:left="360" w:hanging="295"/>
        <w:spacing w:after="0"/>
        <w:tabs>
          <w:tab w:leader="none" w:pos="360" w:val="left"/>
        </w:tabs>
        <w:numPr>
          <w:ilvl w:val="0"/>
          <w:numId w:val="133"/>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Arial" w:cs="Arial" w:eastAsia="Arial" w:hAnsi="Arial"/>
                <w:sz w:val="14"/>
                <w:szCs w:val="14"/>
                <w:color w:val="auto"/>
              </w:rPr>
              <w:t>1. Electionof Directors:</w:t>
            </w: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For  Against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ind w:left="220"/>
              <w:spacing w:after="0"/>
              <w:rPr>
                <w:sz w:val="20"/>
                <w:szCs w:val="20"/>
                <w:color w:val="auto"/>
              </w:rPr>
            </w:pPr>
            <w:r>
              <w:rPr>
                <w:rFonts w:ascii="Arial" w:cs="Arial" w:eastAsia="Arial" w:hAnsi="Arial"/>
                <w:sz w:val="14"/>
                <w:szCs w:val="14"/>
                <w:b w:val="1"/>
                <w:bCs w:val="1"/>
                <w:color w:val="auto"/>
              </w:rPr>
              <w:t>For  Against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1560" w:type="dxa"/>
            <w:vAlign w:val="bottom"/>
          </w:tcPr>
          <w:p>
            <w:pPr>
              <w:spacing w:after="0"/>
              <w:rPr>
                <w:sz w:val="17"/>
                <w:szCs w:val="17"/>
                <w:color w:val="auto"/>
              </w:rPr>
            </w:pPr>
          </w:p>
        </w:tc>
        <w:tc>
          <w:tcPr>
            <w:tcW w:w="1180" w:type="dxa"/>
            <w:vAlign w:val="bottom"/>
          </w:tcPr>
          <w:p>
            <w:pPr>
              <w:ind w:left="220"/>
              <w:spacing w:after="0"/>
              <w:rPr>
                <w:sz w:val="20"/>
                <w:szCs w:val="20"/>
                <w:color w:val="auto"/>
              </w:rPr>
            </w:pPr>
            <w:r>
              <w:rPr>
                <w:rFonts w:ascii="Arial" w:cs="Arial" w:eastAsia="Arial" w:hAnsi="Arial"/>
                <w:sz w:val="14"/>
                <w:szCs w:val="14"/>
                <w:b w:val="1"/>
                <w:bCs w:val="1"/>
                <w:color w:val="auto"/>
              </w:rPr>
              <w:t>For  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340" w:type="dxa"/>
            <w:vAlign w:val="bottom"/>
            <w:vMerge w:val="restart"/>
          </w:tcPr>
          <w:p>
            <w:pPr>
              <w:jc w:val="right"/>
              <w:spacing w:after="0"/>
              <w:rPr>
                <w:sz w:val="20"/>
                <w:szCs w:val="20"/>
                <w:color w:val="auto"/>
              </w:rPr>
            </w:pPr>
            <w:r>
              <w:rPr>
                <w:rFonts w:ascii="Arial" w:cs="Arial" w:eastAsia="Arial" w:hAnsi="Arial"/>
                <w:sz w:val="47"/>
                <w:szCs w:val="47"/>
                <w:b w:val="1"/>
                <w:bCs w:val="1"/>
                <w:color w:val="auto"/>
              </w:rPr>
              <w:t>+</w:t>
            </w:r>
          </w:p>
        </w:tc>
        <w:tc>
          <w:tcPr>
            <w:tcW w:w="0" w:type="dxa"/>
            <w:vAlign w:val="bottom"/>
          </w:tcPr>
          <w:p>
            <w:pPr>
              <w:spacing w:after="0"/>
              <w:rPr>
                <w:sz w:val="1"/>
                <w:szCs w:val="1"/>
                <w:color w:val="auto"/>
              </w:rPr>
            </w:pPr>
          </w:p>
        </w:tc>
      </w:tr>
      <w:tr>
        <w:trPr>
          <w:trHeight w:val="433"/>
        </w:trPr>
        <w:tc>
          <w:tcPr>
            <w:tcW w:w="1820" w:type="dxa"/>
            <w:vAlign w:val="bottom"/>
          </w:tcPr>
          <w:p>
            <w:pPr>
              <w:ind w:left="160"/>
              <w:spacing w:after="0"/>
              <w:rPr>
                <w:sz w:val="20"/>
                <w:szCs w:val="20"/>
                <w:color w:val="auto"/>
              </w:rPr>
            </w:pPr>
            <w:r>
              <w:rPr>
                <w:rFonts w:ascii="Arial" w:cs="Arial" w:eastAsia="Arial" w:hAnsi="Arial"/>
                <w:sz w:val="14"/>
                <w:szCs w:val="14"/>
                <w:color w:val="auto"/>
              </w:rPr>
              <w:t>01 - Brian E. Mueller</w:t>
            </w:r>
          </w:p>
        </w:tc>
        <w:tc>
          <w:tcPr>
            <w:tcW w:w="1340" w:type="dxa"/>
            <w:vAlign w:val="bottom"/>
          </w:tcPr>
          <w:p>
            <w:pPr>
              <w:ind w:left="34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76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02</w:t>
            </w:r>
          </w:p>
        </w:tc>
        <w:tc>
          <w:tcPr>
            <w:tcW w:w="1420" w:type="dxa"/>
            <w:vAlign w:val="bottom"/>
          </w:tcPr>
          <w:p>
            <w:pPr>
              <w:ind w:left="20"/>
              <w:spacing w:after="0"/>
              <w:rPr>
                <w:sz w:val="20"/>
                <w:szCs w:val="20"/>
                <w:color w:val="auto"/>
              </w:rPr>
            </w:pPr>
            <w:r>
              <w:rPr>
                <w:rFonts w:ascii="Arial" w:cs="Arial" w:eastAsia="Arial" w:hAnsi="Arial"/>
                <w:sz w:val="14"/>
                <w:szCs w:val="14"/>
                <w:color w:val="auto"/>
              </w:rPr>
              <w:t>- Sara R. Dial</w:t>
            </w:r>
          </w:p>
        </w:tc>
        <w:tc>
          <w:tcPr>
            <w:tcW w:w="1200" w:type="dxa"/>
            <w:vAlign w:val="bottom"/>
          </w:tcPr>
          <w:p>
            <w:pPr>
              <w:ind w:left="20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76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1560" w:type="dxa"/>
            <w:vAlign w:val="bottom"/>
          </w:tcPr>
          <w:p>
            <w:pPr>
              <w:ind w:left="180"/>
              <w:spacing w:after="0"/>
              <w:rPr>
                <w:sz w:val="20"/>
                <w:szCs w:val="20"/>
                <w:color w:val="auto"/>
              </w:rPr>
            </w:pPr>
            <w:r>
              <w:rPr>
                <w:rFonts w:ascii="Arial" w:cs="Arial" w:eastAsia="Arial" w:hAnsi="Arial"/>
                <w:sz w:val="14"/>
                <w:szCs w:val="14"/>
                <w:color w:val="auto"/>
              </w:rPr>
              <w:t>03 - Jack A. Henry</w:t>
            </w:r>
          </w:p>
        </w:tc>
        <w:tc>
          <w:tcPr>
            <w:tcW w:w="1180" w:type="dxa"/>
            <w:vAlign w:val="bottom"/>
          </w:tcPr>
          <w:p>
            <w:pPr>
              <w:ind w:left="20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68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20" w:type="dxa"/>
            <w:vAlign w:val="bottom"/>
          </w:tcPr>
          <w:p>
            <w:pPr>
              <w:ind w:left="160"/>
              <w:spacing w:after="0"/>
              <w:rPr>
                <w:sz w:val="20"/>
                <w:szCs w:val="20"/>
                <w:color w:val="auto"/>
              </w:rPr>
            </w:pPr>
            <w:r>
              <w:rPr>
                <w:rFonts w:ascii="Arial" w:cs="Arial" w:eastAsia="Arial" w:hAnsi="Arial"/>
                <w:sz w:val="14"/>
                <w:szCs w:val="14"/>
                <w:color w:val="auto"/>
              </w:rPr>
              <w:t>04 - Kevin F. Warren</w:t>
            </w:r>
          </w:p>
        </w:tc>
        <w:tc>
          <w:tcPr>
            <w:tcW w:w="1340" w:type="dxa"/>
            <w:vAlign w:val="bottom"/>
          </w:tcPr>
          <w:p>
            <w:pPr>
              <w:ind w:left="34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76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05</w:t>
            </w:r>
          </w:p>
        </w:tc>
        <w:tc>
          <w:tcPr>
            <w:tcW w:w="1420" w:type="dxa"/>
            <w:vAlign w:val="bottom"/>
          </w:tcPr>
          <w:p>
            <w:pPr>
              <w:ind w:left="20"/>
              <w:spacing w:after="0"/>
              <w:rPr>
                <w:sz w:val="20"/>
                <w:szCs w:val="20"/>
                <w:color w:val="auto"/>
              </w:rPr>
            </w:pPr>
            <w:r>
              <w:rPr>
                <w:rFonts w:ascii="Arial" w:cs="Arial" w:eastAsia="Arial" w:hAnsi="Arial"/>
                <w:sz w:val="14"/>
                <w:szCs w:val="14"/>
                <w:color w:val="auto"/>
              </w:rPr>
              <w:t>- David J. Johnson</w:t>
            </w:r>
          </w:p>
        </w:tc>
        <w:tc>
          <w:tcPr>
            <w:tcW w:w="1200" w:type="dxa"/>
            <w:vAlign w:val="bottom"/>
          </w:tcPr>
          <w:p>
            <w:pPr>
              <w:ind w:left="20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76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3 and 5 and for </w:t>
      </w:r>
      <w:r>
        <w:rPr>
          <w:rFonts w:ascii="Arial" w:cs="Arial" w:eastAsia="Arial" w:hAnsi="Arial"/>
          <w:sz w:val="18"/>
          <w:szCs w:val="18"/>
          <w:b w:val="1"/>
          <w:bCs w:val="1"/>
          <w:u w:val="single" w:color="auto"/>
          <w:color w:val="auto"/>
        </w:rPr>
        <w:t>EVERY YEAR</w:t>
      </w:r>
      <w:r>
        <w:rPr>
          <w:rFonts w:ascii="Arial" w:cs="Arial" w:eastAsia="Arial" w:hAnsi="Arial"/>
          <w:sz w:val="18"/>
          <w:szCs w:val="18"/>
          <w:b w:val="1"/>
          <w:bCs w:val="1"/>
          <w:color w:val="auto"/>
        </w:rPr>
        <w:t xml:space="preserve"> for Proposal 4.</w:t>
      </w:r>
    </w:p>
    <w:p>
      <w:pPr>
        <w:sectPr>
          <w:pgSz w:w="11900" w:h="16838" w:orient="portrait"/>
          <w:cols w:equalWidth="0" w:num="1">
            <w:col w:w="11420"/>
          </w:cols>
          <w:pgMar w:left="240" w:top="459" w:right="239" w:bottom="572"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ind w:left="24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92"/>
        </w:trPr>
        <w:tc>
          <w:tcPr>
            <w:tcW w:w="3960" w:type="dxa"/>
            <w:vAlign w:val="bottom"/>
            <w:gridSpan w:val="2"/>
          </w:tcPr>
          <w:p>
            <w:pPr>
              <w:spacing w:after="0"/>
              <w:rPr>
                <w:sz w:val="20"/>
                <w:szCs w:val="20"/>
                <w:color w:val="auto"/>
              </w:rPr>
            </w:pPr>
            <w:r>
              <w:rPr>
                <w:rFonts w:ascii="Arial" w:cs="Arial" w:eastAsia="Arial" w:hAnsi="Arial"/>
                <w:sz w:val="14"/>
                <w:szCs w:val="14"/>
                <w:color w:val="auto"/>
              </w:rPr>
              <w:t>2. To adopt our 2017 Equity Incentive Plan (including, without</w:t>
            </w:r>
          </w:p>
        </w:tc>
        <w:tc>
          <w:tcPr>
            <w:tcW w:w="580" w:type="dxa"/>
            <w:vAlign w:val="bottom"/>
            <w:vMerge w:val="restart"/>
          </w:tcPr>
          <w:p>
            <w:pPr>
              <w:ind w:left="240"/>
              <w:spacing w:after="0" w:line="291" w:lineRule="exact"/>
              <w:rPr>
                <w:sz w:val="20"/>
                <w:szCs w:val="20"/>
                <w:color w:val="auto"/>
              </w:rPr>
            </w:pPr>
            <w:r>
              <w:rPr>
                <w:rFonts w:ascii="MS PGothic" w:cs="MS PGothic" w:eastAsia="MS PGothic" w:hAnsi="MS PGothic"/>
                <w:sz w:val="29"/>
                <w:szCs w:val="29"/>
                <w:color w:val="auto"/>
                <w:highlight w:val="black"/>
              </w:rPr>
              <w:t>☐</w:t>
            </w:r>
          </w:p>
        </w:tc>
        <w:tc>
          <w:tcPr>
            <w:tcW w:w="0" w:type="dxa"/>
            <w:vAlign w:val="bottom"/>
          </w:tcPr>
          <w:p>
            <w:pPr>
              <w:spacing w:after="0"/>
              <w:rPr>
                <w:sz w:val="1"/>
                <w:szCs w:val="1"/>
                <w:color w:val="auto"/>
              </w:rPr>
            </w:pPr>
          </w:p>
        </w:tc>
      </w:tr>
      <w:tr>
        <w:trPr>
          <w:trHeight w:val="162"/>
        </w:trPr>
        <w:tc>
          <w:tcPr>
            <w:tcW w:w="3480" w:type="dxa"/>
            <w:vAlign w:val="bottom"/>
          </w:tcPr>
          <w:p>
            <w:pPr>
              <w:ind w:left="160"/>
              <w:spacing w:after="0"/>
              <w:rPr>
                <w:sz w:val="20"/>
                <w:szCs w:val="20"/>
                <w:color w:val="auto"/>
              </w:rPr>
            </w:pPr>
            <w:r>
              <w:rPr>
                <w:rFonts w:ascii="Arial" w:cs="Arial" w:eastAsia="Arial" w:hAnsi="Arial"/>
                <w:sz w:val="14"/>
                <w:szCs w:val="14"/>
                <w:color w:val="auto"/>
              </w:rPr>
              <w:t>limitation, certain material terms of the 2017 Plan for</w:t>
            </w: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60"/>
              <w:spacing w:after="0"/>
              <w:rPr>
                <w:sz w:val="20"/>
                <w:szCs w:val="20"/>
                <w:color w:val="auto"/>
              </w:rPr>
            </w:pPr>
            <w:r>
              <w:rPr>
                <w:rFonts w:ascii="Arial" w:cs="Arial" w:eastAsia="Arial" w:hAnsi="Arial"/>
                <w:sz w:val="14"/>
                <w:szCs w:val="14"/>
                <w:color w:val="auto"/>
              </w:rPr>
              <w:t>purposes of Section 162(m) of the Internal Revenue Code,</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ind w:left="160"/>
              <w:spacing w:after="0"/>
              <w:rPr>
                <w:sz w:val="20"/>
                <w:szCs w:val="20"/>
                <w:color w:val="auto"/>
              </w:rPr>
            </w:pPr>
            <w:r>
              <w:rPr>
                <w:rFonts w:ascii="Arial" w:cs="Arial" w:eastAsia="Arial" w:hAnsi="Arial"/>
                <w:sz w:val="14"/>
                <w:szCs w:val="14"/>
                <w:color w:val="auto"/>
              </w:rPr>
              <w:t>as amended).</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Every</w:t>
            </w:r>
          </w:p>
        </w:tc>
        <w:tc>
          <w:tcPr>
            <w:tcW w:w="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Every</w:t>
            </w: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6"/>
              </w:rPr>
              <w:t>2 Years</w:t>
            </w:r>
          </w:p>
        </w:tc>
        <w:tc>
          <w:tcPr>
            <w:tcW w:w="0" w:type="dxa"/>
            <w:vAlign w:val="bottom"/>
          </w:tcPr>
          <w:p>
            <w:pPr>
              <w:spacing w:after="0"/>
              <w:rPr>
                <w:sz w:val="1"/>
                <w:szCs w:val="1"/>
                <w:color w:val="auto"/>
              </w:rPr>
            </w:pPr>
          </w:p>
        </w:tc>
      </w:tr>
      <w:tr>
        <w:trPr>
          <w:trHeight w:val="165"/>
        </w:trPr>
        <w:tc>
          <w:tcPr>
            <w:tcW w:w="3480" w:type="dxa"/>
            <w:vAlign w:val="bottom"/>
          </w:tcPr>
          <w:p>
            <w:pPr>
              <w:spacing w:after="0"/>
              <w:rPr>
                <w:sz w:val="20"/>
                <w:szCs w:val="20"/>
                <w:color w:val="auto"/>
              </w:rPr>
            </w:pPr>
            <w:r>
              <w:rPr>
                <w:rFonts w:ascii="Arial" w:cs="Arial" w:eastAsia="Arial" w:hAnsi="Arial"/>
                <w:sz w:val="14"/>
                <w:szCs w:val="14"/>
                <w:color w:val="auto"/>
              </w:rPr>
              <w:t>4. To approve, on an advisory basis, the frequency</w:t>
            </w:r>
          </w:p>
        </w:tc>
        <w:tc>
          <w:tcPr>
            <w:tcW w:w="48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580" w:type="dxa"/>
            <w:vAlign w:val="bottom"/>
            <w:vMerge w:val="restart"/>
          </w:tcPr>
          <w:p>
            <w:pPr>
              <w:ind w:left="240"/>
              <w:spacing w:after="0" w:line="291" w:lineRule="exact"/>
              <w:rPr>
                <w:sz w:val="20"/>
                <w:szCs w:val="20"/>
                <w:color w:val="auto"/>
              </w:rPr>
            </w:pPr>
            <w:r>
              <w:rPr>
                <w:rFonts w:ascii="MS PGothic" w:cs="MS PGothic" w:eastAsia="MS PGothic" w:hAnsi="MS PGothic"/>
                <w:sz w:val="29"/>
                <w:szCs w:val="29"/>
                <w:color w:val="auto"/>
                <w:highlight w:val="black"/>
              </w:rPr>
              <w:t>☐</w:t>
            </w:r>
          </w:p>
        </w:tc>
        <w:tc>
          <w:tcPr>
            <w:tcW w:w="0" w:type="dxa"/>
            <w:vAlign w:val="bottom"/>
          </w:tcPr>
          <w:p>
            <w:pPr>
              <w:spacing w:after="0"/>
              <w:rPr>
                <w:sz w:val="1"/>
                <w:szCs w:val="1"/>
                <w:color w:val="auto"/>
              </w:rPr>
            </w:pPr>
          </w:p>
        </w:tc>
      </w:tr>
      <w:tr>
        <w:trPr>
          <w:trHeight w:val="162"/>
        </w:trPr>
        <w:tc>
          <w:tcPr>
            <w:tcW w:w="3480" w:type="dxa"/>
            <w:vAlign w:val="bottom"/>
          </w:tcPr>
          <w:p>
            <w:pPr>
              <w:ind w:left="160"/>
              <w:spacing w:after="0"/>
              <w:rPr>
                <w:sz w:val="20"/>
                <w:szCs w:val="20"/>
                <w:color w:val="auto"/>
              </w:rPr>
            </w:pPr>
            <w:r>
              <w:rPr>
                <w:rFonts w:ascii="Arial" w:cs="Arial" w:eastAsia="Arial" w:hAnsi="Arial"/>
                <w:sz w:val="14"/>
                <w:szCs w:val="14"/>
                <w:color w:val="auto"/>
              </w:rPr>
              <w:t>of future advisory votes on the compensation of</w:t>
            </w: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ind w:left="160"/>
              <w:spacing w:after="0"/>
              <w:rPr>
                <w:sz w:val="20"/>
                <w:szCs w:val="20"/>
                <w:color w:val="auto"/>
              </w:rPr>
            </w:pPr>
            <w:r>
              <w:rPr>
                <w:rFonts w:ascii="Arial" w:cs="Arial" w:eastAsia="Arial" w:hAnsi="Arial"/>
                <w:sz w:val="14"/>
                <w:szCs w:val="14"/>
                <w:color w:val="auto"/>
              </w:rPr>
              <w:t>the Company’s named executive officers.</w:t>
            </w: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4"/>
          <w:szCs w:val="14"/>
          <w:b w:val="1"/>
          <w:bCs w:val="1"/>
          <w:color w:val="auto"/>
        </w:rPr>
        <w:t>Against</w:t>
        <w:tab/>
        <w:t>Abstain</w:t>
      </w:r>
    </w:p>
    <w:p>
      <w:pPr>
        <w:spacing w:after="0" w:line="71" w:lineRule="exact"/>
        <w:rPr>
          <w:sz w:val="20"/>
          <w:szCs w:val="20"/>
          <w:color w:val="auto"/>
        </w:rPr>
      </w:pPr>
    </w:p>
    <w:p>
      <w:pPr>
        <w:ind w:left="200"/>
        <w:spacing w:after="0" w:line="291" w:lineRule="exact"/>
        <w:tabs>
          <w:tab w:leader="none" w:pos="920" w:val="left"/>
        </w:tabs>
        <w:rPr>
          <w:sz w:val="20"/>
          <w:szCs w:val="20"/>
          <w:color w:val="auto"/>
        </w:rPr>
      </w:pPr>
      <w:r>
        <w:rPr>
          <w:rFonts w:ascii="MS PGothic" w:cs="MS PGothic" w:eastAsia="MS PGothic" w:hAnsi="MS PGothic"/>
          <w:sz w:val="29"/>
          <w:szCs w:val="29"/>
          <w:color w:val="auto"/>
          <w:highlight w:val="black"/>
        </w:rPr>
        <w:t>☐</w:t>
        <w:tab/>
        <w:t>☐</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Every</w:t>
      </w:r>
    </w:p>
    <w:p>
      <w:pPr>
        <w:spacing w:after="0" w:line="19"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4"/>
          <w:szCs w:val="14"/>
          <w:b w:val="1"/>
          <w:bCs w:val="1"/>
          <w:color w:val="auto"/>
        </w:rPr>
        <w:t>3 Years</w:t>
        <w:tab/>
        <w:t>Abstain</w:t>
      </w:r>
    </w:p>
    <w:p>
      <w:pPr>
        <w:spacing w:after="0" w:line="26" w:lineRule="exact"/>
        <w:rPr>
          <w:sz w:val="20"/>
          <w:szCs w:val="20"/>
          <w:color w:val="auto"/>
        </w:rPr>
      </w:pPr>
    </w:p>
    <w:p>
      <w:pPr>
        <w:ind w:left="200"/>
        <w:spacing w:after="0" w:line="291" w:lineRule="exact"/>
        <w:tabs>
          <w:tab w:leader="none" w:pos="920" w:val="left"/>
        </w:tabs>
        <w:rPr>
          <w:sz w:val="20"/>
          <w:szCs w:val="20"/>
          <w:color w:val="auto"/>
        </w:rPr>
      </w:pPr>
      <w:r>
        <w:rPr>
          <w:rFonts w:ascii="MS PGothic" w:cs="MS PGothic" w:eastAsia="MS PGothic" w:hAnsi="MS PGothic"/>
          <w:sz w:val="29"/>
          <w:szCs w:val="29"/>
          <w:color w:val="auto"/>
          <w:highlight w:val="black"/>
        </w:rPr>
        <w:t>☐</w:t>
      </w:r>
      <w:r>
        <w:rPr>
          <w:rFonts w:ascii="MS PGothic" w:cs="MS PGothic" w:eastAsia="MS PGothic" w:hAnsi="MS PGothic"/>
          <w:sz w:val="29"/>
          <w:szCs w:val="29"/>
          <w:color w:val="auto"/>
        </w:rPr>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42" w:right="20" w:hanging="142"/>
        <w:spacing w:after="0" w:line="250" w:lineRule="auto"/>
        <w:tabs>
          <w:tab w:leader="none" w:pos="156"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To approve, on an advisory basis, the compensation of our named executive officers as disclosed in the Proxy Statement.</w:t>
      </w:r>
    </w:p>
    <w:p>
      <w:pPr>
        <w:spacing w:after="0" w:line="375" w:lineRule="exact"/>
        <w:rPr>
          <w:sz w:val="20"/>
          <w:szCs w:val="20"/>
          <w:color w:val="auto"/>
        </w:rPr>
      </w:pPr>
    </w:p>
    <w:p>
      <w:pPr>
        <w:jc w:val="both"/>
        <w:ind w:left="142" w:hanging="142"/>
        <w:spacing w:after="0" w:line="250" w:lineRule="auto"/>
        <w:tabs>
          <w:tab w:leader="none" w:pos="15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To ratify the appointment of KPMG LLP as our independent registered public accounting firm for the fiscal year ending December 31, 2017.</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tabs>
          <w:tab w:leader="none" w:pos="360" w:val="left"/>
          <w:tab w:leader="none" w:pos="1040" w:val="left"/>
        </w:tabs>
        <w:rPr>
          <w:sz w:val="20"/>
          <w:szCs w:val="20"/>
          <w:color w:val="auto"/>
        </w:rPr>
      </w:pPr>
      <w:r>
        <w:rPr>
          <w:rFonts w:ascii="Arial" w:cs="Arial" w:eastAsia="Arial" w:hAnsi="Arial"/>
          <w:sz w:val="14"/>
          <w:szCs w:val="14"/>
          <w:b w:val="1"/>
          <w:bCs w:val="1"/>
          <w:color w:val="auto"/>
        </w:rPr>
        <w:t>For</w:t>
        <w:tab/>
        <w:t>Against</w:t>
        <w:tab/>
        <w:t>Abstain</w:t>
      </w:r>
    </w:p>
    <w:p>
      <w:pPr>
        <w:spacing w:after="0" w:line="71" w:lineRule="exact"/>
        <w:rPr>
          <w:sz w:val="20"/>
          <w:szCs w:val="20"/>
          <w:color w:val="auto"/>
        </w:rPr>
      </w:pPr>
    </w:p>
    <w:p>
      <w:pPr>
        <w:spacing w:after="0" w:line="291" w:lineRule="exact"/>
        <w:tabs>
          <w:tab w:leader="none" w:pos="1160" w:val="left"/>
        </w:tabs>
        <w:rPr>
          <w:sz w:val="20"/>
          <w:szCs w:val="20"/>
          <w:color w:val="auto"/>
        </w:rPr>
      </w:pPr>
      <w:r>
        <w:rPr>
          <w:rFonts w:ascii="MS PGothic" w:cs="MS PGothic" w:eastAsia="MS PGothic" w:hAnsi="MS PGothic"/>
          <w:sz w:val="29"/>
          <w:szCs w:val="29"/>
          <w:color w:val="auto"/>
          <w:highlight w:val="black"/>
        </w:rPr>
        <w:t>☐ ☐</w:t>
      </w:r>
      <w:r>
        <w:rPr>
          <w:sz w:val="20"/>
          <w:szCs w:val="20"/>
          <w:color w:val="auto"/>
        </w:rPr>
        <w:tab/>
      </w:r>
      <w:r>
        <w:rPr>
          <w:rFonts w:ascii="MS PGothic" w:cs="MS PGothic" w:eastAsia="MS PGothic" w:hAnsi="MS PGothic"/>
          <w:sz w:val="26"/>
          <w:szCs w:val="26"/>
          <w:color w:val="auto"/>
          <w:highlight w:val="black"/>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91" w:lineRule="exact"/>
        <w:tabs>
          <w:tab w:leader="none" w:pos="1160" w:val="left"/>
        </w:tabs>
        <w:rPr>
          <w:sz w:val="20"/>
          <w:szCs w:val="20"/>
          <w:color w:val="auto"/>
        </w:rPr>
      </w:pPr>
      <w:r>
        <w:rPr>
          <w:rFonts w:ascii="MS PGothic" w:cs="MS PGothic" w:eastAsia="MS PGothic" w:hAnsi="MS PGothic"/>
          <w:sz w:val="29"/>
          <w:szCs w:val="29"/>
          <w:color w:val="auto"/>
          <w:highlight w:val="black"/>
        </w:rPr>
        <w:t>☐ ☐</w:t>
      </w:r>
      <w:r>
        <w:rPr>
          <w:sz w:val="20"/>
          <w:szCs w:val="20"/>
          <w:color w:val="auto"/>
        </w:rPr>
        <w:tab/>
      </w:r>
      <w:r>
        <w:rPr>
          <w:rFonts w:ascii="MS PGothic" w:cs="MS PGothic" w:eastAsia="MS PGothic" w:hAnsi="MS PGothic"/>
          <w:sz w:val="26"/>
          <w:szCs w:val="26"/>
          <w:color w:val="auto"/>
          <w:highlight w:val="black"/>
        </w:rPr>
        <w:t>☐</w:t>
      </w:r>
    </w:p>
    <w:p>
      <w:pPr>
        <w:spacing w:after="0" w:line="402" w:lineRule="exact"/>
        <w:rPr>
          <w:sz w:val="20"/>
          <w:szCs w:val="20"/>
          <w:color w:val="auto"/>
        </w:rPr>
      </w:pPr>
    </w:p>
    <w:p>
      <w:pPr>
        <w:sectPr>
          <w:pgSz w:w="11900" w:h="16838" w:orient="portrait"/>
          <w:cols w:equalWidth="0" w:num="4">
            <w:col w:w="4540" w:space="200"/>
            <w:col w:w="1320" w:space="458"/>
            <w:col w:w="3102" w:space="200"/>
            <w:col w:w="1600"/>
          </w:cols>
          <w:pgMar w:left="240" w:top="459" w:right="239" w:bottom="57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hanging="295"/>
        <w:spacing w:after="0"/>
        <w:tabs>
          <w:tab w:leader="none" w:pos="360" w:val="left"/>
        </w:tabs>
        <w:numPr>
          <w:ilvl w:val="0"/>
          <w:numId w:val="136"/>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7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Please sign exactly as your name(s) appear on the proxy. If held in joint tenancy, all persons must sign. Trustee, administrators, etc., should include title and authority. Corporations should provide the full name of corporation and the title of the authorized officer signing the proxy.</w:t>
      </w:r>
    </w:p>
    <w:p>
      <w:pPr>
        <w:spacing w:after="0" w:line="59" w:lineRule="exact"/>
        <w:rPr>
          <w:sz w:val="20"/>
          <w:szCs w:val="20"/>
          <w:color w:val="auto"/>
        </w:rPr>
      </w:pPr>
    </w:p>
    <w:p>
      <w:pPr>
        <w:spacing w:after="0"/>
        <w:tabs>
          <w:tab w:leader="none" w:pos="3940" w:val="left"/>
          <w:tab w:leader="none" w:pos="77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3765" cy="3689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368935"/>
                    </a:xfrm>
                    <a:prstGeom prst="rect">
                      <a:avLst/>
                    </a:prstGeom>
                    <a:noFill/>
                  </pic:spPr>
                </pic:pic>
              </a:graphicData>
            </a:graphic>
          </wp:anchor>
        </w:drawing>
      </w:r>
    </w:p>
    <w:p>
      <w:pPr>
        <w:spacing w:after="0" w:line="131"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47"/>
          <w:szCs w:val="47"/>
          <w:color w:val="auto"/>
        </w:rPr>
        <w:t>/</w:t>
      </w:r>
      <w:r>
        <w:rPr>
          <w:sz w:val="20"/>
          <w:szCs w:val="20"/>
          <w:color w:val="auto"/>
        </w:rPr>
        <w:tab/>
      </w:r>
      <w:r>
        <w:rPr>
          <w:rFonts w:ascii="Arial" w:cs="Arial" w:eastAsia="Arial" w:hAnsi="Arial"/>
          <w:sz w:val="47"/>
          <w:szCs w:val="47"/>
          <w:color w:val="auto"/>
        </w:rPr>
        <w:t>/</w:t>
      </w:r>
    </w:p>
    <w:p>
      <w:pPr>
        <w:sectPr>
          <w:pgSz w:w="11900" w:h="16838" w:orient="portrait"/>
          <w:cols w:equalWidth="0" w:num="1">
            <w:col w:w="11420"/>
          </w:cols>
          <w:pgMar w:left="240" w:top="459" w:right="239" w:bottom="57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02LAKD</w:t>
      </w:r>
    </w:p>
    <w:p>
      <w:pPr>
        <w:sectPr>
          <w:pgSz w:w="11900" w:h="16838" w:orient="portrait"/>
          <w:cols w:equalWidth="0" w:num="1">
            <w:col w:w="11420"/>
          </w:cols>
          <w:pgMar w:left="240" w:top="459" w:right="239" w:bottom="572"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STOCKHOLDERS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Wednesday, June 14, 2017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 a.m.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Grand Canyon University Antelope Reception Center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3300 W. Camelback Road</w:t>
      </w:r>
    </w:p>
    <w:p>
      <w:pPr>
        <w:jc w:val="center"/>
        <w:spacing w:after="0"/>
        <w:rPr>
          <w:sz w:val="20"/>
          <w:szCs w:val="20"/>
          <w:color w:val="auto"/>
        </w:rPr>
      </w:pPr>
      <w:r>
        <w:rPr>
          <w:rFonts w:ascii="Arial" w:cs="Arial" w:eastAsia="Arial" w:hAnsi="Arial"/>
          <w:sz w:val="22"/>
          <w:szCs w:val="22"/>
          <w:b w:val="1"/>
          <w:bCs w:val="1"/>
          <w:color w:val="auto"/>
        </w:rPr>
        <w:t>Phoenix, Arizona 85017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Important Notice Regarding the Availability of Proxy Materials for the Stockholder Meeting to Be Held on June 14, 2017. This proxy statement and our annual report for the year ended December 31, 2016, are available and may be viewed at www.edocumentview.com/LOPE.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line="285" w:lineRule="auto"/>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7768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 Grand Canyon Education, Inc.</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Notice of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87768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Canyon University Antelope Reception Center</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3300 W. Camelback Road</w:t>
      </w:r>
    </w:p>
    <w:p>
      <w:pPr>
        <w:spacing w:after="0"/>
        <w:rPr>
          <w:sz w:val="20"/>
          <w:szCs w:val="20"/>
          <w:color w:val="auto"/>
        </w:rPr>
      </w:pPr>
      <w:r>
        <w:rPr>
          <w:rFonts w:ascii="Arial" w:cs="Arial" w:eastAsia="Arial" w:hAnsi="Arial"/>
          <w:sz w:val="22"/>
          <w:szCs w:val="22"/>
          <w:b w:val="1"/>
          <w:bCs w:val="1"/>
          <w:color w:val="auto"/>
        </w:rPr>
        <w:t>Phoenix, Arizona 85017</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Annual Meeting — Wednesday, June 14, 2017</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E. Mueller, Daniel E. Bachus, and Brian M. Roberts, or any of them, each with the power of substitution, are hereby authorized to represent and vote the shares of the undersigned, with all the powers which the undersigned would possess if personally present, at the Annual Meeting of Stockholders of Grand Canyon Education, Inc. to be held on Wednesday, June 14, 2017 or at any postponement or adjournment thereof.</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EACH OF THE NOMINEES LISTED ON THE REVERSE SIDE OF THIS PROXY CARD, “FOR” PROPOSALS 2, 3 AND 5 AND FOR THE FREQUENCY OF “EVERY YEAR” ON PROPOSAL 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p>
      <w:pPr>
        <w:spacing w:after="0" w:line="217" w:lineRule="exact"/>
        <w:rPr>
          <w:sz w:val="20"/>
          <w:szCs w:val="20"/>
          <w:color w:val="auto"/>
        </w:rPr>
      </w:pPr>
    </w:p>
    <w:p>
      <w:pPr>
        <w:ind w:left="360" w:hanging="295"/>
        <w:spacing w:after="0"/>
        <w:tabs>
          <w:tab w:leader="none" w:pos="360" w:val="left"/>
        </w:tabs>
        <w:numPr>
          <w:ilvl w:val="0"/>
          <w:numId w:val="137"/>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7263765" cy="3689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3689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lvl w:ilvl="1">
      <w:lvlJc w:val="left"/>
      <w:lvlText w:val="(%2)"/>
      <w:numFmt w:val="decimal"/>
      <w:start w:val="1"/>
    </w:lvl>
  </w:abstractNum>
  <w:abstractNum w:abstractNumId="3">
    <w:nsid w:val="98A3148"/>
    <w:multiLevelType w:val="hybridMultilevel"/>
    <w:lvl w:ilvl="0">
      <w:lvlJc w:val="left"/>
      <w:lvlText w:val="2"/>
      <w:numFmt w:val="bullet"/>
      <w:start w:val="1"/>
    </w:lvl>
  </w:abstractNum>
  <w:abstractNum w:abstractNumId="4">
    <w:nsid w:val="799D0247"/>
    <w:multiLevelType w:val="hybridMultilevel"/>
    <w:lvl w:ilvl="0">
      <w:lvlJc w:val="left"/>
      <w:lvlText w:val="3"/>
      <w:numFmt w:val="bullet"/>
      <w:start w:val="1"/>
    </w:lvl>
  </w:abstractNum>
  <w:abstractNum w:abstractNumId="5">
    <w:nsid w:val="6B94764"/>
    <w:multiLevelType w:val="hybridMultilevel"/>
    <w:lvl w:ilvl="0">
      <w:lvlJc w:val="left"/>
      <w:lvlText w:val="4"/>
      <w:numFmt w:val="bullet"/>
      <w:start w:val="1"/>
    </w:lvl>
  </w:abstractNum>
  <w:abstractNum w:abstractNumId="6">
    <w:nsid w:val="42C296BD"/>
    <w:multiLevelType w:val="hybridMultilevel"/>
    <w:lvl w:ilvl="0">
      <w:lvlJc w:val="left"/>
      <w:lvlText w:val="5"/>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1)"/>
      <w:numFmt w:val="decimal"/>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1)"/>
      <w:numFmt w:val="lowerRoman"/>
      <w:start w:val="2"/>
    </w:lvl>
  </w:abstractNum>
  <w:abstractNum w:abstractNumId="19">
    <w:nsid w:val="8F2B15E"/>
    <w:multiLevelType w:val="hybridMultilevel"/>
    <w:lvl w:ilvl="0">
      <w:lvlJc w:val="left"/>
      <w:lvlText w:val="(%1)"/>
      <w:numFmt w:val="decimal"/>
      <w:start w:val="1"/>
    </w:lvl>
  </w:abstractNum>
  <w:abstractNum w:abstractNumId="20">
    <w:nsid w:val="1A32234B"/>
    <w:multiLevelType w:val="hybridMultilevel"/>
    <w:lvl w:ilvl="0">
      <w:lvlJc w:val="left"/>
      <w:lvlText w:val="%1"/>
      <w:numFmt w:val="decimal"/>
      <w:start w:val="1"/>
    </w:lvl>
    <w:lvl w:ilvl="1">
      <w:lvlJc w:val="left"/>
      <w:lvlText w:val="(%2)"/>
      <w:numFmt w:val="decimal"/>
      <w:start w:val="1"/>
    </w:lvl>
  </w:abstractNum>
  <w:abstractNum w:abstractNumId="21">
    <w:nsid w:val="3B0FD379"/>
    <w:multiLevelType w:val="hybridMultilevel"/>
    <w:lvl w:ilvl="0">
      <w:lvlJc w:val="left"/>
      <w:lvlText w:val="(%1)"/>
      <w:numFmt w:val="decimal"/>
      <w:start w:val="2"/>
    </w:lvl>
    <w:lvl w:ilvl="1">
      <w:lvlJc w:val="left"/>
      <w:lvlText w:val="%2"/>
      <w:numFmt w:val="decimal"/>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decimal"/>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1)"/>
      <w:numFmt w:val="lowerRoman"/>
      <w:start w:val="2"/>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decimal"/>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1)"/>
      <w:numFmt w:val="decimal"/>
      <w:start w:val="1"/>
    </w:lvl>
  </w:abstractNum>
  <w:abstractNum w:abstractNumId="47">
    <w:nsid w:val="57FC4FBB"/>
    <w:multiLevelType w:val="hybridMultilevel"/>
    <w:lvl w:ilvl="0">
      <w:lvlJc w:val="left"/>
      <w:lvlText w:val="(%1)"/>
      <w:numFmt w:val="decimal"/>
      <w:start w:val="1"/>
    </w:lvl>
  </w:abstractNum>
  <w:abstractNum w:abstractNumId="48">
    <w:nsid w:val="CC1016F"/>
    <w:multiLevelType w:val="hybridMultilevel"/>
    <w:lvl w:ilvl="0">
      <w:lvlJc w:val="left"/>
      <w:lvlText w:val="(%1)"/>
      <w:numFmt w:val="decimal"/>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1)"/>
      <w:numFmt w:val="decimal"/>
      <w:start w:val="12"/>
    </w:lvl>
  </w:abstractNum>
  <w:abstractNum w:abstractNumId="52">
    <w:nsid w:val="7F01579B"/>
    <w:multiLevelType w:val="hybridMultilevel"/>
    <w:lvl w:ilvl="0">
      <w:lvlJc w:val="left"/>
      <w:lvlText w:val="(%1)"/>
      <w:numFmt w:val="decimal"/>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1)"/>
      <w:numFmt w:val="lowerLetter"/>
      <w:start w:val="2"/>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1)"/>
      <w:numFmt w:val="decimal"/>
      <w:start w:val="1"/>
    </w:lvl>
  </w:abstractNum>
  <w:abstractNum w:abstractNumId="60">
    <w:nsid w:val="7672BD23"/>
    <w:multiLevelType w:val="hybridMultilevel"/>
    <w:lvl w:ilvl="0">
      <w:lvlJc w:val="left"/>
      <w:lvlText w:val="(%1)"/>
      <w:numFmt w:val="decimal"/>
      <w:start w:val="2"/>
    </w:lvl>
  </w:abstractNum>
  <w:abstractNum w:abstractNumId="61">
    <w:nsid w:val="6FC75AF8"/>
    <w:multiLevelType w:val="hybridMultilevel"/>
    <w:lvl w:ilvl="0">
      <w:lvlJc w:val="left"/>
      <w:lvlText w:val="%1."/>
      <w:numFmt w:val="decimal"/>
      <w:start w:val="1"/>
    </w:lvl>
  </w:abstractNum>
  <w:abstractNum w:abstractNumId="62">
    <w:nsid w:val="6A5F7029"/>
    <w:multiLevelType w:val="hybridMultilevel"/>
    <w:lvl w:ilvl="0">
      <w:lvlJc w:val="left"/>
      <w:lvlText w:val="%1."/>
      <w:numFmt w:val="decimal"/>
      <w:start w:val="2"/>
    </w:lvl>
  </w:abstractNum>
  <w:abstractNum w:abstractNumId="63">
    <w:nsid w:val="7D5E18F8"/>
    <w:multiLevelType w:val="hybridMultilevel"/>
    <w:lvl w:ilvl="0">
      <w:lvlJc w:val="left"/>
      <w:lvlText w:val="(%1)"/>
      <w:numFmt w:val="lowerLetter"/>
      <w:start w:val="1"/>
    </w:lvl>
  </w:abstractNum>
  <w:abstractNum w:abstractNumId="64">
    <w:nsid w:val="5F3534A4"/>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65">
    <w:nsid w:val="73A1821B"/>
    <w:multiLevelType w:val="hybridMultilevel"/>
    <w:lvl w:ilvl="0">
      <w:lvlJc w:val="left"/>
      <w:lvlText w:val="(%1)"/>
      <w:numFmt w:val="lowerRoman"/>
      <w:start w:val="6"/>
    </w:lvl>
    <w:lvl w:ilvl="1">
      <w:lvlJc w:val="left"/>
      <w:lvlText w:val="(%2)"/>
      <w:numFmt w:val="lowerLetter"/>
      <w:start w:val="8"/>
    </w:lvl>
    <w:lvl w:ilvl="2">
      <w:lvlJc w:val="left"/>
      <w:lvlText w:val="(%3)"/>
      <w:numFmt w:val="lowerRoman"/>
      <w:start w:val="1"/>
    </w:lvl>
  </w:abstractNum>
  <w:abstractNum w:abstractNumId="66">
    <w:nsid w:val="7DE67713"/>
    <w:multiLevelType w:val="hybridMultilevel"/>
    <w:lvl w:ilvl="0">
      <w:lvlJc w:val="left"/>
      <w:lvlText w:val="%1"/>
      <w:numFmt w:val="lowerLetter"/>
      <w:start w:val="1"/>
    </w:lvl>
    <w:lvl w:ilvl="1">
      <w:lvlJc w:val="left"/>
      <w:lvlText w:val="(%2)"/>
      <w:numFmt w:val="lowerLetter"/>
      <w:start w:val="9"/>
    </w:lvl>
  </w:abstractNum>
  <w:abstractNum w:abstractNumId="67">
    <w:nsid w:val="555C55B5"/>
    <w:multiLevelType w:val="hybridMultilevel"/>
    <w:lvl w:ilvl="0">
      <w:lvlJc w:val="left"/>
      <w:lvlText w:val="(%1)"/>
      <w:numFmt w:val="lowerLetter"/>
      <w:start w:val="35"/>
    </w:lvl>
    <w:lvl w:ilvl="1">
      <w:lvlJc w:val="left"/>
      <w:lvlText w:val="(%2)"/>
      <w:numFmt w:val="lowerLetter"/>
      <w:start w:val="14"/>
    </w:lvl>
  </w:abstractNum>
  <w:abstractNum w:abstractNumId="68">
    <w:nsid w:val="3FA62ACA"/>
    <w:multiLevelType w:val="hybridMultilevel"/>
    <w:lvl w:ilvl="0">
      <w:lvlJc w:val="left"/>
      <w:lvlText w:val="(%1)"/>
      <w:numFmt w:val="lowerLetter"/>
      <w:start w:val="16"/>
    </w:lvl>
    <w:lvl w:ilvl="1">
      <w:lvlJc w:val="left"/>
      <w:lvlText w:val="(%2)"/>
      <w:numFmt w:val="lowerRoman"/>
      <w:start w:val="1"/>
    </w:lvl>
  </w:abstractNum>
  <w:abstractNum w:abstractNumId="69">
    <w:nsid w:val="14FCE74E"/>
    <w:multiLevelType w:val="hybridMultilevel"/>
    <w:lvl w:ilvl="0">
      <w:lvlJc w:val="left"/>
      <w:lvlText w:val="(%1)"/>
      <w:numFmt w:val="lowerLetter"/>
      <w:start w:val="20"/>
    </w:lvl>
  </w:abstractNum>
  <w:abstractNum w:abstractNumId="70">
    <w:nsid w:val="6A3DD3E8"/>
    <w:multiLevelType w:val="hybridMultilevel"/>
    <w:lvl w:ilvl="0">
      <w:lvlJc w:val="left"/>
      <w:lvlText w:val="%1"/>
      <w:numFmt w:val="decimal"/>
      <w:start w:val="1"/>
    </w:lvl>
    <w:lvl w:ilvl="1">
      <w:lvlJc w:val="left"/>
      <w:lvlText w:val="(%2)"/>
      <w:numFmt w:val="lowerLetter"/>
      <w:start w:val="24"/>
    </w:lvl>
  </w:abstractNum>
  <w:abstractNum w:abstractNumId="71">
    <w:nsid w:val="71C91298"/>
    <w:multiLevelType w:val="hybridMultilevel"/>
    <w:lvl w:ilvl="0">
      <w:lvlJc w:val="left"/>
      <w:lvlText w:val="(%1)"/>
      <w:numFmt w:val="decimal"/>
      <w:start w:val="6"/>
    </w:lvl>
    <w:lvl w:ilvl="1">
      <w:lvlJc w:val="left"/>
      <w:lvlText w:val="(%2)"/>
      <w:numFmt w:val="lowerLetter"/>
      <w:start w:val="26"/>
    </w:lvl>
  </w:abstractNum>
  <w:abstractNum w:abstractNumId="72">
    <w:nsid w:val="9DAF632"/>
    <w:multiLevelType w:val="hybridMultilevel"/>
    <w:lvl w:ilvl="0">
      <w:lvlJc w:val="left"/>
      <w:lvlText w:val="(%1)"/>
      <w:numFmt w:val="lowerLetter"/>
      <w:start w:val="27"/>
    </w:lvl>
  </w:abstractNum>
  <w:abstractNum w:abstractNumId="73">
    <w:nsid w:val="53299938"/>
    <w:multiLevelType w:val="hybridMultilevel"/>
    <w:lvl w:ilvl="0">
      <w:lvlJc w:val="left"/>
      <w:lvlText w:val="(%1)"/>
      <w:numFmt w:val="lowerLetter"/>
      <w:start w:val="34"/>
    </w:lvl>
  </w:abstractNum>
  <w:abstractNum w:abstractNumId="74">
    <w:nsid w:val="1FBFE8E0"/>
    <w:multiLevelType w:val="hybridMultilevel"/>
    <w:lvl w:ilvl="0">
      <w:lvlJc w:val="left"/>
      <w:lvlText w:val="(%1)"/>
      <w:numFmt w:val="lowerLetter"/>
      <w:start w:val="47"/>
    </w:lvl>
  </w:abstractNum>
  <w:abstractNum w:abstractNumId="75">
    <w:nsid w:val="5092CA79"/>
    <w:multiLevelType w:val="hybridMultilevel"/>
    <w:lvl w:ilvl="0">
      <w:lvlJc w:val="left"/>
      <w:lvlText w:val="(%1)"/>
      <w:numFmt w:val="lowerLetter"/>
      <w:start w:val="48"/>
    </w:lvl>
  </w:abstractNum>
  <w:abstractNum w:abstractNumId="76">
    <w:nsid w:val="1D545C4D"/>
    <w:multiLevelType w:val="hybridMultilevel"/>
    <w:lvl w:ilvl="0">
      <w:lvlJc w:val="left"/>
      <w:lvlText w:val="(%1)"/>
      <w:numFmt w:val="lowerLetter"/>
      <w:start w:val="50"/>
    </w:lvl>
  </w:abstractNum>
  <w:abstractNum w:abstractNumId="77">
    <w:nsid w:val="59ADEA3D"/>
    <w:multiLevelType w:val="hybridMultilevel"/>
    <w:lvl w:ilvl="0">
      <w:lvlJc w:val="left"/>
      <w:lvlText w:val="(%1)"/>
      <w:numFmt w:val="lowerLetter"/>
      <w:start w:val="53"/>
    </w:lvl>
  </w:abstractNum>
  <w:abstractNum w:abstractNumId="78">
    <w:nsid w:val="288F1A34"/>
    <w:multiLevelType w:val="hybridMultilevel"/>
    <w:lvl w:ilvl="0">
      <w:lvlJc w:val="left"/>
      <w:lvlText w:val="(%1)"/>
      <w:numFmt w:val="lowerLetter"/>
      <w:start w:val="58"/>
    </w:lvl>
  </w:abstractNum>
  <w:abstractNum w:abstractNumId="79">
    <w:nsid w:val="2A155DBC"/>
    <w:multiLevelType w:val="hybridMultilevel"/>
    <w:lvl w:ilvl="0">
      <w:lvlJc w:val="left"/>
      <w:lvlText w:val="(%1)"/>
      <w:numFmt w:val="lowerLetter"/>
      <w:start w:val="59"/>
    </w:lvl>
  </w:abstractNum>
  <w:abstractNum w:abstractNumId="80">
    <w:nsid w:val="1D9F6E5F"/>
    <w:multiLevelType w:val="hybridMultilevel"/>
    <w:lvl w:ilvl="0">
      <w:lvlJc w:val="left"/>
      <w:lvlText w:val="%1."/>
      <w:numFmt w:val="decimal"/>
      <w:start w:val="3"/>
    </w:lvl>
  </w:abstractNum>
  <w:abstractNum w:abstractNumId="81">
    <w:nsid w:val="97E1B4E"/>
    <w:multiLevelType w:val="hybridMultilevel"/>
    <w:lvl w:ilvl="0">
      <w:lvlJc w:val="left"/>
      <w:lvlText w:val="%1"/>
      <w:numFmt w:val="lowerRoman"/>
      <w:start w:val="1"/>
    </w:lvl>
    <w:lvl w:ilvl="1">
      <w:lvlJc w:val="left"/>
      <w:lvlText w:val="(%2)"/>
      <w:numFmt w:val="lowerLetter"/>
      <w:start w:val="1"/>
    </w:lvl>
  </w:abstractNum>
  <w:abstractNum w:abstractNumId="82">
    <w:nsid w:val="51088277"/>
    <w:multiLevelType w:val="hybridMultilevel"/>
    <w:lvl w:ilvl="0">
      <w:lvlJc w:val="left"/>
      <w:lvlText w:val="(%1)"/>
      <w:numFmt w:val="lowerRoman"/>
      <w:start w:val="4"/>
    </w:lvl>
    <w:lvl w:ilvl="1">
      <w:lvlJc w:val="left"/>
      <w:lvlText w:val="%2"/>
      <w:numFmt w:val="lowerLetter"/>
      <w:start w:val="1"/>
    </w:lvl>
  </w:abstractNum>
  <w:abstractNum w:abstractNumId="83">
    <w:nsid w:val="1CA0C5FA"/>
    <w:multiLevelType w:val="hybridMultilevel"/>
    <w:lvl w:ilvl="0">
      <w:lvlJc w:val="left"/>
      <w:lvlText w:val="(%1)"/>
      <w:numFmt w:val="lowerLetter"/>
      <w:start w:val="6"/>
    </w:lvl>
  </w:abstractNum>
  <w:abstractNum w:abstractNumId="84">
    <w:nsid w:val="53584BCB"/>
    <w:multiLevelType w:val="hybridMultilevel"/>
    <w:lvl w:ilvl="0">
      <w:lvlJc w:val="left"/>
      <w:lvlText w:val="(%1)"/>
      <w:numFmt w:val="lowerLetter"/>
      <w:start w:val="7"/>
    </w:lvl>
  </w:abstractNum>
  <w:abstractNum w:abstractNumId="85">
    <w:nsid w:val="415E286C"/>
    <w:multiLevelType w:val="hybridMultilevel"/>
    <w:lvl w:ilvl="0">
      <w:lvlJc w:val="left"/>
      <w:lvlText w:val="(%1)"/>
      <w:numFmt w:val="lowerLetter"/>
      <w:start w:val="11"/>
    </w:lvl>
  </w:abstractNum>
  <w:abstractNum w:abstractNumId="86">
    <w:nsid w:val="7C58FD05"/>
    <w:multiLevelType w:val="hybridMultilevel"/>
    <w:lvl w:ilvl="0">
      <w:lvlJc w:val="left"/>
      <w:lvlText w:val="(%1)"/>
      <w:numFmt w:val="lowerLetter"/>
      <w:start w:val="1"/>
    </w:lvl>
  </w:abstractNum>
  <w:abstractNum w:abstractNumId="87">
    <w:nsid w:val="23D86AAC"/>
    <w:multiLevelType w:val="hybridMultilevel"/>
    <w:lvl w:ilvl="0">
      <w:lvlJc w:val="left"/>
      <w:lvlText w:val="%1."/>
      <w:numFmt w:val="decimal"/>
      <w:start w:val="4"/>
    </w:lvl>
  </w:abstractNum>
  <w:abstractNum w:abstractNumId="88">
    <w:nsid w:val="45E6D486"/>
    <w:multiLevelType w:val="hybridMultilevel"/>
    <w:lvl w:ilvl="0">
      <w:lvlJc w:val="left"/>
      <w:lvlText w:val="(%1)"/>
      <w:numFmt w:val="lowerLetter"/>
      <w:start w:val="1"/>
    </w:lvl>
  </w:abstractNum>
  <w:abstractNum w:abstractNumId="89">
    <w:nsid w:val="5C10FE21"/>
    <w:multiLevelType w:val="hybridMultilevel"/>
    <w:lvl w:ilvl="0">
      <w:lvlJc w:val="left"/>
      <w:lvlText w:val="%1."/>
      <w:numFmt w:val="decimal"/>
      <w:start w:val="5"/>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1."/>
      <w:numFmt w:val="decimal"/>
      <w:start w:val="6"/>
    </w:lvl>
  </w:abstractNum>
  <w:abstractNum w:abstractNumId="92">
    <w:nsid w:val="4BD8591A"/>
    <w:multiLevelType w:val="hybridMultilevel"/>
    <w:lvl w:ilvl="0">
      <w:lvlJc w:val="left"/>
      <w:lvlText w:val="(%1)"/>
      <w:numFmt w:val="lowerLetter"/>
      <w:start w:val="1"/>
    </w:lvl>
    <w:lvl w:ilvl="1">
      <w:lvlJc w:val="left"/>
      <w:lvlText w:val="(%2)"/>
      <w:numFmt w:val="lowerRoman"/>
      <w:start w:val="1"/>
    </w:lvl>
  </w:abstractNum>
  <w:abstractNum w:abstractNumId="93">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39B7AAA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95">
    <w:nsid w:val="2B0D8DBE"/>
    <w:multiLevelType w:val="hybridMultilevel"/>
    <w:lvl w:ilvl="0">
      <w:lvlJc w:val="left"/>
      <w:lvlText w:val="%1."/>
      <w:numFmt w:val="decimal"/>
      <w:start w:val="7"/>
    </w:lvl>
  </w:abstractNum>
  <w:abstractNum w:abstractNumId="96">
    <w:nsid w:val="6C80EC70"/>
    <w:multiLevelType w:val="hybridMultilevel"/>
    <w:lvl w:ilvl="0">
      <w:lvlJc w:val="left"/>
      <w:lvlText w:val="(%1)"/>
      <w:numFmt w:val="lowerLetter"/>
      <w:start w:val="1"/>
    </w:lvl>
  </w:abstractNum>
  <w:abstractNum w:abstractNumId="97">
    <w:nsid w:val="379E21B5"/>
    <w:multiLevelType w:val="hybridMultilevel"/>
    <w:lvl w:ilvl="0">
      <w:lvlJc w:val="left"/>
      <w:lvlText w:val="(%1)"/>
      <w:numFmt w:val="lowerLetter"/>
      <w:start w:val="2"/>
    </w:lvl>
  </w:abstractNum>
  <w:abstractNum w:abstractNumId="98">
    <w:nsid w:val="69E373"/>
    <w:multiLevelType w:val="hybridMultilevel"/>
    <w:lvl w:ilvl="0">
      <w:lvlJc w:val="left"/>
      <w:lvlText w:val="%1."/>
      <w:numFmt w:val="decimal"/>
      <w:start w:val="8"/>
    </w:lvl>
  </w:abstractNum>
  <w:abstractNum w:abstractNumId="99">
    <w:nsid w:val="2C27173B"/>
    <w:multiLevelType w:val="hybridMultilevel"/>
    <w:lvl w:ilvl="0">
      <w:lvlJc w:val="left"/>
      <w:lvlText w:val="%1."/>
      <w:numFmt w:val="decimal"/>
      <w:start w:val="9"/>
    </w:lvl>
  </w:abstractNum>
  <w:abstractNum w:abstractNumId="100">
    <w:nsid w:val="4C9B0904"/>
    <w:multiLevelType w:val="hybridMultilevel"/>
    <w:lvl w:ilvl="0">
      <w:lvlJc w:val="left"/>
      <w:lvlText w:val="%1."/>
      <w:numFmt w:val="decimal"/>
      <w:start w:val="10"/>
    </w:lvl>
  </w:abstractNum>
  <w:abstractNum w:abstractNumId="101">
    <w:nsid w:val="6AA7B75C"/>
    <w:multiLevelType w:val="hybridMultilevel"/>
    <w:lvl w:ilvl="0">
      <w:lvlJc w:val="left"/>
      <w:lvlText w:val="(%1)"/>
      <w:numFmt w:val="lowerLetter"/>
      <w:start w:val="1"/>
    </w:lvl>
    <w:lvl w:ilvl="1">
      <w:lvlJc w:val="left"/>
      <w:lvlText w:val="(%2)"/>
      <w:numFmt w:val="lowerRoman"/>
      <w:start w:val="1"/>
    </w:lvl>
  </w:abstractNum>
  <w:abstractNum w:abstractNumId="102">
    <w:nsid w:val="1DF029D3"/>
    <w:multiLevelType w:val="hybridMultilevel"/>
    <w:lvl w:ilvl="0">
      <w:lvlJc w:val="left"/>
      <w:lvlText w:val="(%1)"/>
      <w:numFmt w:val="lowerRoman"/>
      <w:start w:val="7"/>
    </w:lvl>
  </w:abstractNum>
  <w:abstractNum w:abstractNumId="103">
    <w:nsid w:val="5675FF36"/>
    <w:multiLevelType w:val="hybridMultilevel"/>
    <w:lvl w:ilvl="0">
      <w:lvlJc w:val="left"/>
      <w:lvlText w:val="(%1)"/>
      <w:numFmt w:val="lowerRoman"/>
      <w:start w:val="8"/>
    </w:lvl>
  </w:abstractNum>
  <w:abstractNum w:abstractNumId="104">
    <w:nsid w:val="3DD15094"/>
    <w:multiLevelType w:val="hybridMultilevel"/>
    <w:lvl w:ilvl="0">
      <w:lvlJc w:val="left"/>
      <w:lvlText w:val="(%1)"/>
      <w:numFmt w:val="lowerLetter"/>
      <w:start w:val="2"/>
    </w:lvl>
  </w:abstractNum>
  <w:abstractNum w:abstractNumId="105">
    <w:nsid w:val="3DB012B3"/>
    <w:multiLevelType w:val="hybridMultilevel"/>
    <w:lvl w:ilvl="0">
      <w:lvlJc w:val="left"/>
      <w:lvlText w:val="%1"/>
      <w:numFmt w:val="decimal"/>
      <w:start w:val="1"/>
    </w:lvl>
    <w:lvl w:ilvl="1">
      <w:lvlJc w:val="left"/>
      <w:lvlText w:val="(%2)"/>
      <w:numFmt w:val="lowerLetter"/>
      <w:start w:val="1"/>
    </w:lvl>
  </w:abstractNum>
  <w:abstractNum w:abstractNumId="106">
    <w:nsid w:val="2708C9AF"/>
    <w:multiLevelType w:val="hybridMultilevel"/>
    <w:lvl w:ilvl="0">
      <w:lvlJc w:val="left"/>
      <w:lvlText w:val="(%1)"/>
      <w:numFmt w:val="decimal"/>
      <w:start w:val="30"/>
    </w:lvl>
    <w:lvl w:ilvl="1">
      <w:lvlJc w:val="left"/>
      <w:lvlText w:val="(%2)"/>
      <w:numFmt w:val="lowerLetter"/>
      <w:start w:val="4"/>
    </w:lvl>
  </w:abstractNum>
  <w:abstractNum w:abstractNumId="107">
    <w:nsid w:val="5B25ACE2"/>
    <w:multiLevelType w:val="hybridMultilevel"/>
    <w:lvl w:ilvl="0">
      <w:lvlJc w:val="left"/>
      <w:lvlText w:val="(%1)"/>
      <w:numFmt w:val="lowerLetter"/>
      <w:start w:val="6"/>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decimal"/>
      <w:start w:val="11"/>
    </w:lvl>
  </w:abstractNum>
  <w:abstractNum w:abstractNumId="110">
    <w:nsid w:val="53B0A9E"/>
    <w:multiLevelType w:val="hybridMultilevel"/>
    <w:lvl w:ilvl="0">
      <w:lvlJc w:val="left"/>
      <w:lvlText w:val="%1."/>
      <w:numFmt w:val="decimal"/>
      <w:start w:val="12"/>
    </w:lvl>
  </w:abstractNum>
  <w:abstractNum w:abstractNumId="111">
    <w:nsid w:val="34FD6B4F"/>
    <w:multiLevelType w:val="hybridMultilevel"/>
    <w:lvl w:ilvl="0">
      <w:lvlJc w:val="left"/>
      <w:lvlText w:val="%1."/>
      <w:numFmt w:val="decimal"/>
      <w:start w:val="13"/>
    </w:lvl>
  </w:abstractNum>
  <w:abstractNum w:abstractNumId="112">
    <w:nsid w:val="5915FF32"/>
    <w:multiLevelType w:val="hybridMultilevel"/>
    <w:lvl w:ilvl="0">
      <w:lvlJc w:val="left"/>
      <w:lvlText w:val="%1"/>
      <w:numFmt w:val="lowerLetter"/>
      <w:start w:val="1"/>
    </w:lvl>
    <w:lvl w:ilvl="1">
      <w:lvlJc w:val="left"/>
      <w:lvlText w:val="(%2)"/>
      <w:numFmt w:val="lowerLetter"/>
      <w:start w:val="1"/>
    </w:lvl>
  </w:abstractNum>
  <w:abstractNum w:abstractNumId="113">
    <w:nsid w:val="56438D15"/>
    <w:multiLevelType w:val="hybridMultilevel"/>
    <w:lvl w:ilvl="0">
      <w:lvlJc w:val="left"/>
      <w:lvlText w:val="(%1)"/>
      <w:numFmt w:val="lowerLetter"/>
      <w:start w:val="61"/>
    </w:lvl>
    <w:lvl w:ilvl="1">
      <w:lvlJc w:val="left"/>
      <w:lvlText w:val="%2"/>
      <w:numFmt w:val="lowerLetter"/>
      <w:start w:val="1"/>
    </w:lvl>
  </w:abstractNum>
  <w:abstractNum w:abstractNumId="114">
    <w:nsid w:val="519E3149"/>
    <w:multiLevelType w:val="hybridMultilevel"/>
    <w:lvl w:ilvl="0">
      <w:lvlJc w:val="left"/>
      <w:lvlText w:val="(%1)"/>
      <w:numFmt w:val="lowerLetter"/>
      <w:start w:val="3"/>
    </w:lvl>
  </w:abstractNum>
  <w:abstractNum w:abstractNumId="115">
    <w:nsid w:val="2C6E4AFD"/>
    <w:multiLevelType w:val="hybridMultilevel"/>
    <w:lvl w:ilvl="0">
      <w:lvlJc w:val="left"/>
      <w:lvlText w:val="(%1)"/>
      <w:numFmt w:val="lowerRoman"/>
      <w:start w:val="1"/>
    </w:lvl>
  </w:abstractNum>
  <w:abstractNum w:abstractNumId="116">
    <w:nsid w:val="17A1B582"/>
    <w:multiLevelType w:val="hybridMultilevel"/>
    <w:lvl w:ilvl="0">
      <w:lvlJc w:val="left"/>
      <w:lvlText w:val="(%1)"/>
      <w:numFmt w:val="lowerLetter"/>
      <w:start w:val="4"/>
    </w:lvl>
    <w:lvl w:ilvl="1">
      <w:lvlJc w:val="left"/>
      <w:lvlText w:val="(%2)"/>
      <w:numFmt w:val="lowerRoman"/>
      <w:start w:val="1"/>
    </w:lvl>
  </w:abstractNum>
  <w:abstractNum w:abstractNumId="117">
    <w:nsid w:val="4DF72E4E"/>
    <w:multiLevelType w:val="hybridMultilevel"/>
    <w:lvl w:ilvl="0">
      <w:lvlJc w:val="left"/>
      <w:lvlText w:val="(%1)"/>
      <w:numFmt w:val="lowerLetter"/>
      <w:start w:val="1"/>
    </w:lvl>
  </w:abstractNum>
  <w:abstractNum w:abstractNumId="118">
    <w:nsid w:val="5046B5A9"/>
    <w:multiLevelType w:val="hybridMultilevel"/>
    <w:lvl w:ilvl="0">
      <w:lvlJc w:val="left"/>
      <w:lvlText w:val="%1"/>
      <w:numFmt w:val="decimal"/>
      <w:start w:val="1"/>
    </w:lvl>
    <w:lvl w:ilvl="1">
      <w:lvlJc w:val="left"/>
      <w:lvlText w:val="(%2)"/>
      <w:numFmt w:val="lowerLetter"/>
      <w:start w:val="2"/>
    </w:lvl>
  </w:abstractNum>
  <w:abstractNum w:abstractNumId="119">
    <w:nsid w:val="5D888A08"/>
    <w:multiLevelType w:val="hybridMultilevel"/>
    <w:lvl w:ilvl="0">
      <w:lvlJc w:val="left"/>
      <w:lvlText w:val="%1."/>
      <w:numFmt w:val="decimal"/>
      <w:start w:val="14"/>
    </w:lvl>
    <w:lvl w:ilvl="1">
      <w:lvlJc w:val="left"/>
      <w:lvlText w:val="%2"/>
      <w:numFmt w:val="lowerLetter"/>
      <w:start w:val="1"/>
    </w:lvl>
  </w:abstractNum>
  <w:abstractNum w:abstractNumId="120">
    <w:nsid w:val="2A082C70"/>
    <w:multiLevelType w:val="hybridMultilevel"/>
    <w:lvl w:ilvl="0">
      <w:lvlJc w:val="left"/>
      <w:lvlText w:val="%1."/>
      <w:numFmt w:val="decimal"/>
      <w:start w:val="15"/>
    </w:lvl>
  </w:abstractNum>
  <w:abstractNum w:abstractNumId="121">
    <w:nsid w:val="5EC6AFD4"/>
    <w:multiLevelType w:val="hybridMultilevel"/>
    <w:lvl w:ilvl="0">
      <w:lvlJc w:val="left"/>
      <w:lvlText w:val="(%1)"/>
      <w:numFmt w:val="lowerLetter"/>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lowerLetter"/>
      <w:start w:val="2"/>
    </w:lvl>
  </w:abstractNum>
  <w:abstractNum w:abstractNumId="125">
    <w:nsid w:val="5399C654"/>
    <w:multiLevelType w:val="hybridMultilevel"/>
    <w:lvl w:ilvl="0">
      <w:lvlJc w:val="left"/>
      <w:lvlText w:val="(%1)"/>
      <w:numFmt w:val="lowerLetter"/>
      <w:start w:val="1"/>
    </w:lvl>
    <w:lvl w:ilvl="1">
      <w:lvlJc w:val="left"/>
      <w:lvlText w:val="(%2)"/>
      <w:numFmt w:val="lowerRoman"/>
      <w:start w:val="1"/>
    </w:lvl>
  </w:abstractNum>
  <w:abstractNum w:abstractNumId="126">
    <w:nsid w:val="20EE1348"/>
    <w:multiLevelType w:val="hybridMultilevel"/>
    <w:lvl w:ilvl="0">
      <w:lvlJc w:val="left"/>
      <w:lvlText w:val="(%1)"/>
      <w:numFmt w:val="lowerLetter"/>
      <w:start w:val="4"/>
    </w:lvl>
  </w:abstractNum>
  <w:abstractNum w:abstractNumId="127">
    <w:nsid w:val="4427069A"/>
    <w:multiLevelType w:val="hybridMultilevel"/>
    <w:lvl w:ilvl="0">
      <w:lvlJc w:val="left"/>
      <w:lvlText w:val="(%1)"/>
      <w:numFmt w:val="lowerLetter"/>
      <w:start w:val="8"/>
    </w:lvl>
  </w:abstractNum>
  <w:abstractNum w:abstractNumId="128">
    <w:nsid w:val="B37E80A"/>
    <w:multiLevelType w:val="hybridMultilevel"/>
    <w:lvl w:ilvl="0">
      <w:lvlJc w:val="left"/>
      <w:lvlText w:val="%1."/>
      <w:numFmt w:val="decimal"/>
      <w:start w:val="16"/>
    </w:lvl>
  </w:abstractNum>
  <w:abstractNum w:abstractNumId="129">
    <w:nsid w:val="2157F6BC"/>
    <w:multiLevelType w:val="hybridMultilevel"/>
    <w:lvl w:ilvl="0">
      <w:lvlJc w:val="left"/>
      <w:lvlText w:val="%1."/>
      <w:numFmt w:val="decimal"/>
      <w:start w:val="17"/>
    </w:lvl>
  </w:abstractNum>
  <w:abstractNum w:abstractNumId="130">
    <w:nsid w:val="704E1DD5"/>
    <w:multiLevelType w:val="hybridMultilevel"/>
    <w:lvl w:ilvl="0">
      <w:lvlJc w:val="left"/>
      <w:lvlText w:val="%1."/>
      <w:numFmt w:val="decimal"/>
      <w:start w:val="18"/>
    </w:lvl>
  </w:abstractNum>
  <w:abstractNum w:abstractNumId="131">
    <w:nsid w:val="57D2F10E"/>
    <w:multiLevelType w:val="hybridMultilevel"/>
    <w:lvl w:ilvl="0">
      <w:lvlJc w:val="left"/>
      <w:lvlText w:val="(%1)"/>
      <w:numFmt w:val="lowerLetter"/>
      <w:start w:val="1"/>
    </w:lvl>
  </w:abstractNum>
  <w:abstractNum w:abstractNumId="132">
    <w:nsid w:val="BFFAE18"/>
    <w:multiLevelType w:val="hybridMultilevel"/>
    <w:lvl w:ilvl="0">
      <w:lvlJc w:val="left"/>
      <w:lvlText w:val="A"/>
      <w:numFmt w:val="bullet"/>
      <w:start w:val="1"/>
    </w:lvl>
  </w:abstractNum>
  <w:abstractNum w:abstractNumId="133">
    <w:nsid w:val="E3E47A8"/>
    <w:multiLevelType w:val="hybridMultilevel"/>
    <w:lvl w:ilvl="0">
      <w:lvlJc w:val="left"/>
      <w:lvlText w:val="%1."/>
      <w:numFmt w:val="decimal"/>
      <w:start w:val="3"/>
    </w:lvl>
  </w:abstractNum>
  <w:abstractNum w:abstractNumId="134">
    <w:nsid w:val="2E48F044"/>
    <w:multiLevelType w:val="hybridMultilevel"/>
    <w:lvl w:ilvl="0">
      <w:lvlJc w:val="left"/>
      <w:lvlText w:val="%1."/>
      <w:numFmt w:val="decimal"/>
      <w:start w:val="5"/>
    </w:lvl>
  </w:abstractNum>
  <w:abstractNum w:abstractNumId="135">
    <w:nsid w:val="49D0FEAC"/>
    <w:multiLevelType w:val="hybridMultilevel"/>
    <w:lvl w:ilvl="0">
      <w:lvlJc w:val="left"/>
      <w:lvlText w:val="B"/>
      <w:numFmt w:val="bullet"/>
      <w:start w:val="1"/>
    </w:lvl>
  </w:abstractNum>
  <w:abstractNum w:abstractNumId="136">
    <w:nsid w:val="4BEE5A5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2019-12-07T08:55:36Z</dcterms:created>
  <dcterms:modified xsi:type="dcterms:W3CDTF">2019-12-07T08:55:36Z</dcterms:modified>
</cp:coreProperties>
</file>