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8"/>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8"/>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81" w:lineRule="exact"/>
        <w:rPr>
          <w:sz w:val="24"/>
          <w:szCs w:val="24"/>
          <w:color w:val="auto"/>
        </w:rPr>
      </w:pPr>
    </w:p>
    <w:p>
      <w:pPr>
        <w:jc w:val="center"/>
        <w:ind w:right="-8"/>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97" w:lineRule="exact"/>
        <w:rPr>
          <w:sz w:val="24"/>
          <w:szCs w:val="24"/>
          <w:color w:val="auto"/>
        </w:rPr>
      </w:pPr>
    </w:p>
    <w:p>
      <w:pPr>
        <w:ind w:left="9"/>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29" w:right="400" w:hanging="426"/>
        <w:spacing w:after="0" w:line="422" w:lineRule="auto"/>
        <w:tabs>
          <w:tab w:leader="none" w:pos="42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AND EXCHANGE ACT OF 1934 For the quarterly period ended March 31, 2019</w:t>
      </w:r>
    </w:p>
    <w:p>
      <w:pPr>
        <w:spacing w:after="0" w:line="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09" w:hanging="409"/>
        <w:spacing w:after="0"/>
        <w:tabs>
          <w:tab w:leader="none" w:pos="40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09"/>
        <w:spacing w:after="0"/>
        <w:tabs>
          <w:tab w:leader="none" w:pos="406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4"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87" w:lineRule="exact"/>
        <w:rPr>
          <w:sz w:val="24"/>
          <w:szCs w:val="24"/>
          <w:color w:val="auto"/>
        </w:rPr>
      </w:pPr>
    </w:p>
    <w:p>
      <w:pPr>
        <w:jc w:val="center"/>
        <w:ind w:right="-8"/>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85" w:lineRule="exact"/>
        <w:rPr>
          <w:sz w:val="24"/>
          <w:szCs w:val="24"/>
          <w:color w:val="auto"/>
        </w:rPr>
      </w:pPr>
    </w:p>
    <w:tbl>
      <w:tblPr>
        <w:tblLayout w:type="fixed"/>
        <w:tblInd w:w="1409" w:type="dxa"/>
        <w:tblCellMar>
          <w:top w:w="0" w:type="dxa"/>
          <w:left w:w="0" w:type="dxa"/>
          <w:bottom w:w="0" w:type="dxa"/>
          <w:right w:w="0" w:type="dxa"/>
        </w:tblCellMar>
      </w:tblPr>
      <w:tr>
        <w:trPr>
          <w:trHeight w:val="220"/>
        </w:trPr>
        <w:tc>
          <w:tcPr>
            <w:tcW w:w="40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Pr>
          <w:p>
            <w:pPr>
              <w:jc w:val="center"/>
              <w:ind w:left="1650"/>
              <w:spacing w:after="0" w:line="207" w:lineRule="exact"/>
              <w:rPr>
                <w:sz w:val="20"/>
                <w:szCs w:val="20"/>
                <w:color w:val="auto"/>
              </w:rPr>
            </w:pPr>
            <w:r>
              <w:rPr>
                <w:rFonts w:ascii="Arial" w:cs="Arial" w:eastAsia="Arial" w:hAnsi="Arial"/>
                <w:sz w:val="18"/>
                <w:szCs w:val="18"/>
                <w:b w:val="1"/>
                <w:bCs w:val="1"/>
                <w:color w:val="auto"/>
                <w:w w:val="89"/>
              </w:rPr>
              <w:t>20</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3356009</w:t>
            </w:r>
          </w:p>
        </w:tc>
      </w:tr>
      <w:tr>
        <w:trPr>
          <w:trHeight w:val="216"/>
        </w:trPr>
        <w:tc>
          <w:tcPr>
            <w:tcW w:w="4020" w:type="dxa"/>
            <w:vAlign w:val="bottom"/>
          </w:tcPr>
          <w:p>
            <w:pPr>
              <w:jc w:val="center"/>
              <w:ind w:right="165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120" w:type="dxa"/>
            <w:vAlign w:val="bottom"/>
          </w:tcPr>
          <w:p>
            <w:pPr>
              <w:jc w:val="center"/>
              <w:ind w:left="165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4020" w:type="dxa"/>
            <w:vAlign w:val="bottom"/>
          </w:tcPr>
          <w:p>
            <w:pPr>
              <w:jc w:val="center"/>
              <w:ind w:right="163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120" w:type="dxa"/>
            <w:vAlign w:val="bottom"/>
          </w:tcPr>
          <w:p>
            <w:pPr>
              <w:jc w:val="center"/>
              <w:ind w:left="165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(602) 247</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4400</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left="9" w:right="46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9"/>
        <w:spacing w:after="0" w:line="207" w:lineRule="exact"/>
        <w:tabs>
          <w:tab w:leader="none" w:pos="5808"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4" w:lineRule="exact"/>
        <w:rPr>
          <w:sz w:val="24"/>
          <w:szCs w:val="24"/>
          <w:color w:val="auto"/>
        </w:rPr>
      </w:pPr>
    </w:p>
    <w:p>
      <w:pPr>
        <w:ind w:left="9" w:right="8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9" w:right="700" w:firstLine="648"/>
        <w:spacing w:after="0" w:line="221" w:lineRule="exact"/>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 (Check one):</w:t>
      </w:r>
    </w:p>
    <w:p>
      <w:pPr>
        <w:spacing w:after="0" w:line="48" w:lineRule="exact"/>
        <w:rPr>
          <w:sz w:val="24"/>
          <w:szCs w:val="24"/>
          <w:color w:val="auto"/>
        </w:rPr>
      </w:pPr>
    </w:p>
    <w:tbl>
      <w:tblPr>
        <w:tblLayout w:type="fixed"/>
        <w:tblInd w:w="9"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3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302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3020"/>
              <w:spacing w:after="0"/>
              <w:rPr>
                <w:sz w:val="20"/>
                <w:szCs w:val="20"/>
                <w:color w:val="auto"/>
              </w:rPr>
            </w:pPr>
            <w:r>
              <w:rPr>
                <w:rFonts w:ascii="Arial" w:cs="Arial" w:eastAsia="Arial" w:hAnsi="Arial"/>
                <w:sz w:val="18"/>
                <w:szCs w:val="18"/>
                <w:color w:val="auto"/>
                <w:w w:val="95"/>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00" w:type="dxa"/>
            <w:vAlign w:val="bottom"/>
          </w:tcPr>
          <w:p>
            <w:pPr>
              <w:ind w:left="3020"/>
              <w:spacing w:after="0"/>
              <w:rPr>
                <w:sz w:val="20"/>
                <w:szCs w:val="20"/>
                <w:color w:val="auto"/>
              </w:rPr>
            </w:pPr>
            <w:r>
              <w:rPr>
                <w:rFonts w:ascii="Arial" w:cs="Arial" w:eastAsia="Arial" w:hAnsi="Arial"/>
                <w:sz w:val="18"/>
                <w:szCs w:val="18"/>
                <w:color w:val="auto"/>
                <w:w w:val="96"/>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left="9" w:right="5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49"/>
        <w:spacing w:after="0" w:line="207" w:lineRule="exact"/>
        <w:tabs>
          <w:tab w:leader="none" w:pos="9628" w:val="left"/>
        </w:tabs>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 xml:space="preserve">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36" w:lineRule="exact"/>
        <w:rPr>
          <w:sz w:val="24"/>
          <w:szCs w:val="24"/>
          <w:color w:val="auto"/>
        </w:rPr>
      </w:pPr>
    </w:p>
    <w:p>
      <w:pPr>
        <w:ind w:left="312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19" w:type="dxa"/>
        <w:tblCellMar>
          <w:top w:w="0" w:type="dxa"/>
          <w:left w:w="0" w:type="dxa"/>
          <w:bottom w:w="0" w:type="dxa"/>
          <w:right w:w="0" w:type="dxa"/>
        </w:tblCellMar>
      </w:tblPr>
      <w:tr>
        <w:trPr>
          <w:trHeight w:val="162"/>
        </w:trPr>
        <w:tc>
          <w:tcPr>
            <w:tcW w:w="3840" w:type="dxa"/>
            <w:vAlign w:val="bottom"/>
            <w:tcBorders>
              <w:top w:val="single" w:sz="8" w:color="auto"/>
              <w:left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4"/>
                <w:szCs w:val="14"/>
                <w:b w:val="1"/>
                <w:bCs w:val="1"/>
                <w:color w:val="auto"/>
              </w:rPr>
              <w:t>Title of each class</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840" w:type="dxa"/>
            <w:vAlign w:val="bottom"/>
            <w:tcBorders>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Common Stock</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LOPE</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80" w:lineRule="exact"/>
        <w:rPr>
          <w:sz w:val="24"/>
          <w:szCs w:val="24"/>
          <w:color w:val="auto"/>
        </w:rPr>
      </w:pPr>
    </w:p>
    <w:p>
      <w:pPr>
        <w:ind w:left="649"/>
        <w:spacing w:after="0"/>
        <w:rPr>
          <w:sz w:val="20"/>
          <w:szCs w:val="20"/>
          <w:color w:val="auto"/>
        </w:rPr>
      </w:pPr>
      <w:r>
        <w:rPr>
          <w:rFonts w:ascii="Arial" w:cs="Arial" w:eastAsia="Arial" w:hAnsi="Arial"/>
          <w:sz w:val="18"/>
          <w:szCs w:val="18"/>
          <w:color w:val="auto"/>
        </w:rPr>
        <w:t>The total number of shares of common stock outstanding as of May 3, 2019, was 48,248,212.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6122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443865</wp:posOffset>
            </wp:positionV>
            <wp:extent cx="66122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1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500" w:type="dxa"/>
            <w:vAlign w:val="bottom"/>
            <w:gridSpan w:val="4"/>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160" w:type="dxa"/>
            <w:vAlign w:val="bottom"/>
            <w:tcBorders>
              <w:bottom w:val="single" w:sz="8" w:color="0000EE"/>
            </w:tcBorders>
            <w:gridSpan w:val="11"/>
            <w:vMerge w:val="continue"/>
          </w:tcPr>
          <w:p>
            <w:pPr>
              <w:spacing w:after="0"/>
              <w:rPr>
                <w:sz w:val="14"/>
                <w:szCs w:val="14"/>
                <w:color w:val="auto"/>
              </w:rPr>
            </w:pPr>
          </w:p>
        </w:tc>
        <w:tc>
          <w:tcPr>
            <w:tcW w:w="5500" w:type="dxa"/>
            <w:vAlign w:val="bottom"/>
            <w:gridSpan w:val="4"/>
            <w:vMerge w:val="continue"/>
          </w:tcPr>
          <w:p>
            <w:pPr>
              <w:spacing w:after="0"/>
              <w:rPr>
                <w:sz w:val="14"/>
                <w:szCs w:val="14"/>
                <w:color w:val="auto"/>
              </w:rPr>
            </w:pPr>
          </w:p>
        </w:tc>
        <w:tc>
          <w:tcPr>
            <w:tcW w:w="400" w:type="dxa"/>
            <w:vAlign w:val="bottom"/>
          </w:tcPr>
          <w:p>
            <w:pPr>
              <w:jc w:val="right"/>
              <w:spacing w:after="0" w:line="170"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12"/>
        </w:trPr>
        <w:tc>
          <w:tcPr>
            <w:tcW w:w="20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64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2 Management’s Discussion and Analysis of Financial Condition and Results of Operations</w:t>
              </w:r>
            </w:hyperlink>
          </w:p>
        </w:tc>
        <w:tc>
          <w:tcPr>
            <w:tcW w:w="16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37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660" w:type="dxa"/>
            <w:vAlign w:val="bottom"/>
            <w:gridSpan w:val="1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6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 OTHER INFORMATION</w:t>
              </w:r>
            </w:hyperlink>
          </w:p>
        </w:tc>
        <w:tc>
          <w:tcPr>
            <w:tcW w:w="580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412"/>
        </w:trPr>
        <w:tc>
          <w:tcPr>
            <w:tcW w:w="866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 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68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60" w:type="dxa"/>
            <w:vAlign w:val="bottom"/>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8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3 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38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660" w:type="dxa"/>
            <w:vAlign w:val="bottom"/>
            <w:gridSpan w:val="1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Mine Safety Disclosures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2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5 Other Information</w:t>
              </w:r>
            </w:hyperlink>
          </w:p>
        </w:tc>
        <w:tc>
          <w:tcPr>
            <w:tcW w:w="638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Item 6 Exhibits</w:t>
              </w:r>
            </w:hyperlink>
          </w:p>
        </w:tc>
        <w:tc>
          <w:tcPr>
            <w:tcW w:w="700" w:type="dxa"/>
            <w:vAlign w:val="bottom"/>
            <w:tcBorders>
              <w:top w:val="single" w:sz="8" w:color="0000EE"/>
            </w:tcBorders>
            <w:gridSpan w:val="2"/>
          </w:tcPr>
          <w:p>
            <w:pPr>
              <w:spacing w:after="0"/>
              <w:rPr>
                <w:sz w:val="17"/>
                <w:szCs w:val="17"/>
                <w:color w:val="auto"/>
              </w:rPr>
            </w:pPr>
          </w:p>
        </w:tc>
        <w:tc>
          <w:tcPr>
            <w:tcW w:w="684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660" w:type="dxa"/>
            <w:vAlign w:val="bottom"/>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560" w:type="dxa"/>
            <w:vAlign w:val="bottom"/>
            <w:gridSpan w:val="1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7880" w:type="dxa"/>
            <w:vAlign w:val="bottom"/>
            <w:gridSpan w:val="14"/>
          </w:tcPr>
          <w:p>
            <w:pPr>
              <w:ind w:left="100"/>
              <w:spacing w:after="0"/>
              <w:rPr>
                <w:sz w:val="20"/>
                <w:szCs w:val="20"/>
                <w:color w:val="auto"/>
              </w:rPr>
            </w:pPr>
            <w:r>
              <w:rPr>
                <w:rFonts w:ascii="Arial" w:cs="Arial" w:eastAsia="Arial" w:hAnsi="Arial"/>
                <w:sz w:val="18"/>
                <w:szCs w:val="18"/>
                <w:color w:val="auto"/>
              </w:rPr>
              <w:t>XBRL Instance Document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14"/>
          </w:tcPr>
          <w:p>
            <w:pPr>
              <w:ind w:left="120"/>
              <w:spacing w:after="0"/>
              <w:rPr>
                <w:sz w:val="20"/>
                <w:szCs w:val="20"/>
                <w:color w:val="auto"/>
              </w:rPr>
            </w:pPr>
            <w:r>
              <w:rPr>
                <w:rFonts w:ascii="Arial" w:cs="Arial" w:eastAsia="Arial" w:hAnsi="Arial"/>
                <w:sz w:val="18"/>
                <w:szCs w:val="18"/>
                <w:color w:val="auto"/>
              </w:rPr>
              <w:t>XBRL Taxonomy Extension Schema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14"/>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14"/>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14"/>
          </w:tcPr>
          <w:p>
            <w:pPr>
              <w:ind w:left="100"/>
              <w:spacing w:after="0"/>
              <w:rPr>
                <w:sz w:val="20"/>
                <w:szCs w:val="20"/>
                <w:color w:val="auto"/>
              </w:rPr>
            </w:pPr>
            <w:r>
              <w:rPr>
                <w:rFonts w:ascii="Arial" w:cs="Arial" w:eastAsia="Arial" w:hAnsi="Arial"/>
                <w:sz w:val="18"/>
                <w:szCs w:val="18"/>
                <w:color w:val="auto"/>
              </w:rPr>
              <w:t>XBRL Taxonomy Extension Presentation Linkbase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14"/>
          </w:tcPr>
          <w:p>
            <w:pPr>
              <w:ind w:left="100"/>
              <w:spacing w:after="0"/>
              <w:rPr>
                <w:sz w:val="20"/>
                <w:szCs w:val="20"/>
                <w:color w:val="auto"/>
              </w:rPr>
            </w:pPr>
            <w:r>
              <w:rPr>
                <w:rFonts w:ascii="Arial" w:cs="Arial" w:eastAsia="Arial" w:hAnsi="Arial"/>
                <w:sz w:val="18"/>
                <w:szCs w:val="18"/>
                <w:color w:val="auto"/>
              </w:rPr>
              <w:t>XBRL Taxonomy Extension Definition Linkbase</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780" w:type="dxa"/>
            <w:vAlign w:val="bottom"/>
          </w:tcPr>
          <w:p>
            <w:pPr>
              <w:spacing w:after="0"/>
              <w:rPr>
                <w:sz w:val="24"/>
                <w:szCs w:val="24"/>
                <w:color w:val="auto"/>
              </w:rPr>
            </w:pPr>
          </w:p>
        </w:tc>
        <w:tc>
          <w:tcPr>
            <w:tcW w:w="4080" w:type="dxa"/>
            <w:vAlign w:val="bottom"/>
            <w:gridSpan w:val="11"/>
          </w:tcPr>
          <w:p>
            <w:pPr>
              <w:ind w:left="37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80" w:type="dxa"/>
            <w:vAlign w:val="bottom"/>
          </w:tcPr>
          <w:p>
            <w:pPr>
              <w:jc w:val="center"/>
              <w:ind w:left="83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jc w:val="center"/>
              <w:ind w:left="850"/>
              <w:spacing w:after="0"/>
              <w:rPr>
                <w:sz w:val="20"/>
                <w:szCs w:val="20"/>
                <w:color w:val="auto"/>
              </w:rPr>
            </w:pPr>
            <w:r>
              <w:rPr>
                <w:rFonts w:ascii="Arial" w:cs="Arial" w:eastAsia="Arial" w:hAnsi="Arial"/>
                <w:sz w:val="18"/>
                <w:szCs w:val="18"/>
                <w:b w:val="1"/>
                <w:bCs w:val="1"/>
                <w:color w:val="auto"/>
                <w:w w:val="88"/>
              </w:rPr>
              <w:t>Consolidated Income Statements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tcPr>
          <w:p>
            <w:pPr>
              <w:jc w:val="center"/>
              <w:ind w:left="83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197,287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3"/>
          </w:tcPr>
          <w:p>
            <w:pPr>
              <w:ind w:left="120"/>
              <w:spacing w:after="0"/>
              <w:rPr>
                <w:sz w:val="20"/>
                <w:szCs w:val="20"/>
                <w:color w:val="auto"/>
              </w:rPr>
            </w:pPr>
            <w:r>
              <w:rPr>
                <w:rFonts w:ascii="Arial" w:cs="Arial" w:eastAsia="Arial" w:hAnsi="Arial"/>
                <w:sz w:val="18"/>
                <w:szCs w:val="18"/>
                <w:color w:val="auto"/>
              </w:rPr>
              <w:t>University related revenue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275,681</w:t>
            </w:r>
          </w:p>
        </w:tc>
        <w:tc>
          <w:tcPr>
            <w:tcW w:w="0" w:type="dxa"/>
            <w:vAlign w:val="bottom"/>
          </w:tcPr>
          <w:p>
            <w:pPr>
              <w:spacing w:after="0"/>
              <w:rPr>
                <w:sz w:val="1"/>
                <w:szCs w:val="1"/>
                <w:color w:val="auto"/>
              </w:rPr>
            </w:pPr>
          </w:p>
        </w:tc>
      </w:tr>
      <w:tr>
        <w:trPr>
          <w:trHeight w:val="210"/>
        </w:trPr>
        <w:tc>
          <w:tcPr>
            <w:tcW w:w="1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20" w:type="dxa"/>
            <w:vAlign w:val="bottom"/>
            <w:tcBorders>
              <w:top w:val="single" w:sz="8" w:color="CCEEFF"/>
            </w:tcBorders>
            <w:shd w:val="clear" w:color="auto" w:fill="CCEEFF"/>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197,287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275,681</w:t>
            </w:r>
          </w:p>
        </w:tc>
        <w:tc>
          <w:tcPr>
            <w:tcW w:w="0" w:type="dxa"/>
            <w:vAlign w:val="bottom"/>
          </w:tcPr>
          <w:p>
            <w:pPr>
              <w:spacing w:after="0"/>
              <w:rPr>
                <w:sz w:val="1"/>
                <w:szCs w:val="1"/>
                <w:color w:val="auto"/>
              </w:rPr>
            </w:pPr>
          </w:p>
        </w:tc>
      </w:tr>
      <w:tr>
        <w:trPr>
          <w:trHeight w:val="210"/>
        </w:trPr>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Technology and academic services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0" w:type="dxa"/>
            <w:vAlign w:val="bottom"/>
          </w:tcPr>
          <w:p>
            <w:pPr>
              <w:spacing w:after="0"/>
              <w:rPr>
                <w:sz w:val="1"/>
                <w:szCs w:val="1"/>
                <w:color w:val="auto"/>
              </w:rPr>
            </w:pPr>
          </w:p>
        </w:tc>
      </w:tr>
      <w:tr>
        <w:trPr>
          <w:trHeight w:val="216"/>
        </w:trPr>
        <w:tc>
          <w:tcPr>
            <w:tcW w:w="6860" w:type="dxa"/>
            <w:vAlign w:val="bottom"/>
            <w:gridSpan w:val="3"/>
          </w:tcPr>
          <w:p>
            <w:pPr>
              <w:ind w:left="120"/>
              <w:spacing w:after="0"/>
              <w:rPr>
                <w:sz w:val="20"/>
                <w:szCs w:val="20"/>
                <w:color w:val="auto"/>
              </w:rPr>
            </w:pPr>
            <w:r>
              <w:rPr>
                <w:rFonts w:ascii="Arial" w:cs="Arial" w:eastAsia="Arial" w:hAnsi="Arial"/>
                <w:sz w:val="18"/>
                <w:szCs w:val="18"/>
                <w:color w:val="auto"/>
              </w:rPr>
              <w:t>Counseling services and support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50,747</w:t>
            </w:r>
          </w:p>
        </w:tc>
        <w:tc>
          <w:tcPr>
            <w:tcW w:w="0" w:type="dxa"/>
            <w:vAlign w:val="bottom"/>
          </w:tcPr>
          <w:p>
            <w:pPr>
              <w:spacing w:after="0"/>
              <w:rPr>
                <w:sz w:val="1"/>
                <w:szCs w:val="1"/>
                <w:color w:val="auto"/>
              </w:rPr>
            </w:pPr>
          </w:p>
        </w:tc>
      </w:tr>
      <w:tr>
        <w:trPr>
          <w:trHeight w:val="216"/>
        </w:trPr>
        <w:tc>
          <w:tcPr>
            <w:tcW w:w="6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Marketing and communication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w:t>
            </w:r>
          </w:p>
        </w:tc>
        <w:tc>
          <w:tcPr>
            <w:tcW w:w="0" w:type="dxa"/>
            <w:vAlign w:val="bottom"/>
          </w:tcPr>
          <w:p>
            <w:pPr>
              <w:spacing w:after="0"/>
              <w:rPr>
                <w:sz w:val="1"/>
                <w:szCs w:val="1"/>
                <w:color w:val="auto"/>
              </w:rPr>
            </w:pPr>
          </w:p>
        </w:tc>
      </w:tr>
      <w:tr>
        <w:trPr>
          <w:trHeight w:val="216"/>
        </w:trPr>
        <w:tc>
          <w:tcPr>
            <w:tcW w:w="6860" w:type="dxa"/>
            <w:vAlign w:val="bottom"/>
            <w:gridSpan w:val="3"/>
          </w:tcPr>
          <w:p>
            <w:pPr>
              <w:ind w:left="1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16"/>
        </w:trPr>
        <w:tc>
          <w:tcPr>
            <w:tcW w:w="6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3"/>
          </w:tcPr>
          <w:p>
            <w:pPr>
              <w:ind w:left="120"/>
              <w:spacing w:after="0"/>
              <w:rPr>
                <w:sz w:val="20"/>
                <w:szCs w:val="20"/>
                <w:color w:val="auto"/>
              </w:rPr>
            </w:pPr>
            <w:r>
              <w:rPr>
                <w:rFonts w:ascii="Arial" w:cs="Arial" w:eastAsia="Arial" w:hAnsi="Arial"/>
                <w:sz w:val="18"/>
                <w:szCs w:val="18"/>
                <w:color w:val="auto"/>
              </w:rPr>
              <w:t>University related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87,649</w:t>
            </w:r>
          </w:p>
        </w:tc>
        <w:tc>
          <w:tcPr>
            <w:tcW w:w="0" w:type="dxa"/>
            <w:vAlign w:val="bottom"/>
          </w:tcPr>
          <w:p>
            <w:pPr>
              <w:spacing w:after="0"/>
              <w:rPr>
                <w:sz w:val="1"/>
                <w:szCs w:val="1"/>
                <w:color w:val="auto"/>
              </w:rPr>
            </w:pPr>
          </w:p>
        </w:tc>
      </w:tr>
      <w:tr>
        <w:trPr>
          <w:trHeight w:val="216"/>
        </w:trPr>
        <w:tc>
          <w:tcPr>
            <w:tcW w:w="6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Loss on Transaction</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124,856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185,589</w:t>
            </w:r>
          </w:p>
        </w:tc>
        <w:tc>
          <w:tcPr>
            <w:tcW w:w="0" w:type="dxa"/>
            <w:vAlign w:val="bottom"/>
          </w:tcPr>
          <w:p>
            <w:pPr>
              <w:spacing w:after="0"/>
              <w:rPr>
                <w:sz w:val="1"/>
                <w:szCs w:val="1"/>
                <w:color w:val="auto"/>
              </w:rPr>
            </w:pPr>
          </w:p>
        </w:tc>
      </w:tr>
      <w:tr>
        <w:trPr>
          <w:trHeight w:val="210"/>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90,092</w:t>
            </w:r>
          </w:p>
        </w:tc>
        <w:tc>
          <w:tcPr>
            <w:tcW w:w="0" w:type="dxa"/>
            <w:vAlign w:val="bottom"/>
          </w:tcPr>
          <w:p>
            <w:pPr>
              <w:spacing w:after="0"/>
              <w:rPr>
                <w:sz w:val="1"/>
                <w:szCs w:val="1"/>
                <w:color w:val="auto"/>
              </w:rPr>
            </w:pPr>
          </w:p>
        </w:tc>
      </w:tr>
      <w:tr>
        <w:trPr>
          <w:trHeight w:val="216"/>
        </w:trPr>
        <w:tc>
          <w:tcPr>
            <w:tcW w:w="6860" w:type="dxa"/>
            <w:vAlign w:val="bottom"/>
            <w:gridSpan w:val="3"/>
          </w:tcPr>
          <w:p>
            <w:pPr>
              <w:ind w:left="120"/>
              <w:spacing w:after="0"/>
              <w:rPr>
                <w:sz w:val="20"/>
                <w:szCs w:val="20"/>
                <w:color w:val="auto"/>
              </w:rPr>
            </w:pPr>
            <w:r>
              <w:rPr>
                <w:rFonts w:ascii="Arial" w:cs="Arial" w:eastAsia="Arial" w:hAnsi="Arial"/>
                <w:sz w:val="18"/>
                <w:szCs w:val="18"/>
                <w:color w:val="auto"/>
              </w:rPr>
              <w:t>Interest income on Secured Note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Investment interest and other</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0"/>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90,727</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17,046</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19"/>
                <w:szCs w:val="19"/>
                <w:color w:val="auto"/>
              </w:rPr>
            </w:pPr>
          </w:p>
        </w:tc>
        <w:tc>
          <w:tcPr>
            <w:tcW w:w="5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73,243</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73,681</w:t>
            </w:r>
          </w:p>
        </w:tc>
        <w:tc>
          <w:tcPr>
            <w:tcW w:w="0" w:type="dxa"/>
            <w:vAlign w:val="bottom"/>
          </w:tcPr>
          <w:p>
            <w:pPr>
              <w:spacing w:after="0"/>
              <w:rPr>
                <w:sz w:val="1"/>
                <w:szCs w:val="1"/>
                <w:color w:val="auto"/>
              </w:rPr>
            </w:pPr>
          </w:p>
        </w:tc>
      </w:tr>
      <w:tr>
        <w:trPr>
          <w:trHeight w:val="203"/>
        </w:trPr>
        <w:tc>
          <w:tcPr>
            <w:tcW w:w="6860" w:type="dxa"/>
            <w:vAlign w:val="bottom"/>
            <w:gridSpan w:val="3"/>
          </w:tcPr>
          <w:p>
            <w:pPr>
              <w:spacing w:after="0" w:line="203" w:lineRule="exact"/>
              <w:rPr>
                <w:sz w:val="20"/>
                <w:szCs w:val="20"/>
                <w:color w:val="auto"/>
              </w:rPr>
            </w:pPr>
            <w:r>
              <w:rPr>
                <w:rFonts w:ascii="Arial" w:cs="Arial" w:eastAsia="Arial" w:hAnsi="Arial"/>
                <w:sz w:val="18"/>
                <w:szCs w:val="18"/>
                <w:b w:val="1"/>
                <w:bCs w:val="1"/>
                <w:color w:val="auto"/>
              </w:rPr>
              <w:t>Earnings per share: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Basic income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gridSpan w:val="3"/>
          </w:tcPr>
          <w:p>
            <w:pPr>
              <w:ind w:left="120"/>
              <w:spacing w:after="0" w:line="203" w:lineRule="exact"/>
              <w:rPr>
                <w:sz w:val="20"/>
                <w:szCs w:val="20"/>
                <w:color w:val="auto"/>
              </w:rPr>
            </w:pPr>
            <w:r>
              <w:rPr>
                <w:rFonts w:ascii="Arial" w:cs="Arial" w:eastAsia="Arial" w:hAnsi="Arial"/>
                <w:sz w:val="18"/>
                <w:szCs w:val="18"/>
                <w:b w:val="1"/>
                <w:bCs w:val="1"/>
                <w:color w:val="auto"/>
              </w:rPr>
              <w:t>Diluted income per share</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w:t>
            </w:r>
          </w:p>
        </w:tc>
        <w:tc>
          <w:tcPr>
            <w:tcW w:w="2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Basic weighted average shares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47,699</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47,432</w:t>
            </w:r>
          </w:p>
        </w:tc>
        <w:tc>
          <w:tcPr>
            <w:tcW w:w="0" w:type="dxa"/>
            <w:vAlign w:val="bottom"/>
          </w:tcPr>
          <w:p>
            <w:pPr>
              <w:spacing w:after="0"/>
              <w:rPr>
                <w:sz w:val="1"/>
                <w:szCs w:val="1"/>
                <w:color w:val="auto"/>
              </w:rPr>
            </w:pPr>
          </w:p>
        </w:tc>
      </w:tr>
      <w:tr>
        <w:trPr>
          <w:trHeight w:val="210"/>
        </w:trPr>
        <w:tc>
          <w:tcPr>
            <w:tcW w:w="6860" w:type="dxa"/>
            <w:vAlign w:val="bottom"/>
            <w:gridSpan w:val="3"/>
          </w:tcPr>
          <w:p>
            <w:pPr>
              <w:ind w:left="120"/>
              <w:spacing w:after="0" w:line="203" w:lineRule="exact"/>
              <w:rPr>
                <w:sz w:val="20"/>
                <w:szCs w:val="20"/>
                <w:color w:val="auto"/>
              </w:rPr>
            </w:pPr>
            <w:r>
              <w:rPr>
                <w:rFonts w:ascii="Arial" w:cs="Arial" w:eastAsia="Arial" w:hAnsi="Arial"/>
                <w:sz w:val="18"/>
                <w:szCs w:val="18"/>
                <w:b w:val="1"/>
                <w:bCs w:val="1"/>
                <w:color w:val="auto"/>
              </w:rPr>
              <w:t>Diluted weighted average shares outstanding</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48,274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48,397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Unrealized gains on available-for-sale securities, net of taxes of $8 for March 31, 2018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6860" w:type="dxa"/>
            <w:vAlign w:val="bottom"/>
          </w:tcPr>
          <w:p>
            <w:pPr>
              <w:ind w:left="120"/>
              <w:spacing w:after="0" w:line="201" w:lineRule="exact"/>
              <w:rPr>
                <w:sz w:val="20"/>
                <w:szCs w:val="20"/>
                <w:color w:val="auto"/>
              </w:rPr>
            </w:pPr>
            <w:r>
              <w:rPr>
                <w:rFonts w:ascii="Arial" w:cs="Arial" w:eastAsia="Arial" w:hAnsi="Arial"/>
                <w:sz w:val="18"/>
                <w:szCs w:val="18"/>
                <w:color w:val="auto"/>
              </w:rPr>
              <w:t>Unrealized gains (losses) on hedging derivatives, net of taxes of $35 and $57 for</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20"/>
              <w:spacing w:after="0"/>
              <w:rPr>
                <w:sz w:val="20"/>
                <w:szCs w:val="20"/>
                <w:color w:val="auto"/>
              </w:rPr>
            </w:pPr>
            <w:r>
              <w:rPr>
                <w:rFonts w:ascii="Arial" w:cs="Arial" w:eastAsia="Arial" w:hAnsi="Arial"/>
                <w:sz w:val="18"/>
                <w:szCs w:val="18"/>
                <w:color w:val="auto"/>
              </w:rPr>
              <w:t>March 31, 2019 and 2018, respectively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7"/>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6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30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120,346</w:t>
            </w:r>
          </w:p>
        </w:tc>
        <w:tc>
          <w:tcPr>
            <w:tcW w:w="0" w:type="dxa"/>
            <w:vAlign w:val="bottom"/>
          </w:tcPr>
          <w:p>
            <w:pPr>
              <w:spacing w:after="0"/>
              <w:rPr>
                <w:sz w:val="1"/>
                <w:szCs w:val="1"/>
                <w:color w:val="auto"/>
              </w:rPr>
            </w:pPr>
          </w:p>
        </w:tc>
      </w:tr>
      <w:tr>
        <w:trPr>
          <w:trHeight w:val="216"/>
        </w:trPr>
        <w:tc>
          <w:tcPr>
            <w:tcW w:w="7020" w:type="dxa"/>
            <w:vAlign w:val="bottom"/>
            <w:gridSpan w:val="2"/>
          </w:tcPr>
          <w:p>
            <w:pPr>
              <w:ind w:left="12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61,667</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69,002</w:t>
            </w:r>
          </w:p>
        </w:tc>
        <w:tc>
          <w:tcPr>
            <w:tcW w:w="0" w:type="dxa"/>
            <w:vAlign w:val="bottom"/>
          </w:tcPr>
          <w:p>
            <w:pPr>
              <w:spacing w:after="0"/>
              <w:rPr>
                <w:sz w:val="1"/>
                <w:szCs w:val="1"/>
                <w:color w:val="auto"/>
              </w:rPr>
            </w:pPr>
          </w:p>
        </w:tc>
      </w:tr>
      <w:tr>
        <w:trPr>
          <w:trHeight w:val="216"/>
        </w:trPr>
        <w:tc>
          <w:tcPr>
            <w:tcW w:w="7020" w:type="dxa"/>
            <w:vAlign w:val="bottom"/>
            <w:gridSpan w:val="2"/>
          </w:tcPr>
          <w:p>
            <w:pPr>
              <w:ind w:left="1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74,653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receivable on Secured Note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16"/>
        </w:trPr>
        <w:tc>
          <w:tcPr>
            <w:tcW w:w="7020" w:type="dxa"/>
            <w:vAlign w:val="bottom"/>
            <w:gridSpan w:val="2"/>
          </w:tcPr>
          <w:p>
            <w:pPr>
              <w:ind w:left="12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1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309,466</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111,039</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Note receivable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900,093</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Amortizable intangible assets,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208,594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1,619,473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1,324,017</w:t>
            </w:r>
          </w:p>
        </w:tc>
        <w:tc>
          <w:tcPr>
            <w:tcW w:w="0" w:type="dxa"/>
            <w:vAlign w:val="bottom"/>
          </w:tcPr>
          <w:p>
            <w:pPr>
              <w:spacing w:after="0"/>
              <w:rPr>
                <w:sz w:val="1"/>
                <w:szCs w:val="1"/>
                <w:color w:val="auto"/>
              </w:rPr>
            </w:pPr>
          </w:p>
        </w:tc>
      </w:tr>
      <w:tr>
        <w:trPr>
          <w:trHeight w:val="203"/>
        </w:trPr>
        <w:tc>
          <w:tcPr>
            <w:tcW w:w="7020" w:type="dxa"/>
            <w:vAlign w:val="bottom"/>
            <w:gridSpan w:val="2"/>
          </w:tcPr>
          <w:p>
            <w:pPr>
              <w:ind w:left="14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13,295</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14,274</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15,427</w:t>
            </w:r>
          </w:p>
        </w:tc>
        <w:tc>
          <w:tcPr>
            <w:tcW w:w="0" w:type="dxa"/>
            <w:vAlign w:val="bottom"/>
          </w:tcPr>
          <w:p>
            <w:pPr>
              <w:spacing w:after="0"/>
              <w:rPr>
                <w:sz w:val="1"/>
                <w:szCs w:val="1"/>
                <w:color w:val="auto"/>
              </w:rPr>
            </w:pPr>
          </w:p>
        </w:tc>
      </w:tr>
      <w:tr>
        <w:trPr>
          <w:trHeight w:val="216"/>
        </w:trPr>
        <w:tc>
          <w:tcPr>
            <w:tcW w:w="7020" w:type="dxa"/>
            <w:vAlign w:val="bottom"/>
            <w:gridSpan w:val="2"/>
          </w:tcPr>
          <w:p>
            <w:pPr>
              <w:ind w:left="1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7020" w:type="dxa"/>
            <w:vAlign w:val="bottom"/>
            <w:gridSpan w:val="2"/>
          </w:tcPr>
          <w:p>
            <w:pPr>
              <w:ind w:left="1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portion of lease liability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Current portion of notes payable</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36,468</w:t>
            </w: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80,518</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less current portion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Notes payable, less current portion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110,420</w:t>
            </w:r>
          </w:p>
        </w:tc>
        <w:tc>
          <w:tcPr>
            <w:tcW w:w="0" w:type="dxa"/>
            <w:vAlign w:val="bottom"/>
          </w:tcPr>
          <w:p>
            <w:pPr>
              <w:spacing w:after="0"/>
              <w:rPr>
                <w:sz w:val="1"/>
                <w:szCs w:val="1"/>
                <w:color w:val="auto"/>
              </w:rPr>
            </w:pPr>
          </w:p>
        </w:tc>
      </w:tr>
      <w:tr>
        <w:trPr>
          <w:trHeight w:val="210"/>
        </w:trPr>
        <w:tc>
          <w:tcPr>
            <w:tcW w:w="70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20" w:type="dxa"/>
            <w:vAlign w:val="bottom"/>
            <w:gridSpan w:val="2"/>
          </w:tcPr>
          <w:p>
            <w:pPr>
              <w:spacing w:after="0" w:line="201" w:lineRule="exact"/>
              <w:rPr>
                <w:sz w:val="20"/>
                <w:szCs w:val="20"/>
                <w:color w:val="auto"/>
              </w:rPr>
            </w:pPr>
            <w:r>
              <w:rPr>
                <w:rFonts w:ascii="Arial" w:cs="Arial" w:eastAsia="Arial" w:hAnsi="Arial"/>
                <w:sz w:val="18"/>
                <w:szCs w:val="18"/>
                <w:color w:val="auto"/>
                <w:w w:val="92"/>
              </w:rPr>
              <w:t>Preferred stock, $0.01 par value, 10,000 shares authorized; 0 shares issued and outstanding at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March 31, 2019 and December 31, 2018</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52,922 and 52,690 shares issued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48,246 and 48,201 shares outstanding at March 31, 2019 and December 31, 2018,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7020" w:type="dxa"/>
            <w:vAlign w:val="bottom"/>
            <w:gridSpan w:val="2"/>
          </w:tcPr>
          <w:p>
            <w:pPr>
              <w:spacing w:after="0" w:line="201" w:lineRule="exact"/>
              <w:rPr>
                <w:sz w:val="20"/>
                <w:szCs w:val="20"/>
                <w:color w:val="auto"/>
              </w:rPr>
            </w:pPr>
            <w:r>
              <w:rPr>
                <w:rFonts w:ascii="Arial" w:cs="Arial" w:eastAsia="Arial" w:hAnsi="Arial"/>
                <w:sz w:val="18"/>
                <w:szCs w:val="18"/>
                <w:color w:val="auto"/>
                <w:w w:val="99"/>
              </w:rPr>
              <w:t>Treasury stock, at cost, 4,676 and 4,489 shares of common stock at March 31, 2019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December 31, 2018, respectively</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(143,579)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(125,452)</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256,806</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1,155,412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1,082,169</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1,272,873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1,213,597</w:t>
            </w:r>
          </w:p>
        </w:tc>
        <w:tc>
          <w:tcPr>
            <w:tcW w:w="0" w:type="dxa"/>
            <w:vAlign w:val="bottom"/>
          </w:tcPr>
          <w:p>
            <w:pPr>
              <w:spacing w:after="0"/>
              <w:rPr>
                <w:sz w:val="1"/>
                <w:szCs w:val="1"/>
                <w:color w:val="auto"/>
              </w:rPr>
            </w:pPr>
          </w:p>
        </w:tc>
      </w:tr>
      <w:tr>
        <w:trPr>
          <w:trHeight w:val="217"/>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1,619,473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1,324,017</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19"/>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11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7"/>
            <w:vMerge w:val="restart"/>
          </w:tcPr>
          <w:p>
            <w:pPr>
              <w:jc w:val="right"/>
              <w:ind w:right="320"/>
              <w:spacing w:after="0"/>
              <w:rPr>
                <w:sz w:val="20"/>
                <w:szCs w:val="20"/>
                <w:color w:val="auto"/>
              </w:rPr>
            </w:pPr>
            <w:r>
              <w:rPr>
                <w:rFonts w:ascii="Arial" w:cs="Arial" w:eastAsia="Arial" w:hAnsi="Arial"/>
                <w:sz w:val="14"/>
                <w:szCs w:val="14"/>
                <w:b w:val="1"/>
                <w:bCs w:val="1"/>
                <w:color w:val="auto"/>
                <w:w w:val="95"/>
              </w:rPr>
              <w:t>Common Stock</w:t>
            </w:r>
          </w:p>
        </w:tc>
        <w:tc>
          <w:tcPr>
            <w:tcW w:w="80" w:type="dxa"/>
            <w:vAlign w:val="bottom"/>
          </w:tcPr>
          <w:p>
            <w:pPr>
              <w:spacing w:after="0"/>
              <w:rPr>
                <w:sz w:val="12"/>
                <w:szCs w:val="12"/>
                <w:color w:val="auto"/>
              </w:rPr>
            </w:pPr>
          </w:p>
        </w:tc>
        <w:tc>
          <w:tcPr>
            <w:tcW w:w="1400" w:type="dxa"/>
            <w:vAlign w:val="bottom"/>
            <w:gridSpan w:val="7"/>
            <w:vMerge w:val="restart"/>
          </w:tcPr>
          <w:p>
            <w:pPr>
              <w:jc w:val="right"/>
              <w:ind w:right="36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3"/>
              </w:rPr>
              <w:t>Par Value</w:t>
            </w:r>
          </w:p>
        </w:tc>
        <w:tc>
          <w:tcPr>
            <w:tcW w:w="12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80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2018</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6"/>
              </w:rPr>
              <w:t>52,690</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4,489</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87"/>
              </w:rPr>
              <w:t>$ (125,452)</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7"/>
                <w:szCs w:val="17"/>
                <w:color w:val="auto"/>
                <w:w w:val="87"/>
              </w:rPr>
              <w:t>$ 256,806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86"/>
              </w:rPr>
              <w:t>$ 1,082,169</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$ 1,213,597</w:t>
            </w:r>
          </w:p>
        </w:tc>
        <w:tc>
          <w:tcPr>
            <w:tcW w:w="0" w:type="dxa"/>
            <w:vAlign w:val="bottom"/>
          </w:tcPr>
          <w:p>
            <w:pPr>
              <w:spacing w:after="0"/>
              <w:rPr>
                <w:sz w:val="1"/>
                <w:szCs w:val="1"/>
                <w:color w:val="auto"/>
              </w:rPr>
            </w:pPr>
          </w:p>
        </w:tc>
      </w:tr>
      <w:tr>
        <w:trPr>
          <w:trHeight w:val="190"/>
        </w:trPr>
        <w:tc>
          <w:tcPr>
            <w:tcW w:w="2400" w:type="dxa"/>
            <w:vAlign w:val="bottom"/>
          </w:tcPr>
          <w:p>
            <w:pPr>
              <w:spacing w:after="0" w:line="189" w:lineRule="exact"/>
              <w:rPr>
                <w:sz w:val="20"/>
                <w:szCs w:val="20"/>
                <w:color w:val="auto"/>
              </w:rPr>
            </w:pPr>
            <w:r>
              <w:rPr>
                <w:rFonts w:ascii="Arial" w:cs="Arial" w:eastAsia="Arial" w:hAnsi="Arial"/>
                <w:sz w:val="17"/>
                <w:szCs w:val="17"/>
                <w:color w:val="auto"/>
              </w:rPr>
              <w:t>Comprehensive income</w:t>
            </w:r>
          </w:p>
        </w:tc>
        <w:tc>
          <w:tcPr>
            <w:tcW w:w="120" w:type="dxa"/>
            <w:vAlign w:val="bottom"/>
          </w:tcPr>
          <w:p>
            <w:pPr>
              <w:spacing w:after="0"/>
              <w:rPr>
                <w:sz w:val="16"/>
                <w:szCs w:val="16"/>
                <w:color w:val="auto"/>
              </w:rPr>
            </w:pPr>
          </w:p>
        </w:tc>
        <w:tc>
          <w:tcPr>
            <w:tcW w:w="4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(107)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73,243</w:t>
            </w:r>
          </w:p>
        </w:tc>
        <w:tc>
          <w:tcPr>
            <w:tcW w:w="100" w:type="dxa"/>
            <w:vAlign w:val="bottom"/>
          </w:tcPr>
          <w:p>
            <w:pPr>
              <w:spacing w:after="0"/>
              <w:rPr>
                <w:sz w:val="16"/>
                <w:szCs w:val="16"/>
                <w:color w:val="auto"/>
              </w:rPr>
            </w:pPr>
          </w:p>
        </w:tc>
        <w:tc>
          <w:tcPr>
            <w:tcW w:w="8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73,136</w:t>
            </w:r>
          </w:p>
        </w:tc>
        <w:tc>
          <w:tcPr>
            <w:tcW w:w="0" w:type="dxa"/>
            <w:vAlign w:val="bottom"/>
          </w:tcPr>
          <w:p>
            <w:pPr>
              <w:spacing w:after="0"/>
              <w:rPr>
                <w:sz w:val="1"/>
                <w:szCs w:val="1"/>
                <w:color w:val="auto"/>
              </w:rPr>
            </w:pPr>
          </w:p>
        </w:tc>
      </w:tr>
      <w:tr>
        <w:trPr>
          <w:trHeight w:val="185"/>
        </w:trPr>
        <w:tc>
          <w:tcPr>
            <w:tcW w:w="24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Common stock purchased for</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treasury</w:t>
            </w:r>
          </w:p>
        </w:tc>
        <w:tc>
          <w:tcPr>
            <w:tcW w:w="12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Borders>
              <w:right w:val="single" w:sz="8" w:color="CCEEFF"/>
            </w:tcBorders>
            <w:shd w:val="clear" w:color="auto" w:fill="CCEEFF"/>
          </w:tcPr>
          <w:p>
            <w:pPr>
              <w:spacing w:after="0"/>
              <w:rPr>
                <w:sz w:val="19"/>
                <w:szCs w:val="19"/>
                <w:color w:val="auto"/>
              </w:rPr>
            </w:pPr>
          </w:p>
        </w:tc>
        <w:tc>
          <w:tcPr>
            <w:tcW w:w="90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(10,000)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7"/>
                <w:szCs w:val="17"/>
                <w:color w:val="auto"/>
              </w:rPr>
              <w:t>Restricted shares forfeited</w:t>
            </w:r>
          </w:p>
        </w:tc>
        <w:tc>
          <w:tcPr>
            <w:tcW w:w="1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(8,127)</w:t>
            </w:r>
          </w:p>
        </w:tc>
        <w:tc>
          <w:tcPr>
            <w:tcW w:w="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2,635</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(5,491)</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1,630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1,631</w:t>
            </w: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March 31, 2019</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6"/>
              </w:rPr>
              <w:t>52,922</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4,676</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6"/>
              </w:rPr>
              <w:t>(143,579)</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7"/>
              </w:rPr>
              <w:t>261,071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5"/>
              </w:rPr>
              <w:t>1,155,412</w:t>
            </w: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1,272,873</w:t>
            </w:r>
          </w:p>
        </w:tc>
        <w:tc>
          <w:tcPr>
            <w:tcW w:w="0" w:type="dxa"/>
            <w:vAlign w:val="bottom"/>
          </w:tcPr>
          <w:p>
            <w:pPr>
              <w:spacing w:after="0"/>
              <w:rPr>
                <w:sz w:val="1"/>
                <w:szCs w:val="1"/>
                <w:color w:val="auto"/>
              </w:rPr>
            </w:pPr>
          </w:p>
        </w:tc>
      </w:tr>
      <w:tr>
        <w:trPr>
          <w:trHeight w:val="27"/>
        </w:trPr>
        <w:tc>
          <w:tcPr>
            <w:tcW w:w="2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gridSpan w:val="2"/>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60" w:type="dxa"/>
            <w:vAlign w:val="bottom"/>
            <w:gridSpan w:val="2"/>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9"/>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gridSpan w:val="17"/>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7"/>
            <w:vMerge w:val="restart"/>
          </w:tcPr>
          <w:p>
            <w:pPr>
              <w:jc w:val="right"/>
              <w:ind w:right="1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1400" w:type="dxa"/>
            <w:vAlign w:val="bottom"/>
            <w:gridSpan w:val="7"/>
            <w:vMerge w:val="restart"/>
          </w:tcPr>
          <w:p>
            <w:pPr>
              <w:jc w:val="right"/>
              <w:ind w:right="24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bottom w:val="single" w:sz="8" w:color="auto"/>
            </w:tcBorders>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bottom w:val="single" w:sz="8" w:color="auto"/>
            </w:tcBorders>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040" w:type="dxa"/>
            <w:vAlign w:val="bottom"/>
            <w:gridSpan w:val="5"/>
          </w:tcPr>
          <w:p>
            <w:pPr>
              <w:jc w:val="center"/>
              <w:ind w:right="4"/>
              <w:spacing w:after="0"/>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Par Value</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80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52,277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4,152</w:t>
            </w: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(100,694)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232,670</w:t>
            </w:r>
          </w:p>
        </w:tc>
        <w:tc>
          <w:tcPr>
            <w:tcW w:w="12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854,176</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985,951</w:t>
            </w:r>
          </w:p>
        </w:tc>
        <w:tc>
          <w:tcPr>
            <w:tcW w:w="0" w:type="dxa"/>
            <w:vAlign w:val="bottom"/>
          </w:tcPr>
          <w:p>
            <w:pPr>
              <w:spacing w:after="0"/>
              <w:rPr>
                <w:sz w:val="1"/>
                <w:szCs w:val="1"/>
                <w:color w:val="auto"/>
              </w:rPr>
            </w:pPr>
          </w:p>
        </w:tc>
      </w:tr>
      <w:tr>
        <w:trPr>
          <w:trHeight w:val="158"/>
        </w:trPr>
        <w:tc>
          <w:tcPr>
            <w:tcW w:w="2400" w:type="dxa"/>
            <w:vAlign w:val="bottom"/>
          </w:tcPr>
          <w:p>
            <w:pPr>
              <w:spacing w:after="0" w:line="159" w:lineRule="exact"/>
              <w:rPr>
                <w:sz w:val="20"/>
                <w:szCs w:val="20"/>
                <w:color w:val="auto"/>
              </w:rPr>
            </w:pPr>
            <w:r>
              <w:rPr>
                <w:rFonts w:ascii="Arial" w:cs="Arial" w:eastAsia="Arial" w:hAnsi="Arial"/>
                <w:sz w:val="17"/>
                <w:szCs w:val="17"/>
                <w:color w:val="auto"/>
              </w:rPr>
              <w:t>Cumulative effect from the</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7"/>
                <w:szCs w:val="17"/>
                <w:color w:val="auto"/>
              </w:rPr>
              <w:t>adoption of accounting</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00" w:type="dxa"/>
            <w:vAlign w:val="bottom"/>
          </w:tcPr>
          <w:p>
            <w:pPr>
              <w:spacing w:after="0"/>
              <w:rPr>
                <w:sz w:val="20"/>
                <w:szCs w:val="20"/>
                <w:color w:val="auto"/>
              </w:rPr>
            </w:pPr>
            <w:r>
              <w:rPr>
                <w:rFonts w:ascii="Arial" w:cs="Arial" w:eastAsia="Arial" w:hAnsi="Arial"/>
                <w:sz w:val="17"/>
                <w:szCs w:val="17"/>
                <w:color w:val="auto"/>
              </w:rPr>
              <w:t>pronouncements, net of taxes</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7"/>
                <w:szCs w:val="17"/>
                <w:color w:val="auto"/>
              </w:rPr>
              <w:t>(1,174)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(1,174)</w:t>
            </w: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198</w:t>
            </w: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73,681</w:t>
            </w:r>
          </w:p>
        </w:tc>
        <w:tc>
          <w:tcPr>
            <w:tcW w:w="10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73,879</w:t>
            </w:r>
          </w:p>
        </w:tc>
        <w:tc>
          <w:tcPr>
            <w:tcW w:w="0" w:type="dxa"/>
            <w:vAlign w:val="bottom"/>
          </w:tcPr>
          <w:p>
            <w:pPr>
              <w:spacing w:after="0"/>
              <w:rPr>
                <w:sz w:val="1"/>
                <w:szCs w:val="1"/>
                <w:color w:val="auto"/>
              </w:rPr>
            </w:pPr>
          </w:p>
        </w:tc>
      </w:tr>
      <w:tr>
        <w:trPr>
          <w:trHeight w:val="185"/>
        </w:trPr>
        <w:tc>
          <w:tcPr>
            <w:tcW w:w="2400" w:type="dxa"/>
            <w:vAlign w:val="bottom"/>
          </w:tcPr>
          <w:p>
            <w:pPr>
              <w:spacing w:after="0" w:line="185" w:lineRule="exact"/>
              <w:rPr>
                <w:sz w:val="20"/>
                <w:szCs w:val="20"/>
                <w:color w:val="auto"/>
              </w:rPr>
            </w:pPr>
            <w:r>
              <w:rPr>
                <w:rFonts w:ascii="Arial" w:cs="Arial" w:eastAsia="Arial" w:hAnsi="Arial"/>
                <w:sz w:val="17"/>
                <w:szCs w:val="17"/>
                <w:color w:val="auto"/>
              </w:rPr>
              <w:t>Common stock purchased for</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7"/>
                <w:szCs w:val="17"/>
                <w:color w:val="auto"/>
              </w:rPr>
              <w:t>treasury</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5</w:t>
            </w:r>
          </w:p>
        </w:tc>
        <w:tc>
          <w:tcPr>
            <w:tcW w:w="920" w:type="dxa"/>
            <w:vAlign w:val="bottom"/>
            <w:gridSpan w:val="6"/>
          </w:tcPr>
          <w:p>
            <w:pPr>
              <w:jc w:val="right"/>
              <w:spacing w:after="0"/>
              <w:rPr>
                <w:sz w:val="20"/>
                <w:szCs w:val="20"/>
                <w:color w:val="auto"/>
              </w:rPr>
            </w:pPr>
            <w:r>
              <w:rPr>
                <w:rFonts w:ascii="Arial" w:cs="Arial" w:eastAsia="Arial" w:hAnsi="Arial"/>
                <w:sz w:val="17"/>
                <w:szCs w:val="17"/>
                <w:color w:val="auto"/>
              </w:rPr>
              <w:t>(508)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(508)</w:t>
            </w: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Restricted shares forfeited</w:t>
            </w: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700" w:type="dxa"/>
            <w:vAlign w:val="bottom"/>
            <w:gridSpan w:val="3"/>
          </w:tcPr>
          <w:p>
            <w:pPr>
              <w:jc w:val="right"/>
              <w:ind w:right="40"/>
              <w:spacing w:after="0"/>
              <w:rPr>
                <w:sz w:val="20"/>
                <w:szCs w:val="20"/>
                <w:color w:val="auto"/>
              </w:rPr>
            </w:pPr>
            <w:r>
              <w:rPr>
                <w:rFonts w:ascii="Arial" w:cs="Arial" w:eastAsia="Arial" w:hAnsi="Arial"/>
                <w:sz w:val="17"/>
                <w:szCs w:val="17"/>
                <w:color w:val="auto"/>
              </w:rPr>
              <w:t>160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119</w:t>
            </w:r>
          </w:p>
        </w:tc>
        <w:tc>
          <w:tcPr>
            <w:tcW w:w="920" w:type="dxa"/>
            <w:vAlign w:val="bottom"/>
            <w:gridSpan w:val="6"/>
          </w:tcPr>
          <w:p>
            <w:pPr>
              <w:jc w:val="right"/>
              <w:spacing w:after="0"/>
              <w:rPr>
                <w:sz w:val="20"/>
                <w:szCs w:val="20"/>
                <w:color w:val="auto"/>
              </w:rPr>
            </w:pPr>
            <w:r>
              <w:rPr>
                <w:rFonts w:ascii="Arial" w:cs="Arial" w:eastAsia="Arial" w:hAnsi="Arial"/>
                <w:sz w:val="17"/>
                <w:szCs w:val="17"/>
                <w:color w:val="auto"/>
              </w:rPr>
              <w:t>(11,524)</w:t>
            </w:r>
          </w:p>
        </w:tc>
        <w:tc>
          <w:tcPr>
            <w:tcW w:w="800" w:type="dxa"/>
            <w:vAlign w:val="bottom"/>
            <w:gridSpan w:val="5"/>
          </w:tcPr>
          <w:p>
            <w:pPr>
              <w:jc w:val="right"/>
              <w:ind w:right="20"/>
              <w:spacing w:after="0"/>
              <w:rPr>
                <w:sz w:val="20"/>
                <w:szCs w:val="20"/>
                <w:color w:val="auto"/>
              </w:rPr>
            </w:pPr>
            <w:r>
              <w:rPr>
                <w:rFonts w:ascii="Arial" w:cs="Arial" w:eastAsia="Arial" w:hAnsi="Arial"/>
                <w:sz w:val="17"/>
                <w:szCs w:val="17"/>
                <w:color w:val="auto"/>
              </w:rPr>
              <w:t>3,467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(8,055)</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Exercise of stock options</w:t>
            </w:r>
          </w:p>
        </w:tc>
        <w:tc>
          <w:tcPr>
            <w:tcW w:w="7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919</w:t>
            </w:r>
          </w:p>
        </w:tc>
        <w:tc>
          <w:tcPr>
            <w:tcW w:w="1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0" w:type="dxa"/>
            <w:vAlign w:val="bottom"/>
          </w:tcPr>
          <w:p>
            <w:pPr>
              <w:spacing w:after="0"/>
              <w:rPr>
                <w:sz w:val="1"/>
                <w:szCs w:val="1"/>
                <w:color w:val="auto"/>
              </w:rPr>
            </w:pPr>
          </w:p>
        </w:tc>
      </w:tr>
      <w:tr>
        <w:trPr>
          <w:trHeight w:val="196"/>
        </w:trPr>
        <w:tc>
          <w:tcPr>
            <w:tcW w:w="2400" w:type="dxa"/>
            <w:vAlign w:val="bottom"/>
          </w:tcPr>
          <w:p>
            <w:pPr>
              <w:spacing w:after="0"/>
              <w:rPr>
                <w:sz w:val="20"/>
                <w:szCs w:val="20"/>
                <w:color w:val="auto"/>
              </w:rPr>
            </w:pPr>
            <w:r>
              <w:rPr>
                <w:rFonts w:ascii="Arial" w:cs="Arial" w:eastAsia="Arial" w:hAnsi="Arial"/>
                <w:sz w:val="17"/>
                <w:szCs w:val="17"/>
                <w:color w:val="auto"/>
              </w:rPr>
              <w:t>Balance at March 31, 2018</w:t>
            </w:r>
          </w:p>
        </w:tc>
        <w:tc>
          <w:tcPr>
            <w:tcW w:w="120" w:type="dxa"/>
            <w:vAlign w:val="bottom"/>
          </w:tcPr>
          <w:p>
            <w:pPr>
              <w:spacing w:after="0"/>
              <w:rPr>
                <w:sz w:val="17"/>
                <w:szCs w:val="17"/>
                <w:color w:val="auto"/>
              </w:rPr>
            </w:pPr>
          </w:p>
        </w:tc>
        <w:tc>
          <w:tcPr>
            <w:tcW w:w="5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99"/>
              </w:rPr>
              <w:t>52,496</w:t>
            </w: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525</w:t>
            </w:r>
          </w:p>
        </w:tc>
        <w:tc>
          <w:tcPr>
            <w:tcW w:w="80" w:type="dxa"/>
            <w:vAlign w:val="bottom"/>
          </w:tcPr>
          <w:p>
            <w:pPr>
              <w:spacing w:after="0"/>
              <w:rPr>
                <w:sz w:val="17"/>
                <w:szCs w:val="17"/>
                <w:color w:val="auto"/>
              </w:rPr>
            </w:pPr>
          </w:p>
        </w:tc>
        <w:tc>
          <w:tcPr>
            <w:tcW w:w="5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98"/>
              </w:rPr>
              <w:t>4,279</w:t>
            </w: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6"/>
              </w:rPr>
              <w:t>(112,726)</w:t>
            </w:r>
          </w:p>
        </w:tc>
        <w:tc>
          <w:tcPr>
            <w:tcW w:w="2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7"/>
              </w:rPr>
              <w:t>237,056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(526)</w:t>
            </w: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926,683</w:t>
            </w:r>
          </w:p>
        </w:tc>
        <w:tc>
          <w:tcPr>
            <w:tcW w:w="1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1,051,012</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6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73,243</w:t>
            </w:r>
          </w:p>
        </w:tc>
        <w:tc>
          <w:tcPr>
            <w:tcW w:w="20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73,681</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Share-based compensation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2,636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3,469</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Provision for bad debts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4,997</w:t>
            </w: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4,414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13,947</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 assets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2,855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1,928</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 on transaction, net of costs and asset impairment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Other, including fixed asset impairments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(186)</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Changes in assets and liabilities: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from university partners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(24,722)</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w:t>
            </w:r>
          </w:p>
        </w:tc>
        <w:tc>
          <w:tcPr>
            <w:tcW w:w="0" w:type="dxa"/>
            <w:vAlign w:val="bottom"/>
          </w:tcPr>
          <w:p>
            <w:pPr>
              <w:spacing w:after="0"/>
              <w:rPr>
                <w:sz w:val="1"/>
                <w:szCs w:val="1"/>
                <w:color w:val="auto"/>
              </w:rPr>
            </w:pPr>
          </w:p>
        </w:tc>
      </w:tr>
      <w:tr>
        <w:trPr>
          <w:trHeight w:val="149"/>
        </w:trPr>
        <w:tc>
          <w:tcPr>
            <w:tcW w:w="6860" w:type="dxa"/>
            <w:vAlign w:val="bottom"/>
          </w:tcPr>
          <w:p>
            <w:pPr>
              <w:ind w:left="220"/>
              <w:spacing w:after="0" w:line="149" w:lineRule="exact"/>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(3,425)</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6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(4,903)</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7,665</w:t>
            </w:r>
          </w:p>
        </w:tc>
        <w:tc>
          <w:tcPr>
            <w:tcW w:w="0" w:type="dxa"/>
            <w:vAlign w:val="bottom"/>
          </w:tcPr>
          <w:p>
            <w:pPr>
              <w:spacing w:after="0"/>
              <w:rPr>
                <w:sz w:val="1"/>
                <w:szCs w:val="1"/>
                <w:color w:val="auto"/>
              </w:rPr>
            </w:pPr>
          </w:p>
        </w:tc>
      </w:tr>
      <w:tr>
        <w:trPr>
          <w:trHeight w:val="149"/>
        </w:trPr>
        <w:tc>
          <w:tcPr>
            <w:tcW w:w="6860" w:type="dxa"/>
            <w:vAlign w:val="bottom"/>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14,643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14,809</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rent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6860" w:type="dxa"/>
            <w:vAlign w:val="bottom"/>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5,123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24,686</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Student deposits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(22,350)</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76,337</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119,008</w:t>
            </w:r>
          </w:p>
        </w:tc>
        <w:tc>
          <w:tcPr>
            <w:tcW w:w="0" w:type="dxa"/>
            <w:vAlign w:val="bottom"/>
          </w:tcPr>
          <w:p>
            <w:pPr>
              <w:spacing w:after="0"/>
              <w:rPr>
                <w:sz w:val="1"/>
                <w:szCs w:val="1"/>
                <w:color w:val="auto"/>
              </w:rPr>
            </w:pPr>
          </w:p>
        </w:tc>
      </w:tr>
      <w:tr>
        <w:trPr>
          <w:trHeight w:val="142"/>
        </w:trPr>
        <w:tc>
          <w:tcPr>
            <w:tcW w:w="6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(4,586)</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(35,347)</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Additions of amortizable content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Acquisition, net of cash acquired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(361,184)</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Funding to GCU for capital expenditures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(29,905)</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Purchases of investments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(1,772)</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(17,122)</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56,752</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13,944</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(340,852)</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(38,525)</w:t>
            </w:r>
          </w:p>
        </w:tc>
        <w:tc>
          <w:tcPr>
            <w:tcW w:w="0" w:type="dxa"/>
            <w:vAlign w:val="bottom"/>
          </w:tcPr>
          <w:p>
            <w:pPr>
              <w:spacing w:after="0"/>
              <w:rPr>
                <w:sz w:val="1"/>
                <w:szCs w:val="1"/>
                <w:color w:val="auto"/>
              </w:rPr>
            </w:pPr>
          </w:p>
        </w:tc>
      </w:tr>
      <w:tr>
        <w:trPr>
          <w:trHeight w:val="142"/>
        </w:trPr>
        <w:tc>
          <w:tcPr>
            <w:tcW w:w="6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(used in) financing activities: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Principal payments on notes payable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(59,850)</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issuance costs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(2,385)</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Proceeds from notes payable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243,750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borrowings from revolving line of credit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(18,127)</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(12,032)</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1,631</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171,269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(12,829)</w:t>
            </w:r>
          </w:p>
        </w:tc>
        <w:tc>
          <w:tcPr>
            <w:tcW w:w="0" w:type="dxa"/>
            <w:vAlign w:val="bottom"/>
          </w:tcPr>
          <w:p>
            <w:pPr>
              <w:spacing w:after="0"/>
              <w:rPr>
                <w:sz w:val="1"/>
                <w:szCs w:val="1"/>
                <w:color w:val="auto"/>
              </w:rPr>
            </w:pPr>
          </w:p>
        </w:tc>
      </w:tr>
      <w:tr>
        <w:trPr>
          <w:trHeight w:val="142"/>
        </w:trPr>
        <w:tc>
          <w:tcPr>
            <w:tcW w:w="6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(93,246)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67,654</w:t>
            </w:r>
          </w:p>
        </w:tc>
        <w:tc>
          <w:tcPr>
            <w:tcW w:w="0" w:type="dxa"/>
            <w:vAlign w:val="bottom"/>
          </w:tcPr>
          <w:p>
            <w:pPr>
              <w:spacing w:after="0"/>
              <w:rPr>
                <w:sz w:val="1"/>
                <w:szCs w:val="1"/>
                <w:color w:val="auto"/>
              </w:rPr>
            </w:pPr>
          </w:p>
        </w:tc>
      </w:tr>
      <w:tr>
        <w:trPr>
          <w:trHeight w:val="149"/>
        </w:trPr>
        <w:tc>
          <w:tcPr>
            <w:tcW w:w="68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182,013</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248,008</w:t>
            </w:r>
          </w:p>
        </w:tc>
        <w:tc>
          <w:tcPr>
            <w:tcW w:w="0" w:type="dxa"/>
            <w:vAlign w:val="bottom"/>
          </w:tcPr>
          <w:p>
            <w:pPr>
              <w:spacing w:after="0"/>
              <w:rPr>
                <w:sz w:val="1"/>
                <w:szCs w:val="1"/>
                <w:color w:val="auto"/>
              </w:rPr>
            </w:pPr>
          </w:p>
        </w:tc>
      </w:tr>
      <w:tr>
        <w:trPr>
          <w:trHeight w:val="142"/>
        </w:trPr>
        <w:tc>
          <w:tcPr>
            <w:tcW w:w="6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88,767</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315,662</w:t>
            </w:r>
          </w:p>
        </w:tc>
        <w:tc>
          <w:tcPr>
            <w:tcW w:w="0" w:type="dxa"/>
            <w:vAlign w:val="bottom"/>
          </w:tcPr>
          <w:p>
            <w:pPr>
              <w:spacing w:after="0"/>
              <w:rPr>
                <w:sz w:val="1"/>
                <w:szCs w:val="1"/>
                <w:color w:val="auto"/>
              </w:rPr>
            </w:pPr>
          </w:p>
        </w:tc>
      </w:tr>
      <w:tr>
        <w:trPr>
          <w:trHeight w:val="142"/>
        </w:trPr>
        <w:tc>
          <w:tcPr>
            <w:tcW w:w="6860" w:type="dxa"/>
            <w:vAlign w:val="bottom"/>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interest</w:t>
            </w:r>
          </w:p>
        </w:tc>
        <w:tc>
          <w:tcPr>
            <w:tcW w:w="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Cash paid for income taxes</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20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736</w:t>
            </w:r>
          </w:p>
        </w:tc>
        <w:tc>
          <w:tcPr>
            <w:tcW w:w="20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13,081</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Reclassification of capitalized costs – adoption of ASC 606</w:t>
            </w:r>
          </w:p>
        </w:tc>
        <w:tc>
          <w:tcPr>
            <w:tcW w:w="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9,015</w:t>
            </w:r>
          </w:p>
        </w:tc>
        <w:tc>
          <w:tcPr>
            <w:tcW w:w="0" w:type="dxa"/>
            <w:vAlign w:val="bottom"/>
          </w:tcPr>
          <w:p>
            <w:pPr>
              <w:spacing w:after="0"/>
              <w:rPr>
                <w:sz w:val="1"/>
                <w:szCs w:val="1"/>
                <w:color w:val="auto"/>
              </w:rPr>
            </w:pPr>
          </w:p>
        </w:tc>
      </w:tr>
      <w:tr>
        <w:trPr>
          <w:trHeight w:val="149"/>
        </w:trPr>
        <w:tc>
          <w:tcPr>
            <w:tcW w:w="6860" w:type="dxa"/>
            <w:vAlign w:val="bottom"/>
          </w:tcPr>
          <w:p>
            <w:pPr>
              <w:ind w:left="120"/>
              <w:spacing w:after="0" w:line="149" w:lineRule="exact"/>
              <w:rPr>
                <w:sz w:val="20"/>
                <w:szCs w:val="20"/>
                <w:color w:val="auto"/>
              </w:rPr>
            </w:pPr>
            <w:r>
              <w:rPr>
                <w:rFonts w:ascii="Arial" w:cs="Arial" w:eastAsia="Arial" w:hAnsi="Arial"/>
                <w:sz w:val="14"/>
                <w:szCs w:val="14"/>
                <w:color w:val="auto"/>
              </w:rPr>
              <w:t>Reclassification of deferred revenue – adoption of ASC 606</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7,451</w:t>
            </w:r>
          </w:p>
        </w:tc>
        <w:tc>
          <w:tcPr>
            <w:tcW w:w="0" w:type="dxa"/>
            <w:vAlign w:val="bottom"/>
          </w:tcPr>
          <w:p>
            <w:pPr>
              <w:spacing w:after="0"/>
              <w:rPr>
                <w:sz w:val="1"/>
                <w:szCs w:val="1"/>
                <w:color w:val="auto"/>
              </w:rPr>
            </w:pPr>
          </w:p>
        </w:tc>
      </w:tr>
      <w:tr>
        <w:trPr>
          <w:trHeight w:val="149"/>
        </w:trPr>
        <w:tc>
          <w:tcPr>
            <w:tcW w:w="6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Lease adoption - gross up of right of use assets and lease liabilities</w:t>
            </w:r>
          </w:p>
        </w:tc>
        <w:tc>
          <w:tcPr>
            <w:tcW w:w="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Prior to July 1, 2018, GCE owned and operated Grand Canyon University (the “University”), a comprehensive regionally accredited university that offers approximately 240 graduate and undergraduate degree programs, emphases and certificates across nine colleges both online and on ground at its campus in Phoenix, Arizona, at leased facilities and at facilities owned by third party employers of its students. On July 1, 2018, the Company sold the University to Grand Canyon University, an Arizona non-profit corporation formerly known as Gazelle University (“GCU”). As a result of this transaction (the “Transaction”), GCE became an educational services company focused on providing a full array of support services to institutions in the post-secondary education sector. GCE has developed significant technological solutions, infrastructure and operational processes to provide services to these institutions on a large scale. See Note 2 to our consolidated financial statements for a full description of the Transaction.</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17, 2018, the Company entered into a definitive Agreement and Plan of Merger to acquire Orbis Education Services, LLC (“Orbis Education”). Orbis Education is an education services company that supports healthcare education programs for 17 university partners across the United States. The closing of the merger occurred on January 22, 2019 and, as a result of the merger, GCE acquired all of the outstanding equity interests of Orbis Education for $361,184, net of cash acquired (the “Acquisition”). The Company financed a portion of the purchase price through a credit facility provided by a consortium of banks led by our existing bank group. See Note 3 to our consolidated financial statement for a full description of the Acquisition.</w:t>
      </w:r>
    </w:p>
    <w:p>
      <w:pPr>
        <w:spacing w:after="0" w:line="1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a result of the Transaction and Acquisition, the Company no longer owns and operates an institution of higher education, but instead provides a bundle of services in support of its 18 university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and Related Agreements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$870.1 million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 office services to GCU in return for 60% of GCU’s tuition and fee revenue.</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was a party to a credit agreement with Bank of America, N.A. as Administrative Agent, and other lenders, dated December 21, 2012 and amended as of January 15, 2016. Effective July 1, 2018, the Company and the lenders amended the credit agreement (the “Amendment”) to release the assets pledged as collateral in order to enable GCE to sell them to GCU and complete the Transaction. In connection with the Amendment, GCE provided restricted cash collateral in the amount of $61,667 as of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Disposed Assets, previously Assets and Liabilities Held for Sale</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Company received Board approval to consummate the Transaction on June 28, 2018, and completed the Transaction on July 1, 2018. As a result, the Company determined that it had met the accounting requirements to classify the assets and liabilities to be transferred in the Transaction as assets and liabilities held for sale as of June 30, 2018.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color w:val="auto"/>
        </w:rPr>
        <w:t>assets and liabilities held for sale were sold as part of the Transaction on July 1, 2018. Accordingly, the following balances were transferred to GCU as of July 1, 2018:</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$6,093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 of accumulated depreciation of $166,066</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870,097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held for sale, current</w:t>
            </w: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984,997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Student deposits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 payable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held for sale, current</w:t>
            </w: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139,439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9" w:firstLine="648"/>
        <w:spacing w:after="0" w:line="302" w:lineRule="auto"/>
        <w:rPr>
          <w:sz w:val="20"/>
          <w:szCs w:val="20"/>
          <w:color w:val="auto"/>
        </w:rPr>
      </w:pPr>
      <w:r>
        <w:rPr>
          <w:rFonts w:ascii="Arial" w:cs="Arial" w:eastAsia="Arial" w:hAnsi="Arial"/>
          <w:sz w:val="16"/>
          <w:szCs w:val="16"/>
          <w:color w:val="auto"/>
        </w:rPr>
        <w:t>The Company received the Secured Note for the Transferred Assets. The Company also transferred cash equal to $34,107 representing a working capital adjustment as part of the closing. Except for identified liabilities assumed by GCU, GCE retained responsibility for all liabilities of the business arising from pre-closing operations. For the three months ended March 31, 2018 the Company had transaction expenses of $550, included in Loss on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229" w:lineRule="exact"/>
        <w:rPr>
          <w:sz w:val="20"/>
          <w:szCs w:val="20"/>
          <w:color w:val="auto"/>
        </w:rPr>
      </w:pPr>
    </w:p>
    <w:p>
      <w:pPr>
        <w:ind w:right="59" w:firstLine="648"/>
        <w:spacing w:after="0" w:line="270" w:lineRule="auto"/>
        <w:rPr>
          <w:sz w:val="20"/>
          <w:szCs w:val="20"/>
          <w:color w:val="auto"/>
        </w:rPr>
      </w:pPr>
      <w:r>
        <w:rPr>
          <w:rFonts w:ascii="Arial" w:cs="Arial" w:eastAsia="Arial" w:hAnsi="Arial"/>
          <w:sz w:val="17"/>
          <w:szCs w:val="17"/>
          <w:color w:val="auto"/>
        </w:rPr>
        <w:t>On January 22, 2019, GCE acquired Orbis Education for $361,184 (inclusive of closing date adjustments and net of cash acquired). Orbis Education is an education services company that supports healthcare education programs for 17 university partners across the United States. Concurrent with the closing of the Acquisition, GCE entered into an amended and restated credit agreement and used $191,000 from the amended and restated credit agreement and $171,034 of operating cash flows on hand to complete the purchase. See Note 11 of our consolidated financial statements for a description of the amended and restated credit agreement. The fair value of the assets acquired, less the liabilities assumed exceeded the purchase price by $148,287 which was recorded as goodwill. Transaction costs for the Acquisition for the year ended December 31, 2018 were $808 and for the three months ended March 31, 2019 were $4,088, which are included in the Loss on Transaction in our consolidated income statement.</w:t>
      </w:r>
    </w:p>
    <w:p>
      <w:pPr>
        <w:spacing w:after="0" w:line="182" w:lineRule="exact"/>
        <w:rPr>
          <w:sz w:val="20"/>
          <w:szCs w:val="20"/>
          <w:color w:val="auto"/>
        </w:rPr>
      </w:pPr>
    </w:p>
    <w:p>
      <w:pPr>
        <w:jc w:val="both"/>
        <w:ind w:right="19" w:firstLine="648"/>
        <w:spacing w:after="0" w:line="264" w:lineRule="auto"/>
        <w:rPr>
          <w:sz w:val="20"/>
          <w:szCs w:val="20"/>
          <w:color w:val="auto"/>
        </w:rPr>
      </w:pPr>
      <w:r>
        <w:rPr>
          <w:rFonts w:ascii="Arial" w:cs="Arial" w:eastAsia="Arial" w:hAnsi="Arial"/>
          <w:sz w:val="18"/>
          <w:szCs w:val="18"/>
          <w:color w:val="auto"/>
        </w:rPr>
        <w:t>The Acquisition was accounted for in accordance with the acquisition method of accounting. Under this method the cost of the target is allocated to the identifiable assets acquired and liabilities assumed based on their estimated fair values at the date of acquisition. The following table provides a tabular depiction of the Company’s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allocation of the total purchase price to each of the assets acquired and liabilities assumed based on the Company’s fair value estimates.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 acquired</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Cash, including $300 of pledged collateral</w:t>
            </w:r>
          </w:p>
        </w:tc>
        <w:tc>
          <w:tcPr>
            <w:tcW w:w="1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4,793</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 of $0</w:t>
            </w:r>
          </w:p>
        </w:tc>
        <w:tc>
          <w:tcPr>
            <w:tcW w:w="1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5,392</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Intangible assets</w:t>
            </w:r>
          </w:p>
        </w:tc>
        <w:tc>
          <w:tcPr>
            <w:tcW w:w="1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210,280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r>
      <w:tr>
        <w:trPr>
          <w:trHeight w:val="216"/>
        </w:trPr>
        <w:tc>
          <w:tcPr>
            <w:tcW w:w="6920" w:type="dxa"/>
            <w:vAlign w:val="bottom"/>
          </w:tcPr>
          <w:p>
            <w:pPr>
              <w:spacing w:after="0"/>
              <w:rPr>
                <w:sz w:val="20"/>
                <w:szCs w:val="20"/>
                <w:color w:val="auto"/>
              </w:rPr>
            </w:pPr>
            <w:r>
              <w:rPr>
                <w:rFonts w:ascii="Arial" w:cs="Arial" w:eastAsia="Arial" w:hAnsi="Arial"/>
                <w:sz w:val="18"/>
                <w:szCs w:val="18"/>
                <w:i w:val="1"/>
                <w:iCs w:val="1"/>
                <w:color w:val="auto"/>
              </w:rPr>
              <w:t>Liabilities assumed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1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Deferred revenue</w:t>
            </w:r>
          </w:p>
        </w:tc>
        <w:tc>
          <w:tcPr>
            <w:tcW w:w="1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asset or liability purchased and assumed</w:t>
            </w: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217,690</w:t>
            </w:r>
          </w:p>
        </w:tc>
      </w:tr>
      <w:tr>
        <w:trPr>
          <w:trHeight w:val="216"/>
        </w:trPr>
        <w:tc>
          <w:tcPr>
            <w:tcW w:w="6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365,977</w:t>
            </w:r>
          </w:p>
        </w:tc>
      </w:tr>
      <w:tr>
        <w:trPr>
          <w:trHeight w:val="210"/>
        </w:trPr>
        <w:tc>
          <w:tcPr>
            <w:tcW w:w="6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Excess of fair value of net assets acquired over consideration given (“goodwill”)</w:t>
            </w:r>
          </w:p>
        </w:tc>
        <w:tc>
          <w:tcPr>
            <w:tcW w:w="1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148,287</w:t>
            </w:r>
          </w:p>
        </w:tc>
      </w:tr>
      <w:tr>
        <w:trPr>
          <w:trHeight w:val="27"/>
        </w:trPr>
        <w:tc>
          <w:tcPr>
            <w:tcW w:w="69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 primarily of university partner relationships that were valued at $210,000. The fair value of university partner relationships was determined using the multiple-period excess earnings method.</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amounts recorded related to the Acquisition is subject to adjustment as the Company has not yet completed the final allocation of the purchase price. The Company has one year from the date of the Acquisition to complete the allocation of the purchase price.</w:t>
      </w:r>
    </w:p>
    <w:p>
      <w:pPr>
        <w:spacing w:after="0" w:line="181" w:lineRule="exact"/>
        <w:rPr>
          <w:sz w:val="20"/>
          <w:szCs w:val="20"/>
          <w:color w:val="auto"/>
        </w:rPr>
      </w:pPr>
    </w:p>
    <w:p>
      <w:pPr>
        <w:jc w:val="both"/>
        <w:ind w:right="260" w:firstLine="648"/>
        <w:spacing w:after="0" w:line="302" w:lineRule="auto"/>
        <w:rPr>
          <w:sz w:val="20"/>
          <w:szCs w:val="20"/>
          <w:color w:val="auto"/>
        </w:rPr>
      </w:pPr>
      <w:r>
        <w:rPr>
          <w:rFonts w:ascii="Arial" w:cs="Arial" w:eastAsia="Arial" w:hAnsi="Arial"/>
          <w:sz w:val="16"/>
          <w:szCs w:val="16"/>
          <w:color w:val="auto"/>
        </w:rPr>
        <w:t>The Company has consolidated the results of operations for Orbis Education since its Acquisition on January 22, 2019. Consolidated net revenue and consolidated net income for the three months ended March 31, 2019 include $17,481 and $380, respectively, from Orbis Education. The following table reports pro forma information as if the Acquisition of Orbis Education had been completed at the beginning of the earliest period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70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197,287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275,681</w:t>
            </w: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forma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289,255</w:t>
            </w:r>
          </w:p>
        </w:tc>
      </w:tr>
      <w:tr>
        <w:trPr>
          <w:trHeight w:val="216"/>
        </w:trPr>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73,243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73,681</w:t>
            </w: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forma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58,699</w:t>
            </w:r>
          </w:p>
        </w:tc>
      </w:tr>
    </w:tbl>
    <w:p>
      <w:pPr>
        <w:spacing w:after="0" w:line="202" w:lineRule="exact"/>
        <w:rPr>
          <w:sz w:val="20"/>
          <w:szCs w:val="20"/>
          <w:color w:val="auto"/>
        </w:rPr>
      </w:pPr>
    </w:p>
    <w:p>
      <w:pPr>
        <w:ind w:right="140" w:firstLine="441"/>
        <w:spacing w:after="0" w:line="297" w:lineRule="auto"/>
        <w:rPr>
          <w:sz w:val="20"/>
          <w:szCs w:val="20"/>
          <w:color w:val="auto"/>
        </w:rPr>
      </w:pPr>
      <w:r>
        <w:rPr>
          <w:rFonts w:ascii="Arial" w:cs="Arial" w:eastAsia="Arial" w:hAnsi="Arial"/>
          <w:sz w:val="16"/>
          <w:szCs w:val="16"/>
          <w:color w:val="auto"/>
        </w:rPr>
        <w:t>The pro forma information above for the three months ended March 31, 2019 and 2018 includes acquisition related costs in both periods, amortization of intangible assets as a result of the Acquisition, additional interest expense on the debt issued to finance the Acquisition, depreciation expense based on the estimated fair value of the assets acquired, and warrant expense and related tax effects. The pro forma financial information is not necessarily indicative of the results of operations that would have occurred had the transactions been consummated on January 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consolidated financial statements include the accounts of the Company and its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w:t>
      </w:r>
      <w:r>
        <w:rPr>
          <w:rFonts w:ascii="MS PGothic" w:cs="MS PGothic" w:eastAsia="MS PGothic" w:hAnsi="MS PGothic"/>
          <w:sz w:val="16"/>
          <w:szCs w:val="16"/>
          <w:color w:val="auto"/>
        </w:rPr>
        <w:t>‑</w:t>
      </w:r>
      <w:r>
        <w:rPr>
          <w:rFonts w:ascii="Arial" w:cs="Arial" w:eastAsia="Arial" w:hAnsi="Arial"/>
          <w:sz w:val="16"/>
          <w:szCs w:val="16"/>
          <w:color w:val="auto"/>
        </w:rPr>
        <w:t>Q and Article 10, consistent in all material respects with those applied in its financial statements included in its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December 31, 2018.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December 31, 2018 from which the December 31, 2018 balance sheet information was derived. For purposes hereof, the term “university related revenue” refer to the Company’s revenue from operations prior to the sale of the University to GCU, and the term “university related expenses” refers to the Company’s expenses related to the operation of the University prior to the sale of the University to GCU and that are now the responsibility of GCU.</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 significant portion of the Company’s university related revenue was received from students who participated in government financial aid and assistance programs. Prior to July 1, 2018, restricted cash and cash equivalents represented amounts received from the federal and state governments under various student aid grant and loan programs, such as Title IV. The Company received these funds subsequent to the completion of the authorization and disbursement process and held them for the benefit of the student. The Department of Education requires Title IV funds collected in advance of student billings to be restricted until the course begins. Prior to the Transaction, the Company recorded all of these amounts as a current asset in restricted cash and cash equivalents. The majority of these funds remained as restricted for an average of 60 to 90 days from the date of receipt. Restricted cash and cash equivalents at December 31, 2018 represents the cash collateral on the credit agreement, which was released as part of the amended and restated credit agreement on January 22, 2019. Restricted cash and cash equivalents at March 31, 2019 represents cash pledged for leased office space.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considers its investments in municipal bonds, mutual funds, municipal securities, certificates of deposit and commercial paper as available-for-sale securities or trading securities based on the Company’s intent for the respective security.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 As of December 31, 2018, the Company transferred its investments from available-for-sale to trading, due to the Company's decision to liquidate all investments to fund a portion of the purchase price paid in the Acquisition. Trading securities are carried at fair value and unrealized holding gains and losses are included in earnings. See Note 3 of our consolidated financial statements for further discussion on the Acquisition.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February 27, 2013, the Company entered into an interest rate corridor to manage its 30 Day LIBOR interest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exposure related to its variable rate debt. The fair value of the interest rate corridor instrument as of March 31, 2019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was $423 and $600, respectively, which is included in other assets. The fair value of the derivative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 was determined using a hypothetical derivative transaction and Level 2 of the hierarchy of valuation inputs.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derivative instrument was originally designated as a cash flow hedge of variable rate debt obligations. The adjustment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$142 and $231 for the three months ended March 31, 2019 and 2018, respectively, for the effective portion of the gains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losses on the derivatives is included as a component of other comprehensive income, net of taxes.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$58,333 as of March 31, 2019. The corridor instrument’s terms permit the Company to hedge its interest rate risk at several thresholds; the Company pays variable interest monthly based on the 30 Day LIBOR rates until that index reaches 1.5%. If 30 Day LIBOR is equal to 1.5% through 3.0%, the Company pays 1.5%. If 30 Day LIBOR exceeds 3.0%, the Company pays actual 30 Day LIBOR less 1.5%.</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At March 31, 2019, the Company expects to reclassify gains or losses on derivative instruments from accumulated other comprehensive income (loss) into earnings during the next 12 months as the derivative instrument expires in December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The carrying value of cash and cash equivalents, investments, accounts receivable, accounts payable and accrued compensation and benefits and accrued liabilities expenses approximate their fair value based on the liquidity or the short-term maturities of these instruments. The carrying value of notes receivable, non-current approximates fair value as the Secured Note resulted from the Transaction and was negotiated at fair market value. The carrying value of notes payable approximates fair value as it is based on variable rate index.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w:t>
      </w:r>
    </w:p>
    <w:p>
      <w:pPr>
        <w:spacing w:after="0" w:line="16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fair value of investments, primarily municipal securities, was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University related revenue – prior to July 1, 2018</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January 1, 2018, the Company adopted “Revenue from Contracts with Customers” using the modified retrospective method applied to all contracts. Prior to the Transaction on July 1, 2018, net revenues consisted primarily of tuition, net of scholarships, and fees derived from courses taught by the University online, on ground, and at facilities it leased or those of employers, as well as from related educational resources that the University provided to its students, such as access to online materials. Tuition revenue was recognized pro-rata over the applicable period of instruction. A contract was entered into with a student and covered a course or semester. Revenue recognition occurred once a student started attending a course. The Company also charged online students an upfront learning management fee, which was deferred and recognized over the initial course. The Company had no costs that were capitalized to obtain or to fulfill a contract with a customer. Ancillary revenues included housing and fee revenues that were recognized over the period the services were provided and also included revenues from sales and services such as food and beverage, merchandise, hotel, golf and arena events that were recognized as sales occurred or services were performed as these services were transferred at a point in time. For the three months ended March 31, 2018, the Company’s revenue was reduced by approximately $60,241, as a result of scholarships that the Company offered to students. Sales tax collected from students is excluded from net revenues. Collected but unremitted sales tax is included as an accrued liability in our consolidated balance sheet.</w:t>
      </w:r>
    </w:p>
    <w:p>
      <w:pPr>
        <w:spacing w:after="0" w:line="17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presents our revenues disaggregated by the nature of transfer of services for the three months ended March 31, 2018:</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Tuition revenues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278,713</w:t>
            </w: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Ancillary revenues (housing, meals, fees, golf, hotel, arena, other)</w:t>
            </w: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57,209</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335,922</w:t>
            </w:r>
          </w:p>
        </w:tc>
      </w:tr>
      <w:tr>
        <w:trPr>
          <w:trHeight w:val="210"/>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Scholarships</w:t>
            </w: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(60,241)</w:t>
            </w:r>
          </w:p>
        </w:tc>
      </w:tr>
      <w:tr>
        <w:trPr>
          <w:trHeight w:val="217"/>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275,681</w:t>
            </w:r>
          </w:p>
        </w:tc>
      </w:tr>
    </w:tbl>
    <w:p>
      <w:pPr>
        <w:spacing w:after="0" w:line="20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Company’s receivables represented unconditional rights to consideration from its contracts with students; accordingly, students were not billed until they started attending a course and the revenue recognition process had commenced. Once a student had been invoiced, payment was due immediately. Included in each invoice to the student were all educational related items including tuition, net of scholarships, housing, educational materials, fees, etc. The Company did not have any contract assets. The Company’s contract liabilities were reported as deferred revenue and student deposits in the consolidated balance sheets. Deferred revenue and student deposits in any period represented the excess of tuition, fees, and other student payments received as compared to amounts recognized as revenue on the consolidated income statement and were reflected as current liabilities in the accompanying consolidated balance sheets. The Company’s education programs had starting and ending dates that differ from its fiscal quarters. Therefore, at the end of each fiscal quarter, a portion of revenue from these programs was not yet earned. The majority of the University’s traditional ground students did not attend courses during the summer months (May through August), which affected our results for our second and third fiscal quarters.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had identified a performance obligation associated with the provision of its educational instruction and other educational services, housing services, and other academic related services and used the output measure for recognition as the period of time over which the services were provided to our students. The Company had identified performance obligations related to its hotel, golf course, restaurants, sale of branded promotional items and other ancillary activities and recognized revenue at the point in time goods or services were provided to its customers. The Company maintained an institutional tuition refund policy, which provided for all or a portion of tuition to be refunded if a student withdrew during stated refund periods. Certain states in which students reside impose separate, mandatory refund policies, which overrode the Company’s policy to the extent in conflict. If a student withdrew at a time when only a portion, or none of the tuition was refundable, then in accordance with its revenue recognition policy, the Company continued to recognize the tuition that was not refunded pro-rata over the applicable period of instruction. The Company did not record revenue on amounts that may be refunded. However, for students that had taken out financial aid to pay their tuition and for which a return of such money to the Department of Education under Title IV</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was required as a result of his or her withdrawal, the Company reassessed collectability for these students each quarter for the estimated revenue that will be returned and recognized the revenue in future periods when payment was received. The Company had elected the short-term contract exemption with respect to its performance obligations under its contracts with students as all such contracts had original terms of less than one year.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Service revenue commenced July 1, 2018</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Starting July 1, 2018, the Company generates all of its revenue through services agreements with its university partners (“Services Agreements”), pursuant to which the Company provides integrated technology and academic services, marketing and communication services, and back office services to its university partners in return for a percentage of tuition and fee revenue. Effective July 1, 2018, the Company adopted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applied to our Services Agreements, as an education service provider.</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considers forming an expectation of the variable consideration to be received over the service life of this one performance obligation. However, since the performance obligation represents a series of distinct services, the Company will recognize the variable consideration that becomes known and billable because these fees related to the distinct service period in which the fees are earned. The Company meets the criteria in the standard and will exercise the practical expedient and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one year for all partners. There are no refunds or return rights under the Services Agreements.</w:t>
      </w:r>
    </w:p>
    <w:p>
      <w:pPr>
        <w:spacing w:after="0" w:line="21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March 31, 2019 given historical collection experience. The Company will continue to review and revise its allowance methodology based on its collection experience with its partners.</w:t>
      </w:r>
    </w:p>
    <w:p>
      <w:pPr>
        <w:spacing w:after="0" w:line="19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For our partners with unbilled revenue, revenue recognition occurs in advance of billings. Billings for some university clients do not occur until after the service period has commenced and final enrollment information is available. Our unbilled revenue of $1,556 as of March 31, 2019 represents contract assets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Developed Technology</w:t>
      </w:r>
    </w:p>
    <w:p>
      <w:pPr>
        <w:spacing w:after="0" w:line="225" w:lineRule="exact"/>
        <w:rPr>
          <w:sz w:val="20"/>
          <w:szCs w:val="20"/>
          <w:color w:val="auto"/>
        </w:rPr>
      </w:pPr>
    </w:p>
    <w:p>
      <w:pPr>
        <w:ind w:right="7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technology.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right="39" w:firstLine="648"/>
        <w:spacing w:after="0" w:line="273" w:lineRule="auto"/>
        <w:rPr>
          <w:sz w:val="20"/>
          <w:szCs w:val="20"/>
          <w:color w:val="auto"/>
        </w:rPr>
      </w:pPr>
      <w:r>
        <w:rPr>
          <w:rFonts w:ascii="Arial" w:cs="Arial" w:eastAsia="Arial" w:hAnsi="Arial"/>
          <w:sz w:val="17"/>
          <w:szCs w:val="17"/>
          <w:color w:val="auto"/>
        </w:rPr>
        <w:t>The Company capitalizes certain costs to fulfill a contract related to the development and digital creation of content on a course-by-course basis for each university partner, many times in conjunction with faculty and subject matter experts. It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78" w:lineRule="exact"/>
        <w:rPr>
          <w:sz w:val="20"/>
          <w:szCs w:val="20"/>
          <w:color w:val="auto"/>
        </w:rPr>
      </w:pPr>
    </w:p>
    <w:p>
      <w:pPr>
        <w:ind w:right="19" w:firstLine="648"/>
        <w:spacing w:after="0" w:line="270" w:lineRule="auto"/>
        <w:rPr>
          <w:sz w:val="20"/>
          <w:szCs w:val="20"/>
          <w:color w:val="auto"/>
        </w:rPr>
      </w:pPr>
      <w:r>
        <w:rPr>
          <w:rFonts w:ascii="Arial" w:cs="Arial" w:eastAsia="Arial" w:hAnsi="Arial"/>
          <w:sz w:val="17"/>
          <w:szCs w:val="17"/>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March 31, 2019, $1,222 of deferred content assets are included in other assets, long-term in the Company’s consolidated balance sheets and amortization is included in technical and academic services where the costs originated.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Amortizable Intangible Assets</w:t>
      </w:r>
    </w:p>
    <w:p>
      <w:pPr>
        <w:spacing w:after="0" w:line="225" w:lineRule="exact"/>
        <w:rPr>
          <w:sz w:val="20"/>
          <w:szCs w:val="20"/>
          <w:color w:val="auto"/>
        </w:rPr>
      </w:pPr>
    </w:p>
    <w:p>
      <w:pPr>
        <w:ind w:right="899" w:firstLine="648"/>
        <w:spacing w:after="0" w:line="342" w:lineRule="auto"/>
        <w:rPr>
          <w:sz w:val="20"/>
          <w:szCs w:val="20"/>
          <w:color w:val="auto"/>
        </w:rPr>
      </w:pPr>
      <w:r>
        <w:rPr>
          <w:rFonts w:ascii="Arial" w:cs="Arial" w:eastAsia="Arial" w:hAnsi="Arial"/>
          <w:sz w:val="16"/>
          <w:szCs w:val="16"/>
          <w:color w:val="auto"/>
        </w:rPr>
        <w:t>The Company capitalizes purchased intangible assets, such as university partner relationships (customer relationships), and tradenames, and amortizes them on a straight-line basis over their estimated useful lives.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279" w:firstLine="648"/>
        <w:spacing w:after="0" w:line="257" w:lineRule="auto"/>
        <w:rPr>
          <w:sz w:val="20"/>
          <w:szCs w:val="20"/>
          <w:color w:val="auto"/>
        </w:rPr>
      </w:pPr>
      <w:r>
        <w:rPr>
          <w:rFonts w:ascii="Arial" w:cs="Arial" w:eastAsia="Arial" w:hAnsi="Arial"/>
          <w:sz w:val="18"/>
          <w:szCs w:val="18"/>
          <w:color w:val="auto"/>
        </w:rPr>
        <w:t>The purchase price of an acquisition is allocated to the assets acquired, including intangible assets, and liabilities assumed, based on their respective fair values at the acquisition date. Acquisition-related costs are expensed as incurred. The excess of the cost of an acquired entity, net of the amounts assigned to the assets acquired and liabilities assumed, is recognized as goodwill. The net assets and result of operations of an acquired entity are included on the Company's consolidated financial statements from the acquisition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99" w:firstLine="648"/>
        <w:spacing w:after="0" w:line="273" w:lineRule="auto"/>
        <w:rPr>
          <w:sz w:val="20"/>
          <w:szCs w:val="20"/>
          <w:color w:val="auto"/>
        </w:rPr>
      </w:pPr>
      <w:r>
        <w:rPr>
          <w:rFonts w:ascii="Arial" w:cs="Arial" w:eastAsia="Arial" w:hAnsi="Arial"/>
          <w:sz w:val="17"/>
          <w:szCs w:val="17"/>
          <w:color w:val="auto"/>
        </w:rPr>
        <w:t>Goodwill represents the excess of the cost over the fair market value of net assets acquired, including identified intangible assets. Goodwill is tested annually or more frequently if circumstances indicate potential impairment. The Financial Accounting Standards Board (“FASB”) has issued guidance that permits an entity to first assess qualitative factors to determine whether it is necessary to perform the two-step quantitative goodwill impairment test. The Company reviews goodwill at least annually or more frequently if an event occurs or circumstances change that would more likely than not reduce the fair value of the reporting unit below its carrying value.</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support for faculty including training and development,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location.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location.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category was primarily from our historical captions of advertising and marketing and promotional.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related expenses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University related expenses represent the costs that were transferred to GCU in the Transaction and that are no longer incurred by the Company.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March 31, 2019 and December 31, 2018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The Company has not experienced any losses on receivables to date. To manage accounts receivable risk, the Company maintains an allowance for doubtful accounts, if needed. Our dependence on our largest university partner subjects us to the risk that declines in our customer’s operations would result in a sustained reduction in revenues for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operates as a single educational services company using a core infrastructure that serves the curriculum and educational delivery needs of its 18 university partners. The Company’s Chief Executive Officer manages the Company’s operations as a whole and no expense or operating income information is generated or evaluated on any component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 in 2019</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February 2016, the FASB issued ASU No. 2016-02, Leases (Topic 842), which introduced a lessee model that requires the majority of leases to be recognized on the balance sheet. On January 1, 2019, the Company adopted the ASU using the modified retrospective transition approach and elected the transition option to recognize the adjustment in the period of adoption rather than in the earliest period presented. Adoption of the new guidance resulted in an immaterial amount of right-of-use (“ROU”) assets and lease liabilities of $498. Subsequent to adoption, the Company recognized ROU assets of $13,069 and lease liabilities of $13,069 acquired in the Acquisition. As part of the adoption process the Company made the following elections:</w:t>
      </w:r>
    </w:p>
    <w:p>
      <w:pPr>
        <w:spacing w:after="0" w:line="178" w:lineRule="exact"/>
        <w:rPr>
          <w:sz w:val="20"/>
          <w:szCs w:val="20"/>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hindsight practical expedient, for all leases.</w:t>
      </w:r>
    </w:p>
    <w:p>
      <w:pPr>
        <w:spacing w:after="0" w:line="23" w:lineRule="exact"/>
        <w:rPr>
          <w:rFonts w:ascii="Arial" w:cs="Arial" w:eastAsia="Arial" w:hAnsi="Arial"/>
          <w:sz w:val="18"/>
          <w:szCs w:val="18"/>
          <w:color w:val="auto"/>
        </w:rPr>
      </w:pPr>
    </w:p>
    <w:p>
      <w:pPr>
        <w:ind w:left="660" w:right="440" w:hanging="333"/>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package of practical expedients to not reassess prior conclusions related to contracts containing leases, lease classification and initial direct costs for all leases.</w:t>
      </w:r>
    </w:p>
    <w:p>
      <w:pPr>
        <w:ind w:left="660" w:right="20" w:hanging="333"/>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to make the accounting policy election for short-term leases resulting in lease payments being recorded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ROU assets and lease liabilities are recognized at commencement date based on the present value of lease payments over the lease term. The Company’s leases do not provide an implicit rate. The Company uses its incremental borrowing rate based on the information available at commencement date in determining the present value of lease payments. Refer to Note 10 to our consolidated financial statements for further disclosures regarding the impact of adopting this standard.</w:t>
      </w:r>
    </w:p>
    <w:p>
      <w:pPr>
        <w:spacing w:after="0" w:line="15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August 2017, the FASB issued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This standard targets improvements in the hedge relationship documentation, testing and disclosures for derivatives. This standard is effective for fiscal years and interim periods within those years, beginning after December 15, 2018. Accordingly, the standard was adopted by us as of January 1, 2019. The adoption of this guidance did not have a material impact on the Company’s financial condition, results of operations or statement of cash flows. The Company elected a qualitative approach starting in 2019 to assess its hedge effectiveness and included updated disclosures as required by the standard.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Test for Goodwill Impairment</w:t>
      </w:r>
      <w:r>
        <w:rPr>
          <w:rFonts w:ascii="Arial" w:cs="Arial" w:eastAsia="Arial" w:hAnsi="Arial"/>
          <w:sz w:val="17"/>
          <w:szCs w:val="17"/>
          <w:color w:val="auto"/>
        </w:rPr>
        <w:t>, which eliminated step two from the goodwill impairment test and requires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 impairment charge for the amount by which the carrying amount of a reporting unit exceeds its fair value, up to the amount of goodwill allocated to that reporting unit. The amendments in this standard are effective for fiscal years beginning after December 15, 2019, with early adoption permitted. The Company expects that the adoption of this standard will impact its consolidated financial statements and related disclosures only to the extent that a future goodwill impairment test results in the recognition of an impairment charge.</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At December 31, 2018, the Company transferred its investments from available-for-sale classification to trading, due to the Company’s decision to liquidate all investments to complete the Acquisition in the first quarter of 2019. Prior to December 31, 2018, the Company considered all investments as available-for-sale. At March 31, 2019 and December 31, 2018, the Company had $14,243 and $69,002, respectively, of investments. These investments were held in money market accounts as of March 31, 2019 and held in municipal securities as of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Common Share</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72"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Three Months Ended</w:t>
      </w:r>
    </w:p>
    <w:p>
      <w:pPr>
        <w:ind w:left="78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2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47,699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47,432</w:t>
            </w: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Effect of dilutive stock options and restricted stock</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17"/>
        </w:trPr>
        <w:tc>
          <w:tcPr>
            <w:tcW w:w="4120" w:type="dxa"/>
            <w:vAlign w:val="bottom"/>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3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48,274</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48,397</w:t>
            </w:r>
          </w:p>
        </w:tc>
      </w:tr>
      <w:tr>
        <w:trPr>
          <w:trHeight w:val="864"/>
        </w:trPr>
        <w:tc>
          <w:tcPr>
            <w:tcW w:w="4120" w:type="dxa"/>
            <w:vAlign w:val="bottom"/>
          </w:tcPr>
          <w:p>
            <w:pPr>
              <w:spacing w:after="0"/>
              <w:rPr>
                <w:sz w:val="24"/>
                <w:szCs w:val="24"/>
                <w:color w:val="auto"/>
              </w:rPr>
            </w:pPr>
          </w:p>
        </w:tc>
        <w:tc>
          <w:tcPr>
            <w:tcW w:w="3140" w:type="dxa"/>
            <w:vAlign w:val="bottom"/>
          </w:tcPr>
          <w:p>
            <w:pPr>
              <w:jc w:val="right"/>
              <w:ind w:right="2550"/>
              <w:spacing w:after="0"/>
              <w:rPr>
                <w:sz w:val="20"/>
                <w:szCs w:val="20"/>
                <w:color w:val="auto"/>
              </w:rPr>
            </w:pPr>
            <w:r>
              <w:rPr>
                <w:rFonts w:ascii="Arial" w:cs="Arial" w:eastAsia="Arial" w:hAnsi="Arial"/>
                <w:sz w:val="18"/>
                <w:szCs w:val="18"/>
                <w:color w:val="auto"/>
              </w:rPr>
              <w:t>18</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9"/>
        </w:trPr>
        <w:tc>
          <w:tcPr>
            <w:tcW w:w="412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both the three months ended March 31, 2019 and 2018, none of the Company’s stock options and restricted stock awards outstanding were excluded from the calculation of diluted earnings per share as their inclusion would have been anti-dilutive.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Allowance for Doubtful Accounts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Balance at</w:t>
            </w:r>
          </w:p>
        </w:tc>
        <w:tc>
          <w:tcPr>
            <w:tcW w:w="1620" w:type="dxa"/>
            <w:vAlign w:val="bottom"/>
            <w:gridSpan w:val="10"/>
            <w:vMerge w:val="restart"/>
          </w:tcPr>
          <w:p>
            <w:pPr>
              <w:jc w:val="right"/>
              <w:spacing w:after="0"/>
              <w:rPr>
                <w:sz w:val="20"/>
                <w:szCs w:val="20"/>
                <w:color w:val="auto"/>
              </w:rPr>
            </w:pPr>
            <w:r>
              <w:rPr>
                <w:rFonts w:ascii="Arial" w:cs="Arial" w:eastAsia="Arial" w:hAnsi="Arial"/>
                <w:sz w:val="14"/>
                <w:szCs w:val="14"/>
                <w:b w:val="1"/>
                <w:bCs w:val="1"/>
                <w:color w:val="auto"/>
                <w:w w:val="97"/>
              </w:rPr>
              <w:t>Charged to  Deductions/</w:t>
            </w:r>
          </w:p>
        </w:tc>
        <w:tc>
          <w:tcPr>
            <w:tcW w:w="1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1620" w:type="dxa"/>
            <w:vAlign w:val="bottom"/>
            <w:gridSpan w:val="10"/>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Period</w:t>
            </w:r>
          </w:p>
        </w:tc>
        <w:tc>
          <w:tcPr>
            <w:tcW w:w="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Expense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Transfers</w:t>
            </w:r>
            <w:r>
              <w:rPr>
                <w:rFonts w:ascii="Arial" w:cs="Arial" w:eastAsia="Arial" w:hAnsi="Arial"/>
                <w:sz w:val="14"/>
                <w:szCs w:val="14"/>
                <w:b w:val="1"/>
                <w:bCs w:val="1"/>
                <w:color w:val="auto"/>
                <w:w w:val="90"/>
                <w:vertAlign w:val="superscript"/>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1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Three months ended March 31, 2019</w:t>
            </w:r>
          </w:p>
        </w:tc>
        <w:tc>
          <w:tcPr>
            <w:tcW w:w="1400" w:type="dxa"/>
            <w:vAlign w:val="bottom"/>
          </w:tcPr>
          <w:p>
            <w:pPr>
              <w:spacing w:after="0"/>
              <w:rPr>
                <w:sz w:val="18"/>
                <w:szCs w:val="18"/>
                <w:color w:val="auto"/>
              </w:rPr>
            </w:pPr>
          </w:p>
        </w:tc>
        <w:tc>
          <w:tcPr>
            <w:tcW w:w="50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March 31, 2018</w:t>
            </w:r>
          </w:p>
        </w:tc>
        <w:tc>
          <w:tcPr>
            <w:tcW w:w="14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9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2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530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8. Property and Equipment</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gridSpan w:val="3"/>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Land improvements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51,398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51,409</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Buildings and leasehold improvements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11,070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88,131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85,316</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8,066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31,829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39,270</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Construction in progress</w:t>
            </w: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2,118</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200,433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200,728</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6"/>
          </w:tcPr>
          <w:p>
            <w:pPr>
              <w:jc w:val="right"/>
              <w:ind w:right="110"/>
              <w:spacing w:after="0"/>
              <w:rPr>
                <w:sz w:val="20"/>
                <w:szCs w:val="20"/>
                <w:color w:val="auto"/>
              </w:rPr>
            </w:pPr>
            <w:r>
              <w:rPr>
                <w:rFonts w:ascii="Arial" w:cs="Arial" w:eastAsia="Arial" w:hAnsi="Arial"/>
                <w:sz w:val="18"/>
                <w:szCs w:val="18"/>
                <w:color w:val="auto"/>
                <w:w w:val="95"/>
              </w:rPr>
              <w:t>(84,194)</w:t>
            </w: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(89,689)</w:t>
            </w:r>
          </w:p>
        </w:tc>
        <w:tc>
          <w:tcPr>
            <w:tcW w:w="0" w:type="dxa"/>
            <w:vAlign w:val="bottom"/>
          </w:tcPr>
          <w:p>
            <w:pPr>
              <w:spacing w:after="0"/>
              <w:rPr>
                <w:sz w:val="1"/>
                <w:szCs w:val="1"/>
                <w:color w:val="auto"/>
              </w:rPr>
            </w:pPr>
          </w:p>
        </w:tc>
      </w:tr>
      <w:tr>
        <w:trPr>
          <w:trHeight w:val="230"/>
        </w:trPr>
        <w:tc>
          <w:tcPr>
            <w:tcW w:w="3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116,239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111,039</w:t>
            </w:r>
          </w:p>
        </w:tc>
        <w:tc>
          <w:tcPr>
            <w:tcW w:w="0" w:type="dxa"/>
            <w:vAlign w:val="bottom"/>
          </w:tcPr>
          <w:p>
            <w:pPr>
              <w:spacing w:after="0"/>
              <w:rPr>
                <w:sz w:val="1"/>
                <w:szCs w:val="1"/>
                <w:color w:val="auto"/>
              </w:rPr>
            </w:pPr>
          </w:p>
        </w:tc>
      </w:tr>
      <w:tr>
        <w:trPr>
          <w:trHeight w:val="43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9. Intangible Assets</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gridSpan w:val="3"/>
          </w:tcPr>
          <w:p>
            <w:pPr>
              <w:ind w:left="660"/>
              <w:spacing w:after="0"/>
              <w:rPr>
                <w:sz w:val="20"/>
                <w:szCs w:val="20"/>
                <w:color w:val="auto"/>
              </w:rPr>
            </w:pPr>
            <w:r>
              <w:rPr>
                <w:rFonts w:ascii="Arial" w:cs="Arial" w:eastAsia="Arial" w:hAnsi="Arial"/>
                <w:sz w:val="18"/>
                <w:szCs w:val="18"/>
                <w:color w:val="auto"/>
                <w:w w:val="98"/>
              </w:rPr>
              <w:t>Amortizable intangible assets consist of the following as of:</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jc w:val="right"/>
              <w:ind w:right="282"/>
              <w:spacing w:after="0"/>
              <w:rPr>
                <w:sz w:val="20"/>
                <w:szCs w:val="20"/>
                <w:color w:val="auto"/>
              </w:rPr>
            </w:pPr>
            <w:r>
              <w:rPr>
                <w:rFonts w:ascii="Arial" w:cs="Arial" w:eastAsia="Arial" w:hAnsi="Arial"/>
                <w:sz w:val="14"/>
                <w:szCs w:val="14"/>
                <w:b w:val="1"/>
                <w:bCs w:val="1"/>
                <w:color w:val="auto"/>
              </w:rPr>
              <w:t>March 31, 2019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89"/>
              </w:rPr>
              <w:t>Estimated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0"/>
              </w:rPr>
              <w:t>Gross</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Useful</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4"/>
          </w:tcPr>
          <w:p>
            <w:pPr>
              <w:jc w:val="center"/>
              <w:ind w:right="340"/>
              <w:spacing w:after="0" w:line="149" w:lineRule="exact"/>
              <w:rPr>
                <w:sz w:val="20"/>
                <w:szCs w:val="20"/>
                <w:color w:val="auto"/>
              </w:rPr>
            </w:pPr>
            <w:r>
              <w:rPr>
                <w:rFonts w:ascii="Arial" w:cs="Arial" w:eastAsia="Arial" w:hAnsi="Arial"/>
                <w:sz w:val="14"/>
                <w:szCs w:val="14"/>
                <w:color w:val="auto"/>
                <w:w w:val="94"/>
              </w:rPr>
              <w:t>Carrying</w:t>
            </w:r>
          </w:p>
        </w:tc>
        <w:tc>
          <w:tcPr>
            <w:tcW w:w="40" w:type="dxa"/>
            <w:vAlign w:val="bottom"/>
          </w:tcPr>
          <w:p>
            <w:pPr>
              <w:spacing w:after="0"/>
              <w:rPr>
                <w:sz w:val="12"/>
                <w:szCs w:val="12"/>
                <w:color w:val="auto"/>
              </w:rPr>
            </w:pPr>
          </w:p>
        </w:tc>
        <w:tc>
          <w:tcPr>
            <w:tcW w:w="1280" w:type="dxa"/>
            <w:vAlign w:val="bottom"/>
            <w:gridSpan w:val="6"/>
          </w:tcPr>
          <w:p>
            <w:pPr>
              <w:jc w:val="right"/>
              <w:ind w:right="320"/>
              <w:spacing w:after="0" w:line="149"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13"/>
              <w:spacing w:after="0" w:line="149" w:lineRule="exact"/>
              <w:rPr>
                <w:sz w:val="20"/>
                <w:szCs w:val="20"/>
                <w:color w:val="auto"/>
              </w:rPr>
            </w:pPr>
            <w:r>
              <w:rPr>
                <w:rFonts w:ascii="Arial" w:cs="Arial" w:eastAsia="Arial" w:hAnsi="Arial"/>
                <w:sz w:val="14"/>
                <w:szCs w:val="14"/>
                <w:color w:val="auto"/>
                <w:w w:val="90"/>
              </w:rPr>
              <w:t>Carrying</w:t>
            </w:r>
          </w:p>
        </w:tc>
        <w:tc>
          <w:tcPr>
            <w:tcW w:w="0" w:type="dxa"/>
            <w:vAlign w:val="bottom"/>
          </w:tcPr>
          <w:p>
            <w:pPr>
              <w:spacing w:after="0"/>
              <w:rPr>
                <w:sz w:val="1"/>
                <w:szCs w:val="1"/>
                <w:color w:val="auto"/>
              </w:rPr>
            </w:pPr>
          </w:p>
        </w:tc>
      </w:tr>
      <w:tr>
        <w:trPr>
          <w:trHeight w:val="167"/>
        </w:trPr>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Life (in years)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4"/>
          </w:tcPr>
          <w:p>
            <w:pPr>
              <w:jc w:val="center"/>
              <w:ind w:right="340"/>
              <w:spacing w:after="0"/>
              <w:rPr>
                <w:sz w:val="20"/>
                <w:szCs w:val="20"/>
                <w:color w:val="auto"/>
              </w:rPr>
            </w:pPr>
            <w:r>
              <w:rPr>
                <w:rFonts w:ascii="Arial" w:cs="Arial" w:eastAsia="Arial" w:hAnsi="Arial"/>
                <w:sz w:val="14"/>
                <w:szCs w:val="14"/>
                <w:color w:val="auto"/>
                <w:w w:val="95"/>
              </w:rPr>
              <w:t>Amount</w:t>
            </w:r>
          </w:p>
        </w:tc>
        <w:tc>
          <w:tcPr>
            <w:tcW w:w="40" w:type="dxa"/>
            <w:vAlign w:val="bottom"/>
          </w:tcPr>
          <w:p>
            <w:pPr>
              <w:spacing w:after="0"/>
              <w:rPr>
                <w:sz w:val="14"/>
                <w:szCs w:val="1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233"/>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University partner relationships</w:t>
            </w:r>
          </w:p>
        </w:tc>
        <w:tc>
          <w:tcPr>
            <w:tcW w:w="14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208,371</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Trade names</w:t>
            </w:r>
          </w:p>
        </w:tc>
        <w:tc>
          <w:tcPr>
            <w:tcW w:w="1400" w:type="dxa"/>
            <w:vAlign w:val="bottom"/>
            <w:tcBorders>
              <w:bottom w:val="single" w:sz="8" w:color="CCEEFF"/>
            </w:tcBorders>
          </w:tcPr>
          <w:p>
            <w:pPr>
              <w:jc w:val="right"/>
              <w:ind w:right="579"/>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amortizable intangible assets, net</w:t>
            </w:r>
          </w:p>
        </w:tc>
        <w:tc>
          <w:tcPr>
            <w:tcW w:w="14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208,594</w:t>
            </w:r>
          </w:p>
        </w:tc>
        <w:tc>
          <w:tcPr>
            <w:tcW w:w="0" w:type="dxa"/>
            <w:vAlign w:val="bottom"/>
          </w:tcPr>
          <w:p>
            <w:pPr>
              <w:spacing w:after="0"/>
              <w:rPr>
                <w:sz w:val="1"/>
                <w:szCs w:val="1"/>
                <w:color w:val="auto"/>
              </w:rPr>
            </w:pPr>
          </w:p>
        </w:tc>
      </w:tr>
      <w:tr>
        <w:trPr>
          <w:trHeight w:val="851"/>
        </w:trPr>
        <w:tc>
          <w:tcPr>
            <w:tcW w:w="2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jc w:val="right"/>
              <w:ind w:right="599"/>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2020</w:t>
            </w: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8,726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2022</w:t>
            </w: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8,726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w:t>
            </w:r>
          </w:p>
        </w:tc>
      </w:tr>
      <w:tr>
        <w:trPr>
          <w:trHeight w:val="216"/>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168,380</w:t>
            </w:r>
          </w:p>
        </w:tc>
      </w:tr>
      <w:tr>
        <w:trPr>
          <w:trHeight w:val="217"/>
        </w:trPr>
        <w:tc>
          <w:tcPr>
            <w:tcW w:w="440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209,750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Company has operating leases for classroom site locations, office space, office equipment, and optical fiber communication lines. These leases range from 3 months to 10 years. At lease inception, we determined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has operating lease costs of $865 and $423 for the three month period ended March 31, 2019 and 2018, respectively. The consolidated financial statements for years before January 1, 2019 are not presented on the same accounting basis with respect to leases. There was an immaterial amount of future lease obligations as of March 31,2018. The majority of leases that existed for the three months ended March 31, 2018 were assigned to GCU in the Transaction that occurred on July 1, 2018.</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March 31, 2019, the Company had $2,193 of non-cancelable operating lease commitments, primarily for a classroom site location and a copier lease, that have not yet commenced. These operating leases will commence in 2019 with lease terms ranging from 3 to 10 years. The Company’s weighted-average remaining lease term relating to its operating leases is 6.26 years, with a weighted-average discount rate of 4.4%. As of March 31, 2019, the Company had no financing leases.</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March 31, 2019, by year and in the aggregate,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Year Ending December 31,</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Amount</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16"/>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15,720</w:t>
            </w:r>
          </w:p>
        </w:tc>
      </w:tr>
      <w:tr>
        <w:trPr>
          <w:trHeight w:val="21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13,266</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Other Noncurrent Liabilities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January 22, 2019, we entered into an amended and restated credit agreement dated January 22, 2019 and two related amendments dated January 31, 2019 and dated February 1, 2019, that together provide a credit facility of $325,000 comprised of a term loan facility of $243,750 and a revolving credit facility of $81,250, both with a five 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$6,250 drawn under the revolver and operating cash on hand were used 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complete the Acquisition. Concurrent with the amendment of the credit agreement and Acquisition, we repaid our existing term loan of $59,850 and our cash collateral of $61,667 was released. The amended and restated credit agreement contains standard covenants that, among other things, restrict the Company’s ability to incur additional debt or make certain investments, and require the Company to achieve certain financial ratios and maintain certain financial conditions. As of March 31, 2019, the Company is in compliance with its debt covenants. The Company concluded that the amended and restated credit agreement is considered a loan modification. Accordingly, the Company allocated the costs paid to the bank consortium based on the borrowing dollars and has recorded an asset of $596 and a contra liability of $1,639, which are related to our revolver and term loan, respectively, that is being amortized to interest expense over the five year maturity date. Additionally, the Company expensed $150 of third party costs in the first quarter related to this loan modification.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7"/>
          </w:tcPr>
          <w:p>
            <w:pPr>
              <w:ind w:left="20"/>
              <w:spacing w:after="0"/>
              <w:rPr>
                <w:sz w:val="20"/>
                <w:szCs w:val="20"/>
                <w:color w:val="auto"/>
              </w:rPr>
            </w:pPr>
            <w:r>
              <w:rPr>
                <w:rFonts w:ascii="Arial" w:cs="Arial" w:eastAsia="Arial" w:hAnsi="Arial"/>
                <w:sz w:val="14"/>
                <w:szCs w:val="14"/>
                <w:b w:val="1"/>
                <w:bCs w:val="1"/>
                <w:color w:val="auto"/>
                <w:w w:val="95"/>
              </w:rPr>
              <w:t>As of March 31,   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w w:val="95"/>
              </w:rPr>
              <w:t>Note payable, quarterly payment of $12,188 starting June 30, 2019; interest at 30 day</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LIBOR plus 2.00% (4.49% at March 31, 2019) through January 22, 2024</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242,166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w w:val="94"/>
              </w:rPr>
              <w:t>Revolving line of credit; interest at 30 day LIBOR plus 2.0% (4.49% at March 31, 2019)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248,416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199,994</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960" w:type="dxa"/>
            <w:vAlign w:val="bottom"/>
            <w:gridSpan w:val="3"/>
          </w:tcPr>
          <w:p>
            <w:pPr>
              <w:ind w:left="640"/>
              <w:spacing w:after="0"/>
              <w:rPr>
                <w:sz w:val="20"/>
                <w:szCs w:val="20"/>
                <w:color w:val="auto"/>
              </w:rPr>
            </w:pPr>
            <w:r>
              <w:rPr>
                <w:rFonts w:ascii="Arial" w:cs="Arial" w:eastAsia="Arial" w:hAnsi="Arial"/>
                <w:sz w:val="18"/>
                <w:szCs w:val="18"/>
                <w:color w:val="auto"/>
                <w:w w:val="90"/>
              </w:rPr>
              <w:t>Payments due under the notes payable obligations are as follows as of March 31, 2019:</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Income Tax Related</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During the first quarter of 2019, the Company reached an agreement with the Arizona Department of Revenue regarding previously filed refund claims related to income tax obligations for calendar year 2008 through calendar year 2013. As a result of the agreement, the Company received a refund of $7,500, inclusive of both tax and interest. Net of the federal tax benefit, the refund has a favorable tax impact of $5,925. The Company has recorded the impact of this discrete tax item in its first quarter 2019 financials.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The Company reserve is not material for tax matters where its ultimate exposure is considered probable and the potential loss can be reasonably estimated.</w:t>
      </w:r>
    </w:p>
    <w:p>
      <w:pPr>
        <w:spacing w:after="0" w:line="200" w:lineRule="exact"/>
        <w:rPr>
          <w:sz w:val="20"/>
          <w:szCs w:val="20"/>
          <w:color w:val="auto"/>
        </w:rPr>
      </w:pPr>
    </w:p>
    <w:p>
      <w:pPr>
        <w:spacing w:after="0" w:line="207" w:lineRule="exact"/>
        <w:rPr>
          <w:sz w:val="20"/>
          <w:szCs w:val="20"/>
          <w:color w:val="auto"/>
        </w:rPr>
      </w:pPr>
    </w:p>
    <w:p>
      <w:pPr>
        <w:jc w:val="center"/>
        <w:ind w:right="6660"/>
        <w:spacing w:after="0"/>
        <w:rPr>
          <w:sz w:val="20"/>
          <w:szCs w:val="20"/>
          <w:color w:val="auto"/>
        </w:rPr>
      </w:pPr>
      <w:r>
        <w:rPr>
          <w:rFonts w:ascii="Arial" w:cs="Arial" w:eastAsia="Arial" w:hAnsi="Arial"/>
          <w:sz w:val="15"/>
          <w:szCs w:val="15"/>
          <w:b w:val="1"/>
          <w:bCs w:val="1"/>
          <w:color w:val="auto"/>
        </w:rPr>
        <w:t>13. Share-Based Compensation</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Incentive Plan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Prior to June 2017, the Company made grants of restricted stock and stock options under its 2008 Equity Incentive Plan (the “2008 Plan”). In January 2017, the Board of Directors of the Company approved, and at the Company’s 2017 annual meeting of stockholders held on June 14, 2017, the Company’s stockholders adopted a 2017 Equity Incentive Plan (the “2017 Plan”) under which a maximum of 3,000 shares may be granted. As of March 31, 2019, 1,765 shares were available for grants under the 2017 Plan. All grants of equity incentives made after June 2017 have been made from the 2017 Plan.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the three months ended March 31, 2019, the Company granted 149 shares of common stock with a service vesting condition to certain of its executives, officers, faculty and employees. The restricted shares have voting rights and vest in five annual installments of 20%, with this first installment vesting in March of the calendar year following the date of grant (the “first vesting date”) and on each of the four anniversaries of the first vesting date. Upon vesting, shares will be held in lieu of taxes equivalent to the minimum statutory tax withholding required to be paid when the restricted stock vests. During the three months ended March 31, 2019, the Company withheld 68 shares of common stock in lieu of taxes at a cost of $8,127 on the restricted stock vesting dates.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activity related to restricted stock granted under the Company’s Incentive Plan since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3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Granted</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93.07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400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3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2019</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851"/>
        </w:trPr>
        <w:tc>
          <w:tcPr>
            <w:tcW w:w="3660" w:type="dxa"/>
            <w:vAlign w:val="bottom"/>
          </w:tcPr>
          <w:p>
            <w:pPr>
              <w:spacing w:after="0"/>
              <w:rPr>
                <w:sz w:val="24"/>
                <w:szCs w:val="24"/>
                <w:color w:val="auto"/>
              </w:rPr>
            </w:pPr>
          </w:p>
        </w:tc>
        <w:tc>
          <w:tcPr>
            <w:tcW w:w="3180" w:type="dxa"/>
            <w:vAlign w:val="bottom"/>
          </w:tcPr>
          <w:p>
            <w:pPr>
              <w:jc w:val="right"/>
              <w:ind w:right="2130"/>
              <w:spacing w:after="0"/>
              <w:rPr>
                <w:sz w:val="20"/>
                <w:szCs w:val="20"/>
                <w:color w:val="auto"/>
              </w:rPr>
            </w:pPr>
            <w:r>
              <w:rPr>
                <w:rFonts w:ascii="Arial" w:cs="Arial" w:eastAsia="Arial" w:hAnsi="Arial"/>
                <w:sz w:val="18"/>
                <w:szCs w:val="18"/>
                <w:color w:val="auto"/>
              </w:rPr>
              <w:t>22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6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2019, no options were granted. A summary of the activity since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related to stock options granted under the Company’s Incentive Plan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300" w:type="dxa"/>
            <w:vAlign w:val="bottom"/>
            <w:tcBorders>
              <w:bottom w:val="single" w:sz="8" w:color="auto"/>
            </w:tcBorders>
            <w:gridSpan w:val="9"/>
          </w:tcPr>
          <w:p>
            <w:pPr>
              <w:jc w:val="right"/>
              <w:ind w:right="344"/>
              <w:spacing w:after="0"/>
              <w:rPr>
                <w:sz w:val="20"/>
                <w:szCs w:val="20"/>
                <w:color w:val="auto"/>
              </w:rPr>
            </w:pPr>
            <w:r>
              <w:rPr>
                <w:rFonts w:ascii="Arial" w:cs="Arial" w:eastAsia="Arial" w:hAnsi="Arial"/>
                <w:sz w:val="14"/>
                <w:szCs w:val="14"/>
                <w:b w:val="1"/>
                <w:bCs w:val="1"/>
                <w:color w:val="auto"/>
              </w:rPr>
              <w:t>Summary of Stock Options Outstanding</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 per</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Term (Years)</w:t>
            </w: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 xml:space="preserve">Value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r>
              <w:rPr>
                <w:rFonts w:ascii="Arial" w:cs="Arial" w:eastAsia="Arial" w:hAnsi="Arial"/>
                <w:sz w:val="14"/>
                <w:szCs w:val="14"/>
                <w:b w:val="1"/>
                <w:bCs w:val="1"/>
                <w:color w:val="auto"/>
                <w:w w:val="88"/>
                <w:vertAlign w:val="superscript"/>
              </w:rPr>
              <w:t>(1)</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Forfeited, canceled or expired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$ 35,483</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Exercisable as of March 31, 2019</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15.97</w:t>
            </w: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$ 35,483</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380" w:hanging="317"/>
        <w:spacing w:after="0" w:line="264"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Company’s closing stock price on March 29, 2019 ($114.51) in excess of the exercise price multiplied by the number of shares underlying options outstanding or exercisable, as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three months ended March 31, 2019 and 2018 related to restricted stock and stock options granted: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Counseling support and services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University related expenses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10"/>
        </w:trPr>
        <w:tc>
          <w:tcPr>
            <w:tcW w:w="6160" w:type="dxa"/>
            <w:vAlign w:val="bottom"/>
          </w:tcPr>
          <w:p>
            <w:pPr>
              <w:ind w:left="12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3,469</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17"/>
        </w:trPr>
        <w:tc>
          <w:tcPr>
            <w:tcW w:w="6160" w:type="dxa"/>
            <w:vAlign w:val="bottom"/>
          </w:tcPr>
          <w:p>
            <w:pPr>
              <w:ind w:left="120"/>
              <w:spacing w:after="0"/>
              <w:rPr>
                <w:sz w:val="20"/>
                <w:szCs w:val="20"/>
                <w:color w:val="auto"/>
              </w:rPr>
            </w:pPr>
            <w:r>
              <w:rPr>
                <w:rFonts w:ascii="Arial" w:cs="Arial" w:eastAsia="Arial" w:hAnsi="Arial"/>
                <w:sz w:val="18"/>
                <w:szCs w:val="18"/>
                <w:b w:val="1"/>
                <w:bCs w:val="1"/>
                <w:color w:val="auto"/>
              </w:rPr>
              <w:t>Share-based compensation expense, net of tax</w:t>
            </w:r>
          </w:p>
        </w:tc>
        <w:tc>
          <w:tcPr>
            <w:tcW w:w="9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Treasury Stock</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Board of Directors has authorized the Company to repurchase up to $175,000 in aggregate of common stock, from time to time, depending on market conditions and other considerations. The expiration date on the repurchase authorization is December 31, 2019.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March 31, 2019 the Company repurchased 108 shares of common stock at an aggregate cost of $10,000. At March 31, 2019, there remained $78,102 available under its current share repurchase authorization. Shares repurchased in lieu of taxes are not included in the repurchase plan totals as they were approved in conjunction with the restricted share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firstLine="648"/>
        <w:spacing w:after="0" w:line="217" w:lineRule="exact"/>
        <w:rPr>
          <w:sz w:val="20"/>
          <w:szCs w:val="20"/>
          <w:color w:val="auto"/>
        </w:rPr>
      </w:pPr>
      <w:r>
        <w:rPr>
          <w:rFonts w:ascii="Arial" w:cs="Arial" w:eastAsia="Arial" w:hAnsi="Arial"/>
          <w:sz w:val="16"/>
          <w:szCs w:val="16"/>
          <w:color w:val="auto"/>
        </w:rPr>
        <w:t>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 xml:space="preserve">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20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78" w:lineRule="exact"/>
        <w:rPr>
          <w:sz w:val="20"/>
          <w:szCs w:val="20"/>
          <w:color w:val="auto"/>
        </w:rPr>
      </w:pPr>
    </w:p>
    <w:p>
      <w:pPr>
        <w:ind w:left="660" w:right="36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the Company to operate successfully as a third party service provider to Grand Canyon University (“GCU”) and its other university partners;</w:t>
      </w:r>
    </w:p>
    <w:p>
      <w:pPr>
        <w:spacing w:after="0" w:line="170" w:lineRule="exact"/>
        <w:rPr>
          <w:rFonts w:ascii="Arial" w:cs="Arial" w:eastAsia="Arial" w:hAnsi="Arial"/>
          <w:sz w:val="18"/>
          <w:szCs w:val="18"/>
          <w:color w:val="auto"/>
        </w:rPr>
      </w:pPr>
    </w:p>
    <w:p>
      <w:pPr>
        <w:ind w:left="660" w:right="64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GCU’s failure to operate the University (defined below) as successfully as it was previously operated by the Company;</w:t>
      </w:r>
    </w:p>
    <w:p>
      <w:pPr>
        <w:spacing w:after="0" w:line="170" w:lineRule="exact"/>
        <w:rPr>
          <w:rFonts w:ascii="Arial" w:cs="Arial" w:eastAsia="Arial" w:hAnsi="Arial"/>
          <w:sz w:val="18"/>
          <w:szCs w:val="18"/>
          <w:color w:val="auto"/>
        </w:rPr>
      </w:pPr>
    </w:p>
    <w:p>
      <w:pPr>
        <w:ind w:left="660" w:right="26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660" w:right="100" w:hanging="333"/>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65" w:lineRule="exact"/>
        <w:rPr>
          <w:rFonts w:ascii="Arial" w:cs="Arial" w:eastAsia="Arial" w:hAnsi="Arial"/>
          <w:sz w:val="17"/>
          <w:szCs w:val="17"/>
          <w:color w:val="auto"/>
        </w:rPr>
      </w:pPr>
    </w:p>
    <w:p>
      <w:pPr>
        <w:ind w:left="660" w:right="20" w:hanging="333"/>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comply with the extensive regulatory framework applicable to us either directly as a third party service provider or indirectly through our university partners, including Title IV of the Higher Education Act and the regulations thereunder, state laws and regulatory requirements, and accrediting commission requirements;</w:t>
      </w:r>
    </w:p>
    <w:p>
      <w:pPr>
        <w:spacing w:after="0" w:line="165" w:lineRule="exact"/>
        <w:rPr>
          <w:rFonts w:ascii="Arial" w:cs="Arial" w:eastAsia="Arial" w:hAnsi="Arial"/>
          <w:sz w:val="17"/>
          <w:szCs w:val="17"/>
          <w:color w:val="auto"/>
        </w:rPr>
      </w:pPr>
    </w:p>
    <w:p>
      <w:pPr>
        <w:ind w:left="660" w:right="58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pacing w:after="0" w:line="170" w:lineRule="exact"/>
        <w:rPr>
          <w:rFonts w:ascii="Arial" w:cs="Arial" w:eastAsia="Arial" w:hAnsi="Arial"/>
          <w:sz w:val="18"/>
          <w:szCs w:val="18"/>
          <w:color w:val="auto"/>
        </w:rPr>
      </w:pPr>
    </w:p>
    <w:p>
      <w:pPr>
        <w:ind w:left="660" w:right="120" w:hanging="333"/>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399" w:hanging="333"/>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client;</w:t>
      </w:r>
    </w:p>
    <w:p>
      <w:pPr>
        <w:spacing w:after="0" w:line="181" w:lineRule="exact"/>
        <w:rPr>
          <w:rFonts w:ascii="Arial" w:cs="Arial" w:eastAsia="Arial" w:hAnsi="Arial"/>
          <w:sz w:val="18"/>
          <w:szCs w:val="18"/>
          <w:color w:val="auto"/>
        </w:rPr>
      </w:pPr>
    </w:p>
    <w:p>
      <w:pPr>
        <w:ind w:left="660" w:right="699"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tax payments and tax rate, including the effect of the Tax Cuts and Jobs Act of 2017;</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660" w:right="279"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660" w:right="299"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the programs of our university partners;</w:t>
      </w:r>
    </w:p>
    <w:p>
      <w:pPr>
        <w:spacing w:after="0" w:line="225" w:lineRule="exact"/>
        <w:rPr>
          <w:rFonts w:ascii="Arial" w:cs="Arial" w:eastAsia="Arial" w:hAnsi="Arial"/>
          <w:sz w:val="18"/>
          <w:szCs w:val="18"/>
          <w:color w:val="auto"/>
        </w:rPr>
      </w:pPr>
    </w:p>
    <w:p>
      <w:pPr>
        <w:ind w:left="660" w:right="399"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660" w:right="179" w:hanging="333"/>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181"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225" w:lineRule="exact"/>
        <w:rPr>
          <w:rFonts w:ascii="Arial" w:cs="Arial" w:eastAsia="Arial" w:hAnsi="Arial"/>
          <w:sz w:val="18"/>
          <w:szCs w:val="18"/>
          <w:color w:val="auto"/>
        </w:rPr>
      </w:pPr>
    </w:p>
    <w:p>
      <w:pPr>
        <w:ind w:left="660" w:right="99"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right="19" w:firstLine="648"/>
        <w:spacing w:after="0" w:line="217" w:lineRule="exact"/>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December 31, 2018, as updated in our subsequent reports filed with the Securities and Exchange Commission (“SEC”), including any updates found in Part II, Item 1A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or our other reports on Form 10</w:t>
      </w:r>
      <w:r>
        <w:rPr>
          <w:rFonts w:ascii="MS PGothic" w:cs="MS PGothic" w:eastAsia="MS PGothic" w:hAnsi="MS PGothic"/>
          <w:sz w:val="16"/>
          <w:szCs w:val="16"/>
          <w:color w:val="auto"/>
        </w:rPr>
        <w:t>‑</w:t>
      </w:r>
      <w:r>
        <w:rPr>
          <w:rFonts w:ascii="Arial" w:cs="Arial" w:eastAsia="Arial" w:hAnsi="Arial"/>
          <w:sz w:val="16"/>
          <w:szCs w:val="16"/>
          <w:color w:val="auto"/>
        </w:rPr>
        <w:t>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Prior to July 1, 2018, the Company, operated Grand Canyon University (the “University”), a comprehensive regionally accredited university that offers graduate and undergraduate degree programs, emphases and certificates across nine colleges both online and on ground at its campus in Phoenix, Arizona, at leased facilities and at facilities owned by third party employers of its students. On July 1, 2018, the Company sold the University to GCU, an independent Arizona non-profit corporation formerly known as Gazelle University, (the “Transaction”) pursuant to the terms of an Asset Purchase Agreement (the “Asset Purchase Agreement”) between the Company and GCU. As a result</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this Transaction, GCE became an educational services company focused on providing a full array of support services to institutions in the post-secondary education sector. GCE has developed significant technological solutions, infrastructure and operational processes to provide services to these institutions on a large scale. See Note 2 to consolidated financial statement for a full description of the Transaction.</w:t>
      </w:r>
    </w:p>
    <w:p>
      <w:pPr>
        <w:spacing w:after="0" w:line="18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During the second half of 2018, GCE provided services to GCU, its sole university partner during 2018, that included technology and academic services, counseling services and support, marketing and communication services, and back office services such as financial aid processing, accounting, reporting, tax, human resources, and procurement services.</w:t>
      </w:r>
    </w:p>
    <w:p>
      <w:pPr>
        <w:spacing w:after="0" w:line="14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Thus, prior to July 1, 2018, the Company owned and operated the University. Accordingly, the results of operations discussed herein for the three month period ended March 31, 2018 reflect the Company’s operations prior to July 1, 2018 which were made up exclusively of the operations of the University. Commencing July 1, 2018, the Company’s results of operations, including for the three month period ended March 31, 2019, do not include the operations of GCU but rather reflect the operations of the Company as a service/technology provider.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Additionally, on January 22, 2019, GCE completed the acquisition of Orbis Education, an educational services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that supports healthcare education programs for 17 universities across the United States. for $361.2 million, net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acquired (the “Acquisition”).  See Note 3 to consolidated financial statements for a full description of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Acquisition. Therefore, the results of operations for the three month period ended March 31, 2019 include Orbis Education’s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for the period January 22, 2019 to March 31, 2019.</w:t>
      </w:r>
    </w:p>
    <w:p>
      <w:pPr>
        <w:spacing w:after="0" w:line="20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Overview of Results</w:t>
      </w:r>
      <w:r>
        <w:rPr>
          <w:rFonts w:ascii="Arial" w:cs="Arial" w:eastAsia="Arial" w:hAnsi="Arial"/>
          <w:sz w:val="17"/>
          <w:szCs w:val="17"/>
          <w:color w:val="auto"/>
        </w:rPr>
        <w:t>. End-of-period enrollment in the programs at our university partners for which we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increased 11.3% between March 31, 2019 and March 31, 2018 to 101,679 from 91,378. This increase is due to partner enrollments in programs serviced by Orbis Education at March 31, 2019 of 3,384 and due to an increase in enrollments at GCU to 98,295, an increase of 7.6%. Partner enrollments in programs serviced by Orbis Education were 2,328 at March 31, 2018. The increase in Orbis Education partner enrollments between years is primarily due to the increase in university partners and site locations between years. We believe the increase in GCU enrollments between years is due to the continued increase in its brand recognition and the value proposition that it affords to traditional-aged students and their parents and to working adult students. The 19.3% increase year over year in comparable service fee revenue was primarily due to our Orbis Education acquisition on January 22, 2019 and the increase in GCU enrollments between years. The partnership agreements that were acquired as part of the Acquisition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Our critical accounting policies are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2018. During the three months ended March 31, 2019, there have been no significant changes in our critical accounting policies other than the Acquisition as discussed in Note 3 to the consolidated financial statements in Part I, Item 1, and the adoption of the new lease standard as discussed in Notes 4 and 10 to the consolidated financial statements in Part I, Item 1 of this report.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following table sets forth certain income statement data as a percentage of net revenue for each of the periods indicated. University related expenses, amortization of intangible assets and the loss on Transaction have been excluded from the table below:</w:t>
      </w:r>
    </w:p>
    <w:p>
      <w:pPr>
        <w:spacing w:after="0" w:line="186"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ind w:left="76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7120" w:type="dxa"/>
            <w:vAlign w:val="bottom"/>
          </w:tcPr>
          <w:p>
            <w:pPr>
              <w:ind w:left="120"/>
              <w:spacing w:after="0"/>
              <w:rPr>
                <w:sz w:val="20"/>
                <w:szCs w:val="20"/>
                <w:color w:val="auto"/>
              </w:rPr>
            </w:pPr>
            <w:r>
              <w:rPr>
                <w:rFonts w:ascii="Arial" w:cs="Arial" w:eastAsia="Arial" w:hAnsi="Arial"/>
                <w:sz w:val="18"/>
                <w:szCs w:val="18"/>
                <w:color w:val="auto"/>
              </w:rPr>
              <w:t>Technology and academic services</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Counseling services and support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rPr>
                <w:sz w:val="18"/>
                <w:szCs w:val="18"/>
                <w:color w:val="auto"/>
              </w:rPr>
            </w:pPr>
          </w:p>
        </w:tc>
      </w:tr>
      <w:tr>
        <w:trPr>
          <w:trHeight w:val="216"/>
        </w:trPr>
        <w:tc>
          <w:tcPr>
            <w:tcW w:w="7120" w:type="dxa"/>
            <w:vAlign w:val="bottom"/>
          </w:tcPr>
          <w:p>
            <w:pPr>
              <w:ind w:left="120"/>
              <w:spacing w:after="0"/>
              <w:rPr>
                <w:sz w:val="20"/>
                <w:szCs w:val="20"/>
                <w:color w:val="auto"/>
              </w:rPr>
            </w:pPr>
            <w:r>
              <w:rPr>
                <w:rFonts w:ascii="Arial" w:cs="Arial" w:eastAsia="Arial" w:hAnsi="Arial"/>
                <w:sz w:val="18"/>
                <w:szCs w:val="18"/>
                <w:color w:val="auto"/>
              </w:rPr>
              <w:t>Marketing and communication</w:t>
            </w:r>
          </w:p>
        </w:tc>
        <w:tc>
          <w:tcPr>
            <w:tcW w:w="72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r>
      <w:tr>
        <w:trPr>
          <w:trHeight w:val="216"/>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reflected in the table above, the income statement data as a percentage of revenue is not comparable between periods. This is a result of a reduction in revenues associated with the Company transitioning to an education service provider as of July 1, 2018. As a result, the Company has also provided two additional tables to enhance comparability between periods by showing, on a comparable basis, the types of levels of operating expenses the Company currently incurs as compared to prior to the Transaction. The Company has calculated 60% of university related revenues for periods prior to July 1, 2018, as adjusted “Non-GAAP” net revenue, which is the percentage of GCU’s tuition and fee revenue to which the Company is entitled under the long-term master services agreement with GCU (the “Services Agreement”). The percentages set forth below for periods prior to July 1, 2018 have been derived by dividing the indicated expense by adjusted “Non-GAAP” net revenue. University related expenses and the loss on Transaction have been excluded from the table below:</w:t>
      </w:r>
    </w:p>
    <w:p>
      <w:pPr>
        <w:spacing w:after="0" w:line="172"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4486910</wp:posOffset>
            </wp:positionH>
            <wp:positionV relativeFrom="paragraph">
              <wp:posOffset>-3175</wp:posOffset>
            </wp:positionV>
            <wp:extent cx="12693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7360"/>
        <w:spacing w:after="0"/>
        <w:tabs>
          <w:tab w:leader="none" w:pos="8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b w:val="1"/>
          <w:bCs w:val="1"/>
          <w:color w:val="auto"/>
        </w:rPr>
        <w:t>As Adjusted “Non-GAAP” net revenue</w:t>
      </w:r>
    </w:p>
    <w:p>
      <w:pPr>
        <w:sectPr>
          <w:pgSz w:w="11900" w:h="16838" w:orient="portrait"/>
          <w:cols w:equalWidth="0" w:num="1">
            <w:col w:w="9060"/>
          </w:cols>
          <w:pgMar w:left="1420" w:top="125" w:right="141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Service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University related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revenue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60% of university related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575437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Adjusted “Non-GAAP” net revenue</w:t>
      </w:r>
    </w:p>
    <w:p>
      <w:pPr>
        <w:spacing w:after="0" w:line="20" w:lineRule="exact"/>
        <w:rPr>
          <w:sz w:val="20"/>
          <w:szCs w:val="20"/>
          <w:color w:val="auto"/>
        </w:rPr>
      </w:pPr>
      <w:r>
        <w:rPr>
          <w:sz w:val="20"/>
          <w:szCs w:val="20"/>
          <w:color w:val="auto"/>
        </w:rPr>
        <w:br w:type="column"/>
      </w:r>
    </w:p>
    <w:p>
      <w:pPr>
        <w:spacing w:after="0"/>
        <w:tabs>
          <w:tab w:leader="none" w:pos="220" w:val="left"/>
          <w:tab w:leader="none" w:pos="1080" w:val="left"/>
          <w:tab w:leader="none" w:pos="1740" w:val="left"/>
        </w:tabs>
        <w:rPr>
          <w:sz w:val="20"/>
          <w:szCs w:val="20"/>
          <w:color w:val="auto"/>
        </w:rPr>
      </w:pPr>
      <w:r>
        <w:rPr>
          <w:rFonts w:ascii="Arial" w:cs="Arial" w:eastAsia="Arial" w:hAnsi="Arial"/>
          <w:sz w:val="18"/>
          <w:szCs w:val="18"/>
          <w:color w:val="auto"/>
        </w:rPr>
        <w:t>$</w:t>
        <w:tab/>
        <w:t>197,287</w:t>
        <w:tab/>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275,681</w:t>
      </w:r>
    </w:p>
    <w:p>
      <w:pPr>
        <w:spacing w:after="0" w:line="9" w:lineRule="exact"/>
        <w:rPr>
          <w:sz w:val="20"/>
          <w:szCs w:val="20"/>
          <w:color w:val="auto"/>
        </w:rPr>
      </w:pPr>
    </w:p>
    <w:p>
      <w:pPr>
        <w:jc w:val="both"/>
        <w:ind w:left="240"/>
        <w:spacing w:after="0"/>
        <w:tabs>
          <w:tab w:leader="none" w:pos="1340" w:val="left"/>
        </w:tabs>
        <w:rPr>
          <w:sz w:val="20"/>
          <w:szCs w:val="20"/>
          <w:color w:val="auto"/>
        </w:rPr>
      </w:pPr>
      <w:r>
        <w:rPr>
          <w:rFonts w:ascii="Arial" w:cs="Arial" w:eastAsia="Arial" w:hAnsi="Arial"/>
          <w:sz w:val="18"/>
          <w:szCs w:val="18"/>
          <w:color w:val="auto"/>
        </w:rPr>
        <w:t>197,287</w:t>
      </w:r>
      <w:r>
        <w:rPr>
          <w:sz w:val="20"/>
          <w:szCs w:val="20"/>
          <w:color w:val="auto"/>
        </w:rPr>
        <w:tab/>
      </w:r>
      <w:r>
        <w:rPr>
          <w:rFonts w:ascii="Arial" w:cs="Arial" w:eastAsia="Arial" w:hAnsi="Arial"/>
          <w:sz w:val="18"/>
          <w:szCs w:val="18"/>
          <w:color w:val="auto"/>
        </w:rPr>
        <w:t>275,681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12693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 w:lineRule="exact"/>
        <w:rPr>
          <w:sz w:val="20"/>
          <w:szCs w:val="20"/>
          <w:color w:val="auto"/>
        </w:rPr>
      </w:pPr>
    </w:p>
    <w:p>
      <w:pPr>
        <w:jc w:val="both"/>
        <w:ind w:right="60" w:firstLine="647"/>
        <w:spacing w:after="0" w:line="292" w:lineRule="auto"/>
        <w:rPr>
          <w:sz w:val="20"/>
          <w:szCs w:val="20"/>
          <w:color w:val="auto"/>
        </w:rPr>
      </w:pPr>
      <w:r>
        <w:rPr>
          <w:rFonts w:ascii="Arial" w:cs="Arial" w:eastAsia="Arial" w:hAnsi="Arial"/>
          <w:sz w:val="18"/>
          <w:szCs w:val="18"/>
          <w:color w:val="auto"/>
        </w:rPr>
        <w:t xml:space="preserve">— 165,409 </w:t>
      </w:r>
      <w:r>
        <w:rPr>
          <w:rFonts w:ascii="Arial" w:cs="Arial" w:eastAsia="Arial" w:hAnsi="Arial"/>
          <w:sz w:val="18"/>
          <w:szCs w:val="18"/>
          <w:u w:val="single" w:color="auto"/>
          <w:color w:val="auto"/>
        </w:rPr>
        <w:t>$ 197,287 $ 165,409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-173355</wp:posOffset>
            </wp:positionV>
            <wp:extent cx="12693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wp:posOffset>
            </wp:positionV>
            <wp:extent cx="11322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ind w:left="220"/>
        <w:spacing w:after="0" w:line="233" w:lineRule="auto"/>
        <w:tabs>
          <w:tab w:leader="none" w:pos="12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1" w:lineRule="exact"/>
        <w:rPr>
          <w:sz w:val="20"/>
          <w:szCs w:val="20"/>
          <w:color w:val="auto"/>
        </w:rPr>
      </w:pPr>
    </w:p>
    <w:p>
      <w:pPr>
        <w:sectPr>
          <w:pgSz w:w="11900" w:h="16838" w:orient="portrait"/>
          <w:cols w:equalWidth="0" w:num="2">
            <w:col w:w="6340" w:space="720"/>
            <w:col w:w="200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040" w:type="dxa"/>
            <w:vAlign w:val="bottom"/>
            <w:tcBorders>
              <w:top w:val="single" w:sz="8" w:color="CCEEFF"/>
            </w:tcBorders>
            <w:shd w:val="clear" w:color="auto" w:fill="CCEEFF"/>
          </w:tcPr>
          <w:p>
            <w:pPr>
              <w:ind w:left="1700"/>
              <w:spacing w:after="0"/>
              <w:rPr>
                <w:sz w:val="20"/>
                <w:szCs w:val="20"/>
                <w:color w:val="auto"/>
              </w:rPr>
            </w:pPr>
            <w:r>
              <w:rPr>
                <w:rFonts w:ascii="Arial" w:cs="Arial" w:eastAsia="Arial" w:hAnsi="Arial"/>
                <w:sz w:val="18"/>
                <w:szCs w:val="18"/>
                <w:b w:val="1"/>
                <w:bCs w:val="1"/>
                <w:color w:val="auto"/>
              </w:rPr>
              <w:t>As % of As Adjusted "Non-GAAP" Revenue</w:t>
            </w: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Technology and academic services</w:t>
            </w: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Counseling services and support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Marketing and communication</w:t>
            </w: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to Three Months Ended March 31, 2018</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i w:val="1"/>
          <w:iCs w:val="1"/>
          <w:color w:val="auto"/>
        </w:rPr>
        <w:t>Service revenue and University related revenue</w:t>
      </w:r>
      <w:r>
        <w:rPr>
          <w:rFonts w:ascii="Arial" w:cs="Arial" w:eastAsia="Arial" w:hAnsi="Arial"/>
          <w:sz w:val="16"/>
          <w:szCs w:val="16"/>
          <w:color w:val="auto"/>
        </w:rPr>
        <w:t>. Our service revenue for the three months ended March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was $197.3 million compared to University related revenue of $275.7 million for the three months ended March 31, 2018. Commencing July 1, 2018, the results of our operations no longer include the operations of the University but rather reflect the operations of the Company as a service/technology provider with 18 university partners. As a service provider to GCU our largest university partner, the Company receives, as service revenue, 60% of GCU’s tuition and fee revenue and no longer has university related revenue, thus resulting in the decrease from the prior period. 60%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university related revenue for the three months ended March 31, 2018 was $165.4 million. The 19.3% increase year over year in comparable service fee revenue was primarily due to our Orbis Education acquisition on January 22, 2019 and an increase in GCU enrollments between years of 7.6%. Total end of period partner enrollment in the programs at our university partners for which we provide services increased 11.3% between March 31, 2018 and March 31, 2019. Partner enrollments in programs serviced by Orbis Education at March 31, 2019 is 3,384. The partnership agreements that were acquired as part of the Acquisition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w:t>
      </w:r>
    </w:p>
    <w:p>
      <w:pPr>
        <w:spacing w:after="0" w:line="18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2019 were $19.0 million, an increase of $8.3 million, or 78.0%, as compared to technology and academic services expenses of $10.7 million for the three months ended March 31, 2018. This increase was primarily attributable to the university partner agreements acquired in the Acquisition which require certain technology and academic services including headcount, as well as classroom facilities and equipment to be provided to each university partner. These costs along with the increased cost to service our primary university partner, GCU resulted in increases in employee compensation and related expenses including share-based compensation, increases in occupancy and depreciation including lease expenses, and increases in technology and academic supply costs of $6.5 million, $1.1 million, and $0.7 million, respectively. The increase in employee compensation and related expenses are primarily due to the increase in the number of staff needed to support our 18 university partners, and their increased enrollment growth, tenure based salary adjustments and an increase in benefit costs between years. Our technical and academic services as a percentage of net revenues increased 3.2% to 9.7% for the</w:t>
      </w:r>
    </w:p>
    <w:p>
      <w:pPr>
        <w:spacing w:after="0" w:line="5"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three months ended March 31, 2019, from 6.5% for the three months ended March 31, 2018 primarily due to the university partner agreements acquired requiring a higher level of technology and academic services than our agreement with GCU.</w:t>
      </w:r>
    </w:p>
    <w:p>
      <w:pPr>
        <w:spacing w:after="0" w:line="13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2019 were $53.1 million, an increase of $2.4 million, or 4.6%, as compared to counseling services and support expenses of $50.7 million for the three months ended March 31, 2018. This increase was primarily attributable to the university partner agreements acquired in the Acquisition which require certain counseling services and support, principally headcount to be provided to each university partner. These costs along with the increased cost to service our primary university partner, GCU resulted in increases in employee compensation and related expenses including share-based compensation, and other counseling services and support related expenses, of $1.9 million and $0.8 million, respectively, partially offset by a slight decrease in depreciation, amortization and occupancy costs of $0.3 million. The increase in employee compensation and related expenses is primarily due to increased headcount to support our university partners, and their increased enrollment growth, tenure-based salary adjustments and an increase in benefit costs between years. The increase in other counseling services is primarily the result of increased travel costs to service our 18 university partners. Our counseling services and support expenses as a percentage of revenue decreased 3.8% to 26.9% for the three months ended March 31, 2019, from</w:t>
      </w:r>
    </w:p>
    <w:p>
      <w:pPr>
        <w:spacing w:after="0" w:line="4"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30.7% for the three months ended March 31, 2018 primarily due to the counseling services and support costs to service the acquired partner agreements being less as a percentage of revenue than the costs to service the GCU agreement and due to our ability to leverage our counseling services and support costs to service GCU across an increasing revenue base.</w:t>
      </w:r>
    </w:p>
    <w:p>
      <w:pPr>
        <w:spacing w:after="0" w:line="15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were $35.5 million, an increase of $7.0 million, or 24.3%, as compared to marketing and communication expenses of $28.5 million for the three months ended March 31, 2018. This increase was primarily attributable to the partner agreements acquired in the Acquisition which require marketing of the university partners’ programs. These costs along with the increased cost to market our primary university partner, GCU’s, programs resulted in increased advertising of $6.9 million, and other communication expenses of $0.1 million. Our marketing and communication expenses as a percentage of net revenue increased by 0.8% to 18.0% for the three months ended March 31, 2019, from 17.2% for the three months ended March 31, 2018 primarily due to the advertising costs associated with marketing new university partners’ programs.</w:t>
      </w:r>
    </w:p>
    <w:p>
      <w:pPr>
        <w:spacing w:after="0" w:line="166"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three months ended March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were $11.5 million, an increase of $4.1 million, or 54.9%, as compared to general and administrative expenses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$7.4 million for the three months ended March 31, 2018. This increase was primarily due to increases in professional fees, increases in employee compensation including share-based compensation, and increases in occupancy, depreciation and other general and administrative costs of $2.4 million, $1.0 million, and $0.7 million, respectively. Our increase in professional fees is primarily related to a payment made to an outside provider that assisted us in obtaining a state tax refund with a favorable tax impact of $5.9 million in the first quarter of 2019. Our increases in employee compensation, occupancy, depreciation, and other general and administrative costs are primarily related the Acquisition, including additional headcount, and office space in Indianapolis, Indiana. Our general and administrative expenses as a percentage of net revenue increased by 1.3% to 5.8% for the three months ended March 31, 2019, from 4.5% for the three months ended March 31, 2018 due to the increase in professional fees, employee compensation, and office space, partially offset by our ability to leverage our general and administrative expenses across an increasing revenue base.</w:t>
      </w:r>
    </w:p>
    <w:p>
      <w:pPr>
        <w:spacing w:after="0" w:line="16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The amortization of intangible assets for the three months ended March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was $1.7 million and is related to the Acquisition of Orbis Education, which resulted in the creation of certain identifiable intangible assets that will be amortized over their expected lives.</w:t>
      </w:r>
    </w:p>
    <w:p>
      <w:pPr>
        <w:spacing w:after="0" w:line="181"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i w:val="1"/>
          <w:iCs w:val="1"/>
          <w:color w:val="auto"/>
        </w:rPr>
        <w:t>Loss on transaction</w:t>
      </w:r>
      <w:r>
        <w:rPr>
          <w:rFonts w:ascii="Arial" w:cs="Arial" w:eastAsia="Arial" w:hAnsi="Arial"/>
          <w:sz w:val="17"/>
          <w:szCs w:val="17"/>
          <w:color w:val="auto"/>
        </w:rPr>
        <w:t>. The loss on transaction for the three months ended March 31, 2019 was $4.1 million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costs related to the Acquisition of Orbis Education, an increase of $3.5 million, as compared to the loss of $0.6 million related to the GCU Transaction for the three months ended March 31, 2018.</w:t>
      </w:r>
    </w:p>
    <w:p>
      <w:pPr>
        <w:spacing w:after="0" w:line="166"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i w:val="1"/>
          <w:iCs w:val="1"/>
          <w:color w:val="auto"/>
        </w:rPr>
        <w:t>University related expenses</w:t>
      </w:r>
      <w:r>
        <w:rPr>
          <w:rFonts w:ascii="Arial" w:cs="Arial" w:eastAsia="Arial" w:hAnsi="Arial"/>
          <w:sz w:val="16"/>
          <w:szCs w:val="16"/>
          <w:color w:val="auto"/>
        </w:rPr>
        <w:t>. Our university related expenses for the three months ended March 31, 2018 were $87.6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The expenses included in the three months ended March 31, 2018 represent university related expenses for activities that have now transferred to GCU and are not related to our current business activities as a service provider.</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Secured Note for the three months ended March 31,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$13.7 million. As a result of the Transaction with GCU on July 1, 2018, the Company recognizes interest income on its Secured Note with GCU, earning interest at 6%, with monthly interest payments.</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was $2.6 million for the three months ended March 31, 2019, and increase of $2.3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as compared to interest expense of $0.3 million for the three months ended March 31, 2018. The increase in interest expense is primarily due to the Acquisition of Orbis Education, which resulted in a $190.1 million increase in our outstanding credit facility, a slightly higher interest rate on the credit facility, additional fees on a new revolving credit facility, and lower capitalized interest as compared to the same period in the prior year.</w:t>
      </w:r>
    </w:p>
    <w:p>
      <w:pPr>
        <w:spacing w:after="0" w:line="17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Investment interest and other</w:t>
      </w:r>
      <w:r>
        <w:rPr>
          <w:rFonts w:ascii="Arial" w:cs="Arial" w:eastAsia="Arial" w:hAnsi="Arial"/>
          <w:sz w:val="17"/>
          <w:szCs w:val="17"/>
          <w:color w:val="auto"/>
        </w:rPr>
        <w:t>. Investment interest and other for the three months ended March 31, 2019 was $1.1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 increase of $0.1 million, as compared to $1.0 million in the three months ended March 31, 2018.</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three months ended March 31, 2019 was $11.5 million, a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$5.5 million, or 32.8%, as compared to income tax expense of $17.0 million for the three months ended March 31, 2018. This decrease is the result of a decrease in our effective tax rate and a decrease in our taxable income between periods. Our effective tax rate was 13.5% during the first quarter of 2019 compared to 18.8% during the first quarter of 2018. The decrease in the effective tax rate resulted from an agreement with the Arizona Department of Revenue regarding previously filed refund claims related to income tax obligations for prior calendar years, which resulted in a favorable tax impact of $5.9 million recorded as a discrete tax item in the first quarter of 2019. Additionally, the Company continues to receive the benefit of excess tax benefits and recorded $4.5 million and $5.3 million in the three months ended March 31, 2019 and 2018, respectively.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88"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three months ended March 31, 2019 was $73.2 million, a decrease of $0.5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$73.7 million for the three months ended March 31, 2018, due to the factors discussed above.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During 2019, we financed our Acquisition of Orbis Education for $361.2 million, net of cash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 increase in our credit facility of $190.1 million and the use of $171.1 million of operating cash on hand. Our unrestricted cash and cash equivalents and investments were $102.7 million at March 31, 2019. As of March 31, 2019, we had $300,000 of restricted cash and cash equivalents, for pledged collateral for a newly acquired site lease.</w:t>
      </w:r>
    </w:p>
    <w:p>
      <w:pPr>
        <w:spacing w:after="0" w:line="154"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Concurrent with the closing of the Acquisition, we entered into an amended and restated credit agreement dated January 22, 2019 and two related amendments dated January 31, 2019 and dated February 1, 2019, that together provided a credit facility of $325.0 million comprised of a term loan facility of $243.8 million and a revolving credit facility of $81.3 million, both with a five 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$6.3 million drawn under the revolver and cash on hand, were used to pay the purchase price in the Acquisition. Concurrent with the entry into the amended and restated credit agreement and the completion of the Acquisition, we repaid our existing term loan of $59.9 million and our cash collateral of $61.7 million was released.</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July 1, 2018, in consideration for the transfer of assets under the Asset Purchase Agreement, we received a secured note from GCU in the initial principal amount of $870.1 million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will loan additional amounts to GCU to fund approved capital expenditures during the first three years of the term. Funding expectations for future capital expenditures for GCU are $70.0 million for the nine months remaining in the year ended December 31, 2019, and currently no funding is anticipated for the year ended December 31, 2020.</w:t>
      </w:r>
    </w:p>
    <w:p>
      <w:pPr>
        <w:spacing w:after="0" w:line="182"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Our Board of Directors has authorized the Company to repurchase up to an aggregate of $175.0 million of our common stock, from time to time, depending on market conditions and other considerations. The current expiration date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the repurchase authorization by our Board of Directors is December 31, 2019. Repurchases occur at the Company’s discretion.</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During the three months ended March 31, 2019, 107,527 shares of common stock were repurchased by the Company. At March 31, 2019, there remains $78.1 million available under our share repurchase authorization.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three months ended March 31, 2019 was</w:t>
      </w:r>
      <w:r>
        <w:rPr>
          <w:rFonts w:ascii="Arial" w:cs="Arial" w:eastAsia="Arial" w:hAnsi="Arial"/>
          <w:sz w:val="16"/>
          <w:szCs w:val="16"/>
          <w:i w:val="1"/>
          <w:iCs w:val="1"/>
          <w:color w:val="auto"/>
        </w:rPr>
        <w:t xml:space="preserve"> </w:t>
      </w:r>
      <w:r>
        <w:rPr>
          <w:rFonts w:ascii="Arial" w:cs="Arial" w:eastAsia="Arial" w:hAnsi="Arial"/>
          <w:sz w:val="16"/>
          <w:szCs w:val="16"/>
          <w:color w:val="auto"/>
        </w:rPr>
        <w:t>$76.3 million as compared to $119.0 million for the three months ended March 31, 2018. The decrease in cash generated from operating activities between the three months ended March 31, 2018 and the three months ended March 31, 2018 is primarily due to the changes in other working capital such as receivables from our university partners and deferred revenue as a result of the change from being the owner-operator of GCU to being a service provider to 18 university partners. As a service provider, we receive our service fees from our university partners in arrears.</w:t>
      </w:r>
    </w:p>
    <w:p>
      <w:pPr>
        <w:spacing w:after="0" w:line="1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$340.9 million and $38.5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2019 and 2018, respectively. Our cash used in investing activities was primarily related to the Acquisition, the liquidation of short-term investments and capital expenditures. We paid $361.2 million, net of cash acquired, to acquire Orbis Education on January 22, 2019. Funding to GCU for capital expenditures during the first quarter of 2019 totaled $29.9 million. Proceeds from investments, net of purchases of short term investments was $55.0 million for the three months ended March 31, 2019. Purchases of short-term investments net of proceeds of these investments was $3.2 million during the three months ended March 31, 2018. Capital expenditures were $4.6 million and $35.3 million for the three months ended March 31, 2019 and 2018, respectively. During the three-month period for 2019, capital expenditures primarily consisted of leasehold improvements and equipment for new partner locations, internally developed software, as well as purchases of computer equipment, other internal use software projects and furniture and equipment to support our increasing employee headcount. During the three-month period for 2018, capital expenditures primarily consisted of the University’s ground campus construction projects as well as purchases of computer equipment, other internal use software projects and furniture and equipment to support our increasing employee headcount.</w:t>
      </w:r>
    </w:p>
    <w:p>
      <w:pPr>
        <w:spacing w:after="0" w:line="17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provided by financing activities was $171.3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2019. Net cash used in financing activities was $12.8 million for the three months ended March 31, 2018. During the three-month period for 2019, $250.0 million of proceeds were drawn on the credit facility, and the term loan balance of the prior credit agreement of $59.9 million was repaid along with $2.4 million of debt issuance costs. $8.1 million was used to purchase common shares withheld in lieu of income taxes resulting from the vesting of restricted share awards and $10.0 million was used to purchase treasury stock in accordance with the Company’s share repurchase program. Proceeds from the exercise of stock options of $1.6 million were received in the three months ended March 31, 2019. During the three-month period for 2018, $11.5 million was used to purchase common shares withheld in lieu of income taxes resulting from restricted share awards and $0.5 million was used to purchase treasury stock in accordance with the Company’s share repurchase program. Principal payments on notes payable and capital leases totaled $1.7 million, partially offset by proceeds from the exercise of stock options of $0.9 million.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following table sets forth, as of March 31, 2019, the aggregate amounts of GCE’s significant contractual obligations and commitments with definitive payment terms due in each of the periods presented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80" w:type="dxa"/>
            <w:vAlign w:val="bottom"/>
          </w:tcPr>
          <w:p>
            <w:pPr>
              <w:spacing w:after="0"/>
              <w:rPr>
                <w:sz w:val="10"/>
                <w:szCs w:val="10"/>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2-3 Years</w:t>
            </w: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2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1 Year</w:t>
            </w:r>
          </w:p>
        </w:tc>
        <w:tc>
          <w:tcPr>
            <w:tcW w:w="1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 term notes payable</w:t>
            </w:r>
            <w:r>
              <w:rPr>
                <w:rFonts w:ascii="Arial" w:cs="Arial" w:eastAsia="Arial" w:hAnsi="Arial"/>
                <w:sz w:val="8"/>
                <w:szCs w:val="8"/>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8"/>
                <w:szCs w:val="8"/>
                <w:color w:val="auto"/>
              </w:rPr>
              <w:t>(2)</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r>
              <w:rPr>
                <w:rFonts w:ascii="Arial" w:cs="Arial" w:eastAsia="Arial" w:hAnsi="Arial"/>
                <w:sz w:val="18"/>
                <w:szCs w:val="18"/>
                <w:u w:val="single" w:color="auto"/>
                <w:color w:val="auto"/>
              </w:rPr>
              <w:t>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r>
              <w:rPr>
                <w:rFonts w:ascii="Arial" w:cs="Arial" w:eastAsia="Arial" w:hAnsi="Arial"/>
                <w:sz w:val="18"/>
                <w:szCs w:val="18"/>
                <w:u w:val="single" w:color="auto"/>
                <w:color w:val="auto"/>
              </w:rPr>
              <w:t>2</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r>
              <w:rPr>
                <w:rFonts w:ascii="Arial" w:cs="Arial" w:eastAsia="Arial" w:hAnsi="Arial"/>
                <w:sz w:val="18"/>
                <w:szCs w:val="18"/>
                <w:u w:val="single" w:color="auto"/>
                <w:color w:val="auto"/>
              </w:rPr>
              <w:t>7</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r>
              <w:rPr>
                <w:rFonts w:ascii="Arial" w:cs="Arial" w:eastAsia="Arial" w:hAnsi="Arial"/>
                <w:sz w:val="18"/>
                <w:szCs w:val="18"/>
                <w:u w:val="single" w:color="auto"/>
                <w:color w:val="auto"/>
              </w:rPr>
              <w:t>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320" w:hanging="317"/>
        <w:spacing w:after="0" w:line="27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for GCE that were in effect at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or 2018. There can be no assurance that future inflation will not have an adverse impact on our operating results and financial condition.</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On February 27, 2013, we entered into an interest rate corridor to manage our 30 Day LIBOR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from the variable rate debt, which debt matures in December 2019. The corridor instrument, which hedges variable interest rate risk starting March 1, 2013 through December 20, 2019 with a notional amount of $58.3 million as of March 31, 2019,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8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w:t>
      </w:r>
      <w:r>
        <w:rPr>
          <w:rFonts w:ascii="Arial" w:cs="Arial" w:eastAsia="Arial" w:hAnsi="Arial"/>
          <w:sz w:val="17"/>
          <w:szCs w:val="17"/>
          <w:i w:val="1"/>
          <w:iCs w:val="1"/>
          <w:color w:val="auto"/>
        </w:rPr>
        <w:t xml:space="preserve"> </w:t>
      </w:r>
      <w:r>
        <w:rPr>
          <w:rFonts w:ascii="Arial" w:cs="Arial" w:eastAsia="Arial" w:hAnsi="Arial"/>
          <w:sz w:val="17"/>
          <w:szCs w:val="17"/>
          <w:color w:val="auto"/>
        </w:rPr>
        <w:t>cash equivalents, such as municipal mutual funds tied to various market indices, commercial paper rated at A1 or higher, certificates of deposit, and municipal bonds with a BBB rating or higher bearing variable interest rates, or individual bond coupon rates. Our future interest income may fall short of expectations due to changes in interest rates or we may suffer losses in principal if we are forced to sell securities that have declined in market value due to changes in interest rates. At March 31, 2019, a 10% increase or decrease in interest rates would not have a material impact on our future earnings, fair values, or cash flows. For information regarding our variable rate debt, see “Market risk”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Securities Exchange Act of 1934, as amended (the “Exchange Act”). Based upon that evaluation, our Chief Executive Officer and Chief Financial Officer concluded that our disclosure controls and procedures are effective, as of March 31, 2019,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40" w:firstLine="648"/>
        <w:spacing w:after="0" w:line="219" w:lineRule="exact"/>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w:t>
      </w:r>
      <w:r>
        <w:rPr>
          <w:rFonts w:ascii="MS PGothic" w:cs="MS PGothic" w:eastAsia="MS PGothic" w:hAnsi="MS PGothic"/>
          <w:sz w:val="16"/>
          <w:szCs w:val="16"/>
          <w:color w:val="auto"/>
        </w:rPr>
        <w:t>‑</w:t>
      </w:r>
      <w:r>
        <w:rPr>
          <w:rFonts w:ascii="Arial" w:cs="Arial" w:eastAsia="Arial" w:hAnsi="Arial"/>
          <w:sz w:val="16"/>
          <w:szCs w:val="16"/>
          <w:color w:val="auto"/>
        </w:rPr>
        <w:t>15(d) and 15d</w:t>
      </w:r>
      <w:r>
        <w:rPr>
          <w:rFonts w:ascii="MS PGothic" w:cs="MS PGothic" w:eastAsia="MS PGothic" w:hAnsi="MS PGothic"/>
          <w:sz w:val="16"/>
          <w:szCs w:val="16"/>
          <w:color w:val="auto"/>
        </w:rPr>
        <w:t>‑</w:t>
      </w:r>
      <w:r>
        <w:rPr>
          <w:rFonts w:ascii="Arial" w:cs="Arial" w:eastAsia="Arial" w:hAnsi="Arial"/>
          <w:sz w:val="16"/>
          <w:szCs w:val="16"/>
          <w:color w:val="auto"/>
        </w:rPr>
        <w:t>15(d) of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23" w:lineRule="exact"/>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Board of Directors has authorized the Company to repurchase up to an aggregate of $175.0 million of common stock, from time to time, depending on market conditions and other considerations. The current expiration date on the repurchase authorization is December 31, 2019.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March 31, 2019, we repurchased 107,527 shares of common stock. At March 31, 2019, there remains $78.1 million available under our share repurchase authorization.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6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24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6"/>
          </w:tcPr>
          <w:p>
            <w:pPr>
              <w:spacing w:after="0"/>
              <w:rPr>
                <w:sz w:val="20"/>
                <w:szCs w:val="20"/>
                <w:color w:val="auto"/>
              </w:rPr>
            </w:pPr>
            <w:r>
              <w:rPr>
                <w:rFonts w:ascii="Arial" w:cs="Arial" w:eastAsia="Arial" w:hAnsi="Arial"/>
                <w:sz w:val="14"/>
                <w:szCs w:val="14"/>
                <w:b w:val="1"/>
                <w:bCs w:val="1"/>
                <w:color w:val="auto"/>
              </w:rPr>
              <w:t>Shares Purchased</w:t>
            </w: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Per Share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7"/>
          </w:tcPr>
          <w:p>
            <w:pPr>
              <w:spacing w:after="0"/>
              <w:rPr>
                <w:sz w:val="20"/>
                <w:szCs w:val="20"/>
                <w:color w:val="auto"/>
              </w:rPr>
            </w:pPr>
            <w:r>
              <w:rPr>
                <w:rFonts w:ascii="Arial" w:cs="Arial" w:eastAsia="Arial" w:hAnsi="Arial"/>
                <w:sz w:val="18"/>
                <w:szCs w:val="18"/>
                <w:color w:val="auto"/>
              </w:rPr>
              <w:t>January 1, 2019 – January 31, 2019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82,500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93.03</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82,500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80,400,000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February 1, 2019 – February 28, 2019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7"/>
          </w:tcPr>
          <w:p>
            <w:pPr>
              <w:spacing w:after="0"/>
              <w:rPr>
                <w:sz w:val="20"/>
                <w:szCs w:val="20"/>
                <w:color w:val="auto"/>
              </w:rPr>
            </w:pPr>
            <w:r>
              <w:rPr>
                <w:rFonts w:ascii="Arial" w:cs="Arial" w:eastAsia="Arial" w:hAnsi="Arial"/>
                <w:sz w:val="18"/>
                <w:szCs w:val="18"/>
                <w:color w:val="auto"/>
              </w:rPr>
              <w:t>March 1, 2019 – March 31, 2019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78,100,000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107,527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107,527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7"/>
          </w:tcPr>
          <w:p>
            <w:pPr>
              <w:spacing w:after="0"/>
              <w:rPr>
                <w:sz w:val="20"/>
                <w:szCs w:val="20"/>
                <w:color w:val="auto"/>
              </w:rPr>
            </w:pPr>
            <w:r>
              <w:rPr>
                <w:rFonts w:ascii="Arial" w:cs="Arial" w:eastAsia="Arial" w:hAnsi="Arial"/>
                <w:sz w:val="18"/>
                <w:szCs w:val="18"/>
                <w:b w:val="1"/>
                <w:bCs w:val="1"/>
                <w:color w:val="auto"/>
              </w:rPr>
              <w:t>Tax Withholdings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January 1, 2019 – January 31, 2019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7"/>
          </w:tcPr>
          <w:p>
            <w:pPr>
              <w:spacing w:after="0"/>
              <w:rPr>
                <w:sz w:val="20"/>
                <w:szCs w:val="20"/>
                <w:color w:val="auto"/>
              </w:rPr>
            </w:pPr>
            <w:r>
              <w:rPr>
                <w:rFonts w:ascii="Arial" w:cs="Arial" w:eastAsia="Arial" w:hAnsi="Arial"/>
                <w:sz w:val="18"/>
                <w:szCs w:val="18"/>
                <w:color w:val="auto"/>
              </w:rPr>
              <w:t>February 1, 2019 – February 28, 2019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March 1, 2019 – March 31, 2019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68,388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118.83</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68,388</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118.83</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320" w:type="dxa"/>
            <w:vAlign w:val="bottom"/>
            <w:gridSpan w:val="8"/>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gridSpan w:val="6"/>
          </w:tcPr>
          <w:p>
            <w:pPr>
              <w:ind w:left="6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gridSpan w:val="8"/>
          </w:tcPr>
          <w:p>
            <w:pPr>
              <w:spacing w:after="0"/>
              <w:rPr>
                <w:sz w:val="20"/>
                <w:szCs w:val="20"/>
                <w:color w:val="auto"/>
              </w:rPr>
            </w:pPr>
            <w:r>
              <w:rPr>
                <w:rFonts w:ascii="Arial" w:cs="Arial" w:eastAsia="Arial" w:hAnsi="Arial"/>
                <w:sz w:val="18"/>
                <w:szCs w:val="18"/>
                <w:b w:val="1"/>
                <w:bCs w:val="1"/>
                <w:color w:val="auto"/>
              </w:rPr>
              <w:t>Item 4.  Mine Safety Disclosures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gridSpan w:val="6"/>
          </w:tcPr>
          <w:p>
            <w:pPr>
              <w:ind w:left="6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3720" w:type="dxa"/>
            <w:vAlign w:val="bottom"/>
            <w:gridSpan w:val="6"/>
          </w:tcPr>
          <w:p>
            <w:pPr>
              <w:ind w:left="80"/>
              <w:spacing w:after="0"/>
              <w:rPr>
                <w:sz w:val="20"/>
                <w:szCs w:val="20"/>
                <w:color w:val="auto"/>
              </w:rPr>
            </w:pPr>
            <w:r>
              <w:rPr>
                <w:rFonts w:ascii="Arial" w:cs="Arial" w:eastAsia="Arial" w:hAnsi="Arial"/>
                <w:sz w:val="18"/>
                <w:szCs w:val="18"/>
                <w:b w:val="1"/>
                <w:bCs w:val="1"/>
                <w:color w:val="auto"/>
              </w:rPr>
              <w:t>Other Information</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gridSpan w:val="6"/>
          </w:tcPr>
          <w:p>
            <w:pPr>
              <w:ind w:left="6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720" w:type="dxa"/>
            <w:vAlign w:val="bottom"/>
            <w:gridSpan w:val="6"/>
          </w:tcPr>
          <w:p>
            <w:pPr>
              <w:ind w:left="80"/>
              <w:spacing w:after="0"/>
              <w:rPr>
                <w:sz w:val="20"/>
                <w:szCs w:val="20"/>
                <w:color w:val="auto"/>
              </w:rPr>
            </w:pPr>
            <w:r>
              <w:rPr>
                <w:rFonts w:ascii="Arial" w:cs="Arial" w:eastAsia="Arial" w:hAnsi="Arial"/>
                <w:sz w:val="18"/>
                <w:szCs w:val="18"/>
                <w:b w:val="1"/>
                <w:bCs w:val="1"/>
                <w:color w:val="auto"/>
              </w:rPr>
              <w:t>Exhibits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gridSpan w:val="6"/>
          </w:tcPr>
          <w:p>
            <w:pPr>
              <w:ind w:left="60"/>
              <w:spacing w:after="0"/>
              <w:rPr>
                <w:sz w:val="20"/>
                <w:szCs w:val="20"/>
                <w:color w:val="auto"/>
              </w:rPr>
            </w:pPr>
            <w:r>
              <w:rPr>
                <w:rFonts w:ascii="Arial" w:cs="Arial" w:eastAsia="Arial" w:hAnsi="Arial"/>
                <w:sz w:val="18"/>
                <w:szCs w:val="18"/>
                <w:color w:val="auto"/>
              </w:rPr>
              <w:t>(a)  Exhibits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Method of Filing</w:t>
            </w: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line="170"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40" w:type="dxa"/>
            <w:vAlign w:val="bottom"/>
            <w:gridSpan w:val="7"/>
          </w:tcPr>
          <w:p>
            <w:pPr>
              <w:spacing w:after="0" w:line="170"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Amended and Restated Certificate of Incorporation</w:t>
              </w:r>
            </w:hyperlink>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80" w:type="dxa"/>
            <w:vAlign w:val="bottom"/>
            <w:gridSpan w:val="9"/>
          </w:tcPr>
          <w:p>
            <w:pPr>
              <w:spacing w:after="0" w:line="170" w:lineRule="exact"/>
              <w:rPr>
                <w:sz w:val="20"/>
                <w:szCs w:val="20"/>
                <w:color w:val="auto"/>
              </w:rPr>
            </w:pPr>
            <w:r>
              <w:rPr>
                <w:rFonts w:ascii="Arial" w:cs="Arial" w:eastAsia="Arial" w:hAnsi="Arial"/>
                <w:sz w:val="18"/>
                <w:szCs w:val="18"/>
                <w:color w:val="auto"/>
              </w:rPr>
              <w:t>Incorporated by reference to Exhibit 3.1 to the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(as amended).</w:t>
              </w:r>
            </w:hyperlink>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gridSpan w:val="10"/>
          </w:tcPr>
          <w:p>
            <w:pPr>
              <w:spacing w:after="0" w:line="196" w:lineRule="exact"/>
              <w:rPr>
                <w:sz w:val="20"/>
                <w:szCs w:val="20"/>
                <w:color w:val="auto"/>
              </w:rPr>
            </w:pPr>
            <w:r>
              <w:rPr>
                <w:rFonts w:ascii="Arial" w:cs="Arial" w:eastAsia="Arial" w:hAnsi="Arial"/>
                <w:sz w:val="18"/>
                <w:szCs w:val="18"/>
                <w:color w:val="auto"/>
                <w:w w:val="96"/>
              </w:rPr>
              <w:t>Company’s Annual Report on Form 10-K filed with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6"/>
          </w:tcPr>
          <w:p>
            <w:pPr>
              <w:spacing w:after="0"/>
              <w:rPr>
                <w:sz w:val="20"/>
                <w:szCs w:val="20"/>
                <w:color w:val="auto"/>
              </w:rPr>
            </w:pPr>
            <w:r>
              <w:rPr>
                <w:rFonts w:ascii="Arial" w:cs="Arial" w:eastAsia="Arial" w:hAnsi="Arial"/>
                <w:sz w:val="18"/>
                <w:szCs w:val="18"/>
                <w:color w:val="auto"/>
              </w:rPr>
              <w:t>the SEC on February 20, 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gridSpan w:val="2"/>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4"/>
          </w:tcPr>
          <w:p>
            <w:pPr>
              <w:spacing w:after="0"/>
              <w:rPr>
                <w:rFonts w:ascii="Arial" w:cs="Arial" w:eastAsia="Arial" w:hAnsi="Arial"/>
                <w:sz w:val="18"/>
                <w:szCs w:val="18"/>
                <w:color w:val="0000EE"/>
              </w:rPr>
            </w:pPr>
            <w:hyperlink r:id="rId53">
              <w:r>
                <w:rPr>
                  <w:rFonts w:ascii="Arial" w:cs="Arial" w:eastAsia="Arial" w:hAnsi="Arial"/>
                  <w:sz w:val="18"/>
                  <w:szCs w:val="18"/>
                  <w:color w:val="0000EE"/>
                </w:rPr>
                <w:t>Third Amended and Restated Bylaws.</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10"/>
          </w:tcPr>
          <w:p>
            <w:pPr>
              <w:spacing w:after="0"/>
              <w:rPr>
                <w:sz w:val="20"/>
                <w:szCs w:val="20"/>
                <w:color w:val="auto"/>
              </w:rPr>
            </w:pPr>
            <w:r>
              <w:rPr>
                <w:rFonts w:ascii="Arial" w:cs="Arial" w:eastAsia="Arial" w:hAnsi="Arial"/>
                <w:sz w:val="18"/>
                <w:szCs w:val="18"/>
                <w:color w:val="auto"/>
              </w:rPr>
              <w:t>Incorporated by reference to Exhibit 3.1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gridSpan w:val="10"/>
          </w:tcPr>
          <w:p>
            <w:pPr>
              <w:spacing w:after="0" w:line="207" w:lineRule="exact"/>
              <w:rPr>
                <w:sz w:val="20"/>
                <w:szCs w:val="20"/>
                <w:color w:val="auto"/>
              </w:rPr>
            </w:pPr>
            <w:r>
              <w:rPr>
                <w:rFonts w:ascii="Arial" w:cs="Arial" w:eastAsia="Arial" w:hAnsi="Arial"/>
                <w:sz w:val="18"/>
                <w:szCs w:val="18"/>
                <w:color w:val="auto"/>
                <w:w w:val="98"/>
              </w:rPr>
              <w:t>Company’s Current Report on Form 8</w:t>
            </w:r>
            <w:r>
              <w:rPr>
                <w:rFonts w:ascii="MS PGothic" w:cs="MS PGothic" w:eastAsia="MS PGothic" w:hAnsi="MS PGothic"/>
                <w:sz w:val="18"/>
                <w:szCs w:val="18"/>
                <w:color w:val="auto"/>
                <w:w w:val="98"/>
              </w:rPr>
              <w:t>‑</w:t>
            </w:r>
            <w:r>
              <w:rPr>
                <w:rFonts w:ascii="Arial" w:cs="Arial" w:eastAsia="Arial" w:hAnsi="Arial"/>
                <w:sz w:val="18"/>
                <w:szCs w:val="18"/>
                <w:color w:val="auto"/>
                <w:w w:val="98"/>
              </w:rPr>
              <w:t>K filed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6"/>
          </w:tcPr>
          <w:p>
            <w:pPr>
              <w:spacing w:after="0"/>
              <w:rPr>
                <w:sz w:val="20"/>
                <w:szCs w:val="20"/>
                <w:color w:val="auto"/>
              </w:rPr>
            </w:pPr>
            <w:r>
              <w:rPr>
                <w:rFonts w:ascii="Arial" w:cs="Arial" w:eastAsia="Arial" w:hAnsi="Arial"/>
                <w:sz w:val="18"/>
                <w:szCs w:val="18"/>
                <w:color w:val="auto"/>
              </w:rPr>
              <w:t>the SEC on October 29, 2014.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gridSpan w:val="2"/>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4"/>
          </w:tcPr>
          <w:p>
            <w:pPr>
              <w:spacing w:after="0"/>
              <w:rPr>
                <w:rFonts w:ascii="Arial" w:cs="Arial" w:eastAsia="Arial" w:hAnsi="Arial"/>
                <w:sz w:val="18"/>
                <w:szCs w:val="18"/>
                <w:color w:val="0000EE"/>
              </w:rPr>
            </w:pPr>
            <w:hyperlink r:id="rId54">
              <w:r>
                <w:rPr>
                  <w:rFonts w:ascii="Arial" w:cs="Arial" w:eastAsia="Arial" w:hAnsi="Arial"/>
                  <w:sz w:val="18"/>
                  <w:szCs w:val="18"/>
                  <w:color w:val="0000EE"/>
                </w:rPr>
                <w:t>Specimen of Stock Certificate.</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10"/>
          </w:tcPr>
          <w:p>
            <w:pPr>
              <w:spacing w:after="0"/>
              <w:rPr>
                <w:sz w:val="20"/>
                <w:szCs w:val="20"/>
                <w:color w:val="auto"/>
              </w:rPr>
            </w:pPr>
            <w:r>
              <w:rPr>
                <w:rFonts w:ascii="Arial" w:cs="Arial" w:eastAsia="Arial" w:hAnsi="Arial"/>
                <w:sz w:val="18"/>
                <w:szCs w:val="18"/>
                <w:color w:val="auto"/>
              </w:rPr>
              <w:t>Incorporated by reference to Exhibit 4.1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gridSpan w:val="10"/>
          </w:tcPr>
          <w:p>
            <w:pPr>
              <w:spacing w:after="0"/>
              <w:rPr>
                <w:sz w:val="20"/>
                <w:szCs w:val="20"/>
                <w:color w:val="auto"/>
              </w:rPr>
            </w:pPr>
            <w:r>
              <w:rPr>
                <w:rFonts w:ascii="Arial" w:cs="Arial" w:eastAsia="Arial" w:hAnsi="Arial"/>
                <w:sz w:val="18"/>
                <w:szCs w:val="18"/>
                <w:color w:val="auto"/>
                <w:w w:val="99"/>
              </w:rPr>
              <w:t>Amendment No. 2 to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gridSpan w:val="10"/>
          </w:tcPr>
          <w:p>
            <w:pPr>
              <w:spacing w:after="0" w:line="207" w:lineRule="exact"/>
              <w:rPr>
                <w:sz w:val="20"/>
                <w:szCs w:val="20"/>
                <w:color w:val="auto"/>
              </w:rPr>
            </w:pPr>
            <w:r>
              <w:rPr>
                <w:rFonts w:ascii="Arial" w:cs="Arial" w:eastAsia="Arial" w:hAnsi="Arial"/>
                <w:sz w:val="18"/>
                <w:szCs w:val="18"/>
                <w:color w:val="auto"/>
              </w:rPr>
              <w:t>Statement on Form S</w:t>
            </w:r>
            <w:r>
              <w:rPr>
                <w:rFonts w:ascii="MS PGothic" w:cs="MS PGothic" w:eastAsia="MS PGothic" w:hAnsi="MS PGothic"/>
                <w:sz w:val="18"/>
                <w:szCs w:val="18"/>
                <w:color w:val="auto"/>
              </w:rPr>
              <w:t>‑</w:t>
            </w:r>
            <w:r>
              <w:rPr>
                <w:rFonts w:ascii="Arial" w:cs="Arial" w:eastAsia="Arial" w:hAnsi="Arial"/>
                <w:sz w:val="18"/>
                <w:szCs w:val="18"/>
                <w:color w:val="auto"/>
              </w:rPr>
              <w:t>1 filed with the SEC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6"/>
          </w:tcPr>
          <w:p>
            <w:pPr>
              <w:spacing w:after="0"/>
              <w:rPr>
                <w:sz w:val="20"/>
                <w:szCs w:val="20"/>
                <w:color w:val="auto"/>
              </w:rPr>
            </w:pPr>
            <w:r>
              <w:rPr>
                <w:rFonts w:ascii="Arial" w:cs="Arial" w:eastAsia="Arial" w:hAnsi="Arial"/>
                <w:sz w:val="18"/>
                <w:szCs w:val="18"/>
                <w:color w:val="auto"/>
              </w:rPr>
              <w:t>September 29, 2008.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5" w:right="139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8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Certification of Principal Executive Officer pursuant</w:t>
              </w:r>
            </w:hyperlink>
          </w:p>
        </w:tc>
        <w:tc>
          <w:tcPr>
            <w:tcW w:w="1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32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to Rules 13a</w:t>
              </w:r>
              <w:r>
                <w:rPr>
                  <w:rFonts w:ascii="MS PGothic" w:cs="MS PGothic" w:eastAsia="MS PGothic" w:hAnsi="MS PGothic"/>
                  <w:sz w:val="18"/>
                  <w:szCs w:val="18"/>
                  <w:color w:val="0000EE"/>
                  <w:w w:val="88"/>
                </w:rPr>
                <w:t>‑</w:t>
              </w:r>
              <w:r>
                <w:rPr>
                  <w:rFonts w:ascii="Arial" w:cs="Arial" w:eastAsia="Arial" w:hAnsi="Arial"/>
                  <w:sz w:val="18"/>
                  <w:szCs w:val="18"/>
                  <w:color w:val="0000EE"/>
                  <w:w w:val="88"/>
                </w:rPr>
                <w:t>14(a) and 15d</w:t>
              </w:r>
              <w:r>
                <w:rPr>
                  <w:rFonts w:ascii="MS PGothic" w:cs="MS PGothic" w:eastAsia="MS PGothic" w:hAnsi="MS PGothic"/>
                  <w:sz w:val="18"/>
                  <w:szCs w:val="18"/>
                  <w:color w:val="0000EE"/>
                  <w:w w:val="88"/>
                </w:rPr>
                <w:t>‑</w:t>
              </w:r>
              <w:r>
                <w:rPr>
                  <w:rFonts w:ascii="Arial" w:cs="Arial" w:eastAsia="Arial" w:hAnsi="Arial"/>
                  <w:sz w:val="18"/>
                  <w:szCs w:val="18"/>
                  <w:color w:val="0000EE"/>
                  <w:w w:val="88"/>
                </w:rPr>
                <w:t>14(a), as adopted</w:t>
              </w:r>
            </w:hyperlink>
          </w:p>
        </w:tc>
        <w:tc>
          <w:tcPr>
            <w:tcW w:w="700" w:type="dxa"/>
            <w:vAlign w:val="bottom"/>
            <w:gridSpan w:val="7"/>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29"/>
        </w:trPr>
        <w:tc>
          <w:tcPr>
            <w:tcW w:w="1120" w:type="dxa"/>
            <w:vAlign w:val="bottom"/>
            <w:vMerge w:val="continue"/>
          </w:tcPr>
          <w:p>
            <w:pPr>
              <w:spacing w:after="0"/>
              <w:rPr>
                <w:sz w:val="11"/>
                <w:szCs w:val="11"/>
                <w:color w:val="auto"/>
              </w:rPr>
            </w:pPr>
          </w:p>
        </w:tc>
        <w:tc>
          <w:tcPr>
            <w:tcW w:w="3960" w:type="dxa"/>
            <w:vAlign w:val="bottom"/>
            <w:gridSpan w:val="9"/>
            <w:vMerge w:val="restart"/>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pursuant to Section 302 of the Sarbanes-Oxley Act of</w:t>
              </w:r>
            </w:hyperlink>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2002.</w:t>
              </w:r>
            </w:hyperlink>
          </w:p>
        </w:tc>
        <w:tc>
          <w:tcPr>
            <w:tcW w:w="28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3960" w:type="dxa"/>
            <w:vAlign w:val="bottom"/>
            <w:gridSpan w:val="9"/>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Certification of Principal Financial Officer pursuant</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to Rules 13a</w:t>
              </w:r>
              <w:r>
                <w:rPr>
                  <w:rFonts w:ascii="MS PGothic" w:cs="MS PGothic" w:eastAsia="MS PGothic" w:hAnsi="MS PGothic"/>
                  <w:sz w:val="18"/>
                  <w:szCs w:val="18"/>
                  <w:color w:val="0000EE"/>
                  <w:w w:val="88"/>
                </w:rPr>
                <w:t>‑</w:t>
              </w:r>
              <w:r>
                <w:rPr>
                  <w:rFonts w:ascii="Arial" w:cs="Arial" w:eastAsia="Arial" w:hAnsi="Arial"/>
                  <w:sz w:val="18"/>
                  <w:szCs w:val="18"/>
                  <w:color w:val="0000EE"/>
                  <w:w w:val="88"/>
                </w:rPr>
                <w:t>14(a) and 15d</w:t>
              </w:r>
              <w:r>
                <w:rPr>
                  <w:rFonts w:ascii="MS PGothic" w:cs="MS PGothic" w:eastAsia="MS PGothic" w:hAnsi="MS PGothic"/>
                  <w:sz w:val="18"/>
                  <w:szCs w:val="18"/>
                  <w:color w:val="0000EE"/>
                  <w:w w:val="88"/>
                </w:rPr>
                <w:t>‑</w:t>
              </w:r>
              <w:r>
                <w:rPr>
                  <w:rFonts w:ascii="Arial" w:cs="Arial" w:eastAsia="Arial" w:hAnsi="Arial"/>
                  <w:sz w:val="18"/>
                  <w:szCs w:val="18"/>
                  <w:color w:val="0000EE"/>
                  <w:w w:val="88"/>
                </w:rPr>
                <w:t>14(a), as adopted</w:t>
              </w:r>
            </w:hyperlink>
          </w:p>
        </w:tc>
        <w:tc>
          <w:tcPr>
            <w:tcW w:w="480" w:type="dxa"/>
            <w:vAlign w:val="bottom"/>
            <w:tcBorders>
              <w:top w:val="single" w:sz="8" w:color="0000EE"/>
            </w:tcBorders>
            <w:gridSpan w:val="4"/>
          </w:tcPr>
          <w:p>
            <w:pPr>
              <w:spacing w:after="0"/>
              <w:rPr>
                <w:sz w:val="17"/>
                <w:szCs w:val="17"/>
                <w:color w:val="auto"/>
              </w:rPr>
            </w:pPr>
          </w:p>
        </w:tc>
        <w:tc>
          <w:tcPr>
            <w:tcW w:w="22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960" w:type="dxa"/>
            <w:vAlign w:val="bottom"/>
            <w:gridSpan w:val="9"/>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pursuant to Section 302 of the Sarbanes-Oxley Act of</w:t>
              </w:r>
            </w:hyperlink>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2002.</w:t>
              </w:r>
            </w:hyperlink>
          </w:p>
        </w:tc>
        <w:tc>
          <w:tcPr>
            <w:tcW w:w="28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ind w:left="100"/>
              <w:spacing w:after="0" w:line="196"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38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Certification of Principal Executive Officer pursuant</w:t>
              </w:r>
            </w:hyperlink>
          </w:p>
        </w:tc>
        <w:tc>
          <w:tcPr>
            <w:tcW w:w="16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6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to 18 U.S.C. Section 1350, as adopted pursuant to</w:t>
              </w:r>
            </w:hyperlink>
          </w:p>
        </w:tc>
        <w:tc>
          <w:tcPr>
            <w:tcW w:w="360" w:type="dxa"/>
            <w:vAlign w:val="bottom"/>
            <w:gridSpan w:val="6"/>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7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Section 906 of the Sarbanes-Oxley Act of 2002. ††</w:t>
              </w:r>
            </w:hyperlink>
          </w:p>
        </w:tc>
        <w:tc>
          <w:tcPr>
            <w:tcW w:w="260" w:type="dxa"/>
            <w:vAlign w:val="bottom"/>
            <w:gridSpan w:val="4"/>
          </w:tcPr>
          <w:p>
            <w:pPr>
              <w:spacing w:after="0"/>
              <w:rPr>
                <w:sz w:val="17"/>
                <w:szCs w:val="17"/>
                <w:color w:val="auto"/>
              </w:rPr>
            </w:pPr>
          </w:p>
        </w:tc>
        <w:tc>
          <w:tcPr>
            <w:tcW w:w="1200" w:type="dxa"/>
            <w:vAlign w:val="bottom"/>
          </w:tcPr>
          <w:p>
            <w:pPr>
              <w:ind w:left="100"/>
              <w:spacing w:after="0" w:line="196"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3960" w:type="dxa"/>
            <w:vAlign w:val="bottom"/>
            <w:gridSpan w:val="9"/>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Certification of Principal Financial Officer pursuant</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to 18 U.S.C. Section 1350, as adopted pursuant to</w:t>
              </w:r>
            </w:hyperlink>
          </w:p>
        </w:tc>
        <w:tc>
          <w:tcPr>
            <w:tcW w:w="140" w:type="dxa"/>
            <w:vAlign w:val="bottom"/>
            <w:tcBorders>
              <w:top w:val="single" w:sz="8" w:color="0000EE"/>
            </w:tcBorders>
            <w:gridSpan w:val="3"/>
          </w:tcPr>
          <w:p>
            <w:pPr>
              <w:spacing w:after="0"/>
              <w:rPr>
                <w:sz w:val="17"/>
                <w:szCs w:val="17"/>
                <w:color w:val="auto"/>
              </w:rPr>
            </w:pPr>
          </w:p>
        </w:tc>
        <w:tc>
          <w:tcPr>
            <w:tcW w:w="22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960" w:type="dxa"/>
            <w:vAlign w:val="bottom"/>
            <w:gridSpan w:val="9"/>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Section 906 of the Sarbanes-Oxley Act of 2002. ††</w:t>
              </w:r>
            </w:hyperlink>
          </w:p>
        </w:tc>
        <w:tc>
          <w:tcPr>
            <w:tcW w:w="1200" w:type="dxa"/>
            <w:vAlign w:val="bottom"/>
          </w:tcPr>
          <w:p>
            <w:pPr>
              <w:ind w:left="100"/>
              <w:spacing w:after="0" w:line="196"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438"/>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36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280" w:type="dxa"/>
            <w:vAlign w:val="bottom"/>
            <w:gridSpan w:val="5"/>
          </w:tcPr>
          <w:p>
            <w:pPr>
              <w:spacing w:after="0"/>
              <w:rPr>
                <w:sz w:val="24"/>
                <w:szCs w:val="24"/>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396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39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39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39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3960" w:type="dxa"/>
            <w:vAlign w:val="bottom"/>
            <w:gridSpan w:val="9"/>
          </w:tcPr>
          <w:p>
            <w:pPr>
              <w:spacing w:after="0"/>
              <w:rPr>
                <w:sz w:val="20"/>
                <w:szCs w:val="20"/>
                <w:color w:val="auto"/>
              </w:rPr>
            </w:pPr>
            <w:r>
              <w:rPr>
                <w:rFonts w:ascii="Arial" w:cs="Arial" w:eastAsia="Arial" w:hAnsi="Arial"/>
                <w:sz w:val="18"/>
                <w:szCs w:val="18"/>
                <w:color w:val="auto"/>
                <w:w w:val="97"/>
              </w:rPr>
              <w:t>XBRL Taxonomy Extension Presentation Linkbase</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320" w:right="19" w:hanging="317"/>
        <w:spacing w:after="0" w:line="312" w:lineRule="auto"/>
        <w:tabs>
          <w:tab w:leader="none" w:pos="3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6160" w:type="dxa"/>
            <w:vAlign w:val="bottom"/>
            <w:gridSpan w:val="2"/>
          </w:tcPr>
          <w:p>
            <w:pPr>
              <w:ind w:left="174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Date: May 7, 2019</w:t>
            </w:r>
          </w:p>
        </w:tc>
        <w:tc>
          <w:tcPr>
            <w:tcW w:w="6160" w:type="dxa"/>
            <w:vAlign w:val="bottom"/>
            <w:gridSpan w:val="2"/>
          </w:tcPr>
          <w:p>
            <w:pPr>
              <w:ind w:left="1740"/>
              <w:spacing w:after="0"/>
              <w:rPr>
                <w:sz w:val="20"/>
                <w:szCs w:val="20"/>
                <w:color w:val="auto"/>
              </w:rPr>
            </w:pPr>
            <w:r>
              <w:rPr>
                <w:rFonts w:ascii="Arial" w:cs="Arial" w:eastAsia="Arial" w:hAnsi="Arial"/>
                <w:sz w:val="18"/>
                <w:szCs w:val="18"/>
                <w:color w:val="auto"/>
              </w:rPr>
              <w:t>By: /s/ Daniel E. Bachus</w:t>
            </w:r>
          </w:p>
        </w:tc>
      </w:tr>
      <w:tr>
        <w:trPr>
          <w:trHeight w:val="20"/>
        </w:trPr>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r>
        <w:trPr>
          <w:trHeight w:val="182"/>
        </w:trPr>
        <w:tc>
          <w:tcPr>
            <w:tcW w:w="2900" w:type="dxa"/>
            <w:vAlign w:val="bottom"/>
          </w:tcPr>
          <w:p>
            <w:pPr>
              <w:spacing w:after="0"/>
              <w:rPr>
                <w:sz w:val="15"/>
                <w:szCs w:val="15"/>
                <w:color w:val="auto"/>
              </w:rPr>
            </w:pPr>
          </w:p>
        </w:tc>
        <w:tc>
          <w:tcPr>
            <w:tcW w:w="6160" w:type="dxa"/>
            <w:vAlign w:val="bottom"/>
            <w:gridSpan w:val="2"/>
          </w:tcPr>
          <w:p>
            <w:pPr>
              <w:ind w:left="174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2900" w:type="dxa"/>
            <w:vAlign w:val="bottom"/>
          </w:tcPr>
          <w:p>
            <w:pPr>
              <w:spacing w:after="0"/>
              <w:rPr>
                <w:sz w:val="18"/>
                <w:szCs w:val="18"/>
                <w:color w:val="auto"/>
              </w:rPr>
            </w:pPr>
          </w:p>
        </w:tc>
        <w:tc>
          <w:tcPr>
            <w:tcW w:w="6160" w:type="dxa"/>
            <w:vAlign w:val="bottom"/>
            <w:gridSpan w:val="2"/>
          </w:tcPr>
          <w:p>
            <w:pPr>
              <w:ind w:left="1740"/>
              <w:spacing w:after="0"/>
              <w:rPr>
                <w:sz w:val="20"/>
                <w:szCs w:val="20"/>
                <w:color w:val="auto"/>
              </w:rPr>
            </w:pPr>
            <w:r>
              <w:rPr>
                <w:rFonts w:ascii="Arial" w:cs="Arial" w:eastAsia="Arial" w:hAnsi="Arial"/>
                <w:sz w:val="18"/>
                <w:szCs w:val="18"/>
                <w:color w:val="auto"/>
              </w:rPr>
              <w:t>Chief Financial Officer</w:t>
            </w:r>
          </w:p>
        </w:tc>
      </w:tr>
      <w:tr>
        <w:trPr>
          <w:trHeight w:val="216"/>
        </w:trPr>
        <w:tc>
          <w:tcPr>
            <w:tcW w:w="2900" w:type="dxa"/>
            <w:vAlign w:val="bottom"/>
          </w:tcPr>
          <w:p>
            <w:pPr>
              <w:spacing w:after="0"/>
              <w:rPr>
                <w:sz w:val="18"/>
                <w:szCs w:val="18"/>
                <w:color w:val="auto"/>
              </w:rPr>
            </w:pPr>
          </w:p>
        </w:tc>
        <w:tc>
          <w:tcPr>
            <w:tcW w:w="6160" w:type="dxa"/>
            <w:vAlign w:val="bottom"/>
            <w:gridSpan w:val="2"/>
          </w:tcPr>
          <w:p>
            <w:pPr>
              <w:ind w:left="1740"/>
              <w:spacing w:after="0"/>
              <w:rPr>
                <w:sz w:val="20"/>
                <w:szCs w:val="20"/>
                <w:color w:val="auto"/>
              </w:rPr>
            </w:pPr>
            <w:r>
              <w:rPr>
                <w:rFonts w:ascii="Arial" w:cs="Arial" w:eastAsia="Arial" w:hAnsi="Arial"/>
                <w:sz w:val="18"/>
                <w:szCs w:val="18"/>
                <w:color w:val="auto"/>
              </w:rPr>
              <w:t>(Principal Financial Officer and Principal Accounting</w:t>
            </w:r>
          </w:p>
        </w:tc>
      </w:tr>
      <w:tr>
        <w:trPr>
          <w:trHeight w:val="230"/>
        </w:trPr>
        <w:tc>
          <w:tcPr>
            <w:tcW w:w="2900" w:type="dxa"/>
            <w:vAlign w:val="bottom"/>
          </w:tcPr>
          <w:p>
            <w:pPr>
              <w:spacing w:after="0"/>
              <w:rPr>
                <w:sz w:val="20"/>
                <w:szCs w:val="20"/>
                <w:color w:val="auto"/>
              </w:rPr>
            </w:pPr>
          </w:p>
        </w:tc>
        <w:tc>
          <w:tcPr>
            <w:tcW w:w="6160" w:type="dxa"/>
            <w:vAlign w:val="bottom"/>
            <w:gridSpan w:val="2"/>
          </w:tcPr>
          <w:p>
            <w:pPr>
              <w:ind w:left="1740"/>
              <w:spacing w:after="0"/>
              <w:rPr>
                <w:sz w:val="20"/>
                <w:szCs w:val="20"/>
                <w:color w:val="auto"/>
              </w:rPr>
            </w:pPr>
            <w:r>
              <w:rPr>
                <w:rFonts w:ascii="Arial" w:cs="Arial" w:eastAsia="Arial" w:hAnsi="Arial"/>
                <w:sz w:val="18"/>
                <w:szCs w:val="18"/>
                <w:color w:val="auto"/>
              </w:rPr>
              <w:t>Officer)</w:t>
            </w:r>
          </w:p>
        </w:tc>
      </w:tr>
      <w:tr>
        <w:trPr>
          <w:trHeight w:val="878"/>
        </w:trPr>
        <w:tc>
          <w:tcPr>
            <w:tcW w:w="2900" w:type="dxa"/>
            <w:vAlign w:val="bottom"/>
          </w:tcPr>
          <w:p>
            <w:pPr>
              <w:spacing w:after="0"/>
              <w:rPr>
                <w:sz w:val="24"/>
                <w:szCs w:val="24"/>
                <w:color w:val="auto"/>
              </w:rPr>
            </w:pPr>
          </w:p>
        </w:tc>
        <w:tc>
          <w:tcPr>
            <w:tcW w:w="2080" w:type="dxa"/>
            <w:vAlign w:val="bottom"/>
          </w:tcPr>
          <w:p>
            <w:pPr>
              <w:ind w:left="1540"/>
              <w:spacing w:after="0"/>
              <w:rPr>
                <w:sz w:val="20"/>
                <w:szCs w:val="20"/>
                <w:color w:val="auto"/>
              </w:rPr>
            </w:pPr>
            <w:r>
              <w:rPr>
                <w:rFonts w:ascii="Arial" w:cs="Arial" w:eastAsia="Arial" w:hAnsi="Arial"/>
                <w:sz w:val="18"/>
                <w:szCs w:val="18"/>
                <w:color w:val="auto"/>
              </w:rPr>
              <w:t>36</w:t>
            </w:r>
          </w:p>
        </w:tc>
        <w:tc>
          <w:tcPr>
            <w:tcW w:w="4080" w:type="dxa"/>
            <w:vAlign w:val="bottom"/>
          </w:tcPr>
          <w:p>
            <w:pPr>
              <w:spacing w:after="0"/>
              <w:rPr>
                <w:sz w:val="24"/>
                <w:szCs w:val="24"/>
                <w:color w:val="auto"/>
              </w:rPr>
            </w:pPr>
          </w:p>
        </w:tc>
      </w:tr>
      <w:tr>
        <w:trPr>
          <w:trHeight w:val="129"/>
        </w:trPr>
        <w:tc>
          <w:tcPr>
            <w:tcW w:w="290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00" w:hanging="177"/>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March 31, 2019 of Grand Canyon Education, Inc.;</w:t>
      </w:r>
    </w:p>
    <w:p>
      <w:pPr>
        <w:spacing w:after="0" w:line="236" w:lineRule="exact"/>
        <w:rPr>
          <w:rFonts w:ascii="Arial" w:cs="Arial" w:eastAsia="Arial" w:hAnsi="Arial"/>
          <w:sz w:val="17"/>
          <w:szCs w:val="17"/>
          <w:color w:val="auto"/>
        </w:rPr>
      </w:pPr>
    </w:p>
    <w:p>
      <w:pPr>
        <w:ind w:right="80" w:firstLine="323"/>
        <w:spacing w:after="0" w:line="264"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40" w:firstLine="323"/>
        <w:spacing w:after="0" w:line="264"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right="120" w:firstLine="323"/>
        <w:spacing w:after="0" w:line="264"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40" w:firstLine="518"/>
        <w:spacing w:after="0" w:line="286" w:lineRule="auto"/>
        <w:tabs>
          <w:tab w:leader="none" w:pos="703"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280" w:firstLine="518"/>
        <w:spacing w:after="0" w:line="264" w:lineRule="auto"/>
        <w:tabs>
          <w:tab w:leader="none" w:pos="71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518"/>
        <w:spacing w:after="0" w:line="264" w:lineRule="auto"/>
        <w:tabs>
          <w:tab w:leader="none" w:pos="7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right="20" w:firstLine="518"/>
        <w:spacing w:after="0" w:line="264" w:lineRule="auto"/>
        <w:tabs>
          <w:tab w:leader="none" w:pos="71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80" w:firstLine="323"/>
        <w:spacing w:after="0" w:line="264"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right="140" w:firstLine="518"/>
        <w:spacing w:after="0" w:line="342" w:lineRule="auto"/>
        <w:tabs>
          <w:tab w:leader="none" w:pos="703"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140" w:firstLine="518"/>
        <w:spacing w:after="0" w:line="277" w:lineRule="auto"/>
        <w:tabs>
          <w:tab w:leader="none" w:pos="71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Date: May 7, 2019</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14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1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1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3"/>
        </w:trPr>
        <w:tc>
          <w:tcPr>
            <w:tcW w:w="51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00" w:hanging="177"/>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March 31, 2019 of Grand Canyon Education, Inc.;</w:t>
      </w:r>
    </w:p>
    <w:p>
      <w:pPr>
        <w:spacing w:after="0" w:line="236" w:lineRule="exact"/>
        <w:rPr>
          <w:rFonts w:ascii="Arial" w:cs="Arial" w:eastAsia="Arial" w:hAnsi="Arial"/>
          <w:sz w:val="17"/>
          <w:szCs w:val="17"/>
          <w:color w:val="auto"/>
        </w:rPr>
      </w:pPr>
    </w:p>
    <w:p>
      <w:pPr>
        <w:ind w:right="80" w:firstLine="323"/>
        <w:spacing w:after="0" w:line="264"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40" w:firstLine="323"/>
        <w:spacing w:after="0" w:line="264"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right="120" w:firstLine="323"/>
        <w:spacing w:after="0" w:line="264"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40" w:firstLine="518"/>
        <w:spacing w:after="0" w:line="286" w:lineRule="auto"/>
        <w:tabs>
          <w:tab w:leader="none" w:pos="703"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280" w:firstLine="518"/>
        <w:spacing w:after="0" w:line="264" w:lineRule="auto"/>
        <w:tabs>
          <w:tab w:leader="none" w:pos="7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518"/>
        <w:spacing w:after="0" w:line="264" w:lineRule="auto"/>
        <w:tabs>
          <w:tab w:leader="none" w:pos="703"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right="20" w:firstLine="518"/>
        <w:spacing w:after="0" w:line="264" w:lineRule="auto"/>
        <w:tabs>
          <w:tab w:leader="none" w:pos="7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80" w:firstLine="323"/>
        <w:spacing w:after="0" w:line="264"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right="140" w:firstLine="518"/>
        <w:spacing w:after="0" w:line="342" w:lineRule="auto"/>
        <w:tabs>
          <w:tab w:leader="none" w:pos="703"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140" w:firstLine="518"/>
        <w:spacing w:after="0" w:line="277" w:lineRule="auto"/>
        <w:tabs>
          <w:tab w:leader="none" w:pos="7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Date: May 7, 2019</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14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1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1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53"/>
        </w:trPr>
        <w:tc>
          <w:tcPr>
            <w:tcW w:w="51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1" w:right="10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2019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21" w:right="260" w:hanging="321"/>
        <w:spacing w:after="0" w:line="277" w:lineRule="auto"/>
        <w:tabs>
          <w:tab w:leader="none" w:pos="3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21" w:right="20" w:hanging="321"/>
        <w:spacing w:after="0" w:line="277" w:lineRule="auto"/>
        <w:tabs>
          <w:tab w:leader="none" w:pos="3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/s/ Brian E. Mueller</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388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1" w:right="4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2019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21" w:right="260" w:hanging="321"/>
        <w:spacing w:after="0" w:line="277" w:lineRule="auto"/>
        <w:tabs>
          <w:tab w:leader="none" w:pos="3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21" w:right="20" w:hanging="321"/>
        <w:spacing w:after="0" w:line="277" w:lineRule="auto"/>
        <w:tabs>
          <w:tab w:leader="none" w:pos="3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/s/ Daniel E. Bachus</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388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1"/>
      </w:cols>
      <w:pgMar w:left="919"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emdash "/>
      <w:numFmt w:val="bullet"/>
      <w:start w:val="1"/>
    </w:lvl>
  </w:abstractNum>
  <w:abstractNum w:abstractNumId="7">
    <w:nsid w:val="1F16E9E8"/>
    <w:multiLevelType w:val="hybridMultilevel"/>
    <w:lvl w:ilvl="0">
      <w:lvlJc w:val="left"/>
      <w:lvlText w:val="\emdash "/>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52" Type="http://schemas.openxmlformats.org/officeDocument/2006/relationships/hyperlink" Target="http://www.sec.gov/Archives/edgar/data/1434588/000155837019000782/lope-20181231ex31395dfc9.htm" TargetMode="External"/><Relationship Id="rId53" Type="http://schemas.openxmlformats.org/officeDocument/2006/relationships/hyperlink" Target="http://www.sec.gov/Archives/edgar/data/1434588/000119312514387149/d812440dex31.htm" TargetMode="External"/><Relationship Id="rId54"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2019-12-28T13:08:04Z</dcterms:created>
  <dcterms:modified xsi:type="dcterms:W3CDTF">2019-12-28T13:08:04Z</dcterms:modified>
</cp:coreProperties>
</file>