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7"/>
            <w:vMerge w:val="restart"/>
          </w:tcPr>
          <w:p>
            <w:pPr>
              <w:jc w:val="center"/>
              <w:ind w:right="34"/>
              <w:spacing w:after="0"/>
              <w:rPr>
                <w:sz w:val="20"/>
                <w:szCs w:val="20"/>
                <w:color w:val="auto"/>
              </w:rPr>
            </w:pPr>
            <w:r>
              <w:rPr>
                <w:rFonts w:ascii="Arial" w:cs="Arial" w:eastAsia="Arial" w:hAnsi="Arial"/>
                <w:sz w:val="14"/>
                <w:szCs w:val="14"/>
                <w:color w:val="auto"/>
                <w:w w:val="95"/>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center"/>
              <w:ind w:left="508"/>
              <w:spacing w:after="0"/>
              <w:rPr>
                <w:sz w:val="20"/>
                <w:szCs w:val="20"/>
                <w:color w:val="auto"/>
              </w:rPr>
            </w:pPr>
            <w:r>
              <w:rPr>
                <w:rFonts w:ascii="Arial" w:cs="Arial" w:eastAsia="Arial" w:hAnsi="Arial"/>
                <w:sz w:val="18"/>
                <w:szCs w:val="18"/>
                <w:color w:val="0000FF"/>
                <w:w w:val="86"/>
              </w:rPr>
              <w:t>11/07/2011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right"/>
              <w:spacing w:after="0"/>
              <w:rPr>
                <w:sz w:val="20"/>
                <w:szCs w:val="20"/>
                <w:color w:val="auto"/>
              </w:rPr>
            </w:pPr>
            <w:r>
              <w:rPr>
                <w:rFonts w:ascii="Arial" w:cs="Arial" w:eastAsia="Arial" w:hAnsi="Arial"/>
                <w:sz w:val="18"/>
                <w:szCs w:val="18"/>
                <w:color w:val="0000FF"/>
              </w:rPr>
              <w:t>29,000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1,154,070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center"/>
              <w:ind w:left="488"/>
              <w:spacing w:after="0" w:line="217" w:lineRule="exact"/>
              <w:rPr>
                <w:sz w:val="20"/>
                <w:szCs w:val="20"/>
                <w:color w:val="auto"/>
              </w:rPr>
            </w:pPr>
            <w:r>
              <w:rPr>
                <w:rFonts w:ascii="Arial" w:cs="Arial" w:eastAsia="Arial" w:hAnsi="Arial"/>
                <w:sz w:val="18"/>
                <w:szCs w:val="18"/>
                <w:color w:val="0000FF"/>
                <w:w w:val="85"/>
              </w:rPr>
              <w:t>01/03/2012</w:t>
            </w:r>
            <w:r>
              <w:rPr>
                <w:rFonts w:ascii="Arial" w:cs="Arial" w:eastAsia="Arial" w:hAnsi="Arial"/>
                <w:sz w:val="22"/>
                <w:szCs w:val="22"/>
                <w:color w:val="008000"/>
                <w:w w:val="85"/>
                <w:vertAlign w:val="superscript"/>
              </w:rPr>
              <w:t>(2)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6" w:lineRule="exact"/>
              <w:rPr>
                <w:sz w:val="20"/>
                <w:szCs w:val="20"/>
                <w:color w:val="auto"/>
              </w:rPr>
            </w:pPr>
            <w:r>
              <w:rPr>
                <w:rFonts w:ascii="Arial" w:cs="Arial" w:eastAsia="Arial" w:hAnsi="Arial"/>
                <w:sz w:val="25"/>
                <w:szCs w:val="25"/>
                <w:color w:val="000000"/>
                <w:vertAlign w:val="subscript"/>
              </w:rPr>
              <w:t>$</w:t>
            </w:r>
            <w:r>
              <w:rPr>
                <w:rFonts w:ascii="Arial" w:cs="Arial" w:eastAsia="Arial" w:hAnsi="Arial"/>
                <w:sz w:val="25"/>
                <w:szCs w:val="25"/>
                <w:color w:val="0000FF"/>
                <w:vertAlign w:val="subscript"/>
              </w:rPr>
              <w:t>16</w:t>
            </w:r>
            <w:r>
              <w:rPr>
                <w:rFonts w:ascii="Arial" w:cs="Arial" w:eastAsia="Arial" w:hAnsi="Arial"/>
                <w:sz w:val="10"/>
                <w:szCs w:val="10"/>
                <w:color w:val="008000"/>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1,134,070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center"/>
              <w:ind w:left="488"/>
              <w:spacing w:after="0" w:line="217" w:lineRule="exact"/>
              <w:rPr>
                <w:sz w:val="20"/>
                <w:szCs w:val="20"/>
                <w:color w:val="auto"/>
              </w:rPr>
            </w:pPr>
            <w:r>
              <w:rPr>
                <w:rFonts w:ascii="Arial" w:cs="Arial" w:eastAsia="Arial" w:hAnsi="Arial"/>
                <w:sz w:val="18"/>
                <w:szCs w:val="18"/>
                <w:color w:val="0000FF"/>
                <w:w w:val="85"/>
              </w:rPr>
              <w:t>01/04/2012</w:t>
            </w:r>
            <w:r>
              <w:rPr>
                <w:rFonts w:ascii="Arial" w:cs="Arial" w:eastAsia="Arial" w:hAnsi="Arial"/>
                <w:sz w:val="22"/>
                <w:szCs w:val="22"/>
                <w:color w:val="008000"/>
                <w:w w:val="85"/>
                <w:vertAlign w:val="superscript"/>
              </w:rPr>
              <w:t>(2)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00FF"/>
              </w:rPr>
              <w:t>21,000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15.97</w:t>
            </w:r>
            <w:r>
              <w:rPr>
                <w:rFonts w:ascii="Arial" w:cs="Arial" w:eastAsia="Arial" w:hAnsi="Arial"/>
                <w:sz w:val="22"/>
                <w:szCs w:val="22"/>
                <w:color w:val="008000"/>
                <w:w w:val="84"/>
                <w:vertAlign w:val="superscript"/>
              </w:rPr>
              <w:t>(4)</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1,113,070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0"/>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shares previously held by the Reporting Person indirectly through Calle Camelia Investments, LLC, a family limited liability company, which were distributed to C&amp;H Capital LLC, the sole member of Calle Camelia at the time of such distribution. C&amp;H Capital LLC is a family limited liability company owned by the Reporting Person and his wife.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$15.91 to $`6.00,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 in footnotes (3) and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$15.80 to $15.90,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2019-12-18T02:40:25Z</dcterms:created>
  <dcterms:modified xsi:type="dcterms:W3CDTF">2019-12-18T02:40:25Z</dcterms:modified>
</cp:coreProperties>
</file>