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AND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3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40" w:type="dxa"/>
        <w:tblCellMar>
          <w:top w:w="0" w:type="dxa"/>
          <w:left w:w="0" w:type="dxa"/>
          <w:bottom w:w="0" w:type="dxa"/>
          <w:right w:w="0" w:type="dxa"/>
        </w:tblCellMar>
      </w:tblPr>
      <w:tr>
        <w:trPr>
          <w:trHeight w:val="214"/>
        </w:trPr>
        <w:tc>
          <w:tcPr>
            <w:tcW w:w="402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3300 W. Camelback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639-7500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2"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total number of shares of common stock outstanding as of October 31, 2016, was 47,333,291.</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1780" w:type="dxa"/>
            <w:vAlign w:val="bottom"/>
            <w:tcBorders>
              <w:bottom w:val="single" w:sz="8" w:color="auto"/>
            </w:tcBorders>
          </w:tcPr>
          <w:p>
            <w:pPr>
              <w:spacing w:after="0"/>
              <w:rPr>
                <w:sz w:val="23"/>
                <w:szCs w:val="23"/>
                <w:color w:val="auto"/>
              </w:rPr>
            </w:pPr>
          </w:p>
        </w:tc>
        <w:tc>
          <w:tcPr>
            <w:tcW w:w="69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20" w:type="dxa"/>
            <w:vAlign w:val="bottom"/>
            <w:gridSpan w:val="16"/>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2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786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6"/>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3 Quantitative and Qualitative Disclosures About Market Risk</w:t>
              </w:r>
            </w:hyperlink>
          </w:p>
        </w:tc>
        <w:tc>
          <w:tcPr>
            <w:tcW w:w="2100" w:type="dxa"/>
            <w:vAlign w:val="bottom"/>
            <w:tcBorders>
              <w:top w:val="single" w:sz="8" w:color="0000EE"/>
            </w:tcBorders>
          </w:tcPr>
          <w:p>
            <w:pPr>
              <w:spacing w:after="0"/>
              <w:rPr>
                <w:sz w:val="17"/>
                <w:szCs w:val="17"/>
                <w:color w:val="auto"/>
              </w:rPr>
            </w:pPr>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 Controls and Procedures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16"/>
          </w:tcPr>
          <w:p>
            <w:pPr>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81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Item 1A Risk Factors</w:t>
              </w:r>
            </w:hyperlink>
          </w:p>
        </w:tc>
        <w:tc>
          <w:tcPr>
            <w:tcW w:w="9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4360" w:type="dxa"/>
            <w:vAlign w:val="bottom"/>
            <w:tcBorders>
              <w:top w:val="single" w:sz="8" w:color="0000EE"/>
            </w:tcBorders>
            <w:gridSpan w:val="12"/>
          </w:tcPr>
          <w:p>
            <w:pPr>
              <w:ind w:left="20"/>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2340" w:type="dxa"/>
            <w:vAlign w:val="bottom"/>
            <w:tcBorders>
              <w:top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6</w:t>
              </w:r>
            </w:hyperlink>
          </w:p>
        </w:tc>
        <w:tc>
          <w:tcPr>
            <w:tcW w:w="6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Exhibits</w:t>
              </w:r>
            </w:hyperlink>
          </w:p>
        </w:tc>
        <w:tc>
          <w:tcPr>
            <w:tcW w:w="9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101.</w:t>
            </w:r>
            <w:r>
              <w:rPr>
                <w:rFonts w:ascii="Times New Roman" w:cs="Times New Roman" w:eastAsia="Times New Roman" w:hAnsi="Times New Roman"/>
                <w:sz w:val="18"/>
                <w:szCs w:val="18"/>
                <w:u w:val="single" w:color="auto"/>
                <w:color w:val="auto"/>
                <w:w w:val="99"/>
              </w:rPr>
              <w:t>INS</w:t>
            </w:r>
            <w:r>
              <w:rPr>
                <w:rFonts w:ascii="Times New Roman" w:cs="Times New Roman" w:eastAsia="Times New Roman" w:hAnsi="Times New Roman"/>
                <w:sz w:val="18"/>
                <w:szCs w:val="18"/>
                <w:color w:val="auto"/>
                <w:w w:val="99"/>
              </w:rPr>
              <w:t xml:space="preserve"> XBRL Instance Document</w:t>
            </w:r>
          </w:p>
        </w:tc>
        <w:tc>
          <w:tcPr>
            <w:tcW w:w="844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101.SCH XBRL Taxonomy Extension Schema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101.CAL XBRL Taxonomy Extension Calculation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101.DEF XBRL Taxonomy Extension Definition Linkbase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45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60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68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GRAND CANYON EDUCATION,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Consolidated Income Statements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4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5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210,444</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193,393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628,681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562,246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271,001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237,224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Admissions advisory and related, including $237 and $412 for the 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2016 and 2015, respectively, and $803 and $1,406 for the nine months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2016 and 2015, respectively, to related parties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28,814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87,224</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Marketing and promotional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Lease termination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163,378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144,409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468,176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415,020</w:t>
            </w: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48,984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160,505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59,189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100,535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93,297</w:t>
            </w: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4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00" w:type="dxa"/>
            <w:vAlign w:val="bottom"/>
            <w:gridSpan w:val="4"/>
            <w:vMerge w:val="continue"/>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45,953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47,175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47,009</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8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6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$29,244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$33,342</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gains (losses) on available-for-sale securities, net of taxes of $88 and $74 for the three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months ended September 30, 2016 and 2015, respectively, and $5 and $7 for the nine months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ended September 30, 2016 and 2015, respectively</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gains (losses) on hedging derivatives, net of taxes of $2 and $154 for the three months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ended September 30, 2016 and 2015, respectively, and $203 and $267 for the nine months ended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September 30, 2016 and 2015, respectively</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6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29,098</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33,203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100,201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1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1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180" w:type="dxa"/>
            <w:vAlign w:val="bottom"/>
            <w:shd w:val="clear" w:color="auto" w:fill="CCEEFF"/>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75,143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cash equivalents and investments</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69,328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49,654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10,362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21,713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royalties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1,072,266</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180" w:type="dxa"/>
            <w:vAlign w:val="bottom"/>
            <w:shd w:val="clear" w:color="auto" w:fill="CCEEFF"/>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20,707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Student deposits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70,168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18,633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91"/>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266,068</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17,321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less current portion</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68,276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281,731</w:t>
            </w:r>
          </w:p>
        </w:tc>
        <w:tc>
          <w:tcPr>
            <w:tcW w:w="0" w:type="dxa"/>
            <w:vAlign w:val="bottom"/>
          </w:tcPr>
          <w:p>
            <w:pPr>
              <w:spacing w:after="0"/>
              <w:rPr>
                <w:sz w:val="1"/>
                <w:szCs w:val="1"/>
                <w:color w:val="auto"/>
              </w:rPr>
            </w:pPr>
          </w:p>
        </w:tc>
      </w:tr>
      <w:tr>
        <w:trPr>
          <w:trHeight w:val="291"/>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 at September 30, 2016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51,275 and 50,288 shares issued and 47,328 and 46,877</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at September 30, 2016 and December 31, 2015, respectively</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3,947 and 3,411 shares of common stock at September 30, 2016 and December 31, 2015,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(89,341)</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602,937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716,789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610,251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700" w:type="dxa"/>
            <w:vAlign w:val="bottom"/>
            <w:gridSpan w:val="6"/>
            <w:vMerge w:val="continue"/>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Par Value</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50,288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503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$(69,332)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$177,167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87"/>
              </w:rPr>
              <w:t>(489)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100,535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100,201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(15,367)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275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(4,642)</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712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10,009</w:t>
            </w:r>
          </w:p>
        </w:tc>
        <w:tc>
          <w:tcPr>
            <w:tcW w:w="18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7,296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51,275</w:t>
            </w:r>
          </w:p>
        </w:tc>
        <w:tc>
          <w:tcPr>
            <w:tcW w:w="20" w:type="dxa"/>
            <w:vAlign w:val="bottom"/>
          </w:tcPr>
          <w:p>
            <w:pPr>
              <w:spacing w:after="0"/>
              <w:rPr>
                <w:sz w:val="24"/>
                <w:szCs w:val="24"/>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513</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(89,341)</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203,503</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602,937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716,789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9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9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w:t>
            </w: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100,535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bad debts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12,812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including fixed asset impairments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Restricted cash, cash equivalents and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(14,876)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Due to/from related parties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Accrued liabilities and employee related liabilities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Deferred rent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66,818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Student deposits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214,451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169,010</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(157,584)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land, building and golf course improvements related to off-site development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(41,876)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received from note receivable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Return of equity method investment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(34,597)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65,807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52,315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(166,000)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(152,938)</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notes payable and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draw on revolving line of credit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 of common shares including shares withheld in lieu of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(20,009)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75,143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8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50,826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equipment through capital lease obligations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 of Spirit warrant intangible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Shortfall tax expense from share-based compensation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Grand Canyon Education, Inc. (together with its subsidiaries, the “University”) is a comprehensive regionally accredited university that offers over 200 graduate and undergraduate degree programs and certificates across nine colleges both online and on ground at our over 250-acre campus in Phoenix, Arizona, at leased facilities and at facilities owned by third party employers. We are committed to providing an academically rigorous educational experience with a focus on professionally relevant programs that meet the objectives of our students. Our undergraduate programs are designed to be innovative and to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University and its wholly-owned subsidiaries. Intercompany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2015.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2015 from which the December 31, 2015 balance sheet information was derived.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Cash Equivalents and Investments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 significant portion of the University’s revenue is received from federal and state governments on behalf of students who participate in government financial aid and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remains as restricted for an average of 60 to 90 days from the date of receipt.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University considers its investments in municipal bonds, mutual funds and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0"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February 27, 2013, the University entered into an interest rate corridor to manage its 30 Day LIBOR interest exposure related to its variable rate debt. The fair value of the interest rate corridor instrument as of September 30, 2016 and December 31, 2015 was $205 and $728,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$531 and $699 for the nine months ended September 30, 2016 and 2015, respectively, for the effective portion of the loss on the derivatives is included as a component of other comprehensive income, net of taxes.</w:t>
      </w:r>
    </w:p>
    <w:p>
      <w:pPr>
        <w:spacing w:after="0" w:line="188"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interest rate corridor instrument reduces variable interest rate risk starting March 1, 2013 through December 20, 2019 with a notional amount of $75,000 as of September 30, 2016.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September 30, 2016, no derivative ineffectiveness was identified. Any ineffectiveness in the University’s derivative instrument designated as a hedge is reported in interest expense in the income statement. For the nine months ended September 30, 2016, $8 of credit risk was recorded as a reduction in interest expense for the interest rate corridor. At September 30, 2016, the University does not expect to reclassify gains or losses on derivative instruments from accumulated other comprehensive income (loss) into earnings during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fair value of investments, primarily municipal securities, including municipal bond portfolios and a mutual fund holding municipal securities, were determined using Level 1 and Level 2 of the hierarchy of valuation inputs, with the use of quoted market prices and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Net revenues consist primarily of tuition and fees derived from courses taught by the University online, on ground at its over 250-acre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nine months ended September 30, 2016 and 2015, the University’s revenue was reduced by approximately $123,112 and $114,660,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are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(other than goodwill)</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Instructional Costs and Services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Admissions Advisory and Related</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Advertising expenses include brand advertising, marketing leads and other branding activities. Advertising costs are expensed as incurred.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Promotional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Marketing and promotional expenses include salaries, benefits and share-based compensation for marketing personnel, and other promotional expenses.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category also includes an allocation of depreciation, amortization, rent, and occupancy costs attributable to marketing and promotional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promotional costs are expensed as incurred.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termination costs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July 2016, the University notified a current landlord of its intent to vacate leased space by the end of the fourth quarter of 2016. As part of that notification, the University was required to pay a termination fee to its landlord of $3,363 which was recorded as an expense in the third quarter of 2016. The new lease termination date is in July 2017. At the date the University vacates the space, it will expense the remaining amounts due under the lease net of remaining deferred rent. We estimate this amount to be $300.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reasonably estimable, the University records a liability for the estimated loss. If the loss is not probable or the amount of the potential loss is not reasonably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April 2015, the Financial Accounting Standards Board (“FASB”) issued,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guidance requires that debt issuance costs related to a recognized debt liability be presented in the balance sheet as a direct deduction from the carrying amount of that debt liability, consistent with debt discounts. As the guidance permits, the University has elected to have debt issuance costs related to lines of credit to be reported as an asset and amortized over the term of the line. The guidance is effective for the University’s annual reporting period beginning January 1, 2016. The University adopted this new standard on January 1, 2016 on a retrospective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the presentation of debt issuance costs is in compliance with the new guidance.</w:t>
      </w:r>
    </w:p>
    <w:p>
      <w:pPr>
        <w:sectPr>
          <w:pgSz w:w="11900" w:h="16838" w:orient="portrait"/>
          <w:cols w:equalWidth="0" w:num="1">
            <w:col w:w="11400"/>
          </w:cols>
          <w:pgMar w:left="240" w:top="455"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April 2015, the FASB issued, “</w:t>
      </w:r>
      <w:r>
        <w:rPr>
          <w:rFonts w:ascii="Times New Roman" w:cs="Times New Roman" w:eastAsia="Times New Roman" w:hAnsi="Times New Roman"/>
          <w:sz w:val="18"/>
          <w:szCs w:val="18"/>
          <w:i w:val="1"/>
          <w:iCs w:val="1"/>
          <w:color w:val="auto"/>
        </w:rPr>
        <w:t>Intangibles-Goodwill and Other-Internal-Use Software, Customer’s Accounting for Fees Paid in a Cloud Computing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The guidance requires customers to determine whether a cloud computing arrangement contains a software license. If the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a software license, customers must account for fees related to the software license element in a manner consistent with how the acquisition of other software licenses is accounted for under ASC 350-40; if the arrangement does not contain a software license, customers must account for the arrangement as a service contract. The University adopted this standard on January 1, 2016 on a prospective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cloud computing arrangements is in compliance with the new guidance.</w:t>
      </w:r>
    </w:p>
    <w:p>
      <w:pPr>
        <w:spacing w:after="0" w:line="183"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color w:val="auto"/>
        </w:rPr>
        <w:t>In November 2015, the FASB issued, “</w:t>
      </w:r>
      <w:r>
        <w:rPr>
          <w:rFonts w:ascii="Times New Roman" w:cs="Times New Roman" w:eastAsia="Times New Roman" w:hAnsi="Times New Roman"/>
          <w:sz w:val="18"/>
          <w:szCs w:val="18"/>
          <w:i w:val="1"/>
          <w:iCs w:val="1"/>
          <w:color w:val="auto"/>
        </w:rPr>
        <w:t>Income Taxes: Balance Sheet Classification of Deferred Taxes</w:t>
      </w:r>
      <w:r>
        <w:rPr>
          <w:rFonts w:ascii="Times New Roman" w:cs="Times New Roman" w:eastAsia="Times New Roman" w:hAnsi="Times New Roman"/>
          <w:sz w:val="18"/>
          <w:szCs w:val="18"/>
          <w:color w:val="auto"/>
        </w:rPr>
        <w:t>.” The standard requires that deferred tax assets and liabilities be classified as noncurrent on the balance sheet rather than being separated into current and noncurrent. This standard is effective for fiscal years, and interim periods within those years, beginning after December 15, 2016. Early adoption is permitted and the standard may be applied either retrospectively or on a prospective basis to all deferred tax assets and liabilities. The University early adopted this standard on January 1, 2016 on a retrospective basis. Accordingly, we reclassified the current deferred taxes to noncurrent on our December 31, 2015 consolidated balance sheet, which decreased current deferred tax assets by $6,448 and decreased noncurrent deferred tax liabilities from $21,303 to $14,855.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May 2014, the FASB issued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After the FASB amended the standard in July 2015, the standard is effective for us on January 1, 2018 using either a full retrospective or a modified retrospective approach and early adoption is permitted effective January 1, 2017. The FASB has also issued the following standards which clarify this standard and have the same effective dates: “</w:t>
      </w:r>
      <w:r>
        <w:rPr>
          <w:rFonts w:ascii="Times New Roman" w:cs="Times New Roman" w:eastAsia="Times New Roman" w:hAnsi="Times New Roman"/>
          <w:sz w:val="18"/>
          <w:szCs w:val="18"/>
          <w:i w:val="1"/>
          <w:iCs w:val="1"/>
          <w:color w:val="auto"/>
        </w:rPr>
        <w:t>Revenue from Contracts with Customers: Principal versus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(Reporting Revenue Gross versus Net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Revenue from Contracts with Customers; Narrow-Scope Improvements and Practical Expedients</w:t>
      </w:r>
      <w:r>
        <w:rPr>
          <w:rFonts w:ascii="Times New Roman" w:cs="Times New Roman" w:eastAsia="Times New Roman" w:hAnsi="Times New Roman"/>
          <w:sz w:val="18"/>
          <w:szCs w:val="18"/>
          <w:color w:val="auto"/>
        </w:rPr>
        <w:t>.” The University is currently evaluating which transition approach to use and the impact that the new revenue recognition standards will have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consolidated financial statements.</w:t>
      </w:r>
    </w:p>
    <w:p>
      <w:pPr>
        <w:spacing w:after="0" w:line="18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standard requires a lessee to recognize assets and liabilities on the balance sheet for leases with lease terms greater than 12 month. This standard is effective for fiscal years, and interim periods within those years, beginning after December 15, 2018, and early adoption is permitted. Accordingly, the standard is effective for us on January 1, 2019 using a modified retrospective approach. We are currently evaluating the impact that the standard will have on our consolidated financial statements.</w:t>
      </w:r>
    </w:p>
    <w:p>
      <w:pPr>
        <w:spacing w:after="0" w:line="18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In March 2016, the FASB issued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The standard is intended to simplify several areas of accounting for share-based compensation arrangements, including the income tax impact, classification on the statement of cash flows and forfeitures. While aimed at reducing the cost and complexity of the accounting for share-based payments, the amendments are expected to significantly impact net income, earnings per share and the statement of cash flows as discussed further in Item 2 of this Form 10-Q. This standard is effective for fiscal years, and interim periods within those years, beginning after December 15, 2016, and early adoption is permitted. Accordingly, the University will adopt this update as of January 1, 2017 using the prospective method.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color w:val="auto"/>
        </w:rPr>
        <w:t>In June 2016, the FASB issued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8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University has determined that no other recent accounting pronouncements apply to its operations or could otherwise have a material impact on its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amounts included in restricted and unrestricted investments as of September 30, 2016 and December 31, 2015. The University considered all investments as available for sale.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10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1"/>
              </w:rPr>
              <w:t>(105)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 mutual fund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56,031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55,858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and unrestricted investments</w:t>
            </w:r>
          </w:p>
        </w:tc>
        <w:tc>
          <w:tcPr>
            <w:tcW w:w="1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105,780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(278)</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105,512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26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1"/>
              </w:rPr>
              <w:t>(169)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 mutual fund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55,720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and unrestricted investments</w:t>
            </w:r>
          </w:p>
        </w:tc>
        <w:tc>
          <w:tcPr>
            <w:tcW w:w="2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139,227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(284)</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cash flows of municipal securities are backed by the issuing municipality’s credit worthiness. All municipal securities are due in one year or less as of September 30, 2016. For the nine months ended September 30, 2016, the net unrealized losses on available-for-sale securities was $166, net of taxes.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Common Share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80" w:type="dxa"/>
            <w:vAlign w:val="bottom"/>
          </w:tcPr>
          <w:p>
            <w:pPr>
              <w:spacing w:after="0"/>
              <w:rPr>
                <w:sz w:val="15"/>
                <w:szCs w:val="15"/>
                <w:color w:val="auto"/>
              </w:rPr>
            </w:pPr>
          </w:p>
        </w:tc>
        <w:tc>
          <w:tcPr>
            <w:tcW w:w="17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46,231</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46,063</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45,953</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45,956</w:t>
            </w: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r>
      <w:tr>
        <w:trPr>
          <w:trHeight w:val="223"/>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47,320</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47,009</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47,262</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Diluted weighted average shares outstanding exclude the incremental effect of shares that would be issued upon the assumed exercise of stock options and vesting of restricted stock. For the nine months ended September 30, 2016 and 2015, approximately 458 and 373, respectively, of the University’s stock options outstanding were excluded from the calculation of diluted earnings per share as their inclusion would have been anti-dilutive. These options and restricted stock awards could be dilutive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Allowance for Doubtful Accounts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60" w:type="dxa"/>
            <w:vAlign w:val="bottom"/>
          </w:tcPr>
          <w:p>
            <w:pPr>
              <w:spacing w:after="0"/>
              <w:rPr>
                <w:sz w:val="13"/>
                <w:szCs w:val="13"/>
                <w:color w:val="auto"/>
              </w:rPr>
            </w:pP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60" w:type="dxa"/>
            <w:vAlign w:val="bottom"/>
          </w:tcPr>
          <w:p>
            <w:pPr>
              <w:spacing w:after="0"/>
              <w:rPr>
                <w:sz w:val="15"/>
                <w:szCs w:val="15"/>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 ended September 30, 2015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6,472</w:t>
            </w: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11,412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441"/>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8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501,208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392,754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under capital leases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101,409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1,007,222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(174,557)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vMerge w:val="restart"/>
          </w:tcPr>
          <w:p>
            <w:pPr>
              <w:spacing w:after="0"/>
              <w:rPr>
                <w:sz w:val="6"/>
                <w:szCs w:val="6"/>
                <w:color w:val="auto"/>
              </w:rPr>
            </w:pPr>
          </w:p>
        </w:tc>
        <w:tc>
          <w:tcPr>
            <w:tcW w:w="4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832,665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University leases certain land, buildings and equipment under non-cancelable operating leases expiring at various dates through 2022. Future minimum lease payments under operating leases due each year are as follows at September 30, 2016:</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(remaining three months)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9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16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117" w:right="6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Total rent expense and related taxes and operating expenses under operating leases for the nine months ended September 30, 2016 and 2015 were $5,282 and $5,837,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is reasonably estimable, the University records a liability for the loss. If the loss is not probable or the amount of the loss is not reasonably estimable,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88"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Reserves, Non-Income Tax Related</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2016, the University granted 264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nine months ended September 30, 2016, the University withheld 113 shares of common stock in lieu of taxes at a cost of $4,642 on the restricted stock vesting dates. In June 2016, the University granted 11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8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 summary of the activity related to restricted stock granted under the University’s 2008 Equity Incentive Plan (“Incentive Plan”) since December 31, 2015 is as follows: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3"/>
                <w:szCs w:val="13"/>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2015</w:t>
            </w:r>
          </w:p>
        </w:tc>
        <w:tc>
          <w:tcPr>
            <w:tcW w:w="2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tcPr>
          <w:p>
            <w:pPr>
              <w:spacing w:after="0"/>
              <w:rPr>
                <w:sz w:val="18"/>
                <w:szCs w:val="18"/>
                <w:color w:val="auto"/>
              </w:rPr>
            </w:pPr>
          </w:p>
        </w:tc>
        <w:tc>
          <w:tcPr>
            <w:tcW w:w="5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(325)</w:t>
            </w:r>
          </w:p>
        </w:tc>
        <w:tc>
          <w:tcPr>
            <w:tcW w:w="5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3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2016</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8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2016, no options were granted. A summary of the activity related to stock options granted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University’s Incentive Plan since December 31, 2015 is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Summary of Stock Options Outstanding</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9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38,215</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September 30, 2016</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gridSpan w:val="2"/>
            <w:vMerge w:val="continue"/>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issuance as of September 30, 2016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30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intrinsic value represents the value of the University’s closing stock price on September 30, 2016 ($40.39) in excess of the exercise price multiplied by the number of shares underlying options outstanding or exercisable, as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table below outlines share-based compensation expense for the nine months ended September 30, 2016 and 2015 related to restricted stock and stock options granted:</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$ 5,462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$ 5,054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tcPr>
          <w:p>
            <w:pPr>
              <w:spacing w:after="0"/>
              <w:rPr>
                <w:sz w:val="18"/>
                <w:szCs w:val="18"/>
                <w:color w:val="auto"/>
              </w:rPr>
            </w:pP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share-based compensation</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(3,614)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(3,369)</w:t>
            </w: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$ 5,054</w:t>
            </w:r>
          </w:p>
        </w:tc>
        <w:tc>
          <w:tcPr>
            <w:tcW w:w="12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Regulatory</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September 30, 2016, management believes the University is in compliance with the applicable regulations in all material respects.</w:t>
      </w:r>
    </w:p>
    <w:p>
      <w:pPr>
        <w:sectPr>
          <w:pgSz w:w="11900" w:h="16838" w:orient="portrait"/>
          <w:cols w:equalWidth="0" w:num="1">
            <w:col w:w="11400"/>
          </w:cols>
          <w:pgMar w:left="240" w:top="455" w:right="259" w:bottom="1440" w:gutter="0" w:footer="0" w:header="0"/>
        </w:sectPr>
      </w:pPr>
    </w:p>
    <w:bookmarkStart w:id="17" w:name="page18"/>
    <w:bookmarkEnd w:id="17"/>
    <w:p>
      <w:pPr>
        <w:ind w:firstLine="456"/>
        <w:spacing w:after="0" w:line="258" w:lineRule="auto"/>
        <w:rPr>
          <w:sz w:val="20"/>
          <w:szCs w:val="20"/>
          <w:color w:val="auto"/>
        </w:rPr>
      </w:pPr>
      <w:r>
        <w:rPr>
          <w:rFonts w:ascii="Times New Roman" w:cs="Times New Roman" w:eastAsia="Times New Roman" w:hAnsi="Times New Roman"/>
          <w:sz w:val="18"/>
          <w:szCs w:val="18"/>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240" w:top="121"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Treasury Stock</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Board of Directors has authorized the University to repurchase up to $175,000 in aggregate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initial approval of the share repurchase plan in 2011, the University has purchased 3,491 shares of common stock at an aggregate cost of $75,782, which includes 416 shares of common stock at an aggregate cost of $15,367 for the nine months ended September 30, 2016, which are recorded at cost in the accompanying September 30, 2016 consolidated balance sheet and statement of stockholders’ equity. At September 30, 2016, there remained $99,218 available under its share repurchase authorization. Shares repurchased in lieu of taxes are not included in the repurchase plan totals as they were approved in conjunction with the restricted share awards.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80"/>
          </w:cols>
          <w:pgMar w:left="240" w:top="455" w:right="3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including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8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89" w:lineRule="exact"/>
        <w:rPr>
          <w:sz w:val="20"/>
          <w:szCs w:val="20"/>
          <w:color w:val="auto"/>
        </w:rPr>
      </w:pPr>
    </w:p>
    <w:p>
      <w:pPr>
        <w:ind w:left="900" w:right="2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students to obtain federal Title IV funds, state financial aid, and private financing;</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federal and state laws and regulations and accrediting commission standards including pending rulemaking by the Department of Education;</w:t>
      </w:r>
    </w:p>
    <w:p>
      <w:pPr>
        <w:spacing w:after="0" w:line="67"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risks and challenges associated with strategic initiatives, including the expansion of our campus, potential acquisitions of, or investments in, new businesses, acquisitions of new properties, or the development of new campuses;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train new, and develop and train existing employees and faculty;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growth of our enrollment;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prospective students to enrolled students and to retain active students;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updating and expanding the content of existing programs and developing new programs in a cost-effective manner or on a timely basis;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competition, including competition for students and for qualified executives and other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competitive environment for marketing our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keep up with advances in technology that could enhance the online experience for our students;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2015,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are a comprehensive regionally accredited university that offers over 200 graduate and undergraduate degree programs and certificates across nine colleges both online and on ground at our over 250-acre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utilize an integrated, innovative approach to marketing, recruiting, and retaining both traditional-aged students attending on our campus in Phoenix, Arizona and working adult students attending on our campus or at off-site locations in cohorts (referred to by us as professional studies students) or online, which has enabled us to increase enrollment to approximately 82,400 at September 30, 2016.</w:t>
      </w:r>
    </w:p>
    <w:p>
      <w:pPr>
        <w:spacing w:after="0" w:line="18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End-of-period enrollment increased 9.8% between September 30, 2016 and September 30, 2015, as ground enrollment increased 12.4% and online enrollment increased 9.1%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$1,132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11.8% over the first nine months of the prior year primarily due to the enrollment growth and due to an increase in ancillary revenues resulting from the increased traditional student enrollment (e.g. housing, food, etc.). We did not raise tuition in any of our programs for our 2014-2015 or 2016-2017 academic years. A tuition increase of approximately 1% was implemented for the majority of our online programs for our 2015-2016 academic year. We have not raised our tuition for our traditional ground programs in eight years. Operating income was $160.5 million for the nine months ended September 30, 2016, an increase of 9.0% over the $147.2 million in operating income for the nine months ended September 30, 2015.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student enrollment at September 30, 2016 and 2015 by degree type and by instructional delivery method:</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12"/>
                <w:szCs w:val="12"/>
                <w:color w:val="auto"/>
              </w:rPr>
              <w:t>(1)</w:t>
            </w:r>
          </w:p>
        </w:tc>
        <w:tc>
          <w:tcPr>
            <w:tcW w:w="4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12"/>
                <w:szCs w:val="12"/>
                <w:color w:val="auto"/>
              </w:rPr>
              <w:t>(1)</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9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3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3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Graduate degrees</w:t>
            </w:r>
            <w:r>
              <w:rPr>
                <w:rFonts w:ascii="Times New Roman" w:cs="Times New Roman" w:eastAsia="Times New Roman" w:hAnsi="Times New Roman"/>
                <w:sz w:val="15"/>
                <w:szCs w:val="15"/>
                <w:color w:val="auto"/>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Undergraduate degree</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49,085</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45,771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82,422</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75,073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12"/>
                <w:szCs w:val="12"/>
                <w:color w:val="auto"/>
              </w:rPr>
              <w:t>(1)</w:t>
            </w:r>
          </w:p>
        </w:tc>
        <w:tc>
          <w:tcPr>
            <w:tcW w:w="4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12"/>
                <w:szCs w:val="12"/>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9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3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3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w:t>
            </w:r>
            <w:r>
              <w:rPr>
                <w:rFonts w:ascii="Times New Roman" w:cs="Times New Roman" w:eastAsia="Times New Roman" w:hAnsi="Times New Roman"/>
                <w:sz w:val="15"/>
                <w:szCs w:val="15"/>
                <w:color w:val="auto"/>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Ground</w:t>
            </w:r>
            <w:r>
              <w:rPr>
                <w:rFonts w:ascii="Times New Roman" w:cs="Times New Roman" w:eastAsia="Times New Roman" w:hAnsi="Times New Roman"/>
                <w:sz w:val="15"/>
                <w:szCs w:val="15"/>
                <w:color w:val="auto"/>
              </w:rPr>
              <w:t>(4)</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17,384</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15,473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82,422</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75,073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80" w:hanging="452"/>
        <w:spacing w:after="0" w:line="261"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Enrollment at September 30, 2016 and 2015 represents individual students who attended a course during the last two months of the calendar quarter. Included in enrollment at September 30, 2016 and 2015 are students pursuing non-degree certificates of 932 and 716, respectively.</w:t>
      </w: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7,213 and 6,259 students pursuing doctoral degrees at September 30, 2016 and 2015, respectively.</w:t>
      </w:r>
    </w:p>
    <w:p>
      <w:pPr>
        <w:spacing w:after="0" w:line="9" w:lineRule="exact"/>
        <w:rPr>
          <w:rFonts w:ascii="Times New Roman" w:cs="Times New Roman" w:eastAsia="Times New Roman" w:hAnsi="Times New Roman"/>
          <w:sz w:val="15"/>
          <w:szCs w:val="15"/>
          <w:color w:val="auto"/>
        </w:rPr>
      </w:pPr>
    </w:p>
    <w:p>
      <w:pPr>
        <w:ind w:left="460" w:right="420" w:hanging="452"/>
        <w:spacing w:after="0" w:line="250"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September 30, 2016 and 2015, 49.3% and 47.5%, respectively, of our working adult students (online and professional studies students) were pursuing graduate degrees.</w:t>
      </w: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both our traditional on-campus ground students and our professional studies students.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fiscal year ended December 31, 2015. During the nine months ended September 30, 2016, there have been no significant changes in our critical accounting policies.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Trends, Developments and Challenges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key trends, developments and challenges facing the University are disclosed in our Annual Report on Form 10-K for the fiscal year ended December 31, 2015. During the nine months ended September 30, 2016, there have been no significant changes in these trends. See Item 7, “Management’s Discussion and Analysis of Financial Condition and Results of Operations – Key Trends, Developments and Challenges” in our Annual Report on Form 10-K for our fiscal year ended December 31, 2015, which is incorporated herein by reference.</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Gainful Employment. </w:t>
      </w:r>
      <w:r>
        <w:rPr>
          <w:rFonts w:ascii="Times New Roman" w:cs="Times New Roman" w:eastAsia="Times New Roman" w:hAnsi="Times New Roman"/>
          <w:sz w:val="18"/>
          <w:szCs w:val="18"/>
          <w:color w:val="auto"/>
        </w:rPr>
        <w:t>Under the Higher Education Act, proprietary schools are eligible to participate in Title IV programs in respect of educational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that lead to “gainful employment in a recognized occupation,” with the limited exception of qualified programs leading to a bachelor’s degree in liberal arts. Historically, this concept has not been defined in detail. In October 2014, the Department of Education published final regulations, effective July 1, 2015, on the metrics for determining whether an academic program prepares students for gainful employment in a recognized occupation. This rule establishes requirements related to the debt to earnings ratio of graduates of our programs, and sets additional disclosure requirements for students. Under the final regulations, which apply on a program-by-program basis, students enrolled in a program will be eligible for Title IV student financial aid only if that program satisfies at least one of two tests relating to student debt service-to-earnings ratios. The two tests specify minimum debt service-to-earnings ratios calculated on the basis of the earnings of program graduates. One test measures student loan debt service as a percentage of total earnings, and is calculated by comparing (1) the annual loan payment required on the median student loan debt incurred by students receiving Title IV funds who completed a particular program and (2) the higher of the mean or median of those graduates’ annual earnings two to four years after graduation. The other test measures student loan debt service as a percentage of discretionary earnings and is calculated by comparing (1) the annual loan payment required on the median student loan debt incurred by students receiving Title IV funds who completed a particular program and (2) the higher of the mean or median annual earnings of those graduates two to four years after graduation, less 1.5 times the government issued Poverty Guideline. Under the new gainful employment regulation, a program would pass if:</w:t>
      </w:r>
    </w:p>
    <w:p>
      <w:pPr>
        <w:spacing w:after="0" w:line="96" w:lineRule="exact"/>
        <w:rPr>
          <w:sz w:val="20"/>
          <w:szCs w:val="20"/>
          <w:color w:val="auto"/>
        </w:rPr>
      </w:pPr>
    </w:p>
    <w:p>
      <w:pPr>
        <w:ind w:left="900" w:right="2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loan payment required on the median student loan debt is less than or equal to 8% of the higher of the mean or median annual earnings of graduates in the relevant period; or</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loan payment required on the median student loan debt is less than or equal to 20% of the discretionary income of graduates in the relevant period.</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a program that does not pass either of the debt-to-earnings metrics, and that has an annual earnings rate between 8% and 12%, or a discretionary income rate between 20% and 30%, would be considered to be in the “Zone”. A program would fail if the program’s graduates have an annual earnings rate of 12% or greater and a discretionary income rate of 30% or greater. A program would become Title IV-ineligible for three years if it fails both metrics for two out of three consecutive years, or is in the Zone (or fails) for four consecutive award years. In the first four years that the debt-to-earnings metrics are calculated under the rule (award years 2014-15, 2015-16, 2016-17, and 2017-18), if a program would be failing or in the Zone based on the typical approach to calculating debt-to-earnings metrics, transitional debt-to-earnings rates would be calculated using the most currently available yearly earnings two years after graduation and the annual loan payments of students who completed the program in the most recently completed award year. Transitional rates will be used to assess the program if they are lower than what the rates would be under the normal calculation. This allows programs that promptly lower tuition and fees to realize the benefit of their changes.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 institution is notified by the Secretary of Education that a program could become ineligible, based on its final rates, for the next award year:</w:t>
      </w:r>
    </w:p>
    <w:p>
      <w:pPr>
        <w:spacing w:after="0" w:line="131" w:lineRule="exact"/>
        <w:rPr>
          <w:sz w:val="20"/>
          <w:szCs w:val="20"/>
          <w:color w:val="auto"/>
        </w:rPr>
      </w:pPr>
    </w:p>
    <w:p>
      <w:pPr>
        <w:ind w:left="900" w:right="46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must provide a warning with respect to the program to students and prospective students indicating, among other things, that students may not be able to use Title IV funds to attend or continue in the program; 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must not enroll, register or enter into a financial commitment with a prospective student until a specified time after providing the warning to the prospective student.</w:t>
      </w:r>
    </w:p>
    <w:p>
      <w:pPr>
        <w:spacing w:after="0" w:line="162"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On October 20, 2016, the Department issued to institutions draft debt-to-earnings rates for the first gainful employment debt measurement year and certain underlying data used to calculate those rates. According to the Department’s draft rates, none of the University’s programs fail. The draft rates did indicate that four current degree programs are in the Zone. The Company is currently analyzing the underlying data provided, and has until December 7, 2016, to appeal any inaccuracies it finds in the draft metrics. The Department has indicated that the final rates will be made public in January 2017.</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final regulations, schools are also required to certify to the Department the following for each Title IV eligible program:</w:t>
      </w:r>
    </w:p>
    <w:p>
      <w:pPr>
        <w:spacing w:after="0" w:line="13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included in the schools’ accreditation;</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programmatically accredited, if required by a federal government entity, or by a government entity in any state in which the school is located or is required to obtain state approval;</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satisfies any applicable state licensing and certification requirements for the occupations for which the program prepares students to enter; and</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not substantially similar to a program offered by the school that became ineligible due to the student debt service-to-earnings ratios.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successfully submitted the certifications required for all pre-existing programs prior to the December 31, 2015 deadline for doing so.</w:t>
      </w:r>
    </w:p>
    <w:p>
      <w:pPr>
        <w:spacing w:after="0" w:line="225"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new regulation also requires institutions to report student and program level data to the Department, and comply with additional disclosure requirements beginning in January 2017.</w:t>
      </w:r>
    </w:p>
    <w:p>
      <w:pPr>
        <w:spacing w:after="0" w:line="16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This is a complicated rule and, although management will work to achieve compliance with this new rule, the continuing eligibility of our educational programs for Title IV funding is at risk due to factors measured by this rule and beyond our control, such as changes in the actual or deemed income level of our graduates, changes in student borrowing levels, increases in interest rates, changes in the federal poverty income level relevant for calculating discretionary income, and other factors. The exposure to these external factors could reduce our ability to confidently offer or continue certain types of programs for which there is market demand, and therefore would impact our ability to maintain or grow our business.</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Final Proposed Department of Education Regulations</w:t>
      </w:r>
      <w:r>
        <w:rPr>
          <w:rFonts w:ascii="Times New Roman" w:cs="Times New Roman" w:eastAsia="Times New Roman" w:hAnsi="Times New Roman"/>
          <w:sz w:val="18"/>
          <w:szCs w:val="18"/>
          <w:color w:val="auto"/>
        </w:rPr>
        <w:t>. In October 2016, the Department of Education announced the final regulations relating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federal standard and a process for determining whether a borrower has a defense to repayment on federal student loans based on an act or omission of a school. The new regulations, which largely go into effect as of July 1, 2017, will provide repayment relief to students in respect of student loans first disbursed after July 1, 2017 where: a school breaches contractual promises to a student; certain judgments are entered against a school related to the loan or the educational services after a contested proceeding; or the school makes substantial misrepresentations about the nature of its educational programs, financial charges or employability of graduates, or insubstantial misrepresentations where other factors are present, such as pressure to enroll quickly or taking advantage of students’ distress or lack of knowledge or sophistication. The regulations will allow the Department of Education to identify and grant relief to groups of students where there are common facts, including students who have not requested relief, and will entitle the Department of Education to seek reimbursement from the school in most cases in respect of loans discharged under the new procedure. Schools will be completely barred from requiring, or even asking, students to agree to settle future disputes through arbitration.</w:t>
      </w:r>
    </w:p>
    <w:p>
      <w:pPr>
        <w:spacing w:after="0" w:line="19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the final regulations will automatically require a school to post a letter of credit in the amount of at least 10% of the school’s annual Title IV disbursements upon the occurrence of specified events such as the commencement of a major lawsuit by a state or federal government entity; the filing of a substantial number of borrower defense claims; a default by the school on its debt obligations; the failure of the school to satisfy the 90/10 Rule; and/or action by the school’s accreditor that could result in the school losing its accreditation. If a school experiences any of these triggers, the school will be required to warn prospective and current students that it has been required to provide enhanced financial protection to the Department of Education. The final regulations also will require disclosure by proprietary institutions to prospective and enrolled students if student loan repayment rates fall below specified levels.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final regulations, the precise standards for student loan discharge may be unclear or subject to interpretation or Department of Education discretion in a manner that is adverse to us and not fully known or predictable in advance. In addition, certain of the potential adverse consequences could arise from actions or claims, such as the mere commencement of enforcement actions by state or federal government entities or the filing of student claims for debt relief, which ultimately are found to lack merit. Each of these consequences could materially and adversely affect our business or require us to change our practices and procedures in a manner that materially increases our costs and reduces our administrative effectiveness. In addition, our flexibility in responding to state or federal and certain private lawsuits may be materially reduced because of the possible significant ancillary consequences of an adverse judgment or finding.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Arizona Board of Nursing. </w:t>
      </w:r>
      <w:r>
        <w:rPr>
          <w:rFonts w:ascii="Times New Roman" w:cs="Times New Roman" w:eastAsia="Times New Roman" w:hAnsi="Times New Roman"/>
          <w:sz w:val="18"/>
          <w:szCs w:val="18"/>
          <w:color w:val="auto"/>
        </w:rPr>
        <w:t>In July 2016, the University filed notices of appeal and requested a hearing to set aside two Notices of Deficiency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issued in June 2016 by the Arizona Board of Nursing (the “Board”) with respect to the University’s Bachelor of Science in Nursing (“BSN”)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Advanced Practice Registered Nurse (“APRN”) programs. At the request of Board staff, the Board voted in September 2016 to rescind its Notices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Deficiency, and indicated that it would continue its investigation and return the matter to the Board at its November 2016 meeting for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The University cannot predict the outcome of the November 2016 Board meeting. A Notice of Deficiency is not a disciplinary action, although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issues raised in a notice are not satisfied, it can ultimately lead to disciplinary action. The University strongly believes in the quality of these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has made significant investments in physical infrastructure to expand these programs in recent years, and is proud that it currently produces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three times the number of licensed nurses as are produced by any other institution in Arizona. The University believes that the long history of its nursing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and its investment in, and commitment to, the success of its students, combined with the strong brand of the University’s nurses in the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in Arizona, will ultimately lead to a positive outcome with respect to these matters.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43.6</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43.0</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Admissions advisory and related</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14.2</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13.9</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11.4</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promotional</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termination costs</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77.6</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74.7</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income</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25.3</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25.4</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17.2</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16.0</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2016 Compared to Three Months Ended September 30, 2015</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Our net revenue for the three months ended September 30, 2016 was $210.4 million, an increase of $17.0 million, or 8.8%,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 of $193.4 million for the three months ended September 30, 2015. This increase was primarily due to an increase in enrollment and, to a lesser extent, an increase in room and board and other student fees, partially offset by an increase in institutional scholarships. We did not raise tuition in any of our programs for our 2016-2017 academic year. A tuition increase of approximately 1% was implemented for the majority of our online programs in September 2015. We have not raised our tuition for our traditional ground program in eight years. End-of-period enrollment increased 9.8% between September 30, 2016 and September 30, 2015, as ground enrollment increased 12.4%, and online enrollment increased 9.1% over the prior year. The majority of the ground enrollment growth between the third quarter of 2015 and the third quarter of 2016 is due to an increase in the number of residential students at our ground traditional campus in Phoenix, Arizona.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decrease in revenue per student between years is primarily due to the timing of the traditional campus semester calendar between years such that the Fall semester began five days later in August in 2016 than in 2015. We estimate this had the effect of moving $4.9 million of revenue from the third quarter to the fourth quarter. Excluding this impact, revenue per student increased between years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8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Instructional costs and services expenses</w:t>
      </w:r>
      <w:r>
        <w:rPr>
          <w:rFonts w:ascii="Times New Roman" w:cs="Times New Roman" w:eastAsia="Times New Roman" w:hAnsi="Times New Roman"/>
          <w:sz w:val="18"/>
          <w:szCs w:val="18"/>
          <w:color w:val="auto"/>
        </w:rPr>
        <w:t>. Our instructional costs and services expenses for the three months ended September 30, 2016 were $91.7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$8.5 million, or 10.3%, as compared to instructional costs and services expenses of $83.2 million for the three months ended September 30, 2015. This increase was primarily due to increases in employee compensation and related expenses including share based compensation, faculty compensation, depreciation and amortization and occupancy expense, bad debt expense, and dues, fees, subscriptions and other instructional supplies, of $1.4 million, $1.8 million, $4.2 million, $0.8 million, and $0.3 million, respectively. The increase in employee compensation and related expenses and faculty compensation is primarily due to the increase in the number of staff and faculty needed to support the increasing number of students attending the University. The increase in depreciation and amortization and occupancy costs is the result of our placing into service additional buildings to support the growing number of ground traditional students in the Fall of 2016.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0.6% to 43.6% for the three months ended September 30, 2016, from 43.0% for the three months ended September 30, 2015 primarily due to an increase in depreciation and occupancy expenses as a percentage of net revenue of 1.5% due to additional infrastructure needed to support the growing ground traditional student population, partially offset by decreases in employee compensation and other instructional costs and services expenses. Bad debt expense increased slightly from 2.1% for the three months ended September 30, 2015 to 2.3% for the three months ended September 30, 2016 primarily due to timing of third quarter starts.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Admissions advisory and related expenses</w:t>
      </w:r>
      <w:r>
        <w:rPr>
          <w:rFonts w:ascii="Times New Roman" w:cs="Times New Roman" w:eastAsia="Times New Roman" w:hAnsi="Times New Roman"/>
          <w:sz w:val="18"/>
          <w:szCs w:val="18"/>
          <w:color w:val="auto"/>
        </w:rPr>
        <w:t>. Our admissions advisory and related expenses for the three months ended September 30, 2016 were $28.8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$1.3 million, or 4.8%, as compared to admissions advisory and related expenses of $27.5 million for the three months ended September 30, 2015. This increase is primarily the result of increases in employee compensation and related expenses including share based compensation of $1.6 million, partially offset by a decrease in other advisory related expenses of $0.3 million. The increase in employee compensation and related expenses is primarily due to increased headcount between years. Our admissions advisory and related expenses as a percentage of net revenue decreased 0.5% to 13.7% for the three months ended September 30, 2016, from 14.2% for the three months ended September 30, 2015 primarily due to our ability to leverage our admissions advisory personnel across an increasing revenue base.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Advertising expenses</w:t>
      </w:r>
      <w:r>
        <w:rPr>
          <w:rFonts w:ascii="Times New Roman" w:cs="Times New Roman" w:eastAsia="Times New Roman" w:hAnsi="Times New Roman"/>
          <w:sz w:val="18"/>
          <w:szCs w:val="18"/>
          <w:color w:val="auto"/>
        </w:rPr>
        <w:t>. Our advertising expenses for the three months ended September 30, 2016 were $23.9 million, an increase of $4.5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 as compared to advertising expenses of $19.4 million for the three months ended September 30, 2015. This increase is primarily the result of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branding and expansion of our media advertising campaign. Our advertising expenses as a percentage of net revenue increased by 1.4% to 11.4%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2016, from 10.0% for the three months ended September 30, 2015.</w:t>
      </w:r>
    </w:p>
    <w:p>
      <w:pPr>
        <w:spacing w:after="0" w:line="20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Marketing and promotional expenses</w:t>
      </w:r>
      <w:r>
        <w:rPr>
          <w:rFonts w:ascii="Times New Roman" w:cs="Times New Roman" w:eastAsia="Times New Roman" w:hAnsi="Times New Roman"/>
          <w:sz w:val="18"/>
          <w:szCs w:val="18"/>
          <w:color w:val="auto"/>
        </w:rPr>
        <w:t>. Our marketing and promotional expenses for the three months ended September 30, 2016 were $2.1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$0.3 million, or 16.4%, as compared to marketing and promotional expenses of $1.8 million for the three months ended September 30, 2015. This increase is primarily the result of increases in other promotional expenses of $0.3 million. Our marketing and promotional expenses as a percentage of net revenue increased 0.1% to 1.0% for the three months ended September 30, 2016, from 0.9% for the three months ended June 30, 2015.</w:t>
      </w:r>
    </w:p>
    <w:p>
      <w:pPr>
        <w:spacing w:after="0" w:line="18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for the three months ended September 30, 2016 were $13.4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$0.9 million, or 7.1%, as compared to general and administrative expenses of $12.5 million for the three months ended September 30, 2015. This increase was primarily due to an increase in our contributions made in lieu of state income taxes to school sponsoring organizations from $2.8 million in the three months ended September 30, 2015 to $4.0 million for the three months ended September 30, 2016, partially offset by a decrease in legal, audit and corporate insurance expense of $0.5 million. Our general and administrative expenses as a percentage of net revenue decreased by 0.1% to 6.4% for the three months ended September 30, 2016, from 6.5% for the three months ended September 30, 2015 due to our ability to leverage the fixed cost structure of our general and administrative expenses across an increasing revenue base, partially offset by the increased contributions made to school sponsoring organizations.</w:t>
      </w:r>
    </w:p>
    <w:p>
      <w:pPr>
        <w:spacing w:after="0" w:line="185" w:lineRule="exact"/>
        <w:rPr>
          <w:sz w:val="20"/>
          <w:szCs w:val="20"/>
          <w:color w:val="auto"/>
        </w:rPr>
      </w:pPr>
    </w:p>
    <w:p>
      <w:pPr>
        <w:ind w:right="1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termination costs. </w:t>
      </w:r>
      <w:r>
        <w:rPr>
          <w:rFonts w:ascii="Times New Roman" w:cs="Times New Roman" w:eastAsia="Times New Roman" w:hAnsi="Times New Roman"/>
          <w:sz w:val="18"/>
          <w:szCs w:val="18"/>
          <w:color w:val="auto"/>
        </w:rPr>
        <w:t>In July 2016, we notified a current landlord of our intent to vacate leased space by the fourth quarter of 2016. As a result,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required to pay a termination fee to terminate the lease resulting in $3.4 million of expense in the three months ended September 30, 2016.</w:t>
      </w:r>
    </w:p>
    <w:p>
      <w:pPr>
        <w:spacing w:after="0" w:line="158" w:lineRule="exact"/>
        <w:rPr>
          <w:sz w:val="20"/>
          <w:szCs w:val="20"/>
          <w:color w:val="auto"/>
        </w:rPr>
      </w:pPr>
    </w:p>
    <w:p>
      <w:pPr>
        <w:ind w:right="4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three months ended September 30, 2016 and 2015 was $0.3 million. Our interest expense stayed flat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net revenue at 0.2% for the three months ended September 30, 2016 and 2015.</w:t>
      </w:r>
    </w:p>
    <w:p>
      <w:pPr>
        <w:spacing w:after="0" w:line="158" w:lineRule="exact"/>
        <w:rPr>
          <w:sz w:val="20"/>
          <w:szCs w:val="20"/>
          <w:color w:val="auto"/>
        </w:rPr>
      </w:pPr>
    </w:p>
    <w:p>
      <w:pPr>
        <w:ind w:right="4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and other income for the three months ended September 30, 2016 was a loss of $2.3 million, a decrease of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interest and other income of $0.2 million in the three months ended September 30, 2015. The decrease was primarily due to an impairment charge of an investment recorded in the third quarter of 2016.</w:t>
      </w:r>
    </w:p>
    <w:p>
      <w:pPr>
        <w:spacing w:after="0" w:line="17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three months ended September 30, 2016 was $15.2 million, a decrease of $0.3 million, or 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$15.5 million for the three months ended September 30, 2015. Our effective tax rate was 34.2% during the third quarter of 2016 compared to 31.8% during the third quarter of 2015. The variance in the effective tax rate year over year is primarily due to a favorable discrete item recorded in the third quarter of 2015, partially offset by a higher contribution in lieu of state income taxes to school sponsoring organizations in the third quarter of 2016 of $4.0 million as compared to the $2.8 million contribution made in the third quarter of 2015. The effective tax rates for both quarters were lower than our annual effective tax rate due to the contributions made in lieu of state income taxes to school sponsoring organizations.</w:t>
      </w:r>
    </w:p>
    <w:p>
      <w:pPr>
        <w:spacing w:after="0" w:line="183" w:lineRule="exact"/>
        <w:rPr>
          <w:sz w:val="20"/>
          <w:szCs w:val="20"/>
          <w:color w:val="auto"/>
        </w:rPr>
      </w:pPr>
    </w:p>
    <w:p>
      <w:pPr>
        <w:ind w:right="5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Our net income for the three months ended September 30, 2016 was $29.2 million, a decrease of $4.1 million, as compared to $33.3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2015, due to the factors discussed above.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to Nine Months Ended September 30, 2015</w:t>
      </w:r>
    </w:p>
    <w:p>
      <w:pPr>
        <w:spacing w:after="0" w:line="11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Our net revenue for the nine months ended September 30, 2016 was $628.7 million, an increase of $66.5 million, or 11.8%,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net revenue of $562.2 million for the nine months ended September 30, 2015. This increase was primarily due to an increase in enrollment and, to a lesser extent, an increase in room and board and other student fees, partially offset by an increase in institutional scholarships. We did not raise tuition in any of our programs for our 2016-2017 academic year. A tuition increase of approximately 1% was implemented for the majority of our online programs for our 2015-2016 academic year. We have not raised our tuition for our traditional ground program in eight years. End-of-period enrollment increased 9.8% between September 30, 2016 and September 30, 2015, as ground enrollment increased 12.4%, and online enrollment increased 9.1% over the prior year. The majority of the ground enrollment growth between the third quarter of 2015 and the third quarter of 2016 is due to an increase in the number of residential students at our ground traditional campus in Phoenix, Arizona.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w:t>
      </w:r>
    </w:p>
    <w:p>
      <w:pPr>
        <w:spacing w:after="0" w:line="186" w:lineRule="exact"/>
        <w:rPr>
          <w:sz w:val="20"/>
          <w:szCs w:val="20"/>
          <w:color w:val="auto"/>
        </w:rPr>
      </w:pPr>
    </w:p>
    <w:p>
      <w:pPr>
        <w:ind w:right="60" w:firstLine="456"/>
        <w:spacing w:after="0" w:line="269" w:lineRule="auto"/>
        <w:rPr>
          <w:sz w:val="20"/>
          <w:szCs w:val="20"/>
          <w:color w:val="auto"/>
        </w:rPr>
      </w:pPr>
      <w:r>
        <w:rPr>
          <w:rFonts w:ascii="Times New Roman" w:cs="Times New Roman" w:eastAsia="Times New Roman" w:hAnsi="Times New Roman"/>
          <w:sz w:val="17"/>
          <w:szCs w:val="17"/>
          <w:i w:val="1"/>
          <w:iCs w:val="1"/>
          <w:color w:val="auto"/>
        </w:rPr>
        <w:t>Instructional costs and services expenses</w:t>
      </w:r>
      <w:r>
        <w:rPr>
          <w:rFonts w:ascii="Times New Roman" w:cs="Times New Roman" w:eastAsia="Times New Roman" w:hAnsi="Times New Roman"/>
          <w:sz w:val="17"/>
          <w:szCs w:val="17"/>
          <w:color w:val="auto"/>
        </w:rPr>
        <w:t>. Our instructional costs and services expenses for the nine months ended September 30, 2016 were $271.0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an increase of $33.8 million, or 14.2%, as compared to instructional costs and services expenses of $237.2 million for the nine months ended September 30, 2015. This increase was primarily due to increases in employee compensation and related expenses including share based compensation, faculty compensation, depreciation and amortization and occupancy expense, dues, fees and subscriptions and other instructional supplies, and other instructional costs and services, of $8.8 million, $6.4 million, $11.3 million, $4.6 million, and $2.7 million, respectively. The increase in employee compensation and related expenses and faculty compensation is primarily due to the increase in the number of staff and faculty needed to support the increasing number of students attending the University. In addition, we have incurred an increase in benefit costs between years. The increase in depreciation and amortization and occupancy costs is the result of our placing into service additional buildings to support the growing number of ground traditional students in the Fall of 2016.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0.9% to 43.1% for the nine months ended September 30, 2016, from 42.2% for the nine months ended September 30, 2015 primarily due to an increase in depreciation and amortization and occupancy expense as a percentage of net revenue of 1.1% due to additional infrastructure needed to support the growing ground traditional student population. Bad debt expense stayed flat at 2.0% of net revenue for both years.</w:t>
      </w:r>
    </w:p>
    <w:p>
      <w:pPr>
        <w:spacing w:after="0" w:line="1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Admissions advisory and related expenses</w:t>
      </w:r>
      <w:r>
        <w:rPr>
          <w:rFonts w:ascii="Times New Roman" w:cs="Times New Roman" w:eastAsia="Times New Roman" w:hAnsi="Times New Roman"/>
          <w:sz w:val="18"/>
          <w:szCs w:val="18"/>
          <w:color w:val="auto"/>
        </w:rPr>
        <w:t>. Our admissions advisory and related expenses for the nine months ended September 30, 2016 were $87.2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$4.0 million, or 4.8%, as compared to admissions advisory and related expenses of $83.2 million for the nine months ended September 30, 2015. This increase is primarily the result of increases in employee compensation and related expenses including share based compensation of $4.2 million, partially offset by a decrease in other advisory related expense of $0.2 million. The increase in employee compensation and related expenses is primarily due to increased headcount and an increase in benefit costs between years. Our admissions advisory and related expenses as a percentage of net revenue decreased 0.9% to 13.9% for the nine months ended September 30, 2016, from 14.8% for the nine months ended September 30, 2015 primarily due to our ability to leverage our admissions advisory personnel across an increasing revenue base.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Advertising expenses</w:t>
      </w:r>
      <w:r>
        <w:rPr>
          <w:rFonts w:ascii="Times New Roman" w:cs="Times New Roman" w:eastAsia="Times New Roman" w:hAnsi="Times New Roman"/>
          <w:sz w:val="18"/>
          <w:szCs w:val="18"/>
          <w:color w:val="auto"/>
        </w:rPr>
        <w:t>. Our advertising expenses for the nine months ended September 30, 2016 were $67.2 million, an increase of $9.4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 as compared to advertising expenses of $57.8 million for the nine months ended September 30, 2015. This increase is primarily the result of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branding and expansion of our media advertising campaign. Our advertising expenses as a percentage of net revenue increased by 0.4% to 10.7% for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2016, from 10.3% for the nine months ended September 30, 2015.</w:t>
      </w:r>
    </w:p>
    <w:p>
      <w:pPr>
        <w:spacing w:after="0" w:line="205"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Marketing and promotional expenses</w:t>
      </w:r>
      <w:r>
        <w:rPr>
          <w:rFonts w:ascii="Times New Roman" w:cs="Times New Roman" w:eastAsia="Times New Roman" w:hAnsi="Times New Roman"/>
          <w:sz w:val="18"/>
          <w:szCs w:val="18"/>
          <w:color w:val="auto"/>
        </w:rPr>
        <w:t>. Our marketing and promotional expenses for the nine months ended September 30, 2016 were $6.5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$1.2 million, or 22.0%, as compared to marketing and promotional expenses of $5.3 million for the nine months ended September 30, 2015. This increase is primarily the result of increases in employee compensation and related expenses including stock based compensation and other promotional expenses of $0.4 million and $0.8 million, respectively. Our marketing and promotional expenses as a percentage of net revenue increased 0.1% to 1.0% for the nine months ended September 30, 2016, from 0.9% for the nine months ended September 30, 2015.</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for the nine months ended September 30, 2016 were $33.0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$1.5 million, or 4.7%, as compared to general and administrative expenses of $31.5 million for the nine months ended September 30, 2015. This increase was primarily due to increases in employee compensation and related expenses including share based compensation of $0.5 million and an increase in our contributions made in lieu of state income taxes to school sponsoring organizations from $2.8 million in the nine months ended September 30, 2015 to $4.0 million for the nine months ended September 30, 2016, partially offset by a $0.2 million decrease in other general and administrative expenses. Our general and administrative expenses as a percentage of net revenue decreased by 0.4% to 5.2% for the nine months ended September 30, 2016, from 5.6% for the nine months ended September 30, 2015 due to our ability to leverage the fixed costs structure of our general and administrative expenses across an increasing revenue base, partially offset by the increased contributions made to school sponsoring organizations.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termination costs. </w:t>
      </w:r>
      <w:r>
        <w:rPr>
          <w:rFonts w:ascii="Times New Roman" w:cs="Times New Roman" w:eastAsia="Times New Roman" w:hAnsi="Times New Roman"/>
          <w:sz w:val="18"/>
          <w:szCs w:val="18"/>
          <w:color w:val="auto"/>
        </w:rPr>
        <w:t>In July 2016, we notified a current landlord of our intent to vacate leased space by the fourth quarter of 2016. As a result,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required to pay a termination fee to terminate the lease resulting in $3.4 million of expense in the nine months ended September 30, 2016.</w:t>
      </w:r>
    </w:p>
    <w:p>
      <w:pPr>
        <w:spacing w:after="0" w:line="158"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nine months ended September 30, 2016 and 2015 stayed flat at $0.8 million and as a percentage of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0.1% for both the nine months ended September 30, 2016 and 2015.</w:t>
      </w:r>
    </w:p>
    <w:p>
      <w:pPr>
        <w:spacing w:after="0" w:line="15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and other income for the nine months ended September 30, 2016 was $0.1 million, a decrease of $0.5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interest and other income of $0.6 million in the nine months ended September 30, 2015. The decrease was primarily due to an impairment charge of an investment of $2.5 million included in the third quarter of 2016, partially offset by the proportional share of equity interest income of $1.8 million related to our ownership interest in LoudCloud in the first quarter of 2016.</w:t>
      </w:r>
    </w:p>
    <w:p>
      <w:pPr>
        <w:spacing w:after="0" w:line="180"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nine months ended September 30, 2016 was $59.2 million, an increase of $5.5 million, or 10.3%,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$53.7 million for the nine months ended September 30, 2015. Our effective tax rate was 37.1% during the nine months ended September 30, 2016 compared to 36.5% during the nine months ended September 30, 2015. The variance in the effective tax rate year over year is primarily due to a favorable discrete state tax adjustment reflected in the third quarter of 2015, partially offset by a higher contribution in lieu of state income taxes to school sponsoring organizations in the third quarter of 2016 of $4.0 million as compared to the $2.8 million contribution made in the third quarter of 2015.</w:t>
      </w:r>
    </w:p>
    <w:p>
      <w:pPr>
        <w:spacing w:after="0" w:line="183" w:lineRule="exact"/>
        <w:rPr>
          <w:sz w:val="20"/>
          <w:szCs w:val="20"/>
          <w:color w:val="auto"/>
        </w:rPr>
      </w:pPr>
    </w:p>
    <w:p>
      <w:pPr>
        <w:ind w:right="4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Our net income for the nine months ended September 30, 2016 was $100.5 million, an increase of $7.2 million, as compared to $93.3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2015, due to the factors discussed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Since we intend to continue to increase the relative proportion of our students that are ground traditional students,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We financed our operating activities and capital expenditures during the nine months ended September 30, 2016 and 2015 primarily through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Our unrestricted cash and cash equivalents and investments were $124.8 million and $106.4 million at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and December 31, 2015, respectively. Our restricted cash, cash equivalents and investments at September 30, 2016 and December 31, 2015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$69.3 million and $75.4 million, respectively. In December 2012, we entered into a new credit agreement, which increased our term loan to $100 million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maturity date of December 2019. Additionally, this facility, as amended in January 2016, provides a revolving line of credit in the amount of $150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2017 to be utilized for working capital, capital expenditures and other general corporate purposes. Indebtedness under the credit facility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by our assets and is guaranteed by certain of our subsidiaries. $12.0 million was drawn on the revolver as of September 30, 2016, which was repaid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2016.</w:t>
      </w:r>
    </w:p>
    <w:p>
      <w:pPr>
        <w:spacing w:after="0" w:line="207"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2017. Repurchases occur at the University’s discretion.</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Since the inception of our share repurchase program, the University has purchased 3.5 million shares of common stock at an aggregate cost of $75.8 million. During the nine months ended September 30, 2016 the University repurchased 0.4 million shares of common stock at an aggregate cost of $15.4 million. At September 30, 2016, there remains $99.2 million available under our share repurchase authorization.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In March 2016, the FASB issued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The standard is intended to simplify several areas of accounting for share-based compensation arrangements, including the income tax impact, classification on the statement of cash flows and forfeitures. While aimed at reducing the cost and complexity of the accounting for share-based payments, the amendments are expected to significantly impact net income, earnings per share and the statement of cash flows. This standard is effective for fiscal years, and interim periods within those years, beginning after December 15, 2016, and early adoption is permitted. Accordingly, the University will adopt this update as of January 1, 2017 using the prospective method.</w:t>
      </w:r>
    </w:p>
    <w:p>
      <w:pPr>
        <w:spacing w:after="0" w:line="18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As part of the new guidance, entities will be required to record the income tax impact of the difference between the share based compensation expense for book and the amount deducted on the income tax return when awards vest or are settled within the income statement as part of income tax expense rather than current practice to record the difference as part of additional paid-in-capital (APIC) and will eliminate the requirement that excess tax benefits be realized on an income tax return prior to recognition in the financial statements. The University has evaluated the impact of adoption and based on the current stock prices, the University may have excess tax benefits after adoption (approximately equal to the excess tax benefit recorded in 2016), which will be reflected as a discrete item in the period the award vests or the options are exercised. Our restricted stock vests in March each year so the favorable benefit is projected to primarily impact the first quarter each year. Additionally, the guidance requires entities to present excess tax benefits as an operating activity on the statement of cash flows rather than current practice as a financing activity. Accordingly, in the first quarter of 2017, based on the current stock price, we anticipate our operating cash flows will increase and our financial cash flows will decrease upon our adoption of the standard. We will restate our prior period cash flows to be comparable to the required presentation. The University will make an accounting policy election to recognize forfeitures as they occur with no estimate of forfeitures applied to expense recognition. The University believes the cumulative-effect adjustment will be immaterial upon adoption. The new standard simplifies the minimum statutory tax withholding requirements for employers who withhold shares upon settlement of an award on behalf of an employee to cover tax obligations by allowing an entity to withhold an amount up to the employees’ maximum individual tax rate in the relevant jurisdiction without resulting in liability classification of the award. As a result, the University expects some employees will elect a higher tax withholding and this may slightly increase our shares repurchased in lieu of income taxes in future periods. Finally, as a result of the excess tax benefit changes in the computation of our treasury stock method dilution computations, we are anticipating a slightly higher calculation for diluted securities and we will provide our dilution estimates similar to prior years in our fourth quarter 2016 with our full year earnings outlook for 2017.</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for the nine months ended September 30, 2016 was $214.5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$169.0 million for the nine months ended September 30, 2015. The increase in cash generated from operating activities between the nine months ended September 30, 2015 and the nine months ended September 30, 2016 is primarily due to increased net income, increased depreciation and amortization, and the timing of employee related payments as well as changes in other working capital such as accrued liabilities and deferred revenue.</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$166.0 million and $152.9 million for the nine months ended September 30, 2016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respectively. Our cash used in investing activities was primarily related to the purchase of short-term investments and capital expenditures. In the first nine months of 2016 and 2015 proceeds from the sale of short-term investments exceeded purchases by $31.2 million and $16.8 million, respectively. Capital expenditures were $157.6 million and $160.2 million for the nine months ended September 30, 2016 and 2015, respectively. During the first nine months of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$41.9 million primarily related to an off-site office building and parking garage that is in close proximity to our ground traditional campus. Employees that work in two leased office building in the Phoenix area will be consolidated into this new building when it is expected to be completed in late 2016. In addition, during the first nine months of 2016, we received a $1.7 million distribution related to our ownership interest in LoudCloud upon its sale to a third party. During the nine-month period for 2015, capital expenditures primarily consisted of ground campus building projects such as the construction of four additional dormitories, an additional classroom building for our College of Science, Engineering and Technology and a new parking structure to support our growing traditional student enrollment as well as purchases of computer equipment, other internal use software projects and furniture and equipment to support our increasing employee headcount. Included in off-site development for 2015 is $9.5 million we spent on the Maryvale Golf Course under a partnership agreement with the City of Phoenix and an off-site office building and parking garage that is in close proximity to our ground traditional campus. The revitalization was completed by the end of 2015 and the golf course is now known as Grand Canyon University Championship Golf Course.</w:t>
      </w:r>
    </w:p>
    <w:p>
      <w:pPr>
        <w:spacing w:after="0" w:line="19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provided by financing activities was $3.7 million for the nine months ended September 30, 2016. Net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was $3.1 million for the nine months ended September 30, 2015. During the nine-month period for 2016, net cash provided by financing activities consisted of proceeds received from the revolving line of credit of $25.0 million, proceeds from the exercise of stock options of $10.0 million and excess tax benefits from share-based compensation of $7.4 million, partially offset by $15.4 million used to purchase treasury stock in accordance with the University’s share repurchase program and $4.6 million used to purchase common shares withheld in lieu of income taxes resulting from restricted share awards while principal payments on notes payable, repayments on our revolving line of credit and capital lease payments totaled $18.5 million. During the nine-month period for 2015, $4.2 million was used to purchase common shares withheld in lieu of income taxes resulting from restricted share awards and</w:t>
      </w:r>
    </w:p>
    <w:p>
      <w:pPr>
        <w:sectPr>
          <w:pgSz w:w="11900" w:h="16869" w:orient="portrait"/>
          <w:cols w:equalWidth="0" w:num="1">
            <w:col w:w="11400"/>
          </w:cols>
          <w:pgMar w:left="240" w:top="455" w:right="259" w:bottom="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principal payments on notes payable and capital leases totaled $5.1 million, partially offset by proceeds from the exercise of stock options of $2.9 million and excess tax benefits from share-based compensation of $3.3 million.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September 30, 2016, the aggregate amounts of our significant contractual obligations and commitments with definitive payment terms due in each of the periods presented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40" w:type="dxa"/>
            <w:vAlign w:val="bottom"/>
          </w:tcPr>
          <w:p>
            <w:pPr>
              <w:spacing w:after="0"/>
              <w:rPr>
                <w:sz w:val="10"/>
                <w:szCs w:val="10"/>
                <w:color w:val="auto"/>
              </w:rPr>
            </w:pP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Year (1)</w:t>
            </w: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obligations(3)</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155.9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due in less than one year represent expected expenditures from October 1, 2016 through December 31, 2016.</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obligation amounts include expected spending by period under contracts that were in effect at September 30, 2016.</w:t>
      </w:r>
    </w:p>
    <w:p>
      <w:pPr>
        <w:spacing w:after="0" w:line="9"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future operating lease obligations from amounts disclosed previously is primarily due to a lease termination as we terminated a lease to relocate employees near our ground campus.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right="1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Impact of inflation. </w:t>
      </w:r>
      <w:r>
        <w:rPr>
          <w:rFonts w:ascii="Times New Roman" w:cs="Times New Roman" w:eastAsia="Times New Roman" w:hAnsi="Times New Roman"/>
          <w:sz w:val="18"/>
          <w:szCs w:val="18"/>
          <w:color w:val="auto"/>
        </w:rPr>
        <w:t>We believe that inflation has not had a material impact on our results of operations for the nine months ended September 30,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2015. There can be no assurance that future inflation will not have an adverse impact on our operating results and financial condition.</w:t>
      </w:r>
    </w:p>
    <w:p>
      <w:pPr>
        <w:spacing w:after="0" w:line="15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On February 27, 2013, we entered into an interest rate corridor to manage our 30 Day LIBOR interest exposure from the variable 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debt matures in December 2019. The corridor instrument, which hedges variable interest rate risk starting March 1, 2013 through December 20, 2019 with a notional amount of $75.0 million as of September 30, 2016,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8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60"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7"/>
          <w:szCs w:val="17"/>
          <w:i w:val="1"/>
          <w:iCs w:val="1"/>
          <w:color w:val="auto"/>
        </w:rPr>
        <w:t>Interest rate risk</w:t>
      </w:r>
      <w:r>
        <w:rPr>
          <w:rFonts w:ascii="Times New Roman" w:cs="Times New Roman" w:eastAsia="Times New Roman" w:hAnsi="Times New Roman"/>
          <w:sz w:val="17"/>
          <w:szCs w:val="17"/>
          <w:color w:val="auto"/>
        </w:rPr>
        <w:t>. We manage interest rate risk through the instruments noted above and by investing excess funds in cash equivalents, BB and above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rated 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that have declined in market value due to changes in interest rates. At September 30, 2016, a 10% increase or decrease in interest rates would not have a material impact on our future earnings, fair values, or cash flows. For information regarding our variable rate debt, see “Market risk” above.</w:t>
      </w:r>
    </w:p>
    <w:p>
      <w:pPr>
        <w:spacing w:after="0" w:line="3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2016,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“Risk Factors” section of our Annual Report on Form 10-K for the year ended December 31, 2015.</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nine months ended September 30, 2016, we repurchased 0.4 million shares of common stock at an aggregate cost of $15.4 million. At September 30, 2016, there remains $99.2 million available under our share repurchase authorization.</w:t>
      </w:r>
    </w:p>
    <w:p>
      <w:pPr>
        <w:spacing w:after="0" w:line="188"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2016:</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80" w:type="dxa"/>
            <w:vAlign w:val="bottom"/>
            <w:gridSpan w:val="3"/>
            <w:vMerge w:val="continue"/>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4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400" w:type="dxa"/>
            <w:vAlign w:val="bottom"/>
            <w:gridSpan w:val="5"/>
            <w:vMerge w:val="continue"/>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84"/>
              </w:rPr>
              <w:t>Share</w:t>
            </w:r>
          </w:p>
        </w:tc>
        <w:tc>
          <w:tcPr>
            <w:tcW w:w="1060" w:type="dxa"/>
            <w:vAlign w:val="bottom"/>
            <w:tcBorders>
              <w:top w:val="single" w:sz="8" w:color="CCEEFF"/>
              <w:bottom w:val="single" w:sz="8" w:color="auto"/>
            </w:tcBorders>
            <w:gridSpan w:val="2"/>
            <w:shd w:val="clear" w:color="auto" w:fill="CCEEFF"/>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w w:val="97"/>
              </w:rPr>
              <w:t>Repurchases</w:t>
            </w:r>
          </w:p>
        </w:tc>
        <w:tc>
          <w:tcPr>
            <w:tcW w:w="29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July 1, 2016 – July 31, 2016</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39.12</w:t>
            </w:r>
          </w:p>
        </w:tc>
        <w:tc>
          <w:tcPr>
            <w:tcW w:w="15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20,000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2016 – August 31, 2016</w:t>
            </w:r>
          </w:p>
        </w:tc>
        <w:tc>
          <w:tcPr>
            <w:tcW w:w="17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1, 2016 – September 30, 2016</w:t>
            </w: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99,200,000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39.12</w:t>
            </w:r>
          </w:p>
        </w:tc>
        <w:tc>
          <w:tcPr>
            <w:tcW w:w="15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20,000</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99,200,000</w:t>
            </w:r>
          </w:p>
        </w:tc>
        <w:tc>
          <w:tcPr>
            <w:tcW w:w="0" w:type="dxa"/>
            <w:vAlign w:val="bottom"/>
          </w:tcPr>
          <w:p>
            <w:pPr>
              <w:spacing w:after="0"/>
              <w:rPr>
                <w:sz w:val="1"/>
                <w:szCs w:val="1"/>
                <w:color w:val="auto"/>
              </w:rPr>
            </w:pPr>
          </w:p>
        </w:tc>
      </w:tr>
      <w:tr>
        <w:trPr>
          <w:trHeight w:val="250"/>
        </w:trPr>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Tax Withholdings</w:t>
            </w:r>
          </w:p>
        </w:tc>
        <w:tc>
          <w:tcPr>
            <w:tcW w:w="1120" w:type="dxa"/>
            <w:vAlign w:val="bottom"/>
            <w:tcBorders>
              <w:top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 – July 31, 2016</w:t>
            </w:r>
          </w:p>
        </w:tc>
        <w:tc>
          <w:tcPr>
            <w:tcW w:w="17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August 1, 2016 – August 31, 2016</w:t>
            </w: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2016 – September 30, 2016</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tcBorders>
              <w:top w:val="single" w:sz="8" w:color="auto"/>
            </w:tcBorders>
          </w:tcPr>
          <w:p>
            <w:pPr>
              <w:jc w:val="center"/>
              <w:ind w:left="493"/>
              <w:spacing w:after="0"/>
              <w:rPr>
                <w:sz w:val="20"/>
                <w:szCs w:val="20"/>
                <w:color w:val="auto"/>
              </w:rPr>
            </w:pPr>
            <w:r>
              <w:rPr>
                <w:rFonts w:ascii="Times New Roman" w:cs="Times New Roman" w:eastAsia="Times New Roman" w:hAnsi="Times New Roman"/>
                <w:sz w:val="18"/>
                <w:szCs w:val="18"/>
                <w:color w:val="auto"/>
                <w:w w:val="99"/>
              </w:rPr>
              <w:t>29</w:t>
            </w: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r>
      <w:tr>
        <w:trPr>
          <w:trHeight w:val="324"/>
        </w:trPr>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81"/>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r>
      <w:tr>
        <w:trPr>
          <w:trHeight w:val="324"/>
        </w:trPr>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81"/>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324"/>
        </w:trPr>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81"/>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6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Exhibits</w:t>
            </w:r>
          </w:p>
        </w:tc>
      </w:tr>
      <w:tr>
        <w:trPr>
          <w:trHeight w:val="405"/>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4"/>
                <w:szCs w:val="24"/>
                <w:color w:val="auto"/>
              </w:rPr>
            </w:pPr>
          </w:p>
        </w:tc>
        <w:tc>
          <w:tcPr>
            <w:tcW w:w="51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7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w:t>
            </w:r>
          </w:p>
        </w:tc>
      </w:tr>
      <w:tr>
        <w:trPr>
          <w:trHeight w:val="234"/>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Incorporation.</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Third Amended and Restated Bylaws.</w:t>
            </w:r>
          </w:p>
        </w:tc>
      </w:tr>
      <w:tr>
        <w:trPr>
          <w:trHeight w:val="5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Specimen of Stock Certificate.</w:t>
            </w:r>
          </w:p>
        </w:tc>
      </w:tr>
      <w:tr>
        <w:trPr>
          <w:trHeight w:val="7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14(a) and 15d-14(a), as adopted pursuant to Section 302 of the</w:t>
            </w:r>
          </w:p>
        </w:tc>
      </w:tr>
      <w:tr>
        <w:trPr>
          <w:trHeight w:val="234"/>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Rules 13a-14(a)</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r>
      <w:tr>
        <w:trPr>
          <w:trHeight w:val="234"/>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0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Oxley Act of 2002. ††</w:t>
            </w:r>
          </w:p>
        </w:tc>
      </w:tr>
      <w:tr>
        <w:trPr>
          <w:trHeight w:val="30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Oxley Act of 2002. ††</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3181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Amendment No. 6 to the University’s Registration Statement on Form S-1 filed with the SEC on November 12, 2008.</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Incorporated by reference to Appendix A to University’s Definitive Proxy Statement filed with the SEC on April 29, 2016.</w:t>
      </w:r>
    </w:p>
    <w:p>
      <w:pPr>
        <w:spacing w:after="0" w:line="54"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Incorporated by reference to Exhibit 3.1 to the University’s Current Report on Form 8-K filed with the SEC on October 29, 2014.</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4.1 to Amendment No. 2 to the University’s Registration Statement on Form S-1 filed with the SEC on September 29, 2008.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7" w:lineRule="exact"/>
        <w:rPr>
          <w:sz w:val="20"/>
          <w:szCs w:val="20"/>
          <w:color w:val="auto"/>
        </w:rPr>
      </w:pPr>
    </w:p>
    <w:p>
      <w:pPr>
        <w:sectPr>
          <w:pgSz w:w="11900" w:h="16838" w:orient="portrait"/>
          <w:cols w:equalWidth="0" w:num="2">
            <w:col w:w="6200" w:space="200"/>
            <w:col w:w="4920"/>
          </w:cols>
          <w:pgMar w:left="240" w:top="455" w:right="339" w:bottom="1440" w:gutter="0" w:footer="0" w:header="0"/>
        </w:sectPr>
      </w:pPr>
    </w:p>
    <w:p>
      <w:pPr>
        <w:spacing w:after="0" w:line="25" w:lineRule="exact"/>
        <w:rPr>
          <w:sz w:val="20"/>
          <w:szCs w:val="20"/>
          <w:color w:val="auto"/>
        </w:rPr>
      </w:pPr>
    </w:p>
    <w:p>
      <w:pPr>
        <w:ind w:left="460" w:right="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20"/>
          </w:cols>
          <w:pgMar w:left="240" w:top="455" w:right="3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9" w:lineRule="exact"/>
        <w:rPr>
          <w:sz w:val="20"/>
          <w:szCs w:val="20"/>
          <w:color w:val="auto"/>
        </w:rPr>
      </w:pPr>
    </w:p>
    <w:p>
      <w:pPr>
        <w:spacing w:after="0"/>
        <w:tabs>
          <w:tab w:leader="none" w:pos="6080" w:val="left"/>
          <w:tab w:leader="none" w:pos="6500" w:val="left"/>
        </w:tabs>
        <w:rPr>
          <w:sz w:val="20"/>
          <w:szCs w:val="20"/>
          <w:color w:val="auto"/>
        </w:rPr>
      </w:pPr>
      <w:r>
        <w:rPr>
          <w:rFonts w:ascii="Times New Roman" w:cs="Times New Roman" w:eastAsia="Times New Roman" w:hAnsi="Times New Roman"/>
          <w:sz w:val="18"/>
          <w:szCs w:val="18"/>
          <w:color w:val="auto"/>
        </w:rPr>
        <w:t>Date: November 2,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40"/>
          </w:cols>
          <w:pgMar w:left="240" w:top="455" w:right="9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EXHIBIT INDEX</w:t>
      </w:r>
    </w:p>
    <w:p>
      <w:pPr>
        <w:sectPr>
          <w:pgSz w:w="11900" w:h="16838" w:orient="portrait"/>
          <w:cols w:equalWidth="0" w:num="1">
            <w:col w:w="11320"/>
          </w:cols>
          <w:pgMar w:left="240" w:top="455" w:right="3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51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7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w:t>
            </w:r>
          </w:p>
        </w:tc>
      </w:tr>
      <w:tr>
        <w:trPr>
          <w:trHeight w:val="234"/>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Third Amended and Restated Bylaws.</w:t>
            </w:r>
          </w:p>
        </w:tc>
      </w:tr>
      <w:tr>
        <w:trPr>
          <w:trHeight w:val="5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Specimen of Stock Certificate.</w:t>
            </w:r>
          </w:p>
        </w:tc>
      </w:tr>
      <w:tr>
        <w:trPr>
          <w:trHeight w:val="7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14(a) and 15d-14(a), as adopted pursuant to Section 302 of the</w:t>
            </w:r>
          </w:p>
        </w:tc>
      </w:tr>
      <w:tr>
        <w:trPr>
          <w:trHeight w:val="234"/>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Rules 13a-14(a)</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r>
      <w:tr>
        <w:trPr>
          <w:trHeight w:val="234"/>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Oxley Act of 2002. ††</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Oxley Act of 2002.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31813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Amendment No. 6 to the University’s Registration Statement on Form S-1 filed with the SEC on November 12, 2008.</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Incorporated by reference to Appendix A to University’s Definitive Proxy Statement filed with the SEC on April 29, 2016.</w:t>
      </w:r>
    </w:p>
    <w:p>
      <w:pPr>
        <w:spacing w:after="0" w:line="54"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Incorporated by reference to Exhibit 3.1 to the University’s Current Report on Form 8-K filed with the SEC on October 29, 2014.</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4.1 to Amendment No. 2 to the University’s Registration Statement on Form S-1 filed with the SEC on September 29, 2008.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7" w:lineRule="exact"/>
        <w:rPr>
          <w:sz w:val="20"/>
          <w:szCs w:val="20"/>
          <w:color w:val="auto"/>
        </w:rPr>
      </w:pPr>
    </w:p>
    <w:p>
      <w:pPr>
        <w:sectPr>
          <w:pgSz w:w="11900" w:h="16838" w:orient="portrait"/>
          <w:cols w:equalWidth="0" w:num="2">
            <w:col w:w="6200" w:space="200"/>
            <w:col w:w="4920"/>
          </w:cols>
          <w:pgMar w:left="240" w:top="455" w:right="339" w:bottom="1440" w:gutter="0" w:footer="0" w:header="0"/>
          <w:type w:val="continuous"/>
        </w:sectPr>
      </w:pPr>
    </w:p>
    <w:p>
      <w:pPr>
        <w:spacing w:after="0" w:line="25" w:lineRule="exact"/>
        <w:rPr>
          <w:sz w:val="20"/>
          <w:szCs w:val="20"/>
          <w:color w:val="auto"/>
        </w:rPr>
      </w:pPr>
    </w:p>
    <w:p>
      <w:pPr>
        <w:ind w:left="460" w:right="60" w:hanging="452"/>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240" w:top="455"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0F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ending September 30, 2016 of Grand Canyon Education, Inc.;</w:t>
      </w:r>
    </w:p>
    <w:p>
      <w:pPr>
        <w:spacing w:after="0" w:line="117"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60" w:firstLine="464"/>
        <w:spacing w:after="0" w:line="266"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921"/>
        <w:spacing w:after="0" w:line="266" w:lineRule="auto"/>
        <w:tabs>
          <w:tab w:leader="none" w:pos="10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921"/>
        <w:spacing w:after="0" w:line="266" w:lineRule="auto"/>
        <w:tabs>
          <w:tab w:leader="none" w:pos="11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620" w:firstLine="921"/>
        <w:spacing w:after="0" w:line="282" w:lineRule="auto"/>
        <w:tabs>
          <w:tab w:leader="none" w:pos="10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80" w:firstLine="921"/>
        <w:spacing w:after="0" w:line="266" w:lineRule="auto"/>
        <w:tabs>
          <w:tab w:leader="none" w:pos="11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921"/>
        <w:spacing w:after="0" w:line="282" w:lineRule="auto"/>
        <w:tabs>
          <w:tab w:leader="none" w:pos="10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20" w:firstLine="921"/>
        <w:spacing w:after="0" w:line="282" w:lineRule="auto"/>
        <w:tabs>
          <w:tab w:leader="none" w:pos="10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November 2, 2016</w:t>
      </w:r>
      <w:r>
        <w:rPr>
          <w:sz w:val="20"/>
          <w:szCs w:val="20"/>
          <w:color w:val="auto"/>
        </w:rPr>
        <w:tab/>
      </w:r>
      <w:r>
        <w:rPr>
          <w:rFonts w:ascii="Times New Roman" w:cs="Times New Roman" w:eastAsia="Times New Roman" w:hAnsi="Times New Roman"/>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0F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ending September 30, 2016 of Grand Canyon Education, Inc.;</w:t>
      </w:r>
    </w:p>
    <w:p>
      <w:pPr>
        <w:spacing w:after="0" w:line="117"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60" w:firstLine="464"/>
        <w:spacing w:after="0" w:line="26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921"/>
        <w:spacing w:after="0" w:line="266" w:lineRule="auto"/>
        <w:tabs>
          <w:tab w:leader="none" w:pos="10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921"/>
        <w:spacing w:after="0" w:line="266" w:lineRule="auto"/>
        <w:tabs>
          <w:tab w:leader="none" w:pos="1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620" w:firstLine="921"/>
        <w:spacing w:after="0" w:line="282" w:lineRule="auto"/>
        <w:tabs>
          <w:tab w:leader="none" w:pos="10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80" w:firstLine="921"/>
        <w:spacing w:after="0" w:line="266" w:lineRule="auto"/>
        <w:tabs>
          <w:tab w:leader="none" w:pos="1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921"/>
        <w:spacing w:after="0" w:line="282" w:lineRule="auto"/>
        <w:tabs>
          <w:tab w:leader="none" w:pos="10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20" w:firstLine="921"/>
        <w:spacing w:after="0" w:line="282" w:lineRule="auto"/>
        <w:tabs>
          <w:tab w:leader="none" w:pos="10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November 2, 2016</w:t>
      </w:r>
      <w:r>
        <w:rPr>
          <w:sz w:val="20"/>
          <w:szCs w:val="20"/>
          <w:color w:val="auto"/>
        </w:rPr>
        <w:tab/>
      </w:r>
      <w:r>
        <w:rPr>
          <w:rFonts w:ascii="Times New Roman" w:cs="Times New Roman" w:eastAsia="Times New Roman" w:hAnsi="Times New Roman"/>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Grand Canyon Education, Inc. (the “University”) for the quarter ended September 30, 2016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82" w:lineRule="exact"/>
        <w:rPr>
          <w:sz w:val="20"/>
          <w:szCs w:val="20"/>
          <w:color w:val="auto"/>
        </w:rPr>
      </w:pPr>
    </w:p>
    <w:p>
      <w:pPr>
        <w:ind w:left="460" w:right="2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(15 U.S.C. 78m or 78o);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University.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E. Mueller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Grand Canyon Education, Inc. (the “University”) for the quarter ended September 30, 2016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82" w:lineRule="exact"/>
        <w:rPr>
          <w:sz w:val="20"/>
          <w:szCs w:val="20"/>
          <w:color w:val="auto"/>
        </w:rPr>
      </w:pPr>
    </w:p>
    <w:p>
      <w:pPr>
        <w:ind w:left="460" w:right="2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(15 U.S.C. 78m or 78o);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University.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6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Principal Accounting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2019-12-29T09:21:43Z</dcterms:created>
  <dcterms:modified xsi:type="dcterms:W3CDTF">2019-12-29T09:21:43Z</dcterms:modified>
</cp:coreProperties>
</file>