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58"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Grand Canyon Education, Inc.</w:t>
      </w:r>
    </w:p>
    <w:p>
      <w:pPr>
        <w:spacing w:after="0" w:line="6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-4216400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-3238500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-2432685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422" w:right="319" w:bottom="364"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4768215" cy="875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476821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3300 W. Camelback Road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 85017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(602) 639-7500</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26,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You are cordially invited to attend the 2012 Annual Meeting of Stockholders (the “Annual Meeting”) of Grand Canyon Education, Inc. (the “Company”) to be held at Grand Canyon University Arena on the campus of Grand Canyon University at 3300 W. Camelback Road, Phoenix, Arizona 85017, commencing at 10:00 a.m., local time, on Thursday, May 17, 2012.</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notice of annual meeting and the proxy statement that follow describe the matters to come before the Annual Meeting. Each holder of record of shares of the Company’s common stock (NasdaqGM: LOPE) at the close of business on March 22, 2012 is entitled to receive notice of and to vote at the Annual Meeting, and any adjournment or postponement of the Annual Meeting. Shares of our common stock can be voted at the Annual Meeting only if the holder is present in person or by valid proxy.</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Annual Meeting materials are available over the Internet. We believe that this delivery process expedites stockholders’ receipt of proxy materials as well as lowers the costs and reduces the environmental impact of our Annual Meeting. All stockholders as of the record date were mailed a Notice of Internet Availability (the “Notice”) with instructions on how to access our Annual Meeting materials online and how to request a paper copy of the materials by mail. The Notice also includes instructions on how to vote online or by telephone. Internet voting must be completed before midnight, Mountain Standard Time, prior to the meeting.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hope that you will be able to attend the Annual Meeting in person and we look forward to seeing you.</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Director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This proxy statement is dated March 26, 2012, and is first being sent or made available to stockholders on or about April 5, 2012.</w:t>
      </w:r>
    </w:p>
    <w:p>
      <w:pPr>
        <w:sectPr>
          <w:pgSz w:w="11900" w:h="16838" w:orient="portrait"/>
          <w:cols w:equalWidth="0" w:num="1">
            <w:col w:w="11420"/>
          </w:cols>
          <w:pgMar w:left="240" w:top="1440" w:right="2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METHODS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accompanying proxy statement describes important issues affecting Grand Canyon Education, Inc. If you are a stockholder of record as of the record date, you have the right to submit your proxy through the Internet, by telephone or by mail. You also may revoke your proxy at any time before the Annual Meeting. Please help us save time and administrative costs by submitting your proxy through the Internet or by telephone. Each method is generally available 24 hours a day and will ensure that your voting instructions are confirmed and posted immediately. To submit your proxy:</w:t>
      </w:r>
    </w:p>
    <w:p>
      <w:pPr>
        <w:spacing w:after="0" w:line="26"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BY TELEPHONE</w:t>
      </w:r>
    </w:p>
    <w:p>
      <w:pPr>
        <w:spacing w:after="0" w:line="96" w:lineRule="exact"/>
        <w:rPr>
          <w:rFonts w:ascii="Arial" w:cs="Arial" w:eastAsia="Arial" w:hAnsi="Arial"/>
          <w:sz w:val="18"/>
          <w:szCs w:val="18"/>
          <w:color w:val="auto"/>
        </w:rPr>
      </w:pPr>
    </w:p>
    <w:p>
      <w:pPr>
        <w:ind w:left="1480" w:right="60" w:hanging="567"/>
        <w:spacing w:after="0" w:line="268"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On a touch-tone telephone, call toll-free 1-800-652-VOTE (8683), 24 hours a day, seven days a week, through 11:00 p.m. (PT) on May 16, 2012.</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Please have available your notice card.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Follow the simple instructions provided.</w:t>
      </w:r>
    </w:p>
    <w:p>
      <w:pPr>
        <w:spacing w:after="0" w:line="84"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BY INTERNET</w:t>
      </w:r>
    </w:p>
    <w:p>
      <w:pPr>
        <w:spacing w:after="0" w:line="96" w:lineRule="exact"/>
        <w:rPr>
          <w:rFonts w:ascii="Arial" w:cs="Arial" w:eastAsia="Arial" w:hAnsi="Arial"/>
          <w:sz w:val="18"/>
          <w:szCs w:val="18"/>
          <w:color w:val="auto"/>
        </w:rPr>
      </w:pPr>
    </w:p>
    <w:p>
      <w:pPr>
        <w:ind w:left="1480" w:hanging="567"/>
        <w:spacing w:after="0"/>
        <w:tabs>
          <w:tab w:leader="none" w:pos="1480" w:val="left"/>
        </w:tabs>
        <w:numPr>
          <w:ilvl w:val="1"/>
          <w:numId w:val="6"/>
        </w:numPr>
        <w:rPr>
          <w:rFonts w:ascii="Arial" w:cs="Arial" w:eastAsia="Arial" w:hAnsi="Arial"/>
          <w:sz w:val="16"/>
          <w:szCs w:val="16"/>
          <w:color w:val="auto"/>
        </w:rPr>
      </w:pPr>
      <w:r>
        <w:rPr>
          <w:rFonts w:ascii="Arial" w:cs="Arial" w:eastAsia="Arial" w:hAnsi="Arial"/>
          <w:sz w:val="16"/>
          <w:szCs w:val="16"/>
          <w:color w:val="auto"/>
        </w:rPr>
        <w:t>Go to the web site at www.investorvote.com, 24 hours a day, seven days a week, through 11:00 p.m. (PT) on May 16, 2012.</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Please have available your notice card.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Follow the simple instructions provided.</w:t>
      </w:r>
    </w:p>
    <w:p>
      <w:pPr>
        <w:spacing w:after="0" w:line="84"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BY MAIL (if you submit your proxy by telephone or Internet, please do not mail your proxy card)</w:t>
      </w:r>
    </w:p>
    <w:p>
      <w:pPr>
        <w:spacing w:after="0" w:line="96" w:lineRule="exact"/>
        <w:rPr>
          <w:rFonts w:ascii="Arial" w:cs="Arial" w:eastAsia="Arial" w:hAnsi="Arial"/>
          <w:sz w:val="18"/>
          <w:szCs w:val="18"/>
          <w:color w:val="auto"/>
        </w:rPr>
      </w:pPr>
    </w:p>
    <w:p>
      <w:pPr>
        <w:ind w:left="1480" w:hanging="567"/>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Mark, sign and date your proxy card.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Return it in the enclosed postage-paid envelope.</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If your shares are held in an account at a brokerage firm, bank or similar organization, you will receive instructions from the registered holder that you must follow in order to have your shares voted.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vote is important. Thank you for submitting your proxy.</w:t>
      </w:r>
    </w:p>
    <w:p>
      <w:pPr>
        <w:sectPr>
          <w:pgSz w:w="11900" w:h="16838" w:orient="portrait"/>
          <w:cols w:equalWidth="0" w:num="1">
            <w:col w:w="11300"/>
          </w:cols>
          <w:pgMar w:left="240" w:top="274" w:right="35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Annual Meeting of Stockholders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on May 17,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71"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2012 Annual Meeting of Stockholders (the “Annual Meeting”) of Grand Canyon Education, Inc. (the “Company”), will be held at the Grand Canyon University Arena on the campus of Grand Canyon University at 3300 W. Camelback Road, Phoenix, Arizona 85017, commencing at 10:00 a.m., local time, on Thursday, May 17, 2012, for the following purposes:</w:t>
      </w:r>
    </w:p>
    <w:p>
      <w:pPr>
        <w:spacing w:after="0" w:line="59" w:lineRule="exact"/>
        <w:rPr>
          <w:sz w:val="20"/>
          <w:szCs w:val="20"/>
          <w:color w:val="auto"/>
        </w:rPr>
      </w:pPr>
    </w:p>
    <w:p>
      <w:pPr>
        <w:ind w:left="900" w:right="22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a Board of Directors of seven directors, each to serve until the 2013 annual meeting of stockholders or until his or her successor has been duly elected and qualified or until his or her earlier resignation or removal;</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our named executive officers as disclosed in the enclosed Proxy Statement;</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2012;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be brought before the meeting or any adjournment or postponement thereof.</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Board of Directors has fixed March 22, 2012 as the record date for the determination of stockholders entitled to notice of and to vote at the Annual Meeting or any adjournment or postponement thereof. For 10 days prior to the Annual Meeting, a list of stockholders entitled to vote at the Annual Meeting will be available for inspection in the offices of Grand Canyon Education, Inc., Office of the Chief Executive Officer, 3300 W. Camelback Road, Phoenix, Arizona 85017 between the hours of 8:30 a.m. and 5:00 p.m., local time, each weekday. Such list will also be available at the Annual Meeting.</w:t>
      </w:r>
    </w:p>
    <w:p>
      <w:pPr>
        <w:spacing w:after="0" w:line="107"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color w:val="auto"/>
        </w:rPr>
        <w:t xml:space="preserve">Your proxy is important to ensure a quorum at the meeting. Even if you own only a few shares, and whether or not you expect to be present, you are urgently requested to submit the enclosed proxy by telephone or through the Internet in accordance with the instructions provided to you. </w:t>
      </w:r>
      <w:r>
        <w:rPr>
          <w:rFonts w:ascii="Arial" w:cs="Arial" w:eastAsia="Arial" w:hAnsi="Arial"/>
          <w:sz w:val="16"/>
          <w:szCs w:val="16"/>
          <w:b w:val="1"/>
          <w:bCs w:val="1"/>
          <w:u w:val="single" w:color="auto"/>
          <w:color w:val="auto"/>
        </w:rPr>
        <w:t>If you</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received a paper copy of the proxy card by mail, you may also date, sign and mail the proxy card in the postage-paid envelope that is provided.</w:t>
      </w:r>
      <w:r>
        <w:rPr>
          <w:rFonts w:ascii="Arial" w:cs="Arial" w:eastAsia="Arial" w:hAnsi="Arial"/>
          <w:sz w:val="16"/>
          <w:szCs w:val="16"/>
          <w:b w:val="1"/>
          <w:bCs w:val="1"/>
          <w:color w:val="auto"/>
        </w:rPr>
        <w:t xml:space="preserve"> The proxy may be revoked by you at any time prior to being exercised, and submitting your proxy by telephone or through the Internet or returning your proxy by mail will not affect your right to vote in person if you attend the Annual Meeting and revoke the proxy.</w:t>
      </w:r>
    </w:p>
    <w:p>
      <w:pPr>
        <w:spacing w:after="0" w:line="108" w:lineRule="exact"/>
        <w:rPr>
          <w:sz w:val="20"/>
          <w:szCs w:val="20"/>
          <w:color w:val="auto"/>
        </w:rPr>
      </w:pPr>
    </w:p>
    <w:p>
      <w:pPr>
        <w:ind w:right="140" w:firstLine="456"/>
        <w:spacing w:after="0" w:line="326" w:lineRule="auto"/>
        <w:rPr>
          <w:sz w:val="20"/>
          <w:szCs w:val="20"/>
          <w:color w:val="auto"/>
        </w:rPr>
      </w:pPr>
      <w:r>
        <w:rPr>
          <w:rFonts w:ascii="Arial" w:cs="Arial" w:eastAsia="Arial" w:hAnsi="Arial"/>
          <w:sz w:val="15"/>
          <w:szCs w:val="15"/>
          <w:b w:val="1"/>
          <w:bCs w:val="1"/>
          <w:color w:val="auto"/>
        </w:rPr>
        <w:t xml:space="preserve">Important Notice Regarding the Availability of Proxy Materials for the Stockholder Meeting to Be Held on May 17, 2012. </w:t>
      </w:r>
      <w:r>
        <w:rPr>
          <w:rFonts w:ascii="Arial" w:cs="Arial" w:eastAsia="Arial" w:hAnsi="Arial"/>
          <w:sz w:val="15"/>
          <w:szCs w:val="15"/>
          <w:color w:val="auto"/>
        </w:rPr>
        <w:t>Our Proxy Statement is</w:t>
      </w:r>
      <w:r>
        <w:rPr>
          <w:rFonts w:ascii="Arial" w:cs="Arial" w:eastAsia="Arial" w:hAnsi="Arial"/>
          <w:sz w:val="15"/>
          <w:szCs w:val="15"/>
          <w:b w:val="1"/>
          <w:bCs w:val="1"/>
          <w:color w:val="auto"/>
        </w:rPr>
        <w:t xml:space="preserve"> </w:t>
      </w:r>
      <w:r>
        <w:rPr>
          <w:rFonts w:ascii="Arial" w:cs="Arial" w:eastAsia="Arial" w:hAnsi="Arial"/>
          <w:sz w:val="15"/>
          <w:szCs w:val="15"/>
          <w:color w:val="auto"/>
        </w:rPr>
        <w:t>attached. Financial and other information concerning Grand Canyon Education, Inc. is contained in our Annual Report to Stockholders for the fiscal year ended December 31, 2011. A complete set of proxy materials relating to our Annual Meeting is available on the Internet. These materials, consisting of the Notice of Annual Meeting, Proxy Statement, Proxy Card and Annual Report to Stockholders</w:t>
      </w:r>
      <w:r>
        <w:rPr>
          <w:rFonts w:ascii="Arial" w:cs="Arial" w:eastAsia="Arial" w:hAnsi="Arial"/>
          <w:sz w:val="15"/>
          <w:szCs w:val="15"/>
          <w:b w:val="1"/>
          <w:bCs w:val="1"/>
          <w:color w:val="auto"/>
        </w:rPr>
        <w:t>, are available and may be viewed at www.edocumentview.com/LOPE.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26, 2012</w:t>
      </w:r>
    </w:p>
    <w:p>
      <w:pPr>
        <w:sectPr>
          <w:pgSz w:w="11900" w:h="16838" w:orient="portrait"/>
          <w:cols w:equalWidth="0" w:num="1">
            <w:col w:w="11360"/>
          </w:cols>
          <w:pgMar w:left="240" w:top="274" w:right="2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9500" w:type="dxa"/>
            <w:vAlign w:val="bottom"/>
            <w:gridSpan w:val="4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GENERAL INFORMATION</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12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Notice of Internet Availability</w:t>
              </w:r>
            </w:hyperlink>
          </w:p>
        </w:tc>
        <w:tc>
          <w:tcPr>
            <w:tcW w:w="6940" w:type="dxa"/>
            <w:vAlign w:val="bottom"/>
            <w:gridSpan w:val="26"/>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440" w:type="dxa"/>
            <w:vAlign w:val="bottom"/>
          </w:tcPr>
          <w:p>
            <w:pPr>
              <w:spacing w:after="0"/>
              <w:rPr>
                <w:sz w:val="17"/>
                <w:szCs w:val="17"/>
                <w:color w:val="auto"/>
              </w:rPr>
            </w:pPr>
          </w:p>
        </w:tc>
        <w:tc>
          <w:tcPr>
            <w:tcW w:w="9060" w:type="dxa"/>
            <w:vAlign w:val="bottom"/>
            <w:gridSpan w:val="4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Record Date and Quorum</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48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Submission of Proxies; Revocation</w:t>
              </w:r>
            </w:hyperlink>
          </w:p>
        </w:tc>
        <w:tc>
          <w:tcPr>
            <w:tcW w:w="6580" w:type="dxa"/>
            <w:vAlign w:val="bottom"/>
            <w:gridSpan w:val="22"/>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440" w:type="dxa"/>
            <w:vAlign w:val="bottom"/>
          </w:tcPr>
          <w:p>
            <w:pPr>
              <w:spacing w:after="0"/>
              <w:rPr>
                <w:sz w:val="17"/>
                <w:szCs w:val="17"/>
                <w:color w:val="auto"/>
              </w:rPr>
            </w:pPr>
          </w:p>
        </w:tc>
        <w:tc>
          <w:tcPr>
            <w:tcW w:w="9060" w:type="dxa"/>
            <w:vAlign w:val="bottom"/>
            <w:gridSpan w:val="4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Deadlines for Stockholder Proposals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40" w:type="dxa"/>
            <w:vAlign w:val="bottom"/>
          </w:tcPr>
          <w:p>
            <w:pPr>
              <w:spacing w:after="0"/>
              <w:rPr>
                <w:sz w:val="17"/>
                <w:szCs w:val="17"/>
                <w:color w:val="auto"/>
              </w:rPr>
            </w:pPr>
          </w:p>
        </w:tc>
        <w:tc>
          <w:tcPr>
            <w:tcW w:w="25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Quorum</w:t>
              </w:r>
            </w:hyperlink>
          </w:p>
        </w:tc>
        <w:tc>
          <w:tcPr>
            <w:tcW w:w="6500" w:type="dxa"/>
            <w:vAlign w:val="bottom"/>
            <w:gridSpan w:val="21"/>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060" w:type="dxa"/>
            <w:vAlign w:val="bottom"/>
            <w:gridSpan w:val="4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Vote Required</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060" w:type="dxa"/>
            <w:vAlign w:val="bottom"/>
            <w:gridSpan w:val="4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Adjournment or Postponement of Meeting</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44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Expenses of Soliciting Proxies</w:t>
              </w:r>
            </w:hyperlink>
          </w:p>
        </w:tc>
        <w:tc>
          <w:tcPr>
            <w:tcW w:w="820" w:type="dxa"/>
            <w:vAlign w:val="bottom"/>
            <w:tcBorders>
              <w:top w:val="single" w:sz="8" w:color="0000EE"/>
            </w:tcBorders>
            <w:gridSpan w:val="10"/>
          </w:tcPr>
          <w:p>
            <w:pPr>
              <w:spacing w:after="0"/>
              <w:rPr>
                <w:sz w:val="17"/>
                <w:szCs w:val="17"/>
                <w:color w:val="auto"/>
              </w:rPr>
            </w:pPr>
          </w:p>
        </w:tc>
        <w:tc>
          <w:tcPr>
            <w:tcW w:w="6080" w:type="dxa"/>
            <w:vAlign w:val="bottom"/>
            <w:gridSpan w:val="15"/>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304"/>
        </w:trPr>
        <w:tc>
          <w:tcPr>
            <w:tcW w:w="4220" w:type="dxa"/>
            <w:vAlign w:val="bottom"/>
            <w:tcBorders>
              <w:bottom w:val="single" w:sz="8" w:color="0000EE"/>
            </w:tcBorders>
            <w:gridSpan w:val="32"/>
          </w:tcPr>
          <w:p>
            <w:pPr>
              <w:spacing w:after="0"/>
              <w:rPr>
                <w:rFonts w:ascii="Arial" w:cs="Arial" w:eastAsia="Arial" w:hAnsi="Arial"/>
                <w:sz w:val="18"/>
                <w:szCs w:val="18"/>
                <w:color w:val="0000EE"/>
                <w:w w:val="93"/>
              </w:rPr>
            </w:pPr>
            <w:hyperlink w:anchor="page9">
              <w:r>
                <w:rPr>
                  <w:rFonts w:ascii="Arial" w:cs="Arial" w:eastAsia="Arial" w:hAnsi="Arial"/>
                  <w:sz w:val="18"/>
                  <w:szCs w:val="18"/>
                  <w:color w:val="0000EE"/>
                  <w:w w:val="93"/>
                </w:rPr>
                <w:t>CORPORATE GOVERNANCE AND BOARD MATTERS</w:t>
              </w:r>
            </w:hyperlink>
          </w:p>
        </w:tc>
        <w:tc>
          <w:tcPr>
            <w:tcW w:w="5280" w:type="dxa"/>
            <w:vAlign w:val="bottom"/>
            <w:gridSpan w:val="10"/>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440" w:type="dxa"/>
            <w:vAlign w:val="bottom"/>
          </w:tcPr>
          <w:p>
            <w:pPr>
              <w:spacing w:after="0"/>
              <w:rPr>
                <w:sz w:val="24"/>
                <w:szCs w:val="24"/>
                <w:color w:val="auto"/>
              </w:rPr>
            </w:pPr>
          </w:p>
        </w:tc>
        <w:tc>
          <w:tcPr>
            <w:tcW w:w="9060" w:type="dxa"/>
            <w:vAlign w:val="bottom"/>
            <w:gridSpan w:val="41"/>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Corporate Governance Philosophy</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160" w:type="dxa"/>
            <w:vAlign w:val="bottom"/>
            <w:tcBorders>
              <w:bottom w:val="single" w:sz="8" w:color="0000EE"/>
            </w:tcBorders>
            <w:gridSpan w:val="29"/>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Board of Directors Meetings and Attendance</w:t>
              </w:r>
            </w:hyperlink>
          </w:p>
        </w:tc>
        <w:tc>
          <w:tcPr>
            <w:tcW w:w="5900" w:type="dxa"/>
            <w:vAlign w:val="bottom"/>
            <w:gridSpan w:val="12"/>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40" w:type="dxa"/>
            <w:vAlign w:val="bottom"/>
          </w:tcPr>
          <w:p>
            <w:pPr>
              <w:spacing w:after="0"/>
              <w:rPr>
                <w:sz w:val="17"/>
                <w:szCs w:val="17"/>
                <w:color w:val="auto"/>
              </w:rPr>
            </w:pPr>
          </w:p>
        </w:tc>
        <w:tc>
          <w:tcPr>
            <w:tcW w:w="9060" w:type="dxa"/>
            <w:vAlign w:val="bottom"/>
            <w:gridSpan w:val="4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Director Independence</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060" w:type="dxa"/>
            <w:vAlign w:val="bottom"/>
            <w:gridSpan w:val="4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Board Leadership Structure</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72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Committees of Our Board of Directors</w:t>
              </w:r>
            </w:hyperlink>
          </w:p>
        </w:tc>
        <w:tc>
          <w:tcPr>
            <w:tcW w:w="6340" w:type="dxa"/>
            <w:vAlign w:val="bottom"/>
            <w:gridSpan w:val="19"/>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40" w:type="dxa"/>
            <w:vAlign w:val="bottom"/>
          </w:tcPr>
          <w:p>
            <w:pPr>
              <w:spacing w:after="0"/>
              <w:rPr>
                <w:sz w:val="17"/>
                <w:szCs w:val="17"/>
                <w:color w:val="auto"/>
              </w:rPr>
            </w:pPr>
          </w:p>
        </w:tc>
        <w:tc>
          <w:tcPr>
            <w:tcW w:w="12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Code of Conduct</w:t>
              </w:r>
            </w:hyperlink>
          </w:p>
        </w:tc>
        <w:tc>
          <w:tcPr>
            <w:tcW w:w="7860" w:type="dxa"/>
            <w:vAlign w:val="bottom"/>
            <w:gridSpan w:val="36"/>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 w:type="dxa"/>
            <w:vAlign w:val="bottom"/>
          </w:tcPr>
          <w:p>
            <w:pPr>
              <w:spacing w:after="0"/>
              <w:rPr>
                <w:sz w:val="17"/>
                <w:szCs w:val="17"/>
                <w:color w:val="auto"/>
              </w:rPr>
            </w:pPr>
          </w:p>
        </w:tc>
        <w:tc>
          <w:tcPr>
            <w:tcW w:w="10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1">
              <w:r>
                <w:rPr>
                  <w:rFonts w:ascii="Arial" w:cs="Arial" w:eastAsia="Arial" w:hAnsi="Arial"/>
                  <w:sz w:val="18"/>
                  <w:szCs w:val="18"/>
                  <w:color w:val="0000EE"/>
                  <w:w w:val="88"/>
                </w:rPr>
                <w:t>Risk Oversight</w:t>
              </w:r>
            </w:hyperlink>
          </w:p>
        </w:tc>
        <w:tc>
          <w:tcPr>
            <w:tcW w:w="8000" w:type="dxa"/>
            <w:vAlign w:val="bottom"/>
            <w:gridSpan w:val="37"/>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 w:type="dxa"/>
            <w:vAlign w:val="bottom"/>
          </w:tcPr>
          <w:p>
            <w:pPr>
              <w:spacing w:after="0"/>
              <w:rPr>
                <w:sz w:val="17"/>
                <w:szCs w:val="17"/>
                <w:color w:val="auto"/>
              </w:rPr>
            </w:pPr>
          </w:p>
        </w:tc>
        <w:tc>
          <w:tcPr>
            <w:tcW w:w="20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Director Nomination Process</w:t>
              </w:r>
            </w:hyperlink>
          </w:p>
        </w:tc>
        <w:tc>
          <w:tcPr>
            <w:tcW w:w="7000" w:type="dxa"/>
            <w:vAlign w:val="bottom"/>
            <w:gridSpan w:val="27"/>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 w:type="dxa"/>
            <w:vAlign w:val="bottom"/>
          </w:tcPr>
          <w:p>
            <w:pPr>
              <w:spacing w:after="0"/>
              <w:rPr>
                <w:sz w:val="17"/>
                <w:szCs w:val="17"/>
                <w:color w:val="auto"/>
              </w:rPr>
            </w:pPr>
          </w:p>
        </w:tc>
        <w:tc>
          <w:tcPr>
            <w:tcW w:w="4360" w:type="dxa"/>
            <w:vAlign w:val="bottom"/>
            <w:tcBorders>
              <w:bottom w:val="single" w:sz="8" w:color="0000EE"/>
            </w:tcBorders>
            <w:gridSpan w:val="36"/>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Compensation Committee Interlocks and Insider Participation</w:t>
              </w:r>
            </w:hyperlink>
          </w:p>
        </w:tc>
        <w:tc>
          <w:tcPr>
            <w:tcW w:w="4700" w:type="dxa"/>
            <w:vAlign w:val="bottom"/>
            <w:gridSpan w:val="5"/>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440" w:type="dxa"/>
            <w:vAlign w:val="bottom"/>
          </w:tcPr>
          <w:p>
            <w:pPr>
              <w:spacing w:after="0"/>
              <w:rPr>
                <w:sz w:val="17"/>
                <w:szCs w:val="17"/>
                <w:color w:val="auto"/>
              </w:rPr>
            </w:pPr>
          </w:p>
        </w:tc>
        <w:tc>
          <w:tcPr>
            <w:tcW w:w="9060" w:type="dxa"/>
            <w:vAlign w:val="bottom"/>
            <w:gridSpan w:val="41"/>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Stockholder Communications with the Board of Directors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440" w:type="dxa"/>
            <w:vAlign w:val="bottom"/>
          </w:tcPr>
          <w:p>
            <w:pPr>
              <w:spacing w:after="0"/>
              <w:rPr>
                <w:sz w:val="17"/>
                <w:szCs w:val="17"/>
                <w:color w:val="auto"/>
              </w:rPr>
            </w:pPr>
          </w:p>
        </w:tc>
        <w:tc>
          <w:tcPr>
            <w:tcW w:w="406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Director Stock Ownership Guidelines</w:t>
              </w:r>
            </w:hyperlink>
          </w:p>
        </w:tc>
        <w:tc>
          <w:tcPr>
            <w:tcW w:w="5000" w:type="dxa"/>
            <w:vAlign w:val="bottom"/>
            <w:gridSpan w:val="8"/>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40" w:type="dxa"/>
            <w:vAlign w:val="bottom"/>
          </w:tcPr>
          <w:p>
            <w:pPr>
              <w:spacing w:after="0"/>
              <w:rPr>
                <w:sz w:val="17"/>
                <w:szCs w:val="17"/>
                <w:color w:val="auto"/>
              </w:rPr>
            </w:pPr>
          </w:p>
        </w:tc>
        <w:tc>
          <w:tcPr>
            <w:tcW w:w="26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Compensation of Directors</w:t>
              </w:r>
            </w:hyperlink>
          </w:p>
        </w:tc>
        <w:tc>
          <w:tcPr>
            <w:tcW w:w="6420" w:type="dxa"/>
            <w:vAlign w:val="bottom"/>
            <w:gridSpan w:val="20"/>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04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2011 Director Compensation</w:t>
              </w:r>
            </w:hyperlink>
          </w:p>
        </w:tc>
        <w:tc>
          <w:tcPr>
            <w:tcW w:w="7020" w:type="dxa"/>
            <w:vAlign w:val="bottom"/>
            <w:gridSpan w:val="28"/>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304"/>
        </w:trPr>
        <w:tc>
          <w:tcPr>
            <w:tcW w:w="3580" w:type="dxa"/>
            <w:vAlign w:val="bottom"/>
            <w:tcBorders>
              <w:bottom w:val="single" w:sz="8" w:color="0000EE"/>
            </w:tcBorders>
            <w:gridSpan w:val="29"/>
          </w:tcPr>
          <w:p>
            <w:pPr>
              <w:spacing w:after="0"/>
              <w:rPr>
                <w:rFonts w:ascii="Arial" w:cs="Arial" w:eastAsia="Arial" w:hAnsi="Arial"/>
                <w:sz w:val="18"/>
                <w:szCs w:val="18"/>
                <w:color w:val="0000EE"/>
                <w:w w:val="91"/>
              </w:rPr>
            </w:pPr>
            <w:hyperlink w:anchor="page16">
              <w:r>
                <w:rPr>
                  <w:rFonts w:ascii="Arial" w:cs="Arial" w:eastAsia="Arial" w:hAnsi="Arial"/>
                  <w:sz w:val="18"/>
                  <w:szCs w:val="18"/>
                  <w:color w:val="0000EE"/>
                  <w:w w:val="91"/>
                </w:rPr>
                <w:t>PROPOSAL NO. 1 ELECTION OF DIRECTORS</w:t>
              </w:r>
            </w:hyperlink>
          </w:p>
        </w:tc>
        <w:tc>
          <w:tcPr>
            <w:tcW w:w="5920" w:type="dxa"/>
            <w:vAlign w:val="bottom"/>
            <w:gridSpan w:val="13"/>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440" w:type="dxa"/>
            <w:vAlign w:val="bottom"/>
          </w:tcPr>
          <w:p>
            <w:pPr>
              <w:spacing w:after="0"/>
              <w:rPr>
                <w:sz w:val="24"/>
                <w:szCs w:val="24"/>
                <w:color w:val="auto"/>
              </w:rPr>
            </w:pPr>
          </w:p>
        </w:tc>
        <w:tc>
          <w:tcPr>
            <w:tcW w:w="2740" w:type="dxa"/>
            <w:vAlign w:val="bottom"/>
            <w:tcBorders>
              <w:bottom w:val="single" w:sz="8" w:color="0000EE"/>
            </w:tcBorders>
            <w:gridSpan w:val="23"/>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Composition of our Board of Directors</w:t>
              </w:r>
            </w:hyperlink>
          </w:p>
        </w:tc>
        <w:tc>
          <w:tcPr>
            <w:tcW w:w="6320" w:type="dxa"/>
            <w:vAlign w:val="bottom"/>
            <w:gridSpan w:val="18"/>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196"/>
        </w:trPr>
        <w:tc>
          <w:tcPr>
            <w:tcW w:w="440" w:type="dxa"/>
            <w:vAlign w:val="bottom"/>
          </w:tcPr>
          <w:p>
            <w:pPr>
              <w:spacing w:after="0"/>
              <w:rPr>
                <w:sz w:val="17"/>
                <w:szCs w:val="17"/>
                <w:color w:val="auto"/>
              </w:rPr>
            </w:pPr>
          </w:p>
        </w:tc>
        <w:tc>
          <w:tcPr>
            <w:tcW w:w="234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Directors and Director Nominees</w:t>
              </w:r>
            </w:hyperlink>
          </w:p>
        </w:tc>
        <w:tc>
          <w:tcPr>
            <w:tcW w:w="6720" w:type="dxa"/>
            <w:vAlign w:val="bottom"/>
            <w:gridSpan w:val="24"/>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304"/>
        </w:trPr>
        <w:tc>
          <w:tcPr>
            <w:tcW w:w="7840" w:type="dxa"/>
            <w:vAlign w:val="bottom"/>
            <w:tcBorders>
              <w:bottom w:val="single" w:sz="8" w:color="0000EE"/>
            </w:tcBorders>
            <w:gridSpan w:val="41"/>
          </w:tcPr>
          <w:p>
            <w:pPr>
              <w:spacing w:after="0"/>
              <w:rPr>
                <w:rFonts w:ascii="Arial" w:cs="Arial" w:eastAsia="Arial" w:hAnsi="Arial"/>
                <w:sz w:val="18"/>
                <w:szCs w:val="18"/>
                <w:color w:val="0000EE"/>
                <w:w w:val="93"/>
              </w:rPr>
            </w:pPr>
            <w:hyperlink w:anchor="page19">
              <w:r>
                <w:rPr>
                  <w:rFonts w:ascii="Arial" w:cs="Arial" w:eastAsia="Arial" w:hAnsi="Arial"/>
                  <w:sz w:val="18"/>
                  <w:szCs w:val="18"/>
                  <w:color w:val="0000EE"/>
                  <w:w w:val="93"/>
                </w:rPr>
                <w:t>PROPOSAL NO. 2 ADVISORY VOTE TO APPROVE NAMED EXECUTIVE OFFICER COMPENSATION</w:t>
              </w:r>
            </w:hyperlink>
          </w:p>
        </w:tc>
        <w:tc>
          <w:tcPr>
            <w:tcW w:w="166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9500" w:type="dxa"/>
            <w:vAlign w:val="bottom"/>
            <w:gridSpan w:val="4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PROPOSAL NO. 3 RATIFICATION OF INDEPENDENT REGISTERED PUBLIC ACCOUNTING FIRM</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440" w:type="dxa"/>
            <w:vAlign w:val="bottom"/>
            <w:tcBorders>
              <w:top w:val="single" w:sz="8" w:color="0000EE"/>
            </w:tcBorders>
          </w:tcPr>
          <w:p>
            <w:pPr>
              <w:spacing w:after="0"/>
              <w:rPr>
                <w:sz w:val="24"/>
                <w:szCs w:val="24"/>
                <w:color w:val="auto"/>
              </w:rPr>
            </w:pPr>
          </w:p>
        </w:tc>
        <w:tc>
          <w:tcPr>
            <w:tcW w:w="7160" w:type="dxa"/>
            <w:vAlign w:val="bottom"/>
            <w:tcBorders>
              <w:top w:val="single" w:sz="8" w:color="0000EE"/>
            </w:tcBorders>
            <w:gridSpan w:val="3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Fees</w:t>
              </w:r>
            </w:hyperlink>
          </w:p>
        </w:tc>
        <w:tc>
          <w:tcPr>
            <w:tcW w:w="1900" w:type="dxa"/>
            <w:vAlign w:val="bottom"/>
            <w:gridSpan w:val="2"/>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060" w:type="dxa"/>
            <w:vAlign w:val="bottom"/>
            <w:gridSpan w:val="4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Approval of Independent Registered Public Accounting Firm Services and Fees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440" w:type="dxa"/>
            <w:vAlign w:val="bottom"/>
          </w:tcPr>
          <w:p>
            <w:pPr>
              <w:spacing w:after="0" w:line="20" w:lineRule="exact"/>
              <w:rPr>
                <w:sz w:val="1"/>
                <w:szCs w:val="1"/>
                <w:color w:val="auto"/>
              </w:rPr>
            </w:pPr>
          </w:p>
        </w:tc>
        <w:tc>
          <w:tcPr>
            <w:tcW w:w="142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6"/>
            <w:shd w:val="clear" w:color="auto" w:fill="0000EE"/>
          </w:tcPr>
          <w:p>
            <w:pPr>
              <w:spacing w:after="0" w:line="20" w:lineRule="exact"/>
              <w:rPr>
                <w:sz w:val="1"/>
                <w:szCs w:val="1"/>
                <w:color w:val="auto"/>
              </w:rPr>
            </w:pPr>
          </w:p>
        </w:tc>
        <w:tc>
          <w:tcPr>
            <w:tcW w:w="420" w:type="dxa"/>
            <w:vAlign w:val="bottom"/>
            <w:tcBorders>
              <w:left w:val="single" w:sz="8" w:color="0000EE"/>
            </w:tcBorders>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04"/>
        </w:trPr>
        <w:tc>
          <w:tcPr>
            <w:tcW w:w="9500" w:type="dxa"/>
            <w:vAlign w:val="bottom"/>
            <w:gridSpan w:val="4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AUDIT COMMITTEE REPORT</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18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EXECUTIVE OFFICERS</w:t>
              </w:r>
            </w:hyperlink>
          </w:p>
        </w:tc>
        <w:tc>
          <w:tcPr>
            <w:tcW w:w="480" w:type="dxa"/>
            <w:vAlign w:val="bottom"/>
            <w:tcBorders>
              <w:top w:val="single" w:sz="8" w:color="0000EE"/>
            </w:tcBorders>
            <w:gridSpan w:val="4"/>
          </w:tcPr>
          <w:p>
            <w:pPr>
              <w:spacing w:after="0"/>
              <w:rPr>
                <w:sz w:val="24"/>
                <w:szCs w:val="24"/>
                <w:color w:val="auto"/>
              </w:rPr>
            </w:pPr>
          </w:p>
        </w:tc>
        <w:tc>
          <w:tcPr>
            <w:tcW w:w="7160" w:type="dxa"/>
            <w:vAlign w:val="bottom"/>
            <w:gridSpan w:val="31"/>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2400" w:type="dxa"/>
            <w:vAlign w:val="bottom"/>
            <w:tcBorders>
              <w:bottom w:val="single" w:sz="8" w:color="0000EE"/>
            </w:tcBorders>
            <w:gridSpan w:val="13"/>
          </w:tcPr>
          <w:p>
            <w:pPr>
              <w:spacing w:after="0"/>
              <w:rPr>
                <w:rFonts w:ascii="Arial" w:cs="Arial" w:eastAsia="Arial" w:hAnsi="Arial"/>
                <w:sz w:val="18"/>
                <w:szCs w:val="18"/>
                <w:color w:val="0000EE"/>
                <w:w w:val="94"/>
              </w:rPr>
            </w:pPr>
            <w:hyperlink w:anchor="page23">
              <w:r>
                <w:rPr>
                  <w:rFonts w:ascii="Arial" w:cs="Arial" w:eastAsia="Arial" w:hAnsi="Arial"/>
                  <w:sz w:val="18"/>
                  <w:szCs w:val="18"/>
                  <w:color w:val="0000EE"/>
                  <w:w w:val="94"/>
                </w:rPr>
                <w:t>EXECUTIVE COMPENSATION</w:t>
              </w:r>
            </w:hyperlink>
          </w:p>
        </w:tc>
        <w:tc>
          <w:tcPr>
            <w:tcW w:w="7100" w:type="dxa"/>
            <w:vAlign w:val="bottom"/>
            <w:gridSpan w:val="29"/>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440" w:type="dxa"/>
            <w:vAlign w:val="bottom"/>
          </w:tcPr>
          <w:p>
            <w:pPr>
              <w:spacing w:after="0"/>
              <w:rPr>
                <w:sz w:val="24"/>
                <w:szCs w:val="24"/>
                <w:color w:val="auto"/>
              </w:rPr>
            </w:pPr>
          </w:p>
        </w:tc>
        <w:tc>
          <w:tcPr>
            <w:tcW w:w="9060" w:type="dxa"/>
            <w:vAlign w:val="bottom"/>
            <w:gridSpan w:val="4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Compensation Discussion and Analysis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196"/>
        </w:trPr>
        <w:tc>
          <w:tcPr>
            <w:tcW w:w="440" w:type="dxa"/>
            <w:vAlign w:val="bottom"/>
          </w:tcPr>
          <w:p>
            <w:pPr>
              <w:spacing w:after="0"/>
              <w:rPr>
                <w:sz w:val="17"/>
                <w:szCs w:val="17"/>
                <w:color w:val="auto"/>
              </w:rPr>
            </w:pPr>
          </w:p>
        </w:tc>
        <w:tc>
          <w:tcPr>
            <w:tcW w:w="27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Compensation Committee Report</w:t>
              </w:r>
            </w:hyperlink>
          </w:p>
        </w:tc>
        <w:tc>
          <w:tcPr>
            <w:tcW w:w="6280" w:type="dxa"/>
            <w:vAlign w:val="bottom"/>
            <w:gridSpan w:val="17"/>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440" w:type="dxa"/>
            <w:vAlign w:val="bottom"/>
          </w:tcPr>
          <w:p>
            <w:pPr>
              <w:spacing w:after="0" w:line="20" w:lineRule="exact"/>
              <w:rPr>
                <w:sz w:val="1"/>
                <w:szCs w:val="1"/>
                <w:color w:val="auto"/>
              </w:rPr>
            </w:pPr>
          </w:p>
        </w:tc>
        <w:tc>
          <w:tcPr>
            <w:tcW w:w="1460" w:type="dxa"/>
            <w:vAlign w:val="bottom"/>
            <w:gridSpan w:val="7"/>
            <w:shd w:val="clear" w:color="auto" w:fill="0000EE"/>
          </w:tcPr>
          <w:p>
            <w:pPr>
              <w:spacing w:after="0" w:line="20" w:lineRule="exact"/>
              <w:rPr>
                <w:sz w:val="1"/>
                <w:szCs w:val="1"/>
                <w:color w:val="auto"/>
              </w:rPr>
            </w:pPr>
          </w:p>
        </w:tc>
        <w:tc>
          <w:tcPr>
            <w:tcW w:w="48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7"/>
            <w:shd w:val="clear" w:color="auto" w:fill="0000EE"/>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12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Compensation of Named Executive Officers</w:t>
              </w:r>
            </w:hyperlink>
          </w:p>
        </w:tc>
        <w:tc>
          <w:tcPr>
            <w:tcW w:w="5940" w:type="dxa"/>
            <w:vAlign w:val="bottom"/>
            <w:gridSpan w:val="14"/>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440" w:type="dxa"/>
            <w:vAlign w:val="bottom"/>
          </w:tcPr>
          <w:p>
            <w:pPr>
              <w:spacing w:after="0"/>
              <w:rPr>
                <w:sz w:val="17"/>
                <w:szCs w:val="17"/>
                <w:color w:val="auto"/>
              </w:rPr>
            </w:pPr>
          </w:p>
        </w:tc>
        <w:tc>
          <w:tcPr>
            <w:tcW w:w="4180" w:type="dxa"/>
            <w:vAlign w:val="bottom"/>
            <w:tcBorders>
              <w:bottom w:val="single" w:sz="8" w:color="0000EE"/>
            </w:tcBorders>
            <w:gridSpan w:val="34"/>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Potential Payments upon Termination or Change in Control</w:t>
              </w:r>
            </w:hyperlink>
          </w:p>
        </w:tc>
        <w:tc>
          <w:tcPr>
            <w:tcW w:w="4880" w:type="dxa"/>
            <w:vAlign w:val="bottom"/>
            <w:gridSpan w:val="7"/>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304"/>
        </w:trPr>
        <w:tc>
          <w:tcPr>
            <w:tcW w:w="3840" w:type="dxa"/>
            <w:vAlign w:val="bottom"/>
            <w:tcBorders>
              <w:bottom w:val="single" w:sz="8" w:color="0000EE"/>
            </w:tcBorders>
            <w:gridSpan w:val="31"/>
          </w:tcPr>
          <w:p>
            <w:pPr>
              <w:spacing w:after="0"/>
              <w:rPr>
                <w:rFonts w:ascii="Arial" w:cs="Arial" w:eastAsia="Arial" w:hAnsi="Arial"/>
                <w:sz w:val="18"/>
                <w:szCs w:val="18"/>
                <w:color w:val="0000EE"/>
                <w:w w:val="93"/>
              </w:rPr>
            </w:pPr>
            <w:hyperlink w:anchor="page41">
              <w:r>
                <w:rPr>
                  <w:rFonts w:ascii="Arial" w:cs="Arial" w:eastAsia="Arial" w:hAnsi="Arial"/>
                  <w:sz w:val="18"/>
                  <w:szCs w:val="18"/>
                  <w:color w:val="0000EE"/>
                  <w:w w:val="93"/>
                </w:rPr>
                <w:t>BENEFICIAL OWNERSHIP OF COMMON STOCK</w:t>
              </w:r>
            </w:hyperlink>
          </w:p>
        </w:tc>
        <w:tc>
          <w:tcPr>
            <w:tcW w:w="5660" w:type="dxa"/>
            <w:vAlign w:val="bottom"/>
            <w:gridSpan w:val="11"/>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4760" w:type="dxa"/>
            <w:vAlign w:val="bottom"/>
            <w:tcBorders>
              <w:bottom w:val="single" w:sz="8" w:color="0000EE"/>
            </w:tcBorders>
            <w:gridSpan w:val="36"/>
          </w:tcPr>
          <w:p>
            <w:pPr>
              <w:spacing w:after="0"/>
              <w:rPr>
                <w:rFonts w:ascii="Arial" w:cs="Arial" w:eastAsia="Arial" w:hAnsi="Arial"/>
                <w:sz w:val="18"/>
                <w:szCs w:val="18"/>
                <w:color w:val="0000EE"/>
                <w:w w:val="93"/>
              </w:rPr>
            </w:pPr>
            <w:hyperlink w:anchor="page42">
              <w:r>
                <w:rPr>
                  <w:rFonts w:ascii="Arial" w:cs="Arial" w:eastAsia="Arial" w:hAnsi="Arial"/>
                  <w:sz w:val="18"/>
                  <w:szCs w:val="18"/>
                  <w:color w:val="0000EE"/>
                  <w:w w:val="93"/>
                </w:rPr>
                <w:t>CERTAIN RELATIONSHIPS AND RELATED TRANSACTIONS</w:t>
              </w:r>
            </w:hyperlink>
          </w:p>
        </w:tc>
        <w:tc>
          <w:tcPr>
            <w:tcW w:w="4740" w:type="dxa"/>
            <w:vAlign w:val="bottom"/>
            <w:gridSpan w:val="6"/>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440" w:type="dxa"/>
            <w:vAlign w:val="bottom"/>
          </w:tcPr>
          <w:p>
            <w:pPr>
              <w:spacing w:after="0"/>
              <w:rPr>
                <w:sz w:val="24"/>
                <w:szCs w:val="24"/>
                <w:color w:val="auto"/>
              </w:rPr>
            </w:pPr>
          </w:p>
        </w:tc>
        <w:tc>
          <w:tcPr>
            <w:tcW w:w="3860" w:type="dxa"/>
            <w:vAlign w:val="bottom"/>
            <w:tcBorders>
              <w:bottom w:val="single" w:sz="8" w:color="0000EE"/>
            </w:tcBorders>
            <w:gridSpan w:val="32"/>
          </w:tcPr>
          <w:p>
            <w:pPr>
              <w:spacing w:after="0"/>
              <w:rPr>
                <w:rFonts w:ascii="Arial" w:cs="Arial" w:eastAsia="Arial" w:hAnsi="Arial"/>
                <w:sz w:val="18"/>
                <w:szCs w:val="18"/>
                <w:color w:val="0000EE"/>
                <w:w w:val="86"/>
              </w:rPr>
            </w:pPr>
            <w:hyperlink w:anchor="page42">
              <w:r>
                <w:rPr>
                  <w:rFonts w:ascii="Arial" w:cs="Arial" w:eastAsia="Arial" w:hAnsi="Arial"/>
                  <w:sz w:val="18"/>
                  <w:szCs w:val="18"/>
                  <w:color w:val="0000EE"/>
                  <w:w w:val="86"/>
                </w:rPr>
                <w:t>Policies and Procedures for Related Party Transactions</w:t>
              </w:r>
            </w:hyperlink>
          </w:p>
        </w:tc>
        <w:tc>
          <w:tcPr>
            <w:tcW w:w="5200" w:type="dxa"/>
            <w:vAlign w:val="bottom"/>
            <w:gridSpan w:val="9"/>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196"/>
        </w:trPr>
        <w:tc>
          <w:tcPr>
            <w:tcW w:w="440" w:type="dxa"/>
            <w:vAlign w:val="bottom"/>
          </w:tcPr>
          <w:p>
            <w:pPr>
              <w:spacing w:after="0"/>
              <w:rPr>
                <w:sz w:val="17"/>
                <w:szCs w:val="17"/>
                <w:color w:val="auto"/>
              </w:rPr>
            </w:pPr>
          </w:p>
        </w:tc>
        <w:tc>
          <w:tcPr>
            <w:tcW w:w="146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43">
              <w:r>
                <w:rPr>
                  <w:rFonts w:ascii="Arial" w:cs="Arial" w:eastAsia="Arial" w:hAnsi="Arial"/>
                  <w:sz w:val="18"/>
                  <w:szCs w:val="18"/>
                  <w:color w:val="0000EE"/>
                  <w:w w:val="86"/>
                </w:rPr>
                <w:t>Certain Transactions</w:t>
              </w:r>
            </w:hyperlink>
          </w:p>
        </w:tc>
        <w:tc>
          <w:tcPr>
            <w:tcW w:w="7600" w:type="dxa"/>
            <w:vAlign w:val="bottom"/>
            <w:gridSpan w:val="34"/>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304"/>
        </w:trPr>
        <w:tc>
          <w:tcPr>
            <w:tcW w:w="9500" w:type="dxa"/>
            <w:vAlign w:val="bottom"/>
            <w:gridSpan w:val="4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SECTION 16(a) BENEFICIAL OWNERSHIP REPORTING COMPLIANCE</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5500" w:type="dxa"/>
            <w:vAlign w:val="bottom"/>
            <w:tcBorders>
              <w:top w:val="single" w:sz="8" w:color="0000EE"/>
            </w:tcBorders>
            <w:gridSpan w:val="3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HOUSEHOLDING OF PROXY MATERIALS</w:t>
              </w:r>
            </w:hyperlink>
          </w:p>
        </w:tc>
        <w:tc>
          <w:tcPr>
            <w:tcW w:w="4000" w:type="dxa"/>
            <w:vAlign w:val="bottom"/>
            <w:gridSpan w:val="4"/>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23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7"/>
              </w:rPr>
            </w:pPr>
            <w:hyperlink w:anchor="page44">
              <w:r>
                <w:rPr>
                  <w:rFonts w:ascii="Arial" w:cs="Arial" w:eastAsia="Arial" w:hAnsi="Arial"/>
                  <w:sz w:val="18"/>
                  <w:szCs w:val="18"/>
                  <w:color w:val="0000EE"/>
                  <w:w w:val="97"/>
                </w:rPr>
                <w:t>ADDITIONAL INFORMATION</w:t>
              </w:r>
            </w:hyperlink>
          </w:p>
        </w:tc>
        <w:tc>
          <w:tcPr>
            <w:tcW w:w="940" w:type="dxa"/>
            <w:vAlign w:val="bottom"/>
            <w:tcBorders>
              <w:top w:val="single" w:sz="8" w:color="0000EE"/>
            </w:tcBorders>
            <w:gridSpan w:val="14"/>
          </w:tcPr>
          <w:p>
            <w:pPr>
              <w:spacing w:after="0"/>
              <w:rPr>
                <w:sz w:val="24"/>
                <w:szCs w:val="24"/>
                <w:color w:val="auto"/>
              </w:rPr>
            </w:pPr>
          </w:p>
        </w:tc>
        <w:tc>
          <w:tcPr>
            <w:tcW w:w="6180" w:type="dxa"/>
            <w:vAlign w:val="bottom"/>
            <w:gridSpan w:val="16"/>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39</w:t>
            </w:r>
          </w:p>
        </w:tc>
      </w:tr>
    </w:tbl>
    <w:p>
      <w:pPr>
        <w:jc w:val="right"/>
        <w:spacing w:after="0"/>
        <w:rPr>
          <w:sz w:val="20"/>
          <w:szCs w:val="20"/>
          <w:color w:val="auto"/>
        </w:rPr>
        <w:sectPr>
          <w:pgSz w:w="11900" w:h="16838" w:orient="portrait"/>
          <w:cols w:equalWidth="0" w:num="1">
            <w:col w:w="11320"/>
          </w:cols>
          <w:pgMar w:left="240" w:top="972"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Grand Canyon Education,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3300 West Camelback Road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Phoenix, Arizona 85017</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INFORMATION</w:t>
      </w:r>
    </w:p>
    <w:p>
      <w:pPr>
        <w:spacing w:after="0" w:line="17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enclosed proxy is being solicited by our Board of Directors for use in connection with the Annual Meeting to be held on Thursday, May 17, 2012, at Grand Canyon University Arena on the campus of Grand Canyon University at 3300 W. Camelback Road, Phoenix, Arizona 85017, commencing at 10:00 a.m., local time, and at any adjournment or postponement thereof.</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Internet Availability</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 accordance with the electronic delivery rules adopted by the Securities and Exchange Commission (“SEC”), the Company is permitted to furnish proxy materials to its stockholders on the Internet, in lieu of mailing a printed copy of proxy materials to each stockholder of record. You will not receive a printed copy of proxy materials unless you request a printed copy. The Notice, which was made available to our stockholders on or about April 5, 2012, instructs you as to how you may access and review on the Internet all of the important information contained in the proxy materials. The Notice also instructs you as to how you may vote your proxy. If you received a Notice by mail and would like to receive a printed copy of the Company’s proxy materials and annual report, you must follow the instructions for requesting such materials included in the Notice. Alternatively, you may download or print these materials, or any portion thereof, from any computer with Internet access and a printer. The Company believes this process provides its stockholders the information they need in a more timely manner, while reducing the environmental impact and lowering the costs of printing and delivering the proxy materials. To access the Company’s proxy statement and annual report electronically, please visit </w:t>
      </w:r>
      <w:r>
        <w:rPr>
          <w:rFonts w:ascii="Arial" w:cs="Arial" w:eastAsia="Arial" w:hAnsi="Arial"/>
          <w:sz w:val="16"/>
          <w:szCs w:val="16"/>
          <w:u w:val="single" w:color="auto"/>
          <w:color w:val="auto"/>
        </w:rPr>
        <w:t>www.proxyvote.com</w:t>
      </w:r>
      <w:r>
        <w:rPr>
          <w:rFonts w:ascii="Arial" w:cs="Arial" w:eastAsia="Arial" w:hAnsi="Arial"/>
          <w:sz w:val="16"/>
          <w:szCs w:val="16"/>
          <w:color w:val="auto"/>
        </w:rPr>
        <w:t xml:space="preserve"> or the Company’s Investor Relations website at </w:t>
      </w:r>
      <w:r>
        <w:rPr>
          <w:rFonts w:ascii="Arial" w:cs="Arial" w:eastAsia="Arial" w:hAnsi="Arial"/>
          <w:sz w:val="16"/>
          <w:szCs w:val="16"/>
          <w:u w:val="single" w:color="auto"/>
          <w:color w:val="auto"/>
        </w:rPr>
        <w:t>www.gcu.edu</w:t>
      </w:r>
      <w:r>
        <w:rPr>
          <w:rFonts w:ascii="Arial" w:cs="Arial" w:eastAsia="Arial" w:hAnsi="Arial"/>
          <w:sz w:val="16"/>
          <w:szCs w:val="16"/>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and Quorum</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Only stockholders of record at the close of business on March 22, 2012, will be entitled to notice of and to vote at the Annual Meeting and any adjournment or postponement thereof. At the close of business on the record date, we had approximately 45,011,098 shares of our common stock outstanding and entitled to vote, with each such outstanding share entitled to one vote per share on each matter to be voted upon by stockholders. A majority of the shares outstanding on the record date, present in person or represented by proxy, will constitute a quorum for the transaction of business at the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Submission of Proxies; Revocation</w:t>
      </w:r>
    </w:p>
    <w:p>
      <w:pPr>
        <w:spacing w:after="0" w:line="96" w:lineRule="exact"/>
        <w:rPr>
          <w:sz w:val="20"/>
          <w:szCs w:val="20"/>
          <w:color w:val="auto"/>
        </w:rPr>
      </w:pPr>
    </w:p>
    <w:p>
      <w:pPr>
        <w:ind w:right="260" w:firstLine="456"/>
        <w:spacing w:after="0" w:line="312" w:lineRule="auto"/>
        <w:rPr>
          <w:sz w:val="20"/>
          <w:szCs w:val="20"/>
          <w:color w:val="auto"/>
        </w:rPr>
      </w:pPr>
      <w:r>
        <w:rPr>
          <w:rFonts w:ascii="Arial" w:cs="Arial" w:eastAsia="Arial" w:hAnsi="Arial"/>
          <w:sz w:val="15"/>
          <w:szCs w:val="15"/>
          <w:color w:val="auto"/>
        </w:rPr>
        <w:t>All valid proxies received prior to the Annual Meeting will be exercised. All shares represented by a proxy will be voted, and where a proxy specifies a stockholder’s choice with respect to any matter to be acted upon, the shares will be voted in accordance with that specification. If no choice is indicated on the proxy, the shares will be voted in favor of the proposal. You may revoke your proxy at any time before it is exercised by submitting to our Secretary a written notice of revocation, submitting a properly executed proxy bearing a later date, voting by telephone or via the Internet at a later time (if initially able to vote in that manner) so long as such vote or voting direction is received by the applicable date and time set forth above for stockholders of record, or by attending the Annual Meeting and voting in person. If you hold your shares through a bank, broker, trustee or nominee and you have instructed the bank, broker, trustee or nominee to vote your shares, you must follow the directions received from your bank, broker, trustee or nominee to change those instructions.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Deadlines for Stockholder Proposals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Stockholder proposals may be included in our proxy materials for an annual meeting so long as they are provided to us on a timely basis and satisfy certain other conditions established by the Securities and Exchange Commission (the “SEC”), including specifically under Rule 14a-8 of the Securities Exchange Act of 1934, as amended (the “Exchange Act”). To be timely, a proposal to be included in our proxy statement must be received at our principal executive offices, addressed to our Secretary, not less than 120 calendar days before the date of our proxy statement released to stockholders in connection with the previous year’s annual meeting. Accordingly, for a stockholder proposal to be included in our proxy materials for our 2013 Annual Meeting of Stockholders, the proposal must be received at our principal executive offices, addressed to our Secretary, not later than the close of business on November 26, 2012. Subject to certain exceptions, stockholder business that is not intended for inclusion in our proxy materials may be brought before an annual meeting so long as we receive notice of the proposal as specified by, and subject to the conditions set forth in, our bylaws, addressed to our Secretary at our principal executive offices, not earlier than the close of business on the 120th day, nor later than the close of business on the 90th day, prior to the first anniversary of the date of the preceding year’s annual meeting. For our 2013 Annual Meeting of Stockholders, proper notice of business that is not intended for inclusion in our proxy statement must be received not earlier than the close of business on January 20, 2013, nor later than the close of business on February 19, 2013.</w:t>
      </w:r>
    </w:p>
    <w:p>
      <w:pPr>
        <w:spacing w:after="0" w:line="12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 stockholder’s notice to our Secretary must set forth as to each matter the stockholder proposes to bring before the meeting (i) a brief description of the business desired to be brought before the meeting and the text of the proposal or business, including the text of any resolutions proposed for consideration and, in the event that such business includes a proposal to amend the Company’s bylaws, the language of the proposed amendment, (ii) the name and address, as they appear on the Company’s books, of the stockholder proposing such business and the names and addresses of the beneficial owners, if any, on whose behalf the business is being brought, (iii) a representation that the stockholder is a holder of record of stock of the Company entitled to vote at the meeting on the date of such notice and intends to appear in person or by proxy at the meeting to propose the business specified in the notice, (iv) any material interest of the stockholder and any such other beneficial owner in such business, and (v) the following information regarding the ownership interests of the stockholder or any such other beneficial owner, which shall be supplemented in writing by the stockholder not later than ten (10) days after the record date for voting at the meeting to disclose such interests as of such record date: (A) the class and number of shares of the Company that are owned beneficially and of record by the stockholder and any such other beneficial owner</w:t>
      </w:r>
      <w:r>
        <w:rPr>
          <w:rFonts w:ascii="Arial" w:cs="Arial" w:eastAsia="Arial" w:hAnsi="Arial"/>
          <w:sz w:val="16"/>
          <w:szCs w:val="16"/>
          <w:b w:val="1"/>
          <w:bCs w:val="1"/>
          <w:color w:val="auto"/>
        </w:rPr>
        <w:t>;</w:t>
      </w:r>
      <w:r>
        <w:rPr>
          <w:rFonts w:ascii="Arial" w:cs="Arial" w:eastAsia="Arial" w:hAnsi="Arial"/>
          <w:sz w:val="16"/>
          <w:szCs w:val="16"/>
          <w:color w:val="auto"/>
        </w:rPr>
        <w:t xml:space="preserve"> (B) any “derivative instrument” (which is defined as any option, warrant, convertible security, stock appreciation right, or similar right with an exercise or conversion privilege or a settlement payment or mechanism at a price related to any class or series of shares of the Company or with a value derived in whole or in part from the value of any class or series of shares of the Company, whether or not such instrument or right shall be subject to settlement in the underlying class or series of capital stock of the Company or otherwise directly or indirectly owned beneficially by such stockholder and any other direct or indirect opportunity to profit or share in any profit derived from any increase or decrease in the value of shares of the Company); (C) any proxy, contract, arrangement, understanding, or relationship pursuant to which such stockholder has a right to vote any shares of any security of the Company; (D) any short interest in any security of the Company (meaning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(E) any rights to dividends on the shares of the Company owned beneficially by such stockholder that are separated or separable from the underlying shares of the Company; (F) any proportionate interest in shares of the Company or derivative instruments held, directly or indirectly, by a general or limited partnership in which such stockholder is a general partner or, directly or indirectly, beneficially owns an interest in a general partner; and (G) any performance-related fees (other than an asset-based fee) to which such stockholder is entitled based on any increase or decrease in the value of shares of the Company or derivative instruments, if any, as of the date of such notice, including, without limitation, any such interests held by members of such stockholder’s immediate family sharing the same household.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presence at the Annual Meeting, in person or by proxy, of the holders of a majority of the shares of common stock outstanding on the record date will constitute a quorum for the transaction of business at the meeting. Abstentions and broker non-votes are included in determining whether a quorum is present. Abstentions include shares present in person but not voting and shares represented by proxy but with respect to which the holder has abstained. Broker non-votes occur when a nominee holding shares for a beneficial owner does not vote on a particular proposal because the nominee does not have discretionary voting power on that item and has not received instructions from the beneficial owner.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Vote Required</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If you hold your shares in “street name,” and you do not give your bank, broker or other holder of record specific voting instructions for your shares, your record holder can vote your shares on routine matters, which include the ratification of our independent public accountants. However, your record holder cannot vote your shares without your specific instructions on the election of directors or on the advisory vote described below on the compensation of our named executive officers. If you hold your shares in “street name,” please refer to the information forwarded by your bank, broker or other holder of record for procedures on revoking or changing your proxy. In the absence of instructions, shares subject to such broker non-votes will not be counted as voted or as present or represented on any of the proposals offered at the Annual Meeting other than ratification of our auditors and so will have no effect on the vote. </w:t>
      </w:r>
      <w:r>
        <w:rPr>
          <w:rFonts w:ascii="Arial" w:cs="Arial" w:eastAsia="Arial" w:hAnsi="Arial"/>
          <w:sz w:val="16"/>
          <w:szCs w:val="16"/>
          <w:b w:val="1"/>
          <w:bCs w:val="1"/>
          <w:color w:val="auto"/>
        </w:rPr>
        <w:t>We encourage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you to provide instructions to your broker regarding the voting of your shares. </w:t>
      </w:r>
      <w:r>
        <w:rPr>
          <w:rFonts w:ascii="Arial" w:cs="Arial" w:eastAsia="Arial" w:hAnsi="Arial"/>
          <w:sz w:val="16"/>
          <w:szCs w:val="16"/>
          <w:color w:val="auto"/>
        </w:rPr>
        <w:t>Our stockholders have no dissenter’s or appraisal rights in connection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any of the proposals described herein.</w:t>
      </w:r>
    </w:p>
    <w:p>
      <w:pPr>
        <w:spacing w:after="0" w:line="118"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i w:val="1"/>
          <w:iCs w:val="1"/>
          <w:color w:val="auto"/>
        </w:rPr>
        <w:t>Election of Directors</w:t>
      </w:r>
      <w:r>
        <w:rPr>
          <w:rFonts w:ascii="Arial" w:cs="Arial" w:eastAsia="Arial" w:hAnsi="Arial"/>
          <w:sz w:val="16"/>
          <w:szCs w:val="16"/>
          <w:color w:val="auto"/>
        </w:rPr>
        <w:t>. The affirmative vote of a plurality of the shares of common stock present in person or by proxy at the meeting and entitled to vote is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for the election to the Board of Directors of each of the nominees for director. Stockholders do not have the right to cumulate their votes in the election of directors. Votes that are withheld, abstentions, and broker non-votes will have no effect on the outcome of the election.</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Advisory vote on the compensation of our named executive officers. </w:t>
      </w:r>
      <w:r>
        <w:rPr>
          <w:rFonts w:ascii="Arial" w:cs="Arial" w:eastAsia="Arial" w:hAnsi="Arial"/>
          <w:sz w:val="16"/>
          <w:szCs w:val="16"/>
          <w:color w:val="auto"/>
        </w:rPr>
        <w:t>Approval, on an advisory basis, of the compensation of our named executive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the affirmative vote of the majority of shares present in person or represented by proxy at the Annual Meeting and entitled to vote. Broker non-votes will have no effect on the outcome of this proposal, while abstentions will have the effect of a vote against this proposal. Although this vote is advisory and is not binding on our Board of Directors, the Board of Directors and the Compensation Committee will consider the voting results, along with other relevant factors, in connection with their ongoing evaluation of our compensation program.</w:t>
      </w:r>
    </w:p>
    <w:p>
      <w:pPr>
        <w:spacing w:after="0" w:line="1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 xml:space="preserve">Ratification of the appointment of the Independent Registered Public Accounting Firm. </w:t>
      </w:r>
      <w:r>
        <w:rPr>
          <w:rFonts w:ascii="Arial" w:cs="Arial" w:eastAsia="Arial" w:hAnsi="Arial"/>
          <w:sz w:val="16"/>
          <w:szCs w:val="16"/>
          <w:color w:val="auto"/>
        </w:rPr>
        <w:t>Approval of the proposal to ratify the Audit Committee’s</w:t>
      </w:r>
      <w:r>
        <w:rPr>
          <w:rFonts w:ascii="Arial" w:cs="Arial" w:eastAsia="Arial" w:hAnsi="Arial"/>
          <w:sz w:val="16"/>
          <w:szCs w:val="16"/>
          <w:i w:val="1"/>
          <w:iCs w:val="1"/>
          <w:color w:val="auto"/>
        </w:rPr>
        <w:t xml:space="preserve"> </w:t>
      </w:r>
      <w:r>
        <w:rPr>
          <w:rFonts w:ascii="Arial" w:cs="Arial" w:eastAsia="Arial" w:hAnsi="Arial"/>
          <w:sz w:val="16"/>
          <w:szCs w:val="16"/>
          <w:color w:val="auto"/>
        </w:rPr>
        <w:t>appointment of Ernst &amp; Young LLP as our independent registered public accounting firm for the fiscal year ending December 31, 2012 requires the affirmative vote of the majority of shares present in person or represented by proxy at the Annual Meeting and entitled to vote. Broker non-votes will have no effect on the outcome of this proposal, while abstentions will have the effect of a vote against this proposal.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 or Postponement of Meeting</w:t>
      </w:r>
    </w:p>
    <w:p>
      <w:pPr>
        <w:spacing w:after="0" w:line="9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Annual Meeting may be adjourned or postponed to any other time and to any other place at which a meeting of stockholders may be held by the chairman of the Annual Meeting or, in the absence of such person, by any officer entitled to preside at or to act as Secretary of the Annual Meeting, or by the holders of a majority of the shares of stock present or represented by proxy at the meeting and entitled to vote, although less than a quorum.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Soliciting Proxies</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will bear the cost of soliciting proxies. In addition to solicitation by the use of mail or via the Internet, certain directors, officers and regular employees may solicit proxies by telephone or personal interview. None of such persons will receive any additional compensation for their services.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 AND BOARD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Philosophy</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business affairs of the Company are managed under the direction of the Board of Directors in accordance with the Delaware General Corporation Law, as implemented by the Company’s certificate of incorporation and bylaws. The role of the Board of Directors is to effectively govern the affairs of the Company for the benefit of its stockholders and other constituencies. The Board strives to ensure the success and continuity of business through the selection of qualified management. It is also responsible for ensuring that the Company’s activities are conducted in a responsible and ethical manner. The Company is committed to having sound corporate governance principles.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Meetings and Attendance</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During our 2011 fiscal year, our Board of Directors held six meetings and each of our directors attended more than 75% of such meetings. We do not have a formal policy regarding attendance of our directors at annual meetings of our stockholders, but we do encourage each of our directors to attend. Six of our eight directors attended our 2011 annual meeting.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Board of Directors periodically reviews the independence of each director. During these reviews, our Board of Directors considers transactions and relationships between each director (and his or her immediate family and affiliates) and our Company and management to determine whether any such transactions or relationships are inconsistent with a determination that the director was independent. Our Board of Directors has affirmatively determined that each director other than Brent D. Richardson, who is our Executive Chairman, Christopher C. Richardson , who is our General Counsel (and who will not stand for reelection as a director), and Brian E. Mueller, who is our Chief Executive Officer, is “independent,” as defined by the Marketplace Rules of the Nasdaq Stock Market. Under the Marketplace Rules, a director can be independent only if the director does not trigger a categorical bar to independence and our Board of Directors affirmatively determines that the director does not have a relationship which, in the opinion of our Board of Directors, would interfere with the exercise of independent judgment by the director in carrying out the responsibilities of a director.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currently separate the roles of Chief Executive Officer and Chairman of the Board in recognition of the differences between the two roles. The Chief Executive Officer is responsible for setting the strategic direction for the Company and the day to day leadership and performance of the Company, while the Chairman of the Board provides guidance to the Chief Executive Officer and sets the agenda for Board meetings and presides over meetings of the full Board. Currently, even though Mr. Richardson is an employee of the Company, the Board believes that Mr. Richardson’s role as Chairman ensures a greater role for the non-management directors in the oversight of the Company and encourages greater participation of the non-management directors in setting agendas and establishing priorities and procedures for the work of the Board. Because Mr. Richardson is an employee of the Company and is therefore not “independent,” our Board of Directors has appointed the Chairman of our Compensation Committee, Mr. David J. Johnson, as “lead independent director” to preside at executive sessions of “non-management” directors. The Board generally seeks to hold executive sessions twice a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 of Directors</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Our Board of Directors directs the management of our business and affairs, as provided by Delaware law, and conducts its business through meetings of the Board of Directors. Our Board of Directors has established three standing committees: an Audit Committee; a Compensation Committee; and a Nominating and Corporate Governance Committee. Each director attended at least 75% of the meetings of the Board committees on which such director served, except for</w:t>
      </w:r>
    </w:p>
    <w:p>
      <w:pPr>
        <w:spacing w:after="0" w:line="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 xml:space="preserve">Mr. Bradley A. Casper, who attend two of the three Audit Committee meetings that were held following his appointment to the Board of Directors in August 2011. In addition, from time to time, special committees may be established under the direction of the Board of Directors when necessary to address specific issues. The composition of the Board committees complies with the applicable rules of the Nasdaq Stock Market and applicable law. Our Board of Directors has adopted a written charter for each of the standing committees, which are available in the Corporate Governance section of the Investor Relations page on our website at </w:t>
      </w:r>
      <w:r>
        <w:rPr>
          <w:rFonts w:ascii="Arial" w:cs="Arial" w:eastAsia="Arial" w:hAnsi="Arial"/>
          <w:sz w:val="18"/>
          <w:szCs w:val="18"/>
          <w:i w:val="1"/>
          <w:iCs w:val="1"/>
          <w:u w:val="single" w:color="auto"/>
          <w:color w:val="auto"/>
        </w:rPr>
        <w:t>www.gcu.edu</w:t>
      </w:r>
      <w:r>
        <w:rPr>
          <w:rFonts w:ascii="Arial" w:cs="Arial" w:eastAsia="Arial" w:hAnsi="Arial"/>
          <w:sz w:val="18"/>
          <w:szCs w:val="18"/>
          <w:color w:val="auto"/>
        </w:rPr>
        <w: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9" w:name="page10"/>
    <w:bookmarkEnd w:id="9"/>
    <w:p>
      <w:pPr>
        <w:ind w:right="200" w:firstLine="456"/>
        <w:spacing w:after="0" w:line="253"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Committee</w:t>
      </w:r>
      <w:r>
        <w:rPr>
          <w:rFonts w:ascii="Arial" w:cs="Arial" w:eastAsia="Arial" w:hAnsi="Arial"/>
          <w:sz w:val="18"/>
          <w:szCs w:val="18"/>
          <w:color w:val="auto"/>
        </w:rPr>
        <w:t>. Our Audit Committee consists of Messrs. Jack A. Henry (chair), David J. Johnson, and Bradley A. Casper, each of whom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has determined is “independent,” as defined under and required by the rules of the Nasdaq Stock Market and the federal securities laws. Our Audit Committee met six times during 2011. Our Audit Committee is directly responsible for, among other things, the appointment, compensation, retention, and oversight of our independent registered public accounting firm. The oversight includes reviewing the plans and results of the audit engagement with the firm, approving any additional professional services provided by the firm and reviewing the independence of the firm. The Audit Committee is also responsible for discussing the effectiveness of the internal controls over financial reporting with the firm and relevant financial management. Our Board of Directors has determined that each of Messrs. Henry, Johnson and Casper qualifies as an “Audit Committee financial expert,” as defined under applicable federal securities laws.</w:t>
      </w:r>
    </w:p>
    <w:p>
      <w:pPr>
        <w:spacing w:after="0" w:line="145"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color w:val="auto"/>
        </w:rPr>
        <w:t>Our Compensation Committee consists of Messrs. David J. Johnson (chair), Chad N. Heath, and D. Mark Dorman,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whom the Board of Directors has determined is “independent,” as defined under and required by the rules of the Nasdaq Stock Market. Our Compensation Committee met twelve times during 2011. The Compensation Committee is responsible for, among other things, supervising and reviewing our affairs as they relate to the compensation and benefits of our executive officers and directors. In carrying out these responsibilities, the Compensation Committee reviews all components of executive compensation for consistency with our compensation philosophy and with the interests of our stockholders</w:t>
      </w:r>
      <w:r>
        <w:rPr>
          <w:rFonts w:ascii="Arial" w:cs="Arial" w:eastAsia="Arial" w:hAnsi="Arial"/>
          <w:sz w:val="16"/>
          <w:szCs w:val="16"/>
          <w:i w:val="1"/>
          <w:iCs w:val="1"/>
          <w:color w:val="auto"/>
        </w:rPr>
        <w:t>.</w:t>
      </w:r>
    </w:p>
    <w:p>
      <w:pPr>
        <w:spacing w:after="0" w:line="116"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Compensation Committee’s charter allows it to delegate any matters within its authority to individuals or subcommittees as it deems appropriate. In addition, the Compensation Committee has the authority under its charter to retain outside advisors to assist it in the performance of its duties. Beginning in the fall of 2009, the Compensation Committee has engaged Mercer as its compensation consultant and advisor to:</w:t>
      </w:r>
    </w:p>
    <w:p>
      <w:pPr>
        <w:spacing w:after="0" w:line="26" w:lineRule="exact"/>
        <w:rPr>
          <w:sz w:val="20"/>
          <w:szCs w:val="20"/>
          <w:color w:val="auto"/>
        </w:rPr>
      </w:pPr>
    </w:p>
    <w:p>
      <w:pPr>
        <w:ind w:left="900" w:right="12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ongoing recommendations regarding executive compensation consistent with the Company’s business needs, pay philosophy, market trends and latest legal and regulatory considerations;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market data for base salary, short-term incentive and long-term incentive decisions;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Advise the Compensation Committee as to best practices.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2011, Mercer assisted the Company in revising its board of director compensation policies and executive compensation strategy, provided market benchmark information, supported and reviewed the design of our incentive compensation plans, advised on the competitiveness of board of director compensation and executive officer compensation, and provided regulatory and corporate governance guidance. In the past, Mercer has recommended a peer group of publicly traded education companies with median revenue near the Company’s revenue, which was approved as the Company’s peer group for 2011. The peer group consists of the following companies:</w:t>
      </w:r>
    </w:p>
    <w:p>
      <w:pPr>
        <w:spacing w:after="0" w:line="183"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80"/>
              <w:spacing w:after="0"/>
              <w:rPr>
                <w:sz w:val="20"/>
                <w:szCs w:val="20"/>
                <w:color w:val="auto"/>
              </w:rPr>
            </w:pPr>
            <w:r>
              <w:rPr>
                <w:rFonts w:ascii="Arial" w:cs="Arial" w:eastAsia="Arial" w:hAnsi="Arial"/>
                <w:sz w:val="18"/>
                <w:szCs w:val="18"/>
                <w:color w:val="auto"/>
              </w:rPr>
              <w:t>Education Management Corporation;</w:t>
            </w:r>
          </w:p>
        </w:tc>
        <w:tc>
          <w:tcPr>
            <w:tcW w:w="4240" w:type="dxa"/>
            <w:vAlign w:val="bottom"/>
            <w:gridSpan w:val="2"/>
          </w:tcPr>
          <w:p>
            <w:pPr>
              <w:ind w:left="1620"/>
              <w:spacing w:after="0"/>
              <w:rPr>
                <w:sz w:val="20"/>
                <w:szCs w:val="20"/>
                <w:color w:val="auto"/>
              </w:rPr>
            </w:pPr>
            <w:r>
              <w:rPr>
                <w:rFonts w:ascii="Arial" w:cs="Arial" w:eastAsia="Arial" w:hAnsi="Arial"/>
                <w:sz w:val="18"/>
                <w:szCs w:val="18"/>
                <w:color w:val="auto"/>
                <w:w w:val="92"/>
              </w:rPr>
              <w:t>•  Universal Technical Institute, Inc.</w:t>
            </w:r>
          </w:p>
        </w:tc>
      </w:tr>
      <w:tr>
        <w:trPr>
          <w:trHeight w:val="29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80"/>
              <w:spacing w:after="0"/>
              <w:rPr>
                <w:sz w:val="20"/>
                <w:szCs w:val="20"/>
                <w:color w:val="auto"/>
              </w:rPr>
            </w:pPr>
            <w:r>
              <w:rPr>
                <w:rFonts w:ascii="Arial" w:cs="Arial" w:eastAsia="Arial" w:hAnsi="Arial"/>
                <w:sz w:val="18"/>
                <w:szCs w:val="18"/>
                <w:color w:val="auto"/>
              </w:rPr>
              <w:t>Career Education Corporation</w:t>
            </w:r>
          </w:p>
        </w:tc>
        <w:tc>
          <w:tcPr>
            <w:tcW w:w="1780" w:type="dxa"/>
            <w:vAlign w:val="bottom"/>
          </w:tcPr>
          <w:p>
            <w:pPr>
              <w:ind w:left="1620"/>
              <w:spacing w:after="0"/>
              <w:rPr>
                <w:sz w:val="20"/>
                <w:szCs w:val="20"/>
                <w:color w:val="auto"/>
              </w:rPr>
            </w:pPr>
            <w:r>
              <w:rPr>
                <w:rFonts w:ascii="Arial" w:cs="Arial" w:eastAsia="Arial" w:hAnsi="Arial"/>
                <w:sz w:val="18"/>
                <w:szCs w:val="18"/>
                <w:color w:val="auto"/>
              </w:rPr>
              <w:t>•</w:t>
            </w:r>
          </w:p>
        </w:tc>
        <w:tc>
          <w:tcPr>
            <w:tcW w:w="2460" w:type="dxa"/>
            <w:vAlign w:val="bottom"/>
          </w:tcPr>
          <w:p>
            <w:pPr>
              <w:ind w:left="80"/>
              <w:spacing w:after="0"/>
              <w:rPr>
                <w:sz w:val="20"/>
                <w:szCs w:val="20"/>
                <w:color w:val="auto"/>
              </w:rPr>
            </w:pPr>
            <w:r>
              <w:rPr>
                <w:rFonts w:ascii="Arial" w:cs="Arial" w:eastAsia="Arial" w:hAnsi="Arial"/>
                <w:sz w:val="18"/>
                <w:szCs w:val="18"/>
                <w:color w:val="auto"/>
              </w:rPr>
              <w:t>Bridgepoint Education, Inc.</w:t>
            </w:r>
          </w:p>
        </w:tc>
      </w:tr>
      <w:tr>
        <w:trPr>
          <w:trHeight w:val="29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80"/>
              <w:spacing w:after="0"/>
              <w:rPr>
                <w:sz w:val="20"/>
                <w:szCs w:val="20"/>
                <w:color w:val="auto"/>
              </w:rPr>
            </w:pPr>
            <w:r>
              <w:rPr>
                <w:rFonts w:ascii="Arial" w:cs="Arial" w:eastAsia="Arial" w:hAnsi="Arial"/>
                <w:sz w:val="18"/>
                <w:szCs w:val="18"/>
                <w:color w:val="auto"/>
              </w:rPr>
              <w:t>DeVry, Inc.</w:t>
            </w:r>
          </w:p>
        </w:tc>
        <w:tc>
          <w:tcPr>
            <w:tcW w:w="1780" w:type="dxa"/>
            <w:vAlign w:val="bottom"/>
          </w:tcPr>
          <w:p>
            <w:pPr>
              <w:ind w:left="1620"/>
              <w:spacing w:after="0"/>
              <w:rPr>
                <w:sz w:val="20"/>
                <w:szCs w:val="20"/>
                <w:color w:val="auto"/>
              </w:rPr>
            </w:pPr>
            <w:r>
              <w:rPr>
                <w:rFonts w:ascii="Arial" w:cs="Arial" w:eastAsia="Arial" w:hAnsi="Arial"/>
                <w:sz w:val="18"/>
                <w:szCs w:val="18"/>
                <w:color w:val="auto"/>
              </w:rPr>
              <w:t>•</w:t>
            </w:r>
          </w:p>
        </w:tc>
        <w:tc>
          <w:tcPr>
            <w:tcW w:w="2460" w:type="dxa"/>
            <w:vAlign w:val="bottom"/>
          </w:tcPr>
          <w:p>
            <w:pPr>
              <w:ind w:left="80"/>
              <w:spacing w:after="0"/>
              <w:rPr>
                <w:sz w:val="20"/>
                <w:szCs w:val="20"/>
                <w:color w:val="auto"/>
              </w:rPr>
            </w:pPr>
            <w:r>
              <w:rPr>
                <w:rFonts w:ascii="Arial" w:cs="Arial" w:eastAsia="Arial" w:hAnsi="Arial"/>
                <w:sz w:val="18"/>
                <w:szCs w:val="18"/>
                <w:color w:val="auto"/>
              </w:rPr>
              <w:t>K12, Inc.</w:t>
            </w:r>
          </w:p>
        </w:tc>
      </w:tr>
      <w:tr>
        <w:trPr>
          <w:trHeight w:val="29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80"/>
              <w:spacing w:after="0"/>
              <w:rPr>
                <w:sz w:val="20"/>
                <w:szCs w:val="20"/>
                <w:color w:val="auto"/>
              </w:rPr>
            </w:pPr>
            <w:r>
              <w:rPr>
                <w:rFonts w:ascii="Arial" w:cs="Arial" w:eastAsia="Arial" w:hAnsi="Arial"/>
                <w:sz w:val="18"/>
                <w:szCs w:val="18"/>
                <w:color w:val="auto"/>
              </w:rPr>
              <w:t>Corinthian Colleges, Inc.</w:t>
            </w:r>
          </w:p>
        </w:tc>
        <w:tc>
          <w:tcPr>
            <w:tcW w:w="1780" w:type="dxa"/>
            <w:vAlign w:val="bottom"/>
          </w:tcPr>
          <w:p>
            <w:pPr>
              <w:ind w:left="1620"/>
              <w:spacing w:after="0"/>
              <w:rPr>
                <w:sz w:val="20"/>
                <w:szCs w:val="20"/>
                <w:color w:val="auto"/>
              </w:rPr>
            </w:pPr>
            <w:r>
              <w:rPr>
                <w:rFonts w:ascii="Arial" w:cs="Arial" w:eastAsia="Arial" w:hAnsi="Arial"/>
                <w:sz w:val="18"/>
                <w:szCs w:val="18"/>
                <w:color w:val="auto"/>
              </w:rPr>
              <w:t>•</w:t>
            </w:r>
          </w:p>
        </w:tc>
        <w:tc>
          <w:tcPr>
            <w:tcW w:w="2460" w:type="dxa"/>
            <w:vAlign w:val="bottom"/>
          </w:tcPr>
          <w:p>
            <w:pPr>
              <w:ind w:left="80"/>
              <w:spacing w:after="0"/>
              <w:rPr>
                <w:sz w:val="20"/>
                <w:szCs w:val="20"/>
                <w:color w:val="auto"/>
              </w:rPr>
            </w:pPr>
            <w:r>
              <w:rPr>
                <w:rFonts w:ascii="Arial" w:cs="Arial" w:eastAsia="Arial" w:hAnsi="Arial"/>
                <w:sz w:val="18"/>
                <w:szCs w:val="18"/>
                <w:color w:val="auto"/>
              </w:rPr>
              <w:t>Capella Education, Inc.</w:t>
            </w:r>
          </w:p>
        </w:tc>
      </w:tr>
      <w:tr>
        <w:trPr>
          <w:trHeight w:val="297"/>
        </w:trPr>
        <w:tc>
          <w:tcPr>
            <w:tcW w:w="4000" w:type="dxa"/>
            <w:vAlign w:val="bottom"/>
            <w:gridSpan w:val="2"/>
          </w:tcPr>
          <w:p>
            <w:pPr>
              <w:spacing w:after="0"/>
              <w:rPr>
                <w:sz w:val="20"/>
                <w:szCs w:val="20"/>
                <w:color w:val="auto"/>
              </w:rPr>
            </w:pPr>
            <w:r>
              <w:rPr>
                <w:rFonts w:ascii="Arial" w:cs="Arial" w:eastAsia="Arial" w:hAnsi="Arial"/>
                <w:sz w:val="18"/>
                <w:szCs w:val="18"/>
                <w:color w:val="auto"/>
              </w:rPr>
              <w:t>•  ITT Educational Services, Inc.</w:t>
            </w:r>
          </w:p>
        </w:tc>
        <w:tc>
          <w:tcPr>
            <w:tcW w:w="1780" w:type="dxa"/>
            <w:vAlign w:val="bottom"/>
          </w:tcPr>
          <w:p>
            <w:pPr>
              <w:ind w:left="1620"/>
              <w:spacing w:after="0"/>
              <w:rPr>
                <w:sz w:val="20"/>
                <w:szCs w:val="20"/>
                <w:color w:val="auto"/>
              </w:rPr>
            </w:pPr>
            <w:r>
              <w:rPr>
                <w:rFonts w:ascii="Arial" w:cs="Arial" w:eastAsia="Arial" w:hAnsi="Arial"/>
                <w:sz w:val="18"/>
                <w:szCs w:val="18"/>
                <w:color w:val="auto"/>
              </w:rPr>
              <w:t>•</w:t>
            </w:r>
          </w:p>
        </w:tc>
        <w:tc>
          <w:tcPr>
            <w:tcW w:w="2460" w:type="dxa"/>
            <w:vAlign w:val="bottom"/>
          </w:tcPr>
          <w:p>
            <w:pPr>
              <w:ind w:left="80"/>
              <w:spacing w:after="0"/>
              <w:rPr>
                <w:sz w:val="20"/>
                <w:szCs w:val="20"/>
                <w:color w:val="auto"/>
              </w:rPr>
            </w:pPr>
            <w:r>
              <w:rPr>
                <w:rFonts w:ascii="Arial" w:cs="Arial" w:eastAsia="Arial" w:hAnsi="Arial"/>
                <w:sz w:val="18"/>
                <w:szCs w:val="18"/>
                <w:color w:val="auto"/>
              </w:rPr>
              <w:t>Princeton Review, Inc.</w:t>
            </w:r>
          </w:p>
        </w:tc>
      </w:tr>
      <w:tr>
        <w:trPr>
          <w:trHeight w:val="297"/>
        </w:trPr>
        <w:tc>
          <w:tcPr>
            <w:tcW w:w="4000" w:type="dxa"/>
            <w:vAlign w:val="bottom"/>
            <w:gridSpan w:val="2"/>
          </w:tcPr>
          <w:p>
            <w:pPr>
              <w:spacing w:after="0"/>
              <w:rPr>
                <w:sz w:val="20"/>
                <w:szCs w:val="20"/>
                <w:color w:val="auto"/>
              </w:rPr>
            </w:pPr>
            <w:r>
              <w:rPr>
                <w:rFonts w:ascii="Arial" w:cs="Arial" w:eastAsia="Arial" w:hAnsi="Arial"/>
                <w:sz w:val="18"/>
                <w:szCs w:val="18"/>
                <w:color w:val="auto"/>
              </w:rPr>
              <w:t>•  Lincoln Educational Services, Inc.</w:t>
            </w:r>
          </w:p>
        </w:tc>
        <w:tc>
          <w:tcPr>
            <w:tcW w:w="4240" w:type="dxa"/>
            <w:vAlign w:val="bottom"/>
            <w:gridSpan w:val="2"/>
          </w:tcPr>
          <w:p>
            <w:pPr>
              <w:ind w:left="1620"/>
              <w:spacing w:after="0"/>
              <w:rPr>
                <w:sz w:val="20"/>
                <w:szCs w:val="20"/>
                <w:color w:val="auto"/>
              </w:rPr>
            </w:pPr>
            <w:r>
              <w:rPr>
                <w:rFonts w:ascii="Arial" w:cs="Arial" w:eastAsia="Arial" w:hAnsi="Arial"/>
                <w:sz w:val="18"/>
                <w:szCs w:val="18"/>
                <w:color w:val="auto"/>
                <w:w w:val="95"/>
              </w:rPr>
              <w:t>•  Learning Tree International, Inc.</w:t>
            </w:r>
          </w:p>
        </w:tc>
      </w:tr>
      <w:tr>
        <w:trPr>
          <w:trHeight w:val="29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80"/>
              <w:spacing w:after="0"/>
              <w:rPr>
                <w:sz w:val="20"/>
                <w:szCs w:val="20"/>
                <w:color w:val="auto"/>
              </w:rPr>
            </w:pPr>
            <w:r>
              <w:rPr>
                <w:rFonts w:ascii="Arial" w:cs="Arial" w:eastAsia="Arial" w:hAnsi="Arial"/>
                <w:sz w:val="18"/>
                <w:szCs w:val="18"/>
                <w:color w:val="auto"/>
              </w:rPr>
              <w:t>Strayer Education, Inc.</w:t>
            </w:r>
          </w:p>
        </w:tc>
        <w:tc>
          <w:tcPr>
            <w:tcW w:w="4240" w:type="dxa"/>
            <w:vAlign w:val="bottom"/>
            <w:gridSpan w:val="2"/>
          </w:tcPr>
          <w:p>
            <w:pPr>
              <w:ind w:left="1620"/>
              <w:spacing w:after="0"/>
              <w:rPr>
                <w:sz w:val="20"/>
                <w:szCs w:val="20"/>
                <w:color w:val="auto"/>
              </w:rPr>
            </w:pPr>
            <w:r>
              <w:rPr>
                <w:rFonts w:ascii="Arial" w:cs="Arial" w:eastAsia="Arial" w:hAnsi="Arial"/>
                <w:sz w:val="18"/>
                <w:szCs w:val="18"/>
                <w:color w:val="auto"/>
                <w:w w:val="98"/>
              </w:rPr>
              <w:t>•  American Public Education Co.</w:t>
            </w:r>
          </w:p>
        </w:tc>
      </w:tr>
      <w:tr>
        <w:trPr>
          <w:trHeight w:val="378"/>
        </w:trPr>
        <w:tc>
          <w:tcPr>
            <w:tcW w:w="1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780" w:type="dxa"/>
            <w:vAlign w:val="bottom"/>
          </w:tcPr>
          <w:p>
            <w:pPr>
              <w:ind w:left="1140"/>
              <w:spacing w:after="0"/>
              <w:rPr>
                <w:sz w:val="20"/>
                <w:szCs w:val="20"/>
                <w:color w:val="auto"/>
              </w:rPr>
            </w:pPr>
            <w:r>
              <w:rPr>
                <w:rFonts w:ascii="Arial" w:cs="Arial" w:eastAsia="Arial" w:hAnsi="Arial"/>
                <w:sz w:val="18"/>
                <w:szCs w:val="18"/>
                <w:color w:val="auto"/>
              </w:rPr>
              <w:t>5</w:t>
            </w:r>
          </w:p>
        </w:tc>
        <w:tc>
          <w:tcPr>
            <w:tcW w:w="24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0" w:name="page11"/>
    <w:bookmarkEnd w:id="10"/>
    <w:p>
      <w:pPr>
        <w:ind w:right="1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 result of the above analysis, the Compensation Committee recommended some changes to our director compensation program, which were approved by the Board of Directors and were effective starting in the third quarter of 2011. Additionally, as a result of the trends analysis for peer group equity compensation practices, the Compensation Committee has approved the use of restricted stock awards as equity incentives for senior management members for 2012 in lieu of stock options, which had been historically used. The Compensation Committee expects to utilize Mercer’s peer group analyses in setting compensation for 2012 and future years.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Nominating and Corporate Governance Committee. </w:t>
      </w:r>
      <w:r>
        <w:rPr>
          <w:rFonts w:ascii="Arial" w:cs="Arial" w:eastAsia="Arial" w:hAnsi="Arial"/>
          <w:sz w:val="16"/>
          <w:szCs w:val="16"/>
          <w:color w:val="auto"/>
        </w:rPr>
        <w:t>Our Nominating and Corporate Governance Committee consists of Messrs. Chad N. Heath (chair) and</w:t>
      </w:r>
      <w:r>
        <w:rPr>
          <w:rFonts w:ascii="Arial" w:cs="Arial" w:eastAsia="Arial" w:hAnsi="Arial"/>
          <w:sz w:val="16"/>
          <w:szCs w:val="16"/>
          <w:i w:val="1"/>
          <w:iCs w:val="1"/>
          <w:color w:val="auto"/>
        </w:rPr>
        <w:t xml:space="preserve"> </w:t>
      </w:r>
      <w:r>
        <w:rPr>
          <w:rFonts w:ascii="Arial" w:cs="Arial" w:eastAsia="Arial" w:hAnsi="Arial"/>
          <w:sz w:val="16"/>
          <w:szCs w:val="16"/>
          <w:color w:val="auto"/>
        </w:rPr>
        <w:t>D. Mark Dorman, each of whom our Board of Directors has determined is “independent,” as defined under and required by the rules of the Nasdaq Stock Market. Our Nominating and Corporate Governance Committee met four times during 2011. The Nominating and Corporate Governance Committee is responsible for, among other things, identifying individuals qualified to become members of the Board of Directors; recommending to the Board of Directors nominees for each election of directors; developing and recommending to the Board of Directors criteria for selecting qualified director candidates; considering committee member qualifications, appointment and removal; recommending corporate governance principles, codes of conduct and compliance mechanisms; and providing oversight in the evaluation of the Board of Directors and each committee.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96" w:lineRule="exact"/>
        <w:rPr>
          <w:sz w:val="20"/>
          <w:szCs w:val="20"/>
          <w:color w:val="auto"/>
        </w:rPr>
      </w:pPr>
    </w:p>
    <w:p>
      <w:pPr>
        <w:jc w:val="both"/>
        <w:ind w:right="80" w:firstLine="456"/>
        <w:spacing w:after="0" w:line="291" w:lineRule="auto"/>
        <w:rPr>
          <w:sz w:val="20"/>
          <w:szCs w:val="20"/>
          <w:color w:val="auto"/>
        </w:rPr>
      </w:pPr>
      <w:r>
        <w:rPr>
          <w:rFonts w:ascii="Arial" w:cs="Arial" w:eastAsia="Arial" w:hAnsi="Arial"/>
          <w:sz w:val="16"/>
          <w:szCs w:val="16"/>
          <w:color w:val="auto"/>
        </w:rPr>
        <w:t xml:space="preserve">We have adopted our business code of conduct, which applies to all of our employees, directors, and consultants. The code of conduct includes particular provisions applicable to our senior financial management, which includes our chief executive officer, chief financial officer and principal accounting officer, and other employees performing similar functions. A copy of our code of conduct is available on the Corporate Governance section of the Investor Relations page on our website at </w:t>
      </w:r>
      <w:r>
        <w:rPr>
          <w:rFonts w:ascii="Arial" w:cs="Arial" w:eastAsia="Arial" w:hAnsi="Arial"/>
          <w:sz w:val="16"/>
          <w:szCs w:val="16"/>
          <w:i w:val="1"/>
          <w:iCs w:val="1"/>
          <w:color w:val="auto"/>
        </w:rPr>
        <w:t>www.gcu.edu.</w:t>
      </w:r>
      <w:r>
        <w:rPr>
          <w:rFonts w:ascii="Arial" w:cs="Arial" w:eastAsia="Arial" w:hAnsi="Arial"/>
          <w:sz w:val="16"/>
          <w:szCs w:val="16"/>
          <w:color w:val="auto"/>
        </w:rPr>
        <w:t xml:space="preserve"> We intend to post on our website any amendment to, or waiver from, a provision of our code of conduct that applies to any director or officer, including our chief executive officer, chief financial officer and principal accounting officer, and other persons performing similar functions, promptly following the date of such amendment or waiver.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96" w:lineRule="exact"/>
        <w:rPr>
          <w:sz w:val="20"/>
          <w:szCs w:val="20"/>
          <w:color w:val="auto"/>
        </w:rPr>
      </w:pPr>
    </w:p>
    <w:p>
      <w:pPr>
        <w:ind w:right="160" w:firstLine="456"/>
        <w:spacing w:after="0" w:line="310" w:lineRule="auto"/>
        <w:rPr>
          <w:sz w:val="20"/>
          <w:szCs w:val="20"/>
          <w:color w:val="auto"/>
        </w:rPr>
      </w:pPr>
      <w:r>
        <w:rPr>
          <w:rFonts w:ascii="Arial" w:cs="Arial" w:eastAsia="Arial" w:hAnsi="Arial"/>
          <w:sz w:val="15"/>
          <w:szCs w:val="15"/>
          <w:color w:val="auto"/>
        </w:rPr>
        <w:t>Our Board of Directors is responsible for oversight of our risk assessment and management process. The Board of Directors has delegated to the Compensation Committee basic responsibility for oversight of management’s compensation risk assessment, and has delegated to the Audit Committee tasks related to risk process oversight. In exercising its oversight duties, the Board of Directors receives reports from each committee regarding the committee’s considerations and actions. The Audit Committee’s process includes working with the Company’s Chief Risk Officer and other members of the Company’s enterprise risk management team, meeting periodically with the Chief Risk Officer and other members of management and receiving reports on enterprise risk management, including management’s assessment of risk exposures (including risks related to liquidity, credit, operations and regulatory compliance, among others), and the processes in place to monitor and control such exposures. The Audit Committee may also, from time to time, receive updates between meetings from the Chief Risk Officer, the Chief Executive Officer, the Chief Financial Officer and other members of management relating to risk oversight matters.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When selecting nominees for appointment or election to our Board of Directors, our Nominating and Corporate Governance Committee intends to make such selections pursuant to the following process:</w:t>
      </w:r>
    </w:p>
    <w:p>
      <w:pPr>
        <w:spacing w:after="0" w:line="51" w:lineRule="exact"/>
        <w:rPr>
          <w:sz w:val="20"/>
          <w:szCs w:val="20"/>
          <w:color w:val="auto"/>
        </w:rPr>
      </w:pPr>
    </w:p>
    <w:p>
      <w:pPr>
        <w:ind w:left="900" w:right="2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identification of director candidates by our Nominating and Corporate Governance Committee based upon suggestions from current directors and senior management, recommendations by stockholders and/or use of a director search firm;</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review of the candidates’ qualifications by our Nominating and Corporate Governance Committee to determine which candidates best meet our Board of Directors’ required and desired criteria;</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interviews of interested candidates who best meet these criteria by the chair of the Nominating and Corporate Governance Committee, the chair of our Board of Directors, and/or certain other directors;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1" w:name="page12"/>
    <w:bookmarkEnd w:id="11"/>
    <w:p>
      <w:pPr>
        <w:ind w:left="900" w:right="480" w:hanging="325"/>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recommendation by our Nominating and Corporate Governance Committee for inclusion in the slate of directors for the annual meeting of stockholders or for appointment by our Board of Directors to fill a vacancy during the interval between stockholder meetings; and</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formal nomination by our Board of Directors.</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Although our Nominating and Corporate Governance Committee will review each candidate’s qualifications to determine whether such candidate is appropriate for our Board of Directors, candidates need not possess any minimum qualifications or specific qualities or skills. In accordance with its charter, the Nominating and Corporate Governance Committee’s review and assessment of incumbent directors and proposed nominees includes the consideration of a candidate’s skills, business experiences, and background, which may include with respect to any particular incumbent or proposed nominee consideration of one or more of the following criteria:</w:t>
      </w:r>
    </w:p>
    <w:p>
      <w:pPr>
        <w:spacing w:after="0" w:line="62"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of the director’s/proposed nominee’s educational, business, non-profit or professional acumen and experience;</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director/proposed nominee assists in achieving a mix of Board members that represents a diversity of background, perspective and experience;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Whether the director/proposed nominee meets the independence requirements of the listing standards of the Nasdaq Stock Market;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director/proposed nominee has the business experience relevant to an understanding of our business;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director/proposed nominee would be considered a “financial expert” or “financially literate” as defined in applicable listing standards or applicable law;</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director/proposed nominee, by virtue of particular technical expertise, experience or specialized skill relevant to our current or future business, will add specific value as a Board member; and</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director/proposed nominee possesses a willingness to challenge and stimulate management and the ability to work as part of a team in an environment of trust.</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With respect to existing members of the Board of Directors, our Nominating and Corporate Governance Committee will reassess the qualifications of a director, including the director’s performance on our Board of Directors to date, the director’s current employment, the director’s service on other boards of directors and the director’s independence, prior to recommending a director for reelection to another term. All director-nominees were recommended for election at the Annual Meeting by our Nominating and Corporate Governance Committee, and such recommendations were formally approved by our Board of Directors.</w:t>
      </w:r>
    </w:p>
    <w:p>
      <w:pPr>
        <w:spacing w:after="0" w:line="113"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Stockholders who wish to recommend individuals for consideration by our Nominating and Corporate Governance Committee to become nominees for election to our Board of Directors may do so by submitting a written recommendation to our Nominating and Corporate Governance Committee, c/o General Counsel, Grand Canyon Education, Inc., 3300 W. Camelback Road, Phoenix, Arizona 85017. Submissions must be received not less than 120 calendar days in advance of the first anniversary of the date that the Company’s proxy statement was released to stockholders in connection with the previous year’s annual meeting of stockholders, except that if no annual meeting was held in the previous year or the date of the annual meeting has been advanced by more than 30 calendar days from the date contemplated at the time of the previous year’s proxy statement, notice by the stockholders to be timely must be received not later than the close of business on the tenth day following the day on which public announcement of the date of such meeting is first made. For our 2013 Annual Meeting of Stockholders, stockholder nominations must be received by November 29, 2012.</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12" w:name="page13"/>
    <w:bookmarkEnd w:id="12"/>
    <w:p>
      <w:pPr>
        <w:ind w:right="60" w:firstLine="456"/>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submission must set forth: (i) the name and address of the stockholder who intends to make the nomination, or the beneficial owner, if any, on whose behalf the nomination is being made and of the person or persons to be nominated; (ii) a representation that the stockholder is a holder of record of stock of the Company entitled to vote for the election of directors on the date of such notice and intends to appear in person or by proxy at the meeting to nominate the person or persons specified in the notice; (iii) the following information regarding the ownership interests of the stockholder and such other beneficial owners, which shall be supplemented in writing by the stockholder not later than ten (10) days after the record date for notice of the meeting to disclose such interests as of such record date: (A) the class and number of shares of the Company that are owned beneficially and of record by the stockholder or any such beneficial owner;</w:t>
      </w:r>
    </w:p>
    <w:p>
      <w:pPr>
        <w:spacing w:after="0" w:line="1" w:lineRule="exact"/>
        <w:rPr>
          <w:sz w:val="20"/>
          <w:szCs w:val="20"/>
          <w:color w:val="auto"/>
        </w:rPr>
      </w:pPr>
    </w:p>
    <w:p>
      <w:pPr>
        <w:ind w:right="320" w:firstLine="8"/>
        <w:spacing w:after="0" w:line="300" w:lineRule="auto"/>
        <w:tabs>
          <w:tab w:leader="none" w:pos="278" w:val="left"/>
        </w:tabs>
        <w:numPr>
          <w:ilvl w:val="0"/>
          <w:numId w:val="12"/>
        </w:numPr>
        <w:rPr>
          <w:rFonts w:ascii="Arial" w:cs="Arial" w:eastAsia="Arial" w:hAnsi="Arial"/>
          <w:sz w:val="15"/>
          <w:szCs w:val="15"/>
          <w:color w:val="auto"/>
        </w:rPr>
      </w:pPr>
      <w:r>
        <w:rPr>
          <w:rFonts w:ascii="Arial" w:cs="Arial" w:eastAsia="Arial" w:hAnsi="Arial"/>
          <w:sz w:val="15"/>
          <w:szCs w:val="15"/>
          <w:color w:val="auto"/>
        </w:rPr>
        <w:t>any derivative instrument directly or indirectly owned beneficially by such stockholder or any such beneficial owner and any other direct or indirect opportunity to profit or share in any profit derived from any increase or decrease in the value of shares of the Company; (C) any proxy, contract, arrangement, understanding, or relationship pursuant to which such stockholder or any such beneficial owner has a right to vote any shares of any security of the Company;</w:t>
      </w:r>
    </w:p>
    <w:p>
      <w:pPr>
        <w:spacing w:after="0" w:line="1" w:lineRule="exact"/>
        <w:rPr>
          <w:rFonts w:ascii="Arial" w:cs="Arial" w:eastAsia="Arial" w:hAnsi="Arial"/>
          <w:sz w:val="15"/>
          <w:szCs w:val="15"/>
          <w:color w:val="auto"/>
        </w:rPr>
      </w:pPr>
    </w:p>
    <w:p>
      <w:pPr>
        <w:ind w:firstLine="8"/>
        <w:spacing w:after="0" w:line="284" w:lineRule="auto"/>
        <w:tabs>
          <w:tab w:leader="none" w:pos="28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short interest in any security of the Company; (E) any rights to dividends on the shares of the Company owned beneficially by such stockholder or any such beneficial owner that are separated or separable from the underlying shares of the Company; (F) any proportionate interest in shares of the Company or derivative instruments held, directly or indirectly, by a general or limited partnership in which such stockholder or any such beneficial owner is a general partner or, directly or indirectly, beneficially owns an interest in a general partner; and (G) any performance-related fees (other than an asset-based fee) to which such stockholder or any such beneficial owner is entitled based on any increase or decrease in the value of shares of the Company or derivative instruments, if any, as of the date of such notice, including, without limitation, any such interests held by members of such stockholder’s or beneficial owner’s immediate family sharing the same household, (iv) a description of all arrangements or understandings between the stockholder or such beneficial owner and each nominee and any other person or persons (naming such person or persons) pursuant to which the nomination or nominations are to be made by the stockholder; (v) a description of all direct and indirect compensation and other material monetary agreements, arrangements and understandings during the past three (3) years, and any other material relationships, between or among such stockholder and such other beneficial owner, if any, and their respective affiliates and associates, or others acting in concert therewith, on the one hand, and each proposed nominee, and his respective affiliates and associates, or others acting in concert therewith, on the other hand, including, without limitation all information that would be required to be disclosed pursuant to Rule 404 promulgated under Regulation S-K if the stockholder making the nomination and any beneficial owner on whose behalf the nomination is made, if any, or any affiliate or associate thereof or person acting in concert therewith, were the “registrant” for purposes of such rule and the nominee were a director or executive officer of such registrant, (vi) such other information regarding each nominee proposed by such stockholder as would be required to be included in a proxy statement filed pursuant to the proxy rules of the Securities and Exchange Commission, had the nominee been nominated, or intended to be nominated, by the Board of Directors; and (vii) the consent of each nominee to serve as a director of the Company if so elected.</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receive any director nominations from stockholders for the Annual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During 2011, Messrs. Johnson, Heath and Dorman served as the members of our Compensation Committee. No executive officer serves, or in the past has served, as a member of the Board of Directors or compensation committee of any entity that has any of its executive officers serving as a member of our Board of Directors or Compensation Committee.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Stockholders may communicate with any of our directors, including our lead independent director, the chair of any of the committees of the Board of Directors, or the non-management directors as a group by writing to them c/o Secretary, Grand Canyon Education, Inc., 3300 West Camelback Road, Phoenix, Arizona 85017. Please specify to whom your correspondence should be directed. The Secretary will promptly forward all correspondence to the Board of Directors or any specific director, as indicated in the correspondence, except for junk mail, mass mailings, job inquiries, surveys, business solicitations or advertisements, or patently offensive or otherwise inappropriate material. The Secretary may forward certain correspondence, such as product-related or service-related inquiries, elsewhere within the Company for review and possible response.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Stock Ownership Guidelines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Board of Directors believes that each director should develop a meaningful ownership position in the Company. Therefore, in January 2011, the Board of Directors adopted stock ownership guidelines for directors. Pursuant to these guidelines, which are set forth in our Corporate Governance Principles and Practices and available on the Corporate Governance section of the Investor Relations page on our website at </w:t>
      </w:r>
      <w:r>
        <w:rPr>
          <w:rFonts w:ascii="Arial" w:cs="Arial" w:eastAsia="Arial" w:hAnsi="Arial"/>
          <w:sz w:val="16"/>
          <w:szCs w:val="16"/>
          <w:i w:val="1"/>
          <w:iCs w:val="1"/>
          <w:color w:val="auto"/>
        </w:rPr>
        <w:t>www.gcu.edu</w:t>
      </w:r>
      <w:r>
        <w:rPr>
          <w:rFonts w:ascii="Arial" w:cs="Arial" w:eastAsia="Arial" w:hAnsi="Arial"/>
          <w:sz w:val="16"/>
          <w:szCs w:val="16"/>
          <w:color w:val="auto"/>
        </w:rPr>
        <w:t>, each director is expected to own at least $50,000 of our Common Stock. Current directors are expected to achieve the target ownership threshold within two years of the adoption of the policy, while future directors are expected to achieve the target ownership threshold within two years of their election to the Board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 directors’ compensation program for our non-employee directors, which utilizes annual retainers, per meeting fees, and restricted stock grants.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This program was revised in the third quarter of 2011 based on a peer review of director compensation performed by Mercer in 2011. Prior to the change in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program, new non-employee directors, upon appointment or election to the Board of Directors, received an award of restricted stock under our 2008 Equity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Incentive Plan (the “Equity Incentive Plan”) valued at $20,000, which vests on the one year anniversary of the date of grant, subject to accelerated vesting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event of a change in control. For serving on the Board of Directors, our non-employee directors also received an annual retainer of $60,000 in cash or, at their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election, an annual retainer consisting of $30,000 in cash and an award of restricted stock under our Equity Incentive Plan valued at $35,000. The cash portion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annual retainer is paid quarterly while the restricted stock grants to our non-employee directors are made after our annual meeting of stockholders each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vest on the earlier of the one year anniversary of the date of grant or immediately prior to the following year’s annual meeting of stockholders,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acceleration in the event of a change in control. In addition, our lead independent director received an annual cash retainer of $33,333, each non-employee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 received an annual cash retainer for service on a Board committee of $5,000, and each committee chair received an additional annual cash retainer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$2,500, except for the chair of the Audit Committee, whose additional annual cash retainer was $5,000. We also paid our non-employee directors a fee of $2,000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 meeting for each quarterly meeting of the Board of Directors attended.</w:t>
      </w:r>
    </w:p>
    <w:p>
      <w:pPr>
        <w:spacing w:after="0" w:line="16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Under our revised director compensation program, which took effect beginning in the third quarter of 2011, the annual retainer for non-employee directors was increased to $70,000 in cash or, at their election, an annual retainer consisting of $30,000 in cash and an award of restricted stock under our Equity Incentive Plan valued at $60,000 (with the first such grant to occur at the Annual Meeting). In addition, the annual retainer for the chair of the Audit Committee was increased to $10,000, and per meeting fees were eliminated. We reimburse all of our directors for reasonable expenses incurred to attend our Board of Directors and committee meetings.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Director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the compensation paid to our non-employee directors in 2011:</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(1)</w:t>
            </w:r>
          </w:p>
        </w:tc>
        <w:tc>
          <w:tcPr>
            <w:tcW w:w="4640" w:type="dxa"/>
            <w:vAlign w:val="bottom"/>
            <w:vMerge w:val="restart"/>
          </w:tcPr>
          <w:p>
            <w:pPr>
              <w:spacing w:after="0"/>
              <w:rPr>
                <w:sz w:val="14"/>
                <w:szCs w:val="14"/>
                <w:color w:val="auto"/>
              </w:rPr>
            </w:pPr>
          </w:p>
        </w:tc>
        <w:tc>
          <w:tcPr>
            <w:tcW w:w="1700" w:type="dxa"/>
            <w:vAlign w:val="bottom"/>
            <w:gridSpan w:val="3"/>
          </w:tcPr>
          <w:p>
            <w:pPr>
              <w:ind w:left="40"/>
              <w:spacing w:after="0"/>
              <w:rPr>
                <w:sz w:val="20"/>
                <w:szCs w:val="20"/>
                <w:color w:val="auto"/>
              </w:rPr>
            </w:pPr>
            <w:r>
              <w:rPr>
                <w:rFonts w:ascii="Arial" w:cs="Arial" w:eastAsia="Arial" w:hAnsi="Arial"/>
                <w:sz w:val="14"/>
                <w:szCs w:val="14"/>
                <w:b w:val="1"/>
                <w:bCs w:val="1"/>
                <w:color w:val="auto"/>
              </w:rPr>
              <w:t>Fees Earned or</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0" w:type="dxa"/>
            <w:vAlign w:val="bottom"/>
            <w:tcBorders>
              <w:bottom w:val="single" w:sz="8" w:color="auto"/>
            </w:tcBorders>
            <w:vMerge w:val="continue"/>
          </w:tcPr>
          <w:p>
            <w:pPr>
              <w:spacing w:after="0"/>
              <w:rPr>
                <w:sz w:val="14"/>
                <w:szCs w:val="14"/>
                <w:color w:val="auto"/>
              </w:rPr>
            </w:pPr>
          </w:p>
        </w:tc>
        <w:tc>
          <w:tcPr>
            <w:tcW w:w="4640" w:type="dxa"/>
            <w:vAlign w:val="bottom"/>
            <w:vMerge w:val="continue"/>
          </w:tcPr>
          <w:p>
            <w:pPr>
              <w:spacing w:after="0"/>
              <w:rPr>
                <w:sz w:val="14"/>
                <w:szCs w:val="14"/>
                <w:color w:val="auto"/>
              </w:rPr>
            </w:pPr>
          </w:p>
        </w:tc>
        <w:tc>
          <w:tcPr>
            <w:tcW w:w="1700" w:type="dxa"/>
            <w:vAlign w:val="bottom"/>
            <w:gridSpan w:val="3"/>
          </w:tcPr>
          <w:p>
            <w:pPr>
              <w:jc w:val="right"/>
              <w:ind w:right="760"/>
              <w:spacing w:after="0" w:line="148" w:lineRule="exact"/>
              <w:rPr>
                <w:sz w:val="20"/>
                <w:szCs w:val="20"/>
                <w:color w:val="auto"/>
              </w:rPr>
            </w:pPr>
            <w:r>
              <w:rPr>
                <w:rFonts w:ascii="Arial" w:cs="Arial" w:eastAsia="Arial" w:hAnsi="Arial"/>
                <w:sz w:val="14"/>
                <w:szCs w:val="14"/>
                <w:b w:val="1"/>
                <w:bCs w:val="1"/>
                <w:color w:val="auto"/>
                <w:w w:val="87"/>
              </w:rPr>
              <w:t xml:space="preserve">Paid in Cash </w:t>
            </w: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w:t>
            </w:r>
          </w:p>
        </w:tc>
        <w:tc>
          <w:tcPr>
            <w:tcW w:w="1920" w:type="dxa"/>
            <w:vAlign w:val="bottom"/>
            <w:gridSpan w:val="3"/>
          </w:tcPr>
          <w:p>
            <w:pPr>
              <w:jc w:val="right"/>
              <w:ind w:right="760"/>
              <w:spacing w:after="0" w:line="148" w:lineRule="exact"/>
              <w:rPr>
                <w:sz w:val="20"/>
                <w:szCs w:val="20"/>
                <w:color w:val="auto"/>
              </w:rPr>
            </w:pPr>
            <w:r>
              <w:rPr>
                <w:rFonts w:ascii="Arial" w:cs="Arial" w:eastAsia="Arial" w:hAnsi="Arial"/>
                <w:sz w:val="14"/>
                <w:szCs w:val="14"/>
                <w:b w:val="1"/>
                <w:bCs w:val="1"/>
                <w:color w:val="auto"/>
                <w:w w:val="87"/>
              </w:rPr>
              <w:t xml:space="preserve">Stock Awards </w:t>
            </w: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)(2)</w:t>
            </w:r>
          </w:p>
        </w:tc>
        <w:tc>
          <w:tcPr>
            <w:tcW w:w="76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5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Chad N. Heath</w:t>
            </w:r>
          </w:p>
        </w:tc>
        <w:tc>
          <w:tcPr>
            <w:tcW w:w="280" w:type="dxa"/>
            <w:vAlign w:val="bottom"/>
            <w:tcBorders>
              <w:top w:val="single" w:sz="8" w:color="auto"/>
            </w:tcBorders>
            <w:shd w:val="clear" w:color="auto" w:fill="CCEEFF"/>
          </w:tcPr>
          <w:p>
            <w:pPr>
              <w:jc w:val="right"/>
              <w:ind w:right="106"/>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81,500</w:t>
            </w:r>
          </w:p>
        </w:tc>
        <w:tc>
          <w:tcPr>
            <w:tcW w:w="7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2"/>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$ 81,500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D. Mark Dorman</w:t>
            </w:r>
          </w:p>
        </w:tc>
        <w:tc>
          <w:tcPr>
            <w:tcW w:w="280" w:type="dxa"/>
            <w:vAlign w:val="bottom"/>
          </w:tcPr>
          <w:p>
            <w:pPr>
              <w:spacing w:after="0"/>
              <w:rPr>
                <w:sz w:val="18"/>
                <w:szCs w:val="18"/>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79,000</w:t>
            </w:r>
          </w:p>
        </w:tc>
        <w:tc>
          <w:tcPr>
            <w:tcW w:w="380" w:type="dxa"/>
            <w:vAlign w:val="bottom"/>
          </w:tcPr>
          <w:p>
            <w:pPr>
              <w:spacing w:after="0"/>
              <w:rPr>
                <w:sz w:val="18"/>
                <w:szCs w:val="18"/>
                <w:color w:val="auto"/>
              </w:rPr>
            </w:pPr>
          </w:p>
        </w:tc>
        <w:tc>
          <w:tcPr>
            <w:tcW w:w="15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Johnson</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79,833</w:t>
            </w:r>
          </w:p>
        </w:tc>
        <w:tc>
          <w:tcPr>
            <w:tcW w:w="3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35,000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114,833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Jack A. Henry</w:t>
            </w:r>
          </w:p>
        </w:tc>
        <w:tc>
          <w:tcPr>
            <w:tcW w:w="280" w:type="dxa"/>
            <w:vAlign w:val="bottom"/>
          </w:tcPr>
          <w:p>
            <w:pPr>
              <w:spacing w:after="0"/>
              <w:rPr>
                <w:sz w:val="18"/>
                <w:szCs w:val="18"/>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51,500</w:t>
            </w:r>
          </w:p>
        </w:tc>
        <w:tc>
          <w:tcPr>
            <w:tcW w:w="380" w:type="dxa"/>
            <w:vAlign w:val="bottom"/>
          </w:tcPr>
          <w:p>
            <w:pPr>
              <w:spacing w:after="0"/>
              <w:rPr>
                <w:sz w:val="18"/>
                <w:szCs w:val="18"/>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35,000</w:t>
            </w:r>
          </w:p>
        </w:tc>
        <w:tc>
          <w:tcPr>
            <w:tcW w:w="660" w:type="dxa"/>
            <w:vAlign w:val="bottom"/>
          </w:tcPr>
          <w:p>
            <w:pPr>
              <w:jc w:val="right"/>
              <w:spacing w:after="0"/>
              <w:rPr>
                <w:sz w:val="20"/>
                <w:szCs w:val="20"/>
                <w:color w:val="auto"/>
              </w:rPr>
            </w:pPr>
            <w:r>
              <w:rPr>
                <w:rFonts w:ascii="Arial" w:cs="Arial" w:eastAsia="Arial" w:hAnsi="Arial"/>
                <w:sz w:val="18"/>
                <w:szCs w:val="18"/>
                <w:color w:val="auto"/>
              </w:rPr>
              <w:t>86,500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A. Casper</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22,500</w:t>
            </w:r>
          </w:p>
        </w:tc>
        <w:tc>
          <w:tcPr>
            <w:tcW w:w="3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20,000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640" w:hanging="452"/>
        <w:spacing w:after="0" w:line="25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Directors who are Company employees receive no additional compensation for serving on the Board of Directors. Compensation for our employee directors is reflected in the Summary Compensation Table set forth in “Executive Compensation” below.</w:t>
      </w:r>
    </w:p>
    <w:p>
      <w:pPr>
        <w:jc w:val="both"/>
        <w:ind w:left="460" w:right="420" w:hanging="452"/>
        <w:spacing w:after="0" w:line="255"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part of their annual retainer, a restricted stock grant valued at $35,000 was made to each of Messrs. Johnson and Henry after our annual meeting of stockholders on May 17, 2011. Bradley A. Casper was appointed to the Board of Directors and Audit Committee and received a restricted stock grant valued at $20,000 in August 2011.</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4" w:name="page15"/>
    <w:bookmarkEnd w:id="14"/>
    <w:p>
      <w:pPr>
        <w:ind w:right="1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provides a break down of the cash compensation paid to our non-employee directors in 2011 in respect of their annual retainer for service on the Board of Directors, Board of Directors’ meeting fees, annual retainer for service on Board committees, and annual retainer for services as a Board committee chair:</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Committee</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Board of</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Chair</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5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Directors</w:t>
            </w:r>
          </w:p>
        </w:tc>
        <w:tc>
          <w:tcPr>
            <w:tcW w:w="160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w w:val="86"/>
              </w:rPr>
              <w:t>Board of Directors</w:t>
            </w:r>
          </w:p>
        </w:tc>
        <w:tc>
          <w:tcPr>
            <w:tcW w:w="1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Board Committee</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Annual</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520" w:type="dxa"/>
            <w:vAlign w:val="bottom"/>
            <w:vMerge w:val="continue"/>
          </w:tcPr>
          <w:p>
            <w:pPr>
              <w:spacing w:after="0"/>
              <w:rPr>
                <w:sz w:val="14"/>
                <w:szCs w:val="14"/>
                <w:color w:val="auto"/>
              </w:rPr>
            </w:pPr>
          </w:p>
        </w:tc>
        <w:tc>
          <w:tcPr>
            <w:tcW w:w="1500" w:type="dxa"/>
            <w:vAlign w:val="bottom"/>
            <w:gridSpan w:val="3"/>
          </w:tcPr>
          <w:p>
            <w:pPr>
              <w:jc w:val="center"/>
              <w:ind w:right="540"/>
              <w:spacing w:after="0" w:line="148" w:lineRule="exact"/>
              <w:rPr>
                <w:sz w:val="20"/>
                <w:szCs w:val="20"/>
                <w:color w:val="auto"/>
              </w:rPr>
            </w:pPr>
            <w:r>
              <w:rPr>
                <w:rFonts w:ascii="Arial" w:cs="Arial" w:eastAsia="Arial" w:hAnsi="Arial"/>
                <w:sz w:val="14"/>
                <w:szCs w:val="14"/>
                <w:b w:val="1"/>
                <w:bCs w:val="1"/>
                <w:color w:val="auto"/>
                <w:w w:val="89"/>
              </w:rPr>
              <w:t>Annual Retainer</w:t>
            </w:r>
          </w:p>
        </w:tc>
        <w:tc>
          <w:tcPr>
            <w:tcW w:w="120" w:type="dxa"/>
            <w:vAlign w:val="bottom"/>
          </w:tcPr>
          <w:p>
            <w:pPr>
              <w:spacing w:after="0"/>
              <w:rPr>
                <w:sz w:val="14"/>
                <w:szCs w:val="14"/>
                <w:color w:val="auto"/>
              </w:rPr>
            </w:pPr>
          </w:p>
        </w:tc>
        <w:tc>
          <w:tcPr>
            <w:tcW w:w="148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Meeting Fees</w:t>
            </w:r>
          </w:p>
        </w:tc>
        <w:tc>
          <w:tcPr>
            <w:tcW w:w="156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Annual Retainers</w:t>
            </w:r>
          </w:p>
        </w:tc>
        <w:tc>
          <w:tcPr>
            <w:tcW w:w="92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9"/>
              </w:rPr>
              <w:t>Retainer</w:t>
            </w:r>
          </w:p>
        </w:tc>
        <w:tc>
          <w:tcPr>
            <w:tcW w:w="260" w:type="dxa"/>
            <w:vAlign w:val="bottom"/>
          </w:tcPr>
          <w:p>
            <w:pPr>
              <w:spacing w:after="0"/>
              <w:rPr>
                <w:sz w:val="14"/>
                <w:szCs w:val="14"/>
                <w:color w:val="auto"/>
              </w:rPr>
            </w:pPr>
          </w:p>
        </w:tc>
        <w:tc>
          <w:tcPr>
            <w:tcW w:w="68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Chad N. Heath</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ind w:left="340"/>
              <w:spacing w:after="0" w:line="203" w:lineRule="exact"/>
              <w:rPr>
                <w:sz w:val="20"/>
                <w:szCs w:val="20"/>
                <w:color w:val="auto"/>
              </w:rPr>
            </w:pPr>
            <w:r>
              <w:rPr>
                <w:rFonts w:ascii="Arial" w:cs="Arial" w:eastAsia="Arial" w:hAnsi="Arial"/>
                <w:sz w:val="18"/>
                <w:szCs w:val="18"/>
                <w:color w:val="auto"/>
                <w:w w:val="83"/>
              </w:rPr>
              <w:t>65,000</w:t>
            </w: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w:t>
            </w:r>
          </w:p>
        </w:tc>
        <w:tc>
          <w:tcPr>
            <w:tcW w:w="5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w:t>
            </w:r>
          </w:p>
        </w:tc>
        <w:tc>
          <w:tcPr>
            <w:tcW w:w="5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  2,500</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$81,500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D. Mark Dorman</w:t>
            </w:r>
          </w:p>
        </w:tc>
        <w:tc>
          <w:tcPr>
            <w:tcW w:w="14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65,000</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4,000</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c>
          <w:tcPr>
            <w:tcW w:w="520" w:type="dxa"/>
            <w:vAlign w:val="bottom"/>
          </w:tcPr>
          <w:p>
            <w:pPr>
              <w:spacing w:after="0"/>
              <w:rPr>
                <w:sz w:val="18"/>
                <w:szCs w:val="18"/>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Johnson(1)</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35,833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Jack A. Henry(1)</w:t>
            </w:r>
          </w:p>
        </w:tc>
        <w:tc>
          <w:tcPr>
            <w:tcW w:w="14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4,000</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c>
          <w:tcPr>
            <w:tcW w:w="5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7,500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A. Casper(1)</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240" w:hanging="452"/>
        <w:spacing w:after="0" w:line="306"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amount for Mr. Johnson includes the additional annual retainer of $33,333 that he receives in his capacity as lead independent director. The amounts for Messrs. Johnson and Henry exclude their respective restricted stock grants valued at $35,000. Bradley A. Casper joined our Board of Directors and Audit Committee on August 18, 2011. The amount for Mr. Casper excludes his restricted stock grant valued at $20,000.</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bylaws provide that our business will be managed by or under the direction of a Board of Directors. The number of directors constituting our Board of</w:t>
      </w:r>
    </w:p>
    <w:p>
      <w:pPr>
        <w:spacing w:after="0" w:line="38" w:lineRule="exact"/>
        <w:rPr>
          <w:sz w:val="20"/>
          <w:szCs w:val="20"/>
          <w:color w:val="auto"/>
        </w:rPr>
      </w:pPr>
    </w:p>
    <w:p>
      <w:pPr>
        <w:spacing w:after="0"/>
        <w:tabs>
          <w:tab w:leader="none" w:pos="10280" w:val="left"/>
        </w:tabs>
        <w:rPr>
          <w:sz w:val="20"/>
          <w:szCs w:val="20"/>
          <w:color w:val="auto"/>
        </w:rPr>
      </w:pPr>
      <w:r>
        <w:rPr>
          <w:rFonts w:ascii="Arial" w:cs="Arial" w:eastAsia="Arial" w:hAnsi="Arial"/>
          <w:sz w:val="16"/>
          <w:szCs w:val="16"/>
          <w:color w:val="auto"/>
        </w:rPr>
        <w:t>Directors is determined from time to time by our Board of Directors. Currently, our Board of Directors consists of eight members. On March</w:t>
      </w:r>
      <w:r>
        <w:rPr>
          <w:sz w:val="20"/>
          <w:szCs w:val="20"/>
          <w:color w:val="auto"/>
        </w:rPr>
        <w:tab/>
      </w:r>
      <w:r>
        <w:rPr>
          <w:rFonts w:ascii="Arial" w:cs="Arial" w:eastAsia="Arial" w:hAnsi="Arial"/>
          <w:sz w:val="15"/>
          <w:szCs w:val="15"/>
          <w:color w:val="auto"/>
        </w:rPr>
        <w:t>, 2012,</w:t>
      </w:r>
    </w:p>
    <w:p>
      <w:pPr>
        <w:spacing w:after="0" w:line="3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Mr. Christopher C. Richardson notified the Company that he will resign as General Counsel and as a director effective upon the selection of his replacement as General Counsel. Accordingly, Mr. Christopher Richardson will not stand for reelection at the Annual Meeting. Each nominee for the position of director will be elected at the Annual Meeting to hold office until the next annual meeting of stockholders or the director’s earlier resignation or removal. Upon the recommendation of the Nominating and Corporate Governance Committee of the Board of Directors, the Board of Directors has nominated the seven persons named below for election as directors. Proxies solicited by our Board of Directors will, unless otherwise directed, be voted to elect the seven nominees named below to constitute the entire Board of Directors.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Director Nominees</w:t>
      </w:r>
    </w:p>
    <w:p>
      <w:pPr>
        <w:spacing w:after="0" w:line="96"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All of the nominees named below are currently serving on the Board of Directors. Each nominee has indicated a willingness to serve as a director for the ensuing year, but in case any nominee is not a candidate at the meeting for any reason, the proxies named in the enclosed proxy form may vote for a substitute nominee recommended by the Nominating and Corporate Governance Committee and approved by the Board of Directors.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regarding each director nominee: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70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3960" w:type="dxa"/>
            <w:vAlign w:val="bottom"/>
            <w:gridSpan w:val="3"/>
          </w:tcPr>
          <w:p>
            <w:pPr>
              <w:ind w:left="220"/>
              <w:spacing w:after="0"/>
              <w:rPr>
                <w:sz w:val="20"/>
                <w:szCs w:val="20"/>
                <w:color w:val="auto"/>
              </w:rPr>
            </w:pPr>
            <w:r>
              <w:rPr>
                <w:rFonts w:ascii="Arial" w:cs="Arial" w:eastAsia="Arial" w:hAnsi="Arial"/>
                <w:sz w:val="14"/>
                <w:szCs w:val="14"/>
                <w:b w:val="1"/>
                <w:bCs w:val="1"/>
                <w:color w:val="auto"/>
              </w:rPr>
              <w:t>Position</w:t>
            </w:r>
          </w:p>
        </w:tc>
        <w:tc>
          <w:tcPr>
            <w:tcW w:w="3880" w:type="dxa"/>
            <w:vAlign w:val="bottom"/>
          </w:tcPr>
          <w:p>
            <w:pPr>
              <w:spacing w:after="0"/>
              <w:rPr>
                <w:sz w:val="20"/>
                <w:szCs w:val="20"/>
                <w:color w:val="auto"/>
              </w:rPr>
            </w:pPr>
            <w:r>
              <w:rPr>
                <w:rFonts w:ascii="Arial" w:cs="Arial" w:eastAsia="Arial" w:hAnsi="Arial"/>
                <w:sz w:val="14"/>
                <w:szCs w:val="14"/>
                <w:b w:val="1"/>
                <w:bCs w:val="1"/>
                <w:color w:val="auto"/>
              </w:rPr>
              <w:t>Committee Membership</w:t>
            </w:r>
          </w:p>
        </w:tc>
      </w:tr>
      <w:tr>
        <w:trPr>
          <w:trHeight w:val="203"/>
        </w:trPr>
        <w:tc>
          <w:tcPr>
            <w:tcW w:w="3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Brent D. Richardson</w:t>
            </w: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49</w:t>
            </w:r>
          </w:p>
        </w:tc>
        <w:tc>
          <w:tcPr>
            <w:tcW w:w="220" w:type="dxa"/>
            <w:vAlign w:val="bottom"/>
            <w:tcBorders>
              <w:top w:val="single" w:sz="8" w:color="CCEEFF"/>
            </w:tcBorders>
            <w:shd w:val="clear" w:color="auto" w:fill="CCEEFF"/>
          </w:tcPr>
          <w:p>
            <w:pPr>
              <w:spacing w:after="0"/>
              <w:rPr>
                <w:sz w:val="17"/>
                <w:szCs w:val="17"/>
                <w:color w:val="auto"/>
              </w:rPr>
            </w:pPr>
          </w:p>
        </w:tc>
        <w:tc>
          <w:tcPr>
            <w:tcW w:w="35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Executive Chairman</w:t>
            </w:r>
          </w:p>
        </w:tc>
        <w:tc>
          <w:tcPr>
            <w:tcW w:w="220" w:type="dxa"/>
            <w:vAlign w:val="bottom"/>
            <w:tcBorders>
              <w:top w:val="single" w:sz="8" w:color="CCEEFF"/>
            </w:tcBorders>
            <w:shd w:val="clear" w:color="auto" w:fill="CCEEFF"/>
          </w:tcPr>
          <w:p>
            <w:pPr>
              <w:spacing w:after="0"/>
              <w:rPr>
                <w:sz w:val="17"/>
                <w:szCs w:val="17"/>
                <w:color w:val="auto"/>
              </w:rPr>
            </w:pPr>
          </w:p>
        </w:tc>
        <w:tc>
          <w:tcPr>
            <w:tcW w:w="38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None</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Brian E. Mueller</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Chief Executive Officer and Director</w:t>
            </w:r>
          </w:p>
        </w:tc>
        <w:tc>
          <w:tcPr>
            <w:tcW w:w="38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C. Richardson (1)</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w:t>
            </w:r>
          </w:p>
        </w:tc>
        <w:tc>
          <w:tcPr>
            <w:tcW w:w="39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General Counsel and Director</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r>
      <w:tr>
        <w:trPr>
          <w:trHeight w:val="208"/>
        </w:trPr>
        <w:tc>
          <w:tcPr>
            <w:tcW w:w="3080" w:type="dxa"/>
            <w:vAlign w:val="bottom"/>
            <w:gridSpan w:val="2"/>
          </w:tcPr>
          <w:p>
            <w:pPr>
              <w:spacing w:after="0"/>
              <w:rPr>
                <w:sz w:val="20"/>
                <w:szCs w:val="20"/>
                <w:color w:val="auto"/>
              </w:rPr>
            </w:pPr>
            <w:r>
              <w:rPr>
                <w:rFonts w:ascii="Arial" w:cs="Arial" w:eastAsia="Arial" w:hAnsi="Arial"/>
                <w:sz w:val="18"/>
                <w:szCs w:val="18"/>
                <w:color w:val="auto"/>
              </w:rPr>
              <w:t>Chad N. Heath</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3880" w:type="dxa"/>
            <w:vAlign w:val="bottom"/>
          </w:tcPr>
          <w:p>
            <w:pPr>
              <w:spacing w:after="0"/>
              <w:rPr>
                <w:sz w:val="20"/>
                <w:szCs w:val="20"/>
                <w:color w:val="auto"/>
              </w:rPr>
            </w:pPr>
            <w:r>
              <w:rPr>
                <w:rFonts w:ascii="Arial" w:cs="Arial" w:eastAsia="Arial" w:hAnsi="Arial"/>
                <w:sz w:val="18"/>
                <w:szCs w:val="18"/>
                <w:color w:val="auto"/>
                <w:w w:val="88"/>
              </w:rPr>
              <w:t>Compensation Nominating and Corporate Governance</w:t>
            </w:r>
          </w:p>
        </w:tc>
      </w:tr>
      <w:tr>
        <w:trPr>
          <w:trHeight w:val="222"/>
        </w:trPr>
        <w:tc>
          <w:tcPr>
            <w:tcW w:w="3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(chair)</w:t>
            </w:r>
          </w:p>
        </w:tc>
      </w:tr>
      <w:tr>
        <w:trPr>
          <w:trHeight w:val="218"/>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Mark Dorman</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39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Director</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88"/>
              </w:rPr>
              <w:t>Compensation Nominating and Corporate Governance</w:t>
            </w:r>
          </w:p>
        </w:tc>
      </w:tr>
      <w:tr>
        <w:trPr>
          <w:trHeight w:val="208"/>
        </w:trPr>
        <w:tc>
          <w:tcPr>
            <w:tcW w:w="3080" w:type="dxa"/>
            <w:vAlign w:val="bottom"/>
            <w:gridSpan w:val="2"/>
          </w:tcPr>
          <w:p>
            <w:pPr>
              <w:spacing w:after="0"/>
              <w:rPr>
                <w:sz w:val="20"/>
                <w:szCs w:val="20"/>
                <w:color w:val="auto"/>
              </w:rPr>
            </w:pPr>
            <w:r>
              <w:rPr>
                <w:rFonts w:ascii="Arial" w:cs="Arial" w:eastAsia="Arial" w:hAnsi="Arial"/>
                <w:sz w:val="18"/>
                <w:szCs w:val="18"/>
                <w:color w:val="auto"/>
              </w:rPr>
              <w:t>David J. Johnson</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3880" w:type="dxa"/>
            <w:vAlign w:val="bottom"/>
          </w:tcPr>
          <w:p>
            <w:pPr>
              <w:spacing w:after="0"/>
              <w:rPr>
                <w:sz w:val="20"/>
                <w:szCs w:val="20"/>
                <w:color w:val="auto"/>
              </w:rPr>
            </w:pPr>
            <w:r>
              <w:rPr>
                <w:rFonts w:ascii="Arial" w:cs="Arial" w:eastAsia="Arial" w:hAnsi="Arial"/>
                <w:sz w:val="18"/>
                <w:szCs w:val="18"/>
                <w:color w:val="auto"/>
              </w:rPr>
              <w:t>Compensation (chair)</w:t>
            </w:r>
          </w:p>
        </w:tc>
      </w:tr>
      <w:tr>
        <w:trPr>
          <w:trHeight w:val="222"/>
        </w:trPr>
        <w:tc>
          <w:tcPr>
            <w:tcW w:w="3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Audit</w:t>
            </w:r>
          </w:p>
        </w:tc>
      </w:tr>
      <w:tr>
        <w:trPr>
          <w:trHeight w:val="232"/>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A. Henry</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w:t>
            </w:r>
          </w:p>
        </w:tc>
        <w:tc>
          <w:tcPr>
            <w:tcW w:w="39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Director</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Audit (chair)</w:t>
            </w:r>
          </w:p>
        </w:tc>
      </w:tr>
      <w:tr>
        <w:trPr>
          <w:trHeight w:val="222"/>
        </w:trPr>
        <w:tc>
          <w:tcPr>
            <w:tcW w:w="3080" w:type="dxa"/>
            <w:vAlign w:val="bottom"/>
            <w:gridSpan w:val="2"/>
          </w:tcPr>
          <w:p>
            <w:pPr>
              <w:spacing w:after="0"/>
              <w:rPr>
                <w:sz w:val="20"/>
                <w:szCs w:val="20"/>
                <w:color w:val="auto"/>
              </w:rPr>
            </w:pPr>
            <w:r>
              <w:rPr>
                <w:rFonts w:ascii="Arial" w:cs="Arial" w:eastAsia="Arial" w:hAnsi="Arial"/>
                <w:sz w:val="18"/>
                <w:szCs w:val="18"/>
                <w:color w:val="auto"/>
              </w:rPr>
              <w:t>Bradley A. Casper</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3880" w:type="dxa"/>
            <w:vAlign w:val="bottom"/>
          </w:tcPr>
          <w:p>
            <w:pPr>
              <w:spacing w:after="0"/>
              <w:rPr>
                <w:sz w:val="20"/>
                <w:szCs w:val="20"/>
                <w:color w:val="auto"/>
              </w:rPr>
            </w:pPr>
            <w:r>
              <w:rPr>
                <w:rFonts w:ascii="Arial" w:cs="Arial" w:eastAsia="Arial" w:hAnsi="Arial"/>
                <w:sz w:val="18"/>
                <w:szCs w:val="18"/>
                <w:color w:val="auto"/>
              </w:rPr>
              <w:t>Audit</w:t>
            </w:r>
          </w:p>
        </w:tc>
      </w:tr>
    </w:tbl>
    <w:p>
      <w:pPr>
        <w:spacing w:after="0" w:line="66" w:lineRule="exact"/>
        <w:rPr>
          <w:sz w:val="20"/>
          <w:szCs w:val="20"/>
          <w:color w:val="auto"/>
        </w:rPr>
      </w:pPr>
    </w:p>
    <w:p>
      <w:pPr>
        <w:ind w:left="460" w:right="60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Christopher C. Richardson has notified the Company that he will resign from our Board of Directors and as General Counsel effective upon the selection of his replacement as General Counsel. Accordingly, he is not a nominee for reelection.</w:t>
      </w:r>
    </w:p>
    <w:p>
      <w:pPr>
        <w:spacing w:after="0" w:line="13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 xml:space="preserve">Brent D. Richardson </w:t>
      </w:r>
      <w:r>
        <w:rPr>
          <w:rFonts w:ascii="Arial" w:cs="Arial" w:eastAsia="Arial" w:hAnsi="Arial"/>
          <w:sz w:val="16"/>
          <w:szCs w:val="16"/>
          <w:color w:val="auto"/>
        </w:rPr>
        <w:t>has been serving as our Executive Chairman since July 1, 2008. Mr. Richardson previously served as our Chief Executive Officer and</w:t>
      </w:r>
      <w:r>
        <w:rPr>
          <w:rFonts w:ascii="Arial" w:cs="Arial" w:eastAsia="Arial" w:hAnsi="Arial"/>
          <w:sz w:val="16"/>
          <w:szCs w:val="16"/>
          <w:i w:val="1"/>
          <w:iCs w:val="1"/>
          <w:color w:val="auto"/>
        </w:rPr>
        <w:t xml:space="preserve"> </w:t>
      </w:r>
      <w:r>
        <w:rPr>
          <w:rFonts w:ascii="Arial" w:cs="Arial" w:eastAsia="Arial" w:hAnsi="Arial"/>
          <w:sz w:val="16"/>
          <w:szCs w:val="16"/>
          <w:color w:val="auto"/>
        </w:rPr>
        <w:t>as a director from 2004 to July 2008. From 2000 to 2004, Mr. Richardson served as Chief Executive Officer of Masters Online, LLC, a company that provided online educational programs and marketing services to several regionally and nationally accredited universities. Prior to 2000, Mr. Richardson served as Director of Sales and Marketing and later General Manager of the Educational Division of Private Networks, a company that produced customized distance learning curricula for the healthcare and automotive industries. Mr. Richardson received a Bachelor of Science degree in Finance from Eastern Illinois University. As our former Chief Executive Officer, and with more than 20 years of experience in the education industry, we believe that Mr. Richardson brings an extensive understanding of both our Company, in particular, and the education industry, in general, to the Board and serves as an invaluable resource for assessing and managing risks and planning for corporate strategy within the context of our overall corporate culture.</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 xml:space="preserve">Brian E. Mueller </w:t>
      </w:r>
      <w:r>
        <w:rPr>
          <w:rFonts w:ascii="Arial" w:cs="Arial" w:eastAsia="Arial" w:hAnsi="Arial"/>
          <w:sz w:val="16"/>
          <w:szCs w:val="16"/>
          <w:color w:val="auto"/>
        </w:rPr>
        <w:t>has been serving as our Chief Executive Officer since July 1, 2008 and as a director since March 2009. From 1987 to 2008, Mr. Mueller</w:t>
      </w:r>
      <w:r>
        <w:rPr>
          <w:rFonts w:ascii="Arial" w:cs="Arial" w:eastAsia="Arial" w:hAnsi="Arial"/>
          <w:sz w:val="16"/>
          <w:szCs w:val="16"/>
          <w:i w:val="1"/>
          <w:iCs w:val="1"/>
          <w:color w:val="auto"/>
        </w:rPr>
        <w:t xml:space="preserve"> </w:t>
      </w:r>
      <w:r>
        <w:rPr>
          <w:rFonts w:ascii="Arial" w:cs="Arial" w:eastAsia="Arial" w:hAnsi="Arial"/>
          <w:sz w:val="16"/>
          <w:szCs w:val="16"/>
          <w:color w:val="auto"/>
        </w:rPr>
        <w:t>was employed by Apollo Group, Inc., a for-profit, postsecondary education company and the parent company of the University of Phoenix, serving between January 2006 and June 2008 as its President and a Director. Mr. Mueller previously served as the Chief Operating Officer of Apollo Group from December 2005 to January 2006, as Chief Executive Officer of the University of Phoenix Online, a unit of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6" w:name="page17"/>
    <w:bookmarkEnd w:id="16"/>
    <w:p>
      <w:pPr>
        <w:ind w:right="1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University of Phoenix, from March 2002 to November 2005, and as Chief Operating Officer and Senior Vice President of the University of Phoenix Online from May 1997 to March 2002. From 1987 to May 1997, Mr. Mueller held several positions in operations management for Apollo Group. From 1983 to 1987,</w:t>
      </w:r>
    </w:p>
    <w:p>
      <w:pPr>
        <w:ind w:right="40"/>
        <w:spacing w:after="0" w:line="295" w:lineRule="auto"/>
        <w:rPr>
          <w:sz w:val="20"/>
          <w:szCs w:val="20"/>
          <w:color w:val="auto"/>
        </w:rPr>
      </w:pPr>
      <w:r>
        <w:rPr>
          <w:rFonts w:ascii="Arial" w:cs="Arial" w:eastAsia="Arial" w:hAnsi="Arial"/>
          <w:sz w:val="16"/>
          <w:szCs w:val="16"/>
          <w:color w:val="auto"/>
        </w:rPr>
        <w:t>Mr. Mueller was a professor at Concordia University. Mr. Mueller received a Bachelor of Arts degree in Education and a Master of Arts in Education degree from Concordia University. We believe that Mr. Mueller’s past experience as a senior operating executive of Apollo Group, the largest company in our industry, and one of the persons directly responsible for the development and growth of online education in the United States, as well as his day to day leadership and intimate knowledge of our business and operations, provide the Board of Directors with both industry-wide and Company-specific experience and expertise.</w:t>
      </w:r>
    </w:p>
    <w:p>
      <w:pPr>
        <w:spacing w:after="0" w:line="11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Christopher C. Richardson </w:t>
      </w:r>
      <w:r>
        <w:rPr>
          <w:rFonts w:ascii="Arial" w:cs="Arial" w:eastAsia="Arial" w:hAnsi="Arial"/>
          <w:sz w:val="16"/>
          <w:szCs w:val="16"/>
          <w:color w:val="auto"/>
        </w:rPr>
        <w:t>has been serving as our General Counsel since 2007 and as a director since 2004. From 2004 to 2007, Mr. Richardson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legal counsel in our Office of General Counsel. Prior to 2004, Mr. Richardson served as the Chief Operating Officer for Masters Online, LLC, a company that provided online educational programs and marketing services to several regionally and nationally accredited universities. Mr. Richardson received a Bachelor of Arts degree in Political Science from Brigham Young University, and a Juris Doctorate from the University of Arizona College of Law, where he graduated summa cum laude. We believe that Mr. Richardson’s legal career, which has been focused both on general corporate matters and on the extensive regulatory issues associated with operating a business in the education industry, as well as his deep knowledge of our Company, has given him the experience and knowledge to guide our Board of Directors on a variety of legal and business matters affecting the Company, including corporate governance, regulatory issues and other corporate and litigation matters.</w:t>
      </w:r>
    </w:p>
    <w:p>
      <w:pPr>
        <w:spacing w:after="0" w:line="11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i w:val="1"/>
          <w:iCs w:val="1"/>
          <w:color w:val="auto"/>
        </w:rPr>
        <w:t xml:space="preserve">Chad N. Heath </w:t>
      </w:r>
      <w:r>
        <w:rPr>
          <w:rFonts w:ascii="Arial" w:cs="Arial" w:eastAsia="Arial" w:hAnsi="Arial"/>
          <w:sz w:val="16"/>
          <w:szCs w:val="16"/>
          <w:color w:val="auto"/>
        </w:rPr>
        <w:t>has been serving as a member of our Board of Directors since 2005. Mr. Heath joined Endeavour Capital, a private equity firm based in</w:t>
      </w:r>
      <w:r>
        <w:rPr>
          <w:rFonts w:ascii="Arial" w:cs="Arial" w:eastAsia="Arial" w:hAnsi="Arial"/>
          <w:sz w:val="16"/>
          <w:szCs w:val="16"/>
          <w:i w:val="1"/>
          <w:iCs w:val="1"/>
          <w:color w:val="auto"/>
        </w:rPr>
        <w:t xml:space="preserve"> </w:t>
      </w:r>
      <w:r>
        <w:rPr>
          <w:rFonts w:ascii="Arial" w:cs="Arial" w:eastAsia="Arial" w:hAnsi="Arial"/>
          <w:sz w:val="16"/>
          <w:szCs w:val="16"/>
          <w:color w:val="auto"/>
        </w:rPr>
        <w:t>Portland, Oregon that currently manages over $1 billion in equity capital, in 2001 and has served as one of its Managing Directors since 2006. Prior to joining Endeavour Capital, Mr. Heath served as a Principal at Charterhouse Group International, a New York-based private equity firm focused on middle-market transactions. Prior to Charterhouse, Mr. Heath worked in the investment banking division of Merrill Lynch. Mr. Heath currently sits on the Boards of Directors of two privately held companies: Tall Oak Learning, LLC, and Barrett-Jackson Holdings, LLC. Mr. Heath received a Bachelor of Science in Business Administration degree, magna cum laude, from Georgetown University. We believe that Mr. Heath’s financial and investment banking background, long association with the Company, and extensive experience in investing in and serving as a director of companies in a variety of industries, brings valuable experience and insights to the Board of Directors.</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D. Mark Dorman </w:t>
      </w:r>
      <w:r>
        <w:rPr>
          <w:rFonts w:ascii="Arial" w:cs="Arial" w:eastAsia="Arial" w:hAnsi="Arial"/>
          <w:sz w:val="16"/>
          <w:szCs w:val="16"/>
          <w:color w:val="auto"/>
        </w:rPr>
        <w:t>has been serving as a member of our Board of Directors since 2005. Mr. Dorman joined Endeavour Capital in 1998 and has served as one</w:t>
      </w:r>
      <w:r>
        <w:rPr>
          <w:rFonts w:ascii="Arial" w:cs="Arial" w:eastAsia="Arial" w:hAnsi="Arial"/>
          <w:sz w:val="16"/>
          <w:szCs w:val="16"/>
          <w:i w:val="1"/>
          <w:iCs w:val="1"/>
          <w:color w:val="auto"/>
        </w:rPr>
        <w:t xml:space="preserve"> </w:t>
      </w:r>
      <w:r>
        <w:rPr>
          <w:rFonts w:ascii="Arial" w:cs="Arial" w:eastAsia="Arial" w:hAnsi="Arial"/>
          <w:sz w:val="16"/>
          <w:szCs w:val="16"/>
          <w:color w:val="auto"/>
        </w:rPr>
        <w:t>of its Managing Directors since 2006. Prior to joining Endeavour Capital, Mr. Dorman served as an investment banker at Green Manning &amp; Bunch, a Denver-based investment banking firm focused on merger and acquisition transactions and advisory work for middle-market clients across the western United States. He also served in the investment banking groups of Boettcher &amp; Company and Morgan Stanley. Mr. Dorman currently sits on the Boards of Directors of the following privately held companies: Grant Victor, LLC; Barrett-Jackson Holdings, LLC; Alpha Broadcasting, LLC; Providien, LLC and Nor-Cal Products Holdings, Inc. Mr. Dorman received a Bachelor of Science degree from Lewis &amp; Clark College and a Master of Business Administration degree from Harvard Business School. We believe that Mr. Dorman’s financial and investment banking background, long association with the Company, and extensive experience in investing in and serving as a director of companies in a variety of industries, brings valuable experience and insights to the Board of Directors.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David J. Johnson </w:t>
      </w:r>
      <w:r>
        <w:rPr>
          <w:rFonts w:ascii="Arial" w:cs="Arial" w:eastAsia="Arial" w:hAnsi="Arial"/>
          <w:sz w:val="16"/>
          <w:szCs w:val="16"/>
          <w:color w:val="auto"/>
        </w:rPr>
        <w:t>has been serving as a member of our Board of Directors since November 2008. From 1997 to 2006, Mr. Johnson served as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and Chairman of the Board of Directors of KinderCare Learning Centers, Inc., a for-profit provider of early childhood education and care services, and from 1991 to 1996, he served as President, Chief Executive Officer, and Chairman of the Board of Directors of Red Lion Hotels Corporation, a hotel company, each of which were portfolio companies of Kohlberg Kravis Roberts &amp; Co. Prior to that time, Mr. Johnson served as a general partner of Hellman &amp; Friedman, a private equity investment firm, from 1989 to 1991, as President, Chief Operating Officer and Director of Dillingham Holdings, a diversified company, from 1986 to 1988, and as President and Chief Executive Officer of Cal Gas Corporation, a principal subsidiary of Dillingham Holdings, which was also a portfolio company of Kohlberg Kravis Roberts &amp; Co., from 1984 to 1987. Mr. Johnson received a Bachelor of Arts degree from the University of Oregon and a Master of Business Administration degree from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7" w:name="page18"/>
    <w:bookmarkEnd w:id="17"/>
    <w:p>
      <w:pPr>
        <w:ind w:right="2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University of Southern California. We believe that Mr. Johnson’s extensive experience as a Chief Executive Officer of other companies provides a tremendous resource to our Board of Directors and management team, particularly in the areas of operations, finance, and corporate governance.</w:t>
      </w:r>
    </w:p>
    <w:p>
      <w:pPr>
        <w:spacing w:after="0" w:line="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Jack A. Henry </w:t>
      </w:r>
      <w:r>
        <w:rPr>
          <w:rFonts w:ascii="Arial" w:cs="Arial" w:eastAsia="Arial" w:hAnsi="Arial"/>
          <w:sz w:val="16"/>
          <w:szCs w:val="16"/>
          <w:color w:val="auto"/>
        </w:rPr>
        <w:t>has been serving as a member of our Board of Directors since November 2008. Since 2000, Mr. Henry has served as the Managing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of Sierra Blanca Ventures, LLC, a private investment and advisory firm. From 1966 to 2000, Mr. Henry worked as a certified public accountant for Arthur Andersen, a national accounting firm, retiring in 2000 as the Managing Partner of the Phoenix, Arizona office. Mr. Henry previously served on the Boards of Directors of the following public companies: Point Blank Solutions, Inc., a designer and producer of protective technologies and body armor, VistaCare, Inc., a provider of hospice care services, and White Electronic Designs Corporation, a provider of defense electronics services. He also serves on the Boards of Directors of several private companies and is President of the Arizona Chapter of the National Association of Corporate Directors. Mr. Henry received a Bachelor of Business Administration degree and a Master of Business Administration degree from the University of Michigan. We believe that Mr. Henry’s extensive experience with public and financial accounting matters for corporate organizations, as well as experience as a consultant to and director of other public companies, provide significant insight and expertise to our Board of Directors.</w:t>
      </w:r>
    </w:p>
    <w:p>
      <w:pPr>
        <w:spacing w:after="0" w:line="120"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i w:val="1"/>
          <w:iCs w:val="1"/>
          <w:color w:val="auto"/>
        </w:rPr>
        <w:t xml:space="preserve">Bradley A. Casper </w:t>
      </w:r>
      <w:r>
        <w:rPr>
          <w:rFonts w:ascii="Arial" w:cs="Arial" w:eastAsia="Arial" w:hAnsi="Arial"/>
          <w:sz w:val="16"/>
          <w:szCs w:val="16"/>
          <w:color w:val="auto"/>
        </w:rPr>
        <w:t>has been serving as a member of our Board of Directors since August 2011. Mr. Casper has served since October 2011 as the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of Business Operations for the Phoenix Suns, a National Basketball Association franchise. Mr. Casper has served since March 2011 as the Executive Chairman of Dymatize Nutrition, Inc., a private-equity backed sports Nutrition Company based in Dallas, Texas. From 2005 to 2010, Mr. Casper served as the President and Chief Executive Officer of The Dial Corporation, a consumer product manufacturing company based in Scottsdale, Arizona. From 2002 to 2005, Mr. Casper served as the President of the Personal Care division of Church &amp; Dwight Co., Inc., a manufacturer and distributor of consumer goods company based in Princeton, New Jersey. Prior to that time, he served in various positions over 16 years at Procter &amp; Gamble Co. Mr. Casper received his Bachelor of Science degree in Finance from Virginia Tech University and is a graduate of the Financial Management Program at General Electric Company. We believe that</w:t>
      </w:r>
    </w:p>
    <w:p>
      <w:pPr>
        <w:ind w:right="140"/>
        <w:spacing w:after="0" w:line="261" w:lineRule="auto"/>
        <w:rPr>
          <w:sz w:val="20"/>
          <w:szCs w:val="20"/>
          <w:color w:val="auto"/>
        </w:rPr>
      </w:pPr>
      <w:r>
        <w:rPr>
          <w:rFonts w:ascii="Arial" w:cs="Arial" w:eastAsia="Arial" w:hAnsi="Arial"/>
          <w:sz w:val="18"/>
          <w:szCs w:val="18"/>
          <w:color w:val="auto"/>
        </w:rPr>
        <w:t>Mr. Casper’s marketing expertise, and his extensive experience as a Chief Executive Officer of other companies provides a tremendous resource to our Board of Directors and management team, particularly in the areas of operations, finance and corporate governance.</w:t>
      </w:r>
    </w:p>
    <w:p>
      <w:pPr>
        <w:spacing w:after="0" w:line="13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Other than Brent D. Richardson and Christopher C. Richardson, who are brothers, there are no family relationships among any of our directors or executive officers.</w:t>
      </w:r>
    </w:p>
    <w:p>
      <w:pPr>
        <w:spacing w:after="0" w:line="126" w:lineRule="exact"/>
        <w:rPr>
          <w:sz w:val="20"/>
          <w:szCs w:val="20"/>
          <w:color w:val="auto"/>
        </w:rPr>
      </w:pPr>
    </w:p>
    <w:p>
      <w:pPr>
        <w:ind w:right="540" w:firstLine="456"/>
        <w:spacing w:after="0" w:line="275" w:lineRule="auto"/>
        <w:rPr>
          <w:sz w:val="20"/>
          <w:szCs w:val="20"/>
          <w:color w:val="auto"/>
        </w:rPr>
      </w:pPr>
      <w:r>
        <w:rPr>
          <w:rFonts w:ascii="Arial" w:cs="Arial" w:eastAsia="Arial" w:hAnsi="Arial"/>
          <w:sz w:val="18"/>
          <w:szCs w:val="18"/>
          <w:b w:val="1"/>
          <w:bCs w:val="1"/>
          <w:color w:val="auto"/>
        </w:rPr>
        <w:t xml:space="preserve">Our Board of Directors unanimously recommends that the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election of each of the seven nominees listed above to constitute our Board of Directors.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2</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ADVISORY VOTE TO APPROVE NAMED EXECUTIVE OFFICER COMPENSATION</w:t>
      </w:r>
    </w:p>
    <w:p>
      <w:pPr>
        <w:spacing w:after="0" w:line="165"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Dodd-Frank Wall Street Reform and Consumer Protection Act, or the Dodd-Frank Act, enacted in 2010, requires that companies provide their stockholders with the opportunity to cast an advisory vote to approve named executive officer compensation, commonly referred to as a “Say-on-Pay” vote, at least once every three years. In a vote held at the 2011 Annual meeting, our stockholders voted in favor of holding Say-On-Pay Votes annually. In light of this result and other factors considered by the Board, the Board has determined that the Company will hold Say-On-Pay Votes on an annual basis until the next required vote on the frequency of such Say-On-Pay Votes.</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advisory vote to approve named executive officer compensation is a non-binding vote on the compensation of our named executive officers as described in the Compensation Discussion and Analysis section, including the tabular disclosure and accompanying narrative disclosure, regarding such compensation, set forth in this proxy statement. Please read the Compensation Discussion and Analysis section starting on page 18 of this proxy statement for a detailed discussion about our executive compensation programs, including information about the fiscal 2011 compensation of our named executive officers.</w:t>
      </w:r>
    </w:p>
    <w:p>
      <w:pPr>
        <w:spacing w:after="0" w:line="11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advisory vote to approve executive compensation is not a vote to approve our general compensation policies, the compensation of our Board of Directors, or our compensation policies as they relate to risk management.</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pay our executive officers based on business performance and individual performance, and, in setting compensation levels, we take into consideration our past practices, our current and anticipated future needs, and the relative skills and experience of each individual executive officer. Under our compensation philosophy, which we discuss in the Compensation Discussion and Analysis, a named executive officer’s total compensation will vary based on our overall performance and the particular named executive officer’s personal performance and contribution to our overall results. We believe that the compensation program we follow helps us achieve our principal compensation objectives of relating compensation to performance and making our compensation package competitive and cost-effective.</w:t>
      </w:r>
    </w:p>
    <w:p>
      <w:pPr>
        <w:spacing w:after="0" w:line="144"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Compensation Discussion and Analysis section starting on page 18 of this proxy statement provides a more detailed discussion of our executive compensation program and compensation philosophy. We believe our policies have helped us achieve our compensation objectives of attracting, motivating, retaining, and rewarding our key officers.</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vote solicited by this Proposal No. 2 is advisory, and therefore is not binding on us, our Board of Directors or our Compensation Committee, nor will its outcome require us, our Board of Directors or our Compensation Committee to take any action. Moreover, the outcome of the vote will not be construed as overruling any decision by us or our Board of Directors.</w:t>
      </w:r>
    </w:p>
    <w:p>
      <w:pPr>
        <w:spacing w:after="0" w:line="14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Furthermore, because this non-binding, advisory vote primarily relates to the compensation of our named executive officers that we have already paid or otherwise contractually committed to, there is generally no opportunity for us to revisit these decisions. However, our Board of Directors, including our Compensation Committee, values the opinions of our stockholders and, to the extent there is any significant vote against the named executive officer compensation as disclosed in this proxy statement, we will consider our stockholders’ concerns and evaluate what actions, if any, may be appropriate for us to take in the future to address those concerns.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will be asked at the Annual Meeting to approve the following resolution pursuant to this Proposal No. 2:</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“RESOLVED, that the stockholders of Grand Canyon Education, Inc. approve, on an advisory basis, the compensation of the Company’s named executive officers, disclosed pursuant to Item 402 of Regulation S-K in the Company’s definitive proxy statement for the 2012 Annual Meeting of Stockholders.”</w:t>
      </w:r>
    </w:p>
    <w:p>
      <w:pPr>
        <w:spacing w:after="0" w:line="79"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 xml:space="preserve">Our Board of Directors unanimously recommends that you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resolution approving the compensation of our named executive officers as disclosed in this proxy statement.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PROPOSAL NO. 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16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firm of Ernst &amp; Young LLP (“Ernst &amp; Young”) has been our independent registered public accounting firm since 2008. Our Audit Committee has selected Ernst &amp; Young to serve as our independent registered public accounting firm for the fiscal year ending December 31, 2012. While it is not required to do so, our Audit Committee is submitting the selection of that firm for ratification in order to ascertain the view of our stockholders. In the event the stockholders fail to ratify the selection, the adverse vote will be considered a direction to the Audit Committee to consider other auditors for next year. However, because of the difficulty in making any substitution so long after the beginning of the current year, the appointment of Ernst &amp; Young for fiscal 2012 will stand, unless the Audit Committee finds other good reason for making a change. Even if the selection is ratified, the Audit Committee, in its discretion, may direct the appointment of different independent registered public accounting firm at any time during the year if the Audit Committee determines that such a change would be in the Company’s and its stockholders’ best interests. Proxies solicited by our Board of Directors will, unless otherwise directed, be voted to ratify the appointment of Ernst &amp; Young as our independent registered public accounting firm for the fiscal year ending December 31, 2012.</w:t>
      </w:r>
    </w:p>
    <w:p>
      <w:pPr>
        <w:spacing w:after="0" w:line="12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 representative of Ernst &amp; Young will be present at the meeting, will be afforded an opportunity to make a statement if the representative so desires, and will be available to respond to appropriate questions during the meeting.</w:t>
      </w:r>
    </w:p>
    <w:p>
      <w:pPr>
        <w:spacing w:after="0" w:line="126"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 xml:space="preserve">Our Board of Directors unanimously recommends that the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ratification of the appointment of Ernst &amp; Young LLP as our independent registered public accounting firm for the fiscal year ending December 31, 2012.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For the years ended December 31, 2011 and 2010, Ernst &amp; Young billed us the amounts set forth below for professional services rendered in connection with audit, audit-related, tax and other professional services. All of the fees for audit, audit-related, tax and other services performed by Ernst &amp; Young were pre-approved by the Audit Committee in accordance with the pre-approval policies and procedures described below.</w:t>
      </w:r>
    </w:p>
    <w:p>
      <w:pPr>
        <w:spacing w:after="0" w:line="143"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rPr>
              <w:t>Services Rendered</w:t>
            </w:r>
          </w:p>
        </w:tc>
        <w:tc>
          <w:tcPr>
            <w:tcW w:w="34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2011</w:t>
            </w:r>
          </w:p>
        </w:tc>
        <w:tc>
          <w:tcPr>
            <w:tcW w:w="11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11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Audit Fees</w:t>
            </w:r>
            <w:r>
              <w:rPr>
                <w:rFonts w:ascii="Arial" w:cs="Arial" w:eastAsia="Arial" w:hAnsi="Arial"/>
                <w:sz w:val="11"/>
                <w:szCs w:val="11"/>
                <w:color w:val="auto"/>
              </w:rPr>
              <w:t>(1)</w:t>
            </w:r>
          </w:p>
        </w:tc>
        <w:tc>
          <w:tcPr>
            <w:tcW w:w="2940" w:type="dxa"/>
            <w:vAlign w:val="bottom"/>
            <w:tcBorders>
              <w:top w:val="single" w:sz="8" w:color="CCEEFF"/>
            </w:tcBorders>
            <w:shd w:val="clear" w:color="auto" w:fill="CCEEFF"/>
          </w:tcPr>
          <w:p>
            <w:pPr>
              <w:spacing w:after="0"/>
              <w:rPr>
                <w:sz w:val="17"/>
                <w:szCs w:val="17"/>
                <w:color w:val="auto"/>
              </w:rPr>
            </w:pPr>
          </w:p>
        </w:tc>
        <w:tc>
          <w:tcPr>
            <w:tcW w:w="27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$599,151</w:t>
            </w: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$502,281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272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1"/>
                <w:szCs w:val="11"/>
                <w:color w:val="auto"/>
              </w:rPr>
              <w:t>(2)</w:t>
            </w:r>
          </w:p>
        </w:tc>
        <w:tc>
          <w:tcPr>
            <w:tcW w:w="27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31,150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27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w:t>
            </w:r>
          </w:p>
        </w:tc>
        <w:tc>
          <w:tcPr>
            <w:tcW w:w="420" w:type="dxa"/>
            <w:vAlign w:val="bottom"/>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Fees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601,146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533,431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40" w:hanging="452"/>
        <w:spacing w:after="0" w:line="252"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Audit Fees relate to services rendered for the audits of our annual financial statements, for the review of our quarterly financial statements, and for services that are normally provided by the auditor in connection with statutory and regulatory filings or engagements. In 2011, $473,525 of the Audit Fees related to audit and review services expensed in 2011, and $125,626 of the Audit Fees related to services provided in connection with our November 2011 restatement.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2010, Tax Fees consisted of $31,150 for assistance with IRS examinations.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Independent Registered Public Accounting Firm Services and Fees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Audit Committee has adopted a policy regarding pre-approval of audit and non-audit services performed by our independent registered public accounting firm. The Audit Committee is responsible for pre-approving all engagements of our independent registered public accounting firm. The policy also highlights services the Audit Committee will and will not approve for audit and non-audit services. The policy requires that written documentation be provided by the independent registered accounting firm to the Audit Committee for all tax services.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0" w:name="page21"/>
    <w:bookmarkEnd w:id="20"/>
    <w:p>
      <w:pPr>
        <w:ind w:right="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Audit Committee may, annually or from time to time, set fee levels for certain non-audit services, as defined in the policy, or for all non-audit services. Any engagements that exceed those fee levels must receive specific pre-approval from the Audit Committee. The Audit Committee may delegate to the Audit Committee chair authority to grant pre-approvals of permissible audit and non-audit services, provided that any pre-approvals by the chair must be reported to the full Audit Committee at the next scheduled meeting.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a regular basis, management provides written updates to the Audit Committee regarding the amount of audit and non-audit service fees incurred to date.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All of the services described above for fiscal years 2011 and 2010 were approved by our Audit Committee.</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Audit Committee is composed of three members, each of whom the Board has determined to be an independent director as defined by the listing standards of the Nasdaq Stock Market. The duties of the Audit Committee are summarized in this proxy statement under “Committees of Our Board of Directors” on page 6 and are more fully described in the Audit Committee charter adopted by the Board of Directors.</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One of the Audit Committees primary responsibilities is to assist the Board in overseeing the Company’s management and independent registered public accounting firm in regard to our financial reporting and internal controls over financial reporting. In performing our oversight function, we relied upon advice and information received in our discussions with management and the independent registered public accounting firm.</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 reviewed and discussed our Company’s audited financial statements for the fiscal year ended December 31, 2011, with management;</w:t>
      </w:r>
    </w:p>
    <w:p>
      <w:pPr>
        <w:spacing w:after="0" w:line="38" w:lineRule="exact"/>
        <w:rPr>
          <w:sz w:val="20"/>
          <w:szCs w:val="20"/>
          <w:color w:val="auto"/>
        </w:rPr>
      </w:pPr>
    </w:p>
    <w:p>
      <w:pPr>
        <w:ind w:right="60" w:firstLine="8"/>
        <w:spacing w:after="0" w:line="253" w:lineRule="auto"/>
        <w:tabs>
          <w:tab w:leader="none" w:pos="2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discussed with our Company’s independent registered public accounting firm the matters required to be discussed by Codification of Statements on Auditing Standards, AU § 380 regarding communication with Audit Committees; (c)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(d) discussed with the independent registered public accounting firm its independence.</w:t>
      </w:r>
    </w:p>
    <w:p>
      <w:pPr>
        <w:spacing w:after="0" w:line="14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Based on the review and discussions with management and our independent registered public accounting firm referred to above, we recommended to our Board of Directors that the audited financial statements be included in our Company’s Annual Report on Form 10-K for the fiscal year ended December 31, 2011, for filing with the Securities and Exchange Commission.</w:t>
      </w:r>
    </w:p>
    <w:p>
      <w:pPr>
        <w:spacing w:after="0" w:line="221"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Audit Committee:</w:t>
      </w:r>
    </w:p>
    <w:p>
      <w:pPr>
        <w:spacing w:after="0" w:line="171" w:lineRule="exact"/>
        <w:rPr>
          <w:sz w:val="20"/>
          <w:szCs w:val="20"/>
          <w:color w:val="auto"/>
        </w:rPr>
      </w:pPr>
    </w:p>
    <w:p>
      <w:pPr>
        <w:ind w:left="8680"/>
        <w:spacing w:after="0"/>
        <w:rPr>
          <w:sz w:val="20"/>
          <w:szCs w:val="20"/>
          <w:color w:val="auto"/>
        </w:rPr>
      </w:pPr>
      <w:r>
        <w:rPr>
          <w:rFonts w:ascii="Arial" w:cs="Arial" w:eastAsia="Arial" w:hAnsi="Arial"/>
          <w:sz w:val="18"/>
          <w:szCs w:val="18"/>
          <w:i w:val="1"/>
          <w:iCs w:val="1"/>
          <w:color w:val="auto"/>
        </w:rPr>
        <w:t>Jack A. Henry (Chair)</w:t>
      </w:r>
    </w:p>
    <w:p>
      <w:pPr>
        <w:spacing w:after="0" w:line="15" w:lineRule="exact"/>
        <w:rPr>
          <w:sz w:val="20"/>
          <w:szCs w:val="20"/>
          <w:color w:val="auto"/>
        </w:rPr>
      </w:pPr>
    </w:p>
    <w:p>
      <w:pPr>
        <w:ind w:left="8680"/>
        <w:spacing w:after="0"/>
        <w:rPr>
          <w:sz w:val="20"/>
          <w:szCs w:val="20"/>
          <w:color w:val="auto"/>
        </w:rPr>
      </w:pPr>
      <w:r>
        <w:rPr>
          <w:rFonts w:ascii="Arial" w:cs="Arial" w:eastAsia="Arial" w:hAnsi="Arial"/>
          <w:sz w:val="18"/>
          <w:szCs w:val="18"/>
          <w:i w:val="1"/>
          <w:iCs w:val="1"/>
          <w:color w:val="auto"/>
        </w:rPr>
        <w:t>David J. Johnson</w:t>
      </w:r>
    </w:p>
    <w:p>
      <w:pPr>
        <w:spacing w:after="0" w:line="9" w:lineRule="exact"/>
        <w:rPr>
          <w:sz w:val="20"/>
          <w:szCs w:val="20"/>
          <w:color w:val="auto"/>
        </w:rPr>
      </w:pPr>
    </w:p>
    <w:p>
      <w:pPr>
        <w:ind w:left="8680"/>
        <w:spacing w:after="0"/>
        <w:rPr>
          <w:sz w:val="20"/>
          <w:szCs w:val="20"/>
          <w:color w:val="auto"/>
        </w:rPr>
      </w:pPr>
      <w:r>
        <w:rPr>
          <w:rFonts w:ascii="Arial" w:cs="Arial" w:eastAsia="Arial" w:hAnsi="Arial"/>
          <w:sz w:val="18"/>
          <w:szCs w:val="18"/>
          <w:i w:val="1"/>
          <w:iCs w:val="1"/>
          <w:color w:val="auto"/>
        </w:rPr>
        <w:t>Bradley A. Casper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OFFICERS</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following sets forth information regarding our non-director executive officers as of the date of this proxy statement. For information regarding Brent D. Richardson, our Executive Chairman, Brian E. Mueller, our Chief Executive Officer and a director, and Christopher C. Richardson, our General Counsel and a director, see “Proposal No. 1 — Election of Directors — Directors and Director Nominees.”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5340" w:type="dxa"/>
            <w:vAlign w:val="bottom"/>
          </w:tcPr>
          <w:p>
            <w:pPr>
              <w:spacing w:after="0"/>
              <w:rPr>
                <w:sz w:val="15"/>
                <w:szCs w:val="15"/>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75"/>
              </w:rPr>
              <w:t>Age</w:t>
            </w:r>
          </w:p>
        </w:tc>
        <w:tc>
          <w:tcPr>
            <w:tcW w:w="51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203"/>
        </w:trPr>
        <w:tc>
          <w:tcPr>
            <w:tcW w:w="5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Dr. W. Stan Meyer</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51</w:t>
            </w:r>
          </w:p>
        </w:tc>
        <w:tc>
          <w:tcPr>
            <w:tcW w:w="300" w:type="dxa"/>
            <w:vAlign w:val="bottom"/>
            <w:tcBorders>
              <w:top w:val="single" w:sz="8" w:color="CCEEFF"/>
            </w:tcBorders>
            <w:shd w:val="clear" w:color="auto" w:fill="CCEEFF"/>
          </w:tcPr>
          <w:p>
            <w:pPr>
              <w:spacing w:after="0"/>
              <w:rPr>
                <w:sz w:val="17"/>
                <w:szCs w:val="17"/>
                <w:color w:val="auto"/>
              </w:rPr>
            </w:pPr>
          </w:p>
        </w:tc>
        <w:tc>
          <w:tcPr>
            <w:tcW w:w="5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Executive Vice President</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Daniel E. Bachus</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41</w:t>
            </w:r>
          </w:p>
        </w:tc>
        <w:tc>
          <w:tcPr>
            <w:tcW w:w="51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N. Mildenhall</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w:t>
            </w: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Chief Information Officer</w:t>
            </w:r>
          </w:p>
        </w:tc>
      </w:tr>
      <w:tr>
        <w:trPr>
          <w:trHeight w:val="222"/>
        </w:trPr>
        <w:tc>
          <w:tcPr>
            <w:tcW w:w="5720" w:type="dxa"/>
            <w:vAlign w:val="bottom"/>
            <w:gridSpan w:val="2"/>
          </w:tcPr>
          <w:p>
            <w:pPr>
              <w:spacing w:after="0"/>
              <w:rPr>
                <w:sz w:val="20"/>
                <w:szCs w:val="20"/>
                <w:color w:val="auto"/>
              </w:rPr>
            </w:pPr>
            <w:r>
              <w:rPr>
                <w:rFonts w:ascii="Arial" w:cs="Arial" w:eastAsia="Arial" w:hAnsi="Arial"/>
                <w:sz w:val="18"/>
                <w:szCs w:val="18"/>
                <w:color w:val="auto"/>
              </w:rPr>
              <w:t>Dr. Kathy Player</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49</w:t>
            </w:r>
          </w:p>
        </w:tc>
        <w:tc>
          <w:tcPr>
            <w:tcW w:w="5160" w:type="dxa"/>
            <w:vAlign w:val="bottom"/>
          </w:tcPr>
          <w:p>
            <w:pPr>
              <w:spacing w:after="0"/>
              <w:rPr>
                <w:sz w:val="20"/>
                <w:szCs w:val="20"/>
                <w:color w:val="auto"/>
              </w:rPr>
            </w:pPr>
            <w:r>
              <w:rPr>
                <w:rFonts w:ascii="Arial" w:cs="Arial" w:eastAsia="Arial" w:hAnsi="Arial"/>
                <w:sz w:val="18"/>
                <w:szCs w:val="18"/>
                <w:color w:val="auto"/>
              </w:rPr>
              <w:t>Grand Canyon University President</w:t>
            </w:r>
          </w:p>
        </w:tc>
      </w:tr>
    </w:tbl>
    <w:p>
      <w:pPr>
        <w:spacing w:after="0" w:line="14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i w:val="1"/>
          <w:iCs w:val="1"/>
          <w:color w:val="auto"/>
        </w:rPr>
        <w:t xml:space="preserve">Dr. W. Stan Meyer </w:t>
      </w:r>
      <w:r>
        <w:rPr>
          <w:rFonts w:ascii="Arial" w:cs="Arial" w:eastAsia="Arial" w:hAnsi="Arial"/>
          <w:sz w:val="16"/>
          <w:szCs w:val="16"/>
          <w:color w:val="auto"/>
        </w:rPr>
        <w:t>has been serving as our Executive Vice President since July 1, 2008. From August 2002 to June 2008, Dr. Meyer was employed by</w:t>
      </w:r>
      <w:r>
        <w:rPr>
          <w:rFonts w:ascii="Arial" w:cs="Arial" w:eastAsia="Arial" w:hAnsi="Arial"/>
          <w:sz w:val="16"/>
          <w:szCs w:val="16"/>
          <w:i w:val="1"/>
          <w:iCs w:val="1"/>
          <w:color w:val="auto"/>
        </w:rPr>
        <w:t xml:space="preserve"> </w:t>
      </w:r>
      <w:r>
        <w:rPr>
          <w:rFonts w:ascii="Arial" w:cs="Arial" w:eastAsia="Arial" w:hAnsi="Arial"/>
          <w:sz w:val="16"/>
          <w:szCs w:val="16"/>
          <w:color w:val="auto"/>
        </w:rPr>
        <w:t>Apollo Group, Inc., a for-profit, postsecondary education company and the parent company of the University of Phoenix, serving between June 2006 to June 2008 as its executive vice president of marketing and enrollment. Dr. Meyer previously served as a regional vice president of the University of Phoenix Online, a unit of the University of Phoenix, and division director of Axia College and of the School of Advanced Studies, also units of the University of Phoenix. From 1983 to 2002, Dr. Meyer held several positions with the Concordia University system, including director of operations for Concordia University’s education network.</w:t>
      </w:r>
    </w:p>
    <w:p>
      <w:pPr>
        <w:spacing w:after="0" w:line="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Dr. Meyer received a Bachelor of Arts in Communications degree from Concordia University and a Master of Business Administration degree and a Doctor of Education in Institutional Management degree from Pepperdine University.</w:t>
      </w:r>
    </w:p>
    <w:p>
      <w:pPr>
        <w:spacing w:after="0" w:line="13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Daniel E. Bachus </w:t>
      </w:r>
      <w:r>
        <w:rPr>
          <w:rFonts w:ascii="Arial" w:cs="Arial" w:eastAsia="Arial" w:hAnsi="Arial"/>
          <w:sz w:val="16"/>
          <w:szCs w:val="16"/>
          <w:color w:val="auto"/>
        </w:rPr>
        <w:t>has been serving as our Chief Financial Officer since July 1, 2008. From January 2007 until June 2008, Mr. Bachus served as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for Loreto Bay Company, a real estate developer. From 2000 to 2006, Mr. Bachus served as the chief accounting officer and controller of Apollo Group, Inc., a for-profit, postsecondary education company and the parent company of the University of Phoenix. From 1992 to 2000, Mr. Bachus was employed by Deloitte &amp; Touche LLP, most recently as an audit senior manager. Mr. Bachus received a Bachelor of Science degree in Accountancy from the University of Arizona and a Master in Business Administration degree from the University of Phoenix. Mr. Bachus is also a certified public accountant.</w:t>
      </w:r>
    </w:p>
    <w:p>
      <w:pPr>
        <w:spacing w:after="0" w:line="116" w:lineRule="exact"/>
        <w:rPr>
          <w:sz w:val="20"/>
          <w:szCs w:val="20"/>
          <w:color w:val="auto"/>
        </w:rPr>
      </w:pPr>
    </w:p>
    <w:p>
      <w:pPr>
        <w:ind w:right="380" w:firstLine="456"/>
        <w:spacing w:after="0" w:line="286" w:lineRule="auto"/>
        <w:rPr>
          <w:sz w:val="20"/>
          <w:szCs w:val="20"/>
          <w:color w:val="auto"/>
        </w:rPr>
      </w:pPr>
      <w:r>
        <w:rPr>
          <w:rFonts w:ascii="Arial" w:cs="Arial" w:eastAsia="Arial" w:hAnsi="Arial"/>
          <w:sz w:val="16"/>
          <w:szCs w:val="16"/>
          <w:i w:val="1"/>
          <w:iCs w:val="1"/>
          <w:color w:val="auto"/>
        </w:rPr>
        <w:t xml:space="preserve">Joseph N. Mildenhall </w:t>
      </w:r>
      <w:r>
        <w:rPr>
          <w:rFonts w:ascii="Arial" w:cs="Arial" w:eastAsia="Arial" w:hAnsi="Arial"/>
          <w:sz w:val="16"/>
          <w:szCs w:val="16"/>
          <w:color w:val="auto"/>
        </w:rPr>
        <w:t>has been serving as our Chief Information Officer since September 2009. From 1998 to September 2009, Mr. Mildenhall was</w:t>
      </w:r>
      <w:r>
        <w:rPr>
          <w:rFonts w:ascii="Arial" w:cs="Arial" w:eastAsia="Arial" w:hAnsi="Arial"/>
          <w:sz w:val="16"/>
          <w:szCs w:val="16"/>
          <w:i w:val="1"/>
          <w:iCs w:val="1"/>
          <w:color w:val="auto"/>
        </w:rPr>
        <w:t xml:space="preserve"> </w:t>
      </w:r>
      <w:r>
        <w:rPr>
          <w:rFonts w:ascii="Arial" w:cs="Arial" w:eastAsia="Arial" w:hAnsi="Arial"/>
          <w:sz w:val="16"/>
          <w:szCs w:val="16"/>
          <w:color w:val="auto"/>
        </w:rPr>
        <w:t>employed by Apollo Group, Inc., a for-profit, postsecondary education company and the parent company of the University of Phoenix, serving between June</w:t>
      </w:r>
    </w:p>
    <w:p>
      <w:pPr>
        <w:ind w:right="20"/>
        <w:spacing w:after="0" w:line="252" w:lineRule="auto"/>
        <w:rPr>
          <w:sz w:val="20"/>
          <w:szCs w:val="20"/>
          <w:color w:val="auto"/>
        </w:rPr>
      </w:pPr>
      <w:r>
        <w:rPr>
          <w:rFonts w:ascii="Arial" w:cs="Arial" w:eastAsia="Arial" w:hAnsi="Arial"/>
          <w:sz w:val="18"/>
          <w:szCs w:val="18"/>
          <w:color w:val="auto"/>
        </w:rPr>
        <w:t>2006 and September 2009 as its chief information officer. From 1998 to 2006, Mr. Mildenhall directed the design, development and deployment of the University of Phoenix online education environment and the student and faculty Internet portal supporting the rapid growth of the online campus beginning in 1998. From 1979 to 1988, Mr. Mildenhall held increasingly responsible roles in software development at J&amp;K Computer Systems, eventually becoming vice president and co-owner. When J&amp;K Computer Systems was acquired by National Computer Systems, Mr. Mildenhall continued in senior software development and technology leadership roles through 1998. Mr. Mildenhall holds a Bachelor of Science degree in Accounting from Brigham Young University and a Master of Business Administration from the University of Phoenix.</w:t>
      </w:r>
    </w:p>
    <w:p>
      <w:pPr>
        <w:spacing w:after="0" w:line="14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Dr. Kathy Player </w:t>
      </w:r>
      <w:r>
        <w:rPr>
          <w:rFonts w:ascii="Arial" w:cs="Arial" w:eastAsia="Arial" w:hAnsi="Arial"/>
          <w:sz w:val="16"/>
          <w:szCs w:val="16"/>
          <w:color w:val="auto"/>
        </w:rPr>
        <w:t>has been serving as Grand Canyon University President since July 31, 2008. From 2007 to July 2008, she served as our Provost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Academic Officer. From 1998 to 2007, Dr. Player served in several other leadership roles at Grand Canyon University, including most recently as Dean of the Ken Blanchard College of Business. Dr. Player received a Bachelor of Science degree in Nursing from St. Joseph’s College, a Master of Business Administration degree and a Master of Science degree in Nursing Leadership from Grand Canyon University, a Master of Science degree in Counseling from Nova Southeastern University, and a Doctorate of Education degree in Counseling Psychology from Argosy University (formally the University of Sarasota).</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The following discussion and analysis should be read in conjunction with “Compensation of Named Executive Officers” and the related tables that follow.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are a regionally accredited provider of postsecondary education services focused on offering graduate and undergraduate degree programs in our core disciplines of education, healthcare, business, and liberal arts. We offer programs online as well as ground programs at our approximately 115-acre traditional campus in Phoenix, Arizona and onsite at the facilities of employers. At December 31, 2011, we had approximately 43,900 students. At December 31, 2011, 88.6% of our students were enrolled in our online programs and, of our online and professional studies students, 42.8% were pursuing master’s or doctoral degrees. At December 31, 2011, our ground enrollment was approximately 5,000, representing an increase of 33.4% over our ground enrollment at December 31, 2010.</w:t>
      </w:r>
    </w:p>
    <w:p>
      <w:pPr>
        <w:spacing w:after="0" w:line="14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fiscal 2011, we focused on recruiting students both for our online programs and for our expanding traditional ground campus. We believe our strong campus presence in Arizona is a key branding tool that is attractive to many students. We are able to provide traditional ground students an opportunity to earn an education at a private, Christian-oriented university at rates equivalent to those of a state-funded university. We plan to increase enrollment growth for our traditional campus over the next few years, and seek to have 12,000 ground traditional students in attendance at the beginning of our 2015-2016 academic year. In 2011, management focused on the campus infrastructure with the completion of a 140,000-square foot, 5,000-seat basketball and entertainment arena; a student activity center that contains a food court, a bowling alley, and other student services; and a new dormitory, as well as campus improvements to support our growing on-campus student population. We also began construction of two new dormitories and a new Arts and Sciences classroom building. In October 2011, we commenced our roll out of a new learning management system, which is branded as a Grand Canyon University Learning system. This system is also being sold and marketed by another entity in the post-secondary and K-12 education space, which provides opportunities for exposure to teachers and potential students to the Grand Canyon University learning system brand as well as to other post-secondary institutions.</w:t>
      </w:r>
    </w:p>
    <w:p>
      <w:pPr>
        <w:spacing w:after="0" w:line="123" w:lineRule="exact"/>
        <w:rPr>
          <w:sz w:val="20"/>
          <w:szCs w:val="20"/>
          <w:color w:val="auto"/>
        </w:rPr>
      </w:pPr>
    </w:p>
    <w:p>
      <w:pPr>
        <w:jc w:val="both"/>
        <w:ind w:right="500" w:firstLine="456"/>
        <w:spacing w:after="0" w:line="256" w:lineRule="auto"/>
        <w:rPr>
          <w:sz w:val="20"/>
          <w:szCs w:val="20"/>
          <w:color w:val="auto"/>
        </w:rPr>
      </w:pPr>
      <w:r>
        <w:rPr>
          <w:rFonts w:ascii="Arial" w:cs="Arial" w:eastAsia="Arial" w:hAnsi="Arial"/>
          <w:sz w:val="18"/>
          <w:szCs w:val="18"/>
          <w:color w:val="auto"/>
        </w:rPr>
        <w:t>Since 2010 and continuing in 2011, our industry has faced a changing regulatory environment with new proposed and final rules being issued by the Department of Education and legislative hearings and initiatives in both the U.S. Senate and House of Representatives. For a complete description of these matters, please see “Business – Regulation” and “Management’s Discussion and Analysis of Financial Condition and Results of Operations” in our Annual Report on Form 10-K.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senior management guided our Company through these changes while still producing very positive financial results:</w:t>
      </w:r>
    </w:p>
    <w:p>
      <w:pPr>
        <w:spacing w:after="0" w:line="90" w:lineRule="exact"/>
        <w:rPr>
          <w:sz w:val="20"/>
          <w:szCs w:val="20"/>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revenue increased 10.7% to $426.7 million for fiscal 2011, compared to $385.6 million for fiscal 2010;</w:t>
      </w:r>
    </w:p>
    <w:p>
      <w:pPr>
        <w:spacing w:after="0" w:line="90" w:lineRule="exact"/>
        <w:rPr>
          <w:rFonts w:ascii="Arial" w:cs="Arial" w:eastAsia="Arial" w:hAnsi="Arial"/>
          <w:sz w:val="18"/>
          <w:szCs w:val="18"/>
          <w:color w:val="auto"/>
        </w:rPr>
      </w:pPr>
    </w:p>
    <w:p>
      <w:pPr>
        <w:ind w:left="1480" w:right="340" w:hanging="446"/>
        <w:spacing w:after="0" w:line="268"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income increased 41.2% to $82.2 million for fiscal 2011, compared to $58.2 million for fiscal 2010. The operating margin for fiscal 2011 was 19.3%, compared to 15.1% for fiscal 2010;</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increased 25.2% to $107.4 million for fiscal 2011, compared to $85.8 million for fiscal 2010;</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income increased 43.6% to $50.5 million for fiscal 2011, compared to $35.2 million for fiscal 2010;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Diluted net income per share was $1.12 for fiscal 2011, compared to $0.76 for fiscal 2010.</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3" w:name="page24"/>
    <w:bookmarkEnd w:id="23"/>
    <w:p>
      <w:pPr>
        <w:ind w:right="1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 a discussion of the manner in which we compute our Adjusted EBITDA and to view a table setting forth a reconciliation of our Adjusted EBITDA to our net income (as determined in accordance with U.S. generally accepted accounting principles), please see Item 6, </w:t>
      </w:r>
      <w:r>
        <w:rPr>
          <w:rFonts w:ascii="Arial" w:cs="Arial" w:eastAsia="Arial" w:hAnsi="Arial"/>
          <w:sz w:val="18"/>
          <w:szCs w:val="18"/>
          <w:i w:val="1"/>
          <w:iCs w:val="1"/>
          <w:color w:val="auto"/>
        </w:rPr>
        <w:t>Selected Consolidated Financial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Data, </w:t>
      </w:r>
      <w:r>
        <w:rPr>
          <w:rFonts w:ascii="Arial" w:cs="Arial" w:eastAsia="Arial" w:hAnsi="Arial"/>
          <w:sz w:val="18"/>
          <w:szCs w:val="18"/>
          <w:color w:val="auto"/>
        </w:rPr>
        <w:t>beginning on page 69 of our Annual Report on Form 10-K for the fiscal year ended December 31, 2011, filed with the Securities and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on February 21, 2012.</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had positive non-financial developments in 2011, including:</w:t>
      </w:r>
    </w:p>
    <w:p>
      <w:pPr>
        <w:spacing w:after="0" w:line="90" w:lineRule="exact"/>
        <w:rPr>
          <w:sz w:val="20"/>
          <w:szCs w:val="20"/>
          <w:color w:val="auto"/>
        </w:rPr>
      </w:pPr>
    </w:p>
    <w:p>
      <w:pPr>
        <w:ind w:left="1480" w:right="80" w:hanging="446"/>
        <w:spacing w:after="0" w:line="256" w:lineRule="auto"/>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focus on the quality of our campus-based students and infrastructure on our ground campus resulted in an increase in the number of campus-based students from 3,748 in 2010 to 4,999 in 2011 and an increase in the average incoming G.P.A. of these students. While we currently expect to have between 6,500 and 7,000 campus-based students in fall 2012, we expect the quality of these students to continue to improve; and</w:t>
      </w:r>
    </w:p>
    <w:p>
      <w:pPr>
        <w:spacing w:after="0" w:line="62" w:lineRule="exact"/>
        <w:rPr>
          <w:rFonts w:ascii="Arial" w:cs="Arial" w:eastAsia="Arial" w:hAnsi="Arial"/>
          <w:sz w:val="18"/>
          <w:szCs w:val="18"/>
          <w:color w:val="auto"/>
        </w:rPr>
      </w:pPr>
    </w:p>
    <w:p>
      <w:pPr>
        <w:ind w:left="1480" w:right="100" w:hanging="446"/>
        <w:spacing w:after="0" w:line="306" w:lineRule="auto"/>
        <w:tabs>
          <w:tab w:leader="none" w:pos="1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continued to focus on academic excellence initiatives, including implementing a new learning system beginning in October 2011 which we expect will increase student learning and faculty effectiveness and result in higher retention rates, as well as the build out of our instructional design team, who work to improve the curriculum, instruction and course sequencing in many of our programs.</w:t>
      </w:r>
    </w:p>
    <w:p>
      <w:pPr>
        <w:spacing w:after="0" w:line="10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May 2011, we held a stockholder advisory vote on the compensation of our named executive officers, commonly referred to as a say-on-pay vote. Our stockholders overwhelmingly approved the compensation of our named executive officers, with over 99% of stockholder votes cast in favor of our 2011 say-on-pay resolution. As we evaluated our compensation practices for 2011 in light of such vote, we gave great consideration to the strong support our stockholders expressed for our current compensation philosophy and practices. As a result, our Compensation Committee decided to retain our general approach to executive compensation in 2011, which rewards our named executive officers based on both overall company performance and the particular named executive officer’s personal performance and contribution to our overall results In addition, when determining how often to hold a stockholder advisory vote on executive compensation, the Board of Directors took into account the preference for an annual vote expressed by our stockholders at our 2011 Annual Meeting. Accordingly, our Board of Directors determined that we will hold an annual advisory “say on pay” stockholder vote on the compensation of our named executive officers until the next say-on-pay frequency vote.</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believe our executive pay is reasonable and provides appropriate incentives to our executives to achieve our financial and strategic goals without encouraging them to take excessive risks in their business decisions. We regularly evaluate the major risks to our business, including how risks taken by management could impact the value of executive compensation. To this end, we continued practices that are considered standard for good corporate governance and executive compensation, including:</w:t>
      </w:r>
    </w:p>
    <w:p>
      <w:pPr>
        <w:spacing w:after="0" w:line="62" w:lineRule="exact"/>
        <w:rPr>
          <w:sz w:val="20"/>
          <w:szCs w:val="20"/>
          <w:color w:val="auto"/>
        </w:rPr>
      </w:pPr>
    </w:p>
    <w:p>
      <w:pPr>
        <w:ind w:left="1480" w:right="500" w:hanging="446"/>
        <w:spacing w:after="0" w:line="268" w:lineRule="auto"/>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Strong alignment between company-wide and personal performance and payouts under our annual cash incentive plan (“Annual Cash Incentive Plan”);</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absence of any multi-year guaranteed bonuses;</w:t>
      </w:r>
    </w:p>
    <w:p>
      <w:pPr>
        <w:spacing w:after="0" w:line="90" w:lineRule="exact"/>
        <w:rPr>
          <w:rFonts w:ascii="Arial" w:cs="Arial" w:eastAsia="Arial" w:hAnsi="Arial"/>
          <w:sz w:val="18"/>
          <w:szCs w:val="18"/>
          <w:color w:val="auto"/>
        </w:rPr>
      </w:pPr>
    </w:p>
    <w:p>
      <w:pPr>
        <w:ind w:left="1480" w:hanging="446"/>
        <w:spacing w:after="0" w:line="268" w:lineRule="auto"/>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Severance arrangements with our named executive officers that are limited to one year of base salary and benefits and limited acceleration of vesting;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Double-trigger change-in-control arrangements with our named executive officers.</w:t>
      </w:r>
    </w:p>
    <w:p>
      <w:pPr>
        <w:spacing w:after="0" w:line="171" w:lineRule="exact"/>
        <w:rPr>
          <w:sz w:val="20"/>
          <w:szCs w:val="20"/>
          <w:color w:val="auto"/>
        </w:rPr>
      </w:pPr>
    </w:p>
    <w:p>
      <w:pPr>
        <w:ind w:right="720" w:firstLine="456"/>
        <w:spacing w:after="0" w:line="370" w:lineRule="auto"/>
        <w:rPr>
          <w:sz w:val="20"/>
          <w:szCs w:val="20"/>
          <w:color w:val="auto"/>
        </w:rPr>
      </w:pPr>
      <w:r>
        <w:rPr>
          <w:rFonts w:ascii="Arial" w:cs="Arial" w:eastAsia="Arial" w:hAnsi="Arial"/>
          <w:sz w:val="15"/>
          <w:szCs w:val="15"/>
          <w:color w:val="auto"/>
        </w:rPr>
        <w:t>Given these factors and practices, we believe our executive compensation in fiscal year 2011 appropriately reflected the economic and regulatory environments, the performance of the Company and the relationship with market compensation necessary to retain and motivate our executives.</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80" w:right="279" w:bottom="1440" w:gutter="0" w:footer="0" w:header="0"/>
        </w:sectPr>
      </w:pPr>
    </w:p>
    <w:bookmarkStart w:id="24" w:name="page25"/>
    <w:bookmarkEnd w:id="24"/>
    <w:p>
      <w:pPr>
        <w:ind w:right="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anticipate 2012 may be equally as challenging, as our industry continues to face both an increased amount of competition for working adult students from traditional universities that are now offering working adults options to return to school, and an easing of the economic downturn of the last four years, which had created a favorable counter-cyclical environment. The legislative hearings and initiatives in the U.S. Senate, House of Representatives and at the Department of Education appear as if they will also continue.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2011 Executive Compensation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purpose of this Compensation Discussion and Analysis is to provide information about each material element of compensation that we pay or award to, or that is earned by, our named executive officers, who consist of our principal executive officer, our principal financial officer, and our five other most highly compensated executive officers whose total compensation for the fiscal year ended December 31, 2011, was in excess of $100,000 and who were serving as executive officers at the end of that fiscal year, all as set forth in the Summary Compensation Table set forth below.</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Compensation Discussion and Analysis addresses and explains the compensation practices we followed in 2011, the numerical and related information contained in the summary compensation and related tables presented below, and actions we have taken regarding executive compensation since the end of our 2011 fiscal year. Specifically, this Compensation Discussion and Analysis addresses:</w:t>
      </w:r>
    </w:p>
    <w:p>
      <w:pPr>
        <w:spacing w:after="0" w:line="59"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objectives of our compensation program (found in the section entitled “Objectives of Compensation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what our compensation program is designed to reward (also described in the section entitled “Objectives of Compensation Programs”);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element of compensation (set forth in the section entitled “Compensation Programs Design and Elements of Compensation”);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why each element was chosen (described with each element of compensation, including base pay, short-term incentives and long-term incentives);</w:t>
      </w:r>
    </w:p>
    <w:p>
      <w:pPr>
        <w:spacing w:after="0" w:line="113" w:lineRule="exact"/>
        <w:rPr>
          <w:rFonts w:ascii="Arial" w:cs="Arial" w:eastAsia="Arial" w:hAnsi="Arial"/>
          <w:sz w:val="16"/>
          <w:szCs w:val="16"/>
          <w:color w:val="auto"/>
        </w:rPr>
      </w:pPr>
    </w:p>
    <w:p>
      <w:pPr>
        <w:ind w:left="900" w:right="8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how amounts and formulas for pay are determined (also described with each element of compensation, including base pay, short-term incentives and long-term incentives); and</w:t>
      </w:r>
    </w:p>
    <w:p>
      <w:pPr>
        <w:spacing w:after="0" w:line="50"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how each compensation element and our decisions regarding that element fit into the Company’s overall compensation objectives and affect decisions regarding other elements (described with each element of compensation).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Determinations</w:t>
      </w:r>
    </w:p>
    <w:p>
      <w:pPr>
        <w:spacing w:after="0" w:line="90"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All of our named executive officers who appear in the Summary Compensation Table are parties to employment agreements, and the level of base salary to be paid to those officers over the term of their respective employment agreements was determined as part of the negotiation process relating to such agreements.</w:t>
      </w:r>
    </w:p>
    <w:p>
      <w:pPr>
        <w:spacing w:after="0" w:line="6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Compensation Committee’s charter empowers it to set all compensation, including, but not limited to, salary, bonus, incentive compensation, equity awards, benefits and perquisites, for our executive officers. Our Compensation Committee makes such determinations with respect to our Chief Executive Officer and, for all other executives, makes such determinations in consultation with our Chief Executive Officer. For additional information regarding the Compensation Committee, please see “Corporate Governance and Board Matters —Committees of Our Board of Directors — Compensation Committee.”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Objectives of Compensation Programs</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pay our executive officers based on business performance and individual performance, and, in setting compensation levels, we take into consideration our past practices, our current and anticipated future needs, and the relative skills and experience of each individual executive.</w:t>
      </w:r>
    </w:p>
    <w:p>
      <w:pPr>
        <w:spacing w:after="0" w:line="85"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i w:val="1"/>
          <w:iCs w:val="1"/>
          <w:color w:val="auto"/>
        </w:rPr>
        <w:t xml:space="preserve">Compensation philosophy. </w:t>
      </w:r>
      <w:r>
        <w:rPr>
          <w:rFonts w:ascii="Arial" w:cs="Arial" w:eastAsia="Arial" w:hAnsi="Arial"/>
          <w:sz w:val="15"/>
          <w:szCs w:val="15"/>
          <w:color w:val="auto"/>
        </w:rPr>
        <w:t>Under our compensation philosophy, a named executive officer’s total compensation will vary based on our overall performance</w:t>
      </w:r>
      <w:r>
        <w:rPr>
          <w:rFonts w:ascii="Arial" w:cs="Arial" w:eastAsia="Arial" w:hAnsi="Arial"/>
          <w:sz w:val="15"/>
          <w:szCs w:val="15"/>
          <w:i w:val="1"/>
          <w:iCs w:val="1"/>
          <w:color w:val="auto"/>
        </w:rPr>
        <w:t xml:space="preserve"> </w:t>
      </w:r>
      <w:r>
        <w:rPr>
          <w:rFonts w:ascii="Arial" w:cs="Arial" w:eastAsia="Arial" w:hAnsi="Arial"/>
          <w:sz w:val="15"/>
          <w:szCs w:val="15"/>
          <w:color w:val="auto"/>
        </w:rPr>
        <w:t>and the particular named executive officer’s personal performance and contribution to our overall results. This philosophy generally applies to all of our employees, although the degree of variability and compensation at risk increases as an employee’s function and level of responsibility increases. Our overall goals in implementing this philosophy are to attract, motivate, and retain highly qualified individuals responsible for guiding us and creating value for our investors.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Compensation objectives. </w:t>
      </w:r>
      <w:r>
        <w:rPr>
          <w:rFonts w:ascii="Arial" w:cs="Arial" w:eastAsia="Arial" w:hAnsi="Arial"/>
          <w:sz w:val="18"/>
          <w:szCs w:val="18"/>
          <w:color w:val="auto"/>
        </w:rPr>
        <w:t>We believe that the compensation program we follow helps us achieve the following objectives:</w:t>
      </w:r>
    </w:p>
    <w:p>
      <w:pPr>
        <w:spacing w:after="0" w:line="90" w:lineRule="exact"/>
        <w:rPr>
          <w:sz w:val="20"/>
          <w:szCs w:val="20"/>
          <w:color w:val="auto"/>
        </w:rPr>
      </w:pPr>
    </w:p>
    <w:p>
      <w:pPr>
        <w:ind w:left="900" w:hanging="446"/>
        <w:spacing w:after="0" w:line="306"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Compensation should be related to performance. </w:t>
      </w:r>
      <w:r>
        <w:rPr>
          <w:rFonts w:ascii="Arial" w:cs="Arial" w:eastAsia="Arial" w:hAnsi="Arial"/>
          <w:sz w:val="16"/>
          <w:szCs w:val="16"/>
          <w:color w:val="auto"/>
        </w:rPr>
        <w:t>We believe that the performance-based portion of an individual’s total compensation should</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as the individual’s business responsibilities increase. Thus, a material portion of executive compensation is linked to our and the individual’s performance, which also serves to align the named executive officers’ interests with those of our investors.</w:t>
      </w:r>
    </w:p>
    <w:p>
      <w:pPr>
        <w:spacing w:after="0" w:line="25" w:lineRule="exact"/>
        <w:rPr>
          <w:rFonts w:ascii="Arial" w:cs="Arial" w:eastAsia="Arial" w:hAnsi="Arial"/>
          <w:sz w:val="16"/>
          <w:szCs w:val="16"/>
          <w:color w:val="auto"/>
        </w:rPr>
      </w:pPr>
    </w:p>
    <w:p>
      <w:pPr>
        <w:ind w:left="900" w:right="100" w:hanging="446"/>
        <w:spacing w:after="0" w:line="323" w:lineRule="auto"/>
        <w:tabs>
          <w:tab w:leader="none" w:pos="900" w:val="left"/>
        </w:tabs>
        <w:numPr>
          <w:ilvl w:val="0"/>
          <w:numId w:val="23"/>
        </w:numPr>
        <w:rPr>
          <w:rFonts w:ascii="Arial" w:cs="Arial" w:eastAsia="Arial" w:hAnsi="Arial"/>
          <w:sz w:val="15"/>
          <w:szCs w:val="15"/>
          <w:color w:val="auto"/>
        </w:rPr>
      </w:pPr>
      <w:r>
        <w:rPr>
          <w:rFonts w:ascii="Arial" w:cs="Arial" w:eastAsia="Arial" w:hAnsi="Arial"/>
          <w:sz w:val="15"/>
          <w:szCs w:val="15"/>
          <w:i w:val="1"/>
          <w:iCs w:val="1"/>
          <w:color w:val="auto"/>
        </w:rPr>
        <w:t xml:space="preserve">Compensation should be competitive and cost effective. </w:t>
      </w:r>
      <w:r>
        <w:rPr>
          <w:rFonts w:ascii="Arial" w:cs="Arial" w:eastAsia="Arial" w:hAnsi="Arial"/>
          <w:sz w:val="15"/>
          <w:szCs w:val="15"/>
          <w:color w:val="auto"/>
        </w:rPr>
        <w:t>We believe that our compensation programs should foster an innovative, high integrity, and</w:t>
      </w:r>
      <w:r>
        <w:rPr>
          <w:rFonts w:ascii="Arial" w:cs="Arial" w:eastAsia="Arial" w:hAnsi="Arial"/>
          <w:sz w:val="15"/>
          <w:szCs w:val="15"/>
          <w:i w:val="1"/>
          <w:iCs w:val="1"/>
          <w:color w:val="auto"/>
        </w:rPr>
        <w:t xml:space="preserve"> </w:t>
      </w:r>
      <w:r>
        <w:rPr>
          <w:rFonts w:ascii="Arial" w:cs="Arial" w:eastAsia="Arial" w:hAnsi="Arial"/>
          <w:sz w:val="15"/>
          <w:szCs w:val="15"/>
          <w:color w:val="auto"/>
        </w:rPr>
        <w:t>performance-oriented culture that serves to attract, motivate, and retain executives and other key employees with the appropriate skill sets to lead us through expected future growth in a dynamic, competitive, and highly regulated environment. Accordingly, we seek to provide compensation, in amounts and based on performance targets, necessary to achieve these goals and which is of fair value relative to other positions at the Company.</w:t>
      </w:r>
    </w:p>
    <w:p>
      <w:pPr>
        <w:spacing w:after="0" w:line="98" w:lineRule="exact"/>
        <w:rPr>
          <w:sz w:val="20"/>
          <w:szCs w:val="20"/>
          <w:color w:val="auto"/>
        </w:rPr>
      </w:pPr>
    </w:p>
    <w:p>
      <w:pPr>
        <w:ind w:right="140" w:firstLine="456"/>
        <w:spacing w:after="0" w:line="357" w:lineRule="auto"/>
        <w:rPr>
          <w:sz w:val="20"/>
          <w:szCs w:val="20"/>
          <w:color w:val="auto"/>
        </w:rPr>
      </w:pPr>
      <w:r>
        <w:rPr>
          <w:rFonts w:ascii="Arial" w:cs="Arial" w:eastAsia="Arial" w:hAnsi="Arial"/>
          <w:sz w:val="15"/>
          <w:szCs w:val="15"/>
          <w:i w:val="1"/>
          <w:iCs w:val="1"/>
          <w:color w:val="auto"/>
        </w:rPr>
        <w:t xml:space="preserve">Company compensation policies. </w:t>
      </w:r>
      <w:r>
        <w:rPr>
          <w:rFonts w:ascii="Arial" w:cs="Arial" w:eastAsia="Arial" w:hAnsi="Arial"/>
          <w:sz w:val="15"/>
          <w:szCs w:val="15"/>
          <w:color w:val="auto"/>
        </w:rPr>
        <w:t>During 2011, our named executive officers’ total in-service compensation consisted of base salaries, cash bonuses,</w:t>
      </w:r>
      <w:r>
        <w:rPr>
          <w:rFonts w:ascii="Arial" w:cs="Arial" w:eastAsia="Arial" w:hAnsi="Arial"/>
          <w:sz w:val="15"/>
          <w:szCs w:val="15"/>
          <w:i w:val="1"/>
          <w:iCs w:val="1"/>
          <w:color w:val="auto"/>
        </w:rPr>
        <w:t xml:space="preserve"> </w:t>
      </w:r>
      <w:r>
        <w:rPr>
          <w:rFonts w:ascii="Arial" w:cs="Arial" w:eastAsia="Arial" w:hAnsi="Arial"/>
          <w:sz w:val="15"/>
          <w:szCs w:val="15"/>
          <w:color w:val="auto"/>
        </w:rPr>
        <w:t>limited perquisites, and other benefits generally available to all employees. With regard to these components, we adhere to the following compensation policies:</w:t>
      </w:r>
    </w:p>
    <w:p>
      <w:pPr>
        <w:ind w:left="900" w:right="60" w:hanging="446"/>
        <w:spacing w:after="0" w:line="298"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Founders with significant equity stakes require limited cash or equity incentives. </w:t>
      </w:r>
      <w:r>
        <w:rPr>
          <w:rFonts w:ascii="Arial" w:cs="Arial" w:eastAsia="Arial" w:hAnsi="Arial"/>
          <w:sz w:val="16"/>
          <w:szCs w:val="16"/>
          <w:color w:val="auto"/>
        </w:rPr>
        <w:t>As founders of our Company, Brent D. Richardson and Christopher</w:t>
      </w:r>
      <w:r>
        <w:rPr>
          <w:rFonts w:ascii="Arial" w:cs="Arial" w:eastAsia="Arial" w:hAnsi="Arial"/>
          <w:sz w:val="16"/>
          <w:szCs w:val="16"/>
          <w:i w:val="1"/>
          <w:iCs w:val="1"/>
          <w:color w:val="auto"/>
        </w:rPr>
        <w:t xml:space="preserve"> </w:t>
      </w:r>
      <w:r>
        <w:rPr>
          <w:rFonts w:ascii="Arial" w:cs="Arial" w:eastAsia="Arial" w:hAnsi="Arial"/>
          <w:sz w:val="16"/>
          <w:szCs w:val="16"/>
          <w:color w:val="auto"/>
        </w:rPr>
        <w:t>C. Richardson have significant equity ownership in the Company. We believe that the Richardsons’ ownership stake provides a level of motivation that would not be appreciably enhanced through the grant of further equity incentives. Accordingly, in 2011, as in past years, the Richardsons were compensated solely through base salary, a bonus and limited perquisites.</w:t>
      </w:r>
    </w:p>
    <w:p>
      <w:pPr>
        <w:spacing w:after="0" w:line="31" w:lineRule="exact"/>
        <w:rPr>
          <w:rFonts w:ascii="Arial" w:cs="Arial" w:eastAsia="Arial" w:hAnsi="Arial"/>
          <w:sz w:val="16"/>
          <w:szCs w:val="16"/>
          <w:color w:val="auto"/>
        </w:rPr>
      </w:pPr>
    </w:p>
    <w:p>
      <w:pPr>
        <w:jc w:val="both"/>
        <w:ind w:left="900" w:right="140" w:hanging="446"/>
        <w:spacing w:after="0" w:line="306"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Cash should be a significant component of compensation. </w:t>
      </w:r>
      <w:r>
        <w:rPr>
          <w:rFonts w:ascii="Arial" w:cs="Arial" w:eastAsia="Arial" w:hAnsi="Arial"/>
          <w:sz w:val="16"/>
          <w:szCs w:val="16"/>
          <w:color w:val="auto"/>
        </w:rPr>
        <w:t>The Company’s compensation policy focuses on providing the opportunity for its named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to earn total cash compensation at levels that enable the Company to achieve the motivation and retention goals described above, and to provide equity incentives as a reward for superior performance rather than as a substitute for cash compensation.</w:t>
      </w:r>
    </w:p>
    <w:p>
      <w:pPr>
        <w:spacing w:after="0" w:line="25" w:lineRule="exact"/>
        <w:rPr>
          <w:rFonts w:ascii="Arial" w:cs="Arial" w:eastAsia="Arial" w:hAnsi="Arial"/>
          <w:sz w:val="16"/>
          <w:szCs w:val="16"/>
          <w:color w:val="auto"/>
        </w:rPr>
      </w:pPr>
    </w:p>
    <w:p>
      <w:pPr>
        <w:ind w:left="900" w:right="140" w:hanging="446"/>
        <w:spacing w:after="0" w:line="25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Base salaries should generally be the largest component of cash compensation</w:t>
      </w:r>
      <w:r>
        <w:rPr>
          <w:rFonts w:ascii="Arial" w:cs="Arial" w:eastAsia="Arial" w:hAnsi="Arial"/>
          <w:sz w:val="18"/>
          <w:szCs w:val="18"/>
          <w:color w:val="auto"/>
        </w:rPr>
        <w:t>. Our compensation programs generally reflect our view that base</w:t>
      </w:r>
      <w:r>
        <w:rPr>
          <w:rFonts w:ascii="Arial" w:cs="Arial" w:eastAsia="Arial" w:hAnsi="Arial"/>
          <w:sz w:val="18"/>
          <w:szCs w:val="18"/>
          <w:i w:val="1"/>
          <w:iCs w:val="1"/>
          <w:color w:val="auto"/>
        </w:rPr>
        <w:t xml:space="preserve"> </w:t>
      </w:r>
      <w:r>
        <w:rPr>
          <w:rFonts w:ascii="Arial" w:cs="Arial" w:eastAsia="Arial" w:hAnsi="Arial"/>
          <w:sz w:val="18"/>
          <w:szCs w:val="18"/>
          <w:color w:val="auto"/>
        </w:rPr>
        <w:t>salaries reflect compensation for the named executive officers to perform the essential elements of their respective jobs, and that cash bonuses are a reward for superior company and individual performance. In this regard, base salary should generally be the largest component of cash compensation.</w:t>
      </w:r>
    </w:p>
    <w:p>
      <w:pPr>
        <w:spacing w:after="0" w:line="62"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Cash incentives should be linked to performance. </w:t>
      </w:r>
      <w:r>
        <w:rPr>
          <w:rFonts w:ascii="Arial" w:cs="Arial" w:eastAsia="Arial" w:hAnsi="Arial"/>
          <w:sz w:val="18"/>
          <w:szCs w:val="18"/>
          <w:color w:val="auto"/>
        </w:rPr>
        <w:t>Under our Annual Cash Incentive Plan, bonuses paid to our named executive officers are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overall company and individual performance.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policies have helped us achieve our compensation objectives of attracting, motivating, retaining, and rewarding our key officers.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Programs Design and Elements of Compensation</w:t>
      </w:r>
    </w:p>
    <w:p>
      <w:pPr>
        <w:spacing w:after="0" w:line="9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choose to pay each element of compensation to further the objectives of our compensation program, which, as noted, include the need to attract, motivate, retain, and reward key leaders critical to our success by providing competitive total compensation.</w:t>
      </w:r>
    </w:p>
    <w:p>
      <w:pPr>
        <w:spacing w:after="0" w:line="132"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i w:val="1"/>
          <w:iCs w:val="1"/>
          <w:color w:val="auto"/>
        </w:rPr>
        <w:t xml:space="preserve">Elements of In-Service Compensation. </w:t>
      </w:r>
      <w:r>
        <w:rPr>
          <w:rFonts w:ascii="Arial" w:cs="Arial" w:eastAsia="Arial" w:hAnsi="Arial"/>
          <w:sz w:val="18"/>
          <w:szCs w:val="18"/>
          <w:color w:val="auto"/>
        </w:rPr>
        <w:t>For our 2011 fiscal year, our executive compensation mix included base salary, cash bonuses,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limited perquisites, and other benefits generally available to all employees. We generally determine the nature and amount of each element of compensation as follows:</w:t>
      </w:r>
    </w:p>
    <w:p>
      <w:pPr>
        <w:spacing w:after="0" w:line="59" w:lineRule="exact"/>
        <w:rPr>
          <w:sz w:val="20"/>
          <w:szCs w:val="20"/>
          <w:color w:val="auto"/>
        </w:rPr>
      </w:pPr>
    </w:p>
    <w:p>
      <w:pPr>
        <w:ind w:left="900" w:right="20" w:hanging="446"/>
        <w:spacing w:after="0" w:line="290"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We typically agree upon a base salary with a named executive officer at the time of initial employment. The amount of base salary</w:t>
      </w:r>
      <w:r>
        <w:rPr>
          <w:rFonts w:ascii="Arial" w:cs="Arial" w:eastAsia="Arial" w:hAnsi="Arial"/>
          <w:sz w:val="16"/>
          <w:szCs w:val="16"/>
          <w:i w:val="1"/>
          <w:iCs w:val="1"/>
          <w:color w:val="auto"/>
        </w:rPr>
        <w:t xml:space="preserve"> </w:t>
      </w:r>
      <w:r>
        <w:rPr>
          <w:rFonts w:ascii="Arial" w:cs="Arial" w:eastAsia="Arial" w:hAnsi="Arial"/>
          <w:sz w:val="16"/>
          <w:szCs w:val="16"/>
          <w:color w:val="auto"/>
        </w:rPr>
        <w:t>agreed upon, which is not at risk, reflects our views as to the individual executive’s past experience, future potential, knowledge, scope of anticipated responsibilities, skills, expertise, and potential to add value through performance, as well as competitive industry salary practices. Although minimum base salaries for each of our current named executive officers are set by their respective employment agreements, as described below, we review executive officer salaries annually and may increase them based on an evaluation of the Company’s performance for the year and the performance of the functional areas under an executive officer’s scope of responsibility. We also consider qualitative criteria, such as education and experience requirements, complexity, and scope or impact of the position compared to other executive positions internally.</w:t>
      </w:r>
    </w:p>
    <w:p>
      <w:pPr>
        <w:spacing w:after="0" w:line="37" w:lineRule="exact"/>
        <w:rPr>
          <w:rFonts w:ascii="Arial" w:cs="Arial" w:eastAsia="Arial" w:hAnsi="Arial"/>
          <w:sz w:val="16"/>
          <w:szCs w:val="16"/>
          <w:color w:val="auto"/>
        </w:rPr>
      </w:pPr>
    </w:p>
    <w:p>
      <w:pPr>
        <w:jc w:val="both"/>
        <w:ind w:left="900" w:right="60" w:hanging="446"/>
        <w:spacing w:after="0" w:line="306"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Bonuses. </w:t>
      </w:r>
      <w:r>
        <w:rPr>
          <w:rFonts w:ascii="Arial" w:cs="Arial" w:eastAsia="Arial" w:hAnsi="Arial"/>
          <w:sz w:val="16"/>
          <w:szCs w:val="16"/>
          <w:color w:val="auto"/>
        </w:rPr>
        <w:t>We provide cash bonuses, which typically are at-risk, to recognize and reward our named executive officers based on our success and their</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 performance in a given year. For 2011, we awarded performance-related bonuses based on the Annual Cash Incentive Plan. The operation of this plan as it relates to our named executive officers is described in more detail below.</w:t>
      </w:r>
    </w:p>
    <w:p>
      <w:pPr>
        <w:spacing w:after="0" w:line="25" w:lineRule="exact"/>
        <w:rPr>
          <w:rFonts w:ascii="Arial" w:cs="Arial" w:eastAsia="Arial" w:hAnsi="Arial"/>
          <w:sz w:val="16"/>
          <w:szCs w:val="16"/>
          <w:color w:val="auto"/>
        </w:rPr>
      </w:pPr>
    </w:p>
    <w:p>
      <w:pPr>
        <w:ind w:left="900" w:right="6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Share-based compensation</w:t>
      </w:r>
      <w:r>
        <w:rPr>
          <w:rFonts w:ascii="Arial" w:cs="Arial" w:eastAsia="Arial" w:hAnsi="Arial"/>
          <w:sz w:val="16"/>
          <w:szCs w:val="16"/>
          <w:color w:val="auto"/>
        </w:rPr>
        <w:t>. We currently have authorized a total of 8,729,478 shares of common stock for grants under our Equity Incentive Plan. In</w:t>
      </w:r>
      <w:r>
        <w:rPr>
          <w:rFonts w:ascii="Arial" w:cs="Arial" w:eastAsia="Arial" w:hAnsi="Arial"/>
          <w:sz w:val="16"/>
          <w:szCs w:val="16"/>
          <w:i w:val="1"/>
          <w:iCs w:val="1"/>
          <w:color w:val="auto"/>
        </w:rPr>
        <w:t xml:space="preserve"> </w:t>
      </w:r>
      <w:r>
        <w:rPr>
          <w:rFonts w:ascii="Arial" w:cs="Arial" w:eastAsia="Arial" w:hAnsi="Arial"/>
          <w:sz w:val="16"/>
          <w:szCs w:val="16"/>
          <w:color w:val="auto"/>
        </w:rPr>
        <w:t>2011, our named executive officers received grants under this plan as part of an overall, annual grant made to company employees.</w:t>
      </w:r>
    </w:p>
    <w:p>
      <w:pPr>
        <w:spacing w:after="0" w:line="4" w:lineRule="exact"/>
        <w:rPr>
          <w:rFonts w:ascii="Arial" w:cs="Arial" w:eastAsia="Arial" w:hAnsi="Arial"/>
          <w:sz w:val="16"/>
          <w:szCs w:val="16"/>
          <w:color w:val="auto"/>
        </w:rPr>
      </w:pPr>
    </w:p>
    <w:p>
      <w:pPr>
        <w:ind w:left="900" w:right="6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Perquisites. </w:t>
      </w:r>
      <w:r>
        <w:rPr>
          <w:rFonts w:ascii="Arial" w:cs="Arial" w:eastAsia="Arial" w:hAnsi="Arial"/>
          <w:sz w:val="18"/>
          <w:szCs w:val="18"/>
          <w:color w:val="auto"/>
        </w:rPr>
        <w:t>We seek to compensate our named executive officers at levels that eliminate the need for material perquisites and enable each individual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to provide for his or her own needs. Accordingly, in 2011, we provided limited perquisites to our named executive officers. See “Compensation of Executive Officers — Summary Compensation Table” for additional detail.</w:t>
      </w:r>
    </w:p>
    <w:p>
      <w:pPr>
        <w:spacing w:after="0" w:line="59" w:lineRule="exact"/>
        <w:rPr>
          <w:rFonts w:ascii="Arial" w:cs="Arial" w:eastAsia="Arial" w:hAnsi="Arial"/>
          <w:sz w:val="18"/>
          <w:szCs w:val="18"/>
          <w:color w:val="auto"/>
        </w:rPr>
      </w:pPr>
    </w:p>
    <w:p>
      <w:pPr>
        <w:ind w:left="900" w:right="60" w:hanging="446"/>
        <w:spacing w:after="0" w:line="290"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We offer other employee benefits to named executive officers for the purpose of meeting current and future health and security needs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executives and their families. These benefits, which we generally offer to all eligible employees, include medical, dental, and life insurance benefits; short-term disability pay; long-term disability insurance; flexible spending accounts for medical expense reimbursements; a 401(k) retirement savings plan; and free tuition for a spouse or up to two children with no more than two participants receiving the tuition benefit at any one time. The 401(k) retirement savings plan is a defined contribution plan under Section 401(a) of the Code. Employees may make pre-tax contributions into the plan, expressed as a percentage of compensation, up to prescribed IRS annual limits, with such contributions subject to a matching Company contribution up to prescribed limits.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Elements of Post-Termination Compensation and Benefits. </w:t>
      </w:r>
      <w:r>
        <w:rPr>
          <w:rFonts w:ascii="Arial" w:cs="Arial" w:eastAsia="Arial" w:hAnsi="Arial"/>
          <w:sz w:val="18"/>
          <w:szCs w:val="18"/>
          <w:color w:val="auto"/>
        </w:rPr>
        <w:t>The employment agreements of our current named executive officers provide for post-termination salary and benefit continuation in the event of a termination by us without Cause (as defined below) or by the executive for Good Reason (as defined below) or in the event of any such termination within 12 months following a Change in Control (as defined below), and for so long as the named executive officer abides by customary confidentiality, non-competition, and non-solicitation covenants and executes a full release of all claims, known or unknown, that the executive may have against the Company. We believe that the amounts of these payments and benefits and the periods of time during which they would be provided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7" w:name="page28"/>
    <w:bookmarkEnd w:id="27"/>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are fair and reasonable, and we have not historically taken into account any amounts that may be received by a named executive officer following termination when establishing current compensation levels. The elements of post-termination compensation that were in effect during 2011 pursuant to the written employment agreements consisted of the following:</w:t>
      </w:r>
    </w:p>
    <w:p>
      <w:pPr>
        <w:spacing w:after="0" w:line="59" w:lineRule="exact"/>
        <w:rPr>
          <w:sz w:val="20"/>
          <w:szCs w:val="20"/>
          <w:color w:val="auto"/>
        </w:rPr>
      </w:pPr>
    </w:p>
    <w:p>
      <w:pPr>
        <w:ind w:left="900" w:right="26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Salary continuation. </w:t>
      </w:r>
      <w:r>
        <w:rPr>
          <w:rFonts w:ascii="Arial" w:cs="Arial" w:eastAsia="Arial" w:hAnsi="Arial"/>
          <w:sz w:val="18"/>
          <w:szCs w:val="18"/>
          <w:color w:val="auto"/>
        </w:rPr>
        <w:t>Each named executive officer would continue to receive salary payments for a period of 12 months following any qualifying</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of employment.</w:t>
      </w:r>
    </w:p>
    <w:p>
      <w:pPr>
        <w:spacing w:after="0" w:line="5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Benefits continuation. </w:t>
      </w:r>
      <w:r>
        <w:rPr>
          <w:rFonts w:ascii="Arial" w:cs="Arial" w:eastAsia="Arial" w:hAnsi="Arial"/>
          <w:sz w:val="18"/>
          <w:szCs w:val="18"/>
          <w:color w:val="auto"/>
        </w:rPr>
        <w:t>Each named executive officer would continue to receive Company -paid premiums for continued group health benefits under</w:t>
      </w:r>
      <w:r>
        <w:rPr>
          <w:rFonts w:ascii="Arial" w:cs="Arial" w:eastAsia="Arial" w:hAnsi="Arial"/>
          <w:sz w:val="18"/>
          <w:szCs w:val="18"/>
          <w:i w:val="1"/>
          <w:iCs w:val="1"/>
          <w:color w:val="auto"/>
        </w:rPr>
        <w:t xml:space="preserve"> </w:t>
      </w:r>
      <w:r>
        <w:rPr>
          <w:rFonts w:ascii="Arial" w:cs="Arial" w:eastAsia="Arial" w:hAnsi="Arial"/>
          <w:sz w:val="18"/>
          <w:szCs w:val="18"/>
          <w:color w:val="auto"/>
        </w:rPr>
        <w:t>COBRA during the 12-month salary continuation period.</w:t>
      </w:r>
    </w:p>
    <w:p>
      <w:pPr>
        <w:spacing w:after="0" w:line="50" w:lineRule="exact"/>
        <w:rPr>
          <w:rFonts w:ascii="Arial" w:cs="Arial" w:eastAsia="Arial" w:hAnsi="Arial"/>
          <w:sz w:val="18"/>
          <w:szCs w:val="18"/>
          <w:color w:val="auto"/>
        </w:rPr>
      </w:pPr>
    </w:p>
    <w:p>
      <w:pPr>
        <w:ind w:left="900" w:right="30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Partially accelerated vesting of stock options</w:t>
      </w:r>
      <w:r>
        <w:rPr>
          <w:rFonts w:ascii="Arial" w:cs="Arial" w:eastAsia="Arial" w:hAnsi="Arial"/>
          <w:sz w:val="18"/>
          <w:szCs w:val="18"/>
          <w:color w:val="auto"/>
        </w:rPr>
        <w:t>. Mr. Mueller, Dr. Meyer, Mr. Bachus and Mr. Mildenhall would receive partial acceleration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of certain of their stock options to the next vesting date immediately following the date of termination, in the event of a termination by us without Cause or by the executive for Good Reason.</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Fully accelerated vesting of stock options</w:t>
      </w:r>
      <w:r>
        <w:rPr>
          <w:rFonts w:ascii="Arial" w:cs="Arial" w:eastAsia="Arial" w:hAnsi="Arial"/>
          <w:sz w:val="16"/>
          <w:szCs w:val="16"/>
          <w:color w:val="auto"/>
        </w:rPr>
        <w:t>. In the event of a termination by us without Cause or by the executive for Good Reason within 12 months</w:t>
      </w:r>
      <w:r>
        <w:rPr>
          <w:rFonts w:ascii="Arial" w:cs="Arial" w:eastAsia="Arial" w:hAnsi="Arial"/>
          <w:sz w:val="16"/>
          <w:szCs w:val="16"/>
          <w:i w:val="1"/>
          <w:iCs w:val="1"/>
          <w:color w:val="auto"/>
        </w:rPr>
        <w:t xml:space="preserve"> </w:t>
      </w:r>
      <w:r>
        <w:rPr>
          <w:rFonts w:ascii="Arial" w:cs="Arial" w:eastAsia="Arial" w:hAnsi="Arial"/>
          <w:sz w:val="16"/>
          <w:szCs w:val="16"/>
          <w:color w:val="auto"/>
        </w:rPr>
        <w:t>following a Change in Control, each named executive officer would receive full acceleration of the vesting of their stock options.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See “Potential Payments Upon Termination or Change in Control” for additional detail.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Performance on Compensation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the Annual Cash Incentive Plan, a participant’s bonus is based on the Company’s achievement of revenue and Adjusted EBITDA targets, as well as the participant’s achievement of individual performance goals. For 2011, consistent with the definition we use when reporting our financial results, we defined Adjusted EBITDA as net income plus interest expense net of interest income, plus income tax expense, and plus depreciation and amortization (EBITDA), as adjusted for (i) royalty payments incurred pursuant to an agreement with our former owner that was terminated as of April 15, 2008; (ii) contributions to Arizona school tuition organizations in lieu of state income taxes; (iii) contract termination fees; (iv) lease termination costs; (v) exit costs; (vi) share-based compensation and any other expense related to equity compensation awards for the applicable fiscal year; (vii) any extraordinary, nonrecurring items, as determined by the Compensation Committee; and (viii) all amounts (including settlement payments, legal fees, costs and other litigation and/or settlement expenses) expensed during the applicable fiscal year in connection with the settlement of litigation matters. We focus on Adjusted EBITDA in connection with our Annual Cash Incentive Plan because we believe that it provides useful information regarding our operating performance and executive performance as it does not give effect to items that management does not consider to be reflective of our core operating performance. See “Management’s Discussion and Analysis of Financial Condition and Results of Operations — Non-GAAP Discussion” in our Annual Report on Form 10-K for further information. As such, we believe it is fair and reasonable to our executives to assess their individual performance on the same basis as our performance is assessed by our Board of Directors and investors.</w:t>
      </w:r>
    </w:p>
    <w:p>
      <w:pPr>
        <w:spacing w:after="0" w:line="12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Company performance</w:t>
      </w:r>
      <w:r>
        <w:rPr>
          <w:rFonts w:ascii="Arial" w:cs="Arial" w:eastAsia="Arial" w:hAnsi="Arial"/>
          <w:sz w:val="18"/>
          <w:szCs w:val="18"/>
          <w:color w:val="auto"/>
        </w:rPr>
        <w:t>. Depending on a participant’s management level, the financial metrics account for between 60% and 80% of the target bonus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specific individual performance goals account for between 20% and 40% of the target bonus.</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Individual performance</w:t>
      </w:r>
      <w:r>
        <w:rPr>
          <w:rFonts w:ascii="Arial" w:cs="Arial" w:eastAsia="Arial" w:hAnsi="Arial"/>
          <w:sz w:val="18"/>
          <w:szCs w:val="18"/>
          <w:color w:val="auto"/>
        </w:rPr>
        <w:t>. In reviewing individual performance, we look at an executive’s achievement of non-financial objectives that, with respect to a</w:t>
      </w:r>
      <w:r>
        <w:rPr>
          <w:rFonts w:ascii="Arial" w:cs="Arial" w:eastAsia="Arial" w:hAnsi="Arial"/>
          <w:sz w:val="18"/>
          <w:szCs w:val="18"/>
          <w:i w:val="1"/>
          <w:iCs w:val="1"/>
          <w:color w:val="auto"/>
        </w:rPr>
        <w:t xml:space="preserve"> </w:t>
      </w:r>
      <w:r>
        <w:rPr>
          <w:rFonts w:ascii="Arial" w:cs="Arial" w:eastAsia="Arial" w:hAnsi="Arial"/>
          <w:sz w:val="18"/>
          <w:szCs w:val="18"/>
          <w:color w:val="auto"/>
        </w:rPr>
        <w:t>given participant, may include achieving objectives related to, among other things, program development and expansion, regulatory compliance, and enrollment growth.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8" w:name="page29"/>
    <w:bookmarkEnd w:id="28"/>
    <w:p>
      <w:pPr>
        <w:ind w:right="200" w:firstLine="456"/>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Calculation of bonuses</w:t>
      </w:r>
      <w:r>
        <w:rPr>
          <w:rFonts w:ascii="Arial" w:cs="Arial" w:eastAsia="Arial" w:hAnsi="Arial"/>
          <w:sz w:val="18"/>
          <w:szCs w:val="18"/>
          <w:color w:val="auto"/>
        </w:rPr>
        <w:t>. For each named executive officer, the Compensation Committee establishes a target bonus, which is stated as a percentage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base salary. For 2011, the target bonus percentage for the named executive officers was as follows:</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600" w:type="dxa"/>
            <w:vAlign w:val="bottom"/>
            <w:vMerge w:val="restart"/>
          </w:tcPr>
          <w:p>
            <w:pPr>
              <w:spacing w:after="0"/>
              <w:rPr>
                <w:sz w:val="14"/>
                <w:szCs w:val="14"/>
                <w:color w:val="auto"/>
              </w:rPr>
            </w:pPr>
          </w:p>
        </w:tc>
        <w:tc>
          <w:tcPr>
            <w:tcW w:w="2100" w:type="dxa"/>
            <w:vAlign w:val="bottom"/>
          </w:tcPr>
          <w:p>
            <w:pPr>
              <w:spacing w:after="0"/>
              <w:rPr>
                <w:sz w:val="14"/>
                <w:szCs w:val="14"/>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Target Bonus as a</w:t>
            </w:r>
          </w:p>
        </w:tc>
        <w:tc>
          <w:tcPr>
            <w:tcW w:w="0" w:type="dxa"/>
            <w:vAlign w:val="bottom"/>
          </w:tcPr>
          <w:p>
            <w:pPr>
              <w:spacing w:after="0"/>
              <w:rPr>
                <w:sz w:val="1"/>
                <w:szCs w:val="1"/>
                <w:color w:val="auto"/>
              </w:rPr>
            </w:pPr>
          </w:p>
        </w:tc>
      </w:tr>
      <w:tr>
        <w:trPr>
          <w:trHeight w:val="153"/>
        </w:trPr>
        <w:tc>
          <w:tcPr>
            <w:tcW w:w="360" w:type="dxa"/>
            <w:vAlign w:val="bottom"/>
            <w:tcBorders>
              <w:bottom w:val="single" w:sz="8" w:color="auto"/>
            </w:tcBorders>
            <w:vMerge w:val="continue"/>
          </w:tcPr>
          <w:p>
            <w:pPr>
              <w:spacing w:after="0"/>
              <w:rPr>
                <w:sz w:val="12"/>
                <w:szCs w:val="12"/>
                <w:color w:val="auto"/>
              </w:rPr>
            </w:pPr>
          </w:p>
        </w:tc>
        <w:tc>
          <w:tcPr>
            <w:tcW w:w="3600" w:type="dxa"/>
            <w:vAlign w:val="bottom"/>
            <w:vMerge w:val="continue"/>
          </w:tcPr>
          <w:p>
            <w:pPr>
              <w:spacing w:after="0"/>
              <w:rPr>
                <w:sz w:val="12"/>
                <w:szCs w:val="12"/>
                <w:color w:val="auto"/>
              </w:rPr>
            </w:pPr>
          </w:p>
        </w:tc>
        <w:tc>
          <w:tcPr>
            <w:tcW w:w="3800" w:type="dxa"/>
            <w:vAlign w:val="bottom"/>
            <w:gridSpan w:val="3"/>
          </w:tcPr>
          <w:p>
            <w:pPr>
              <w:jc w:val="right"/>
              <w:ind w:right="220"/>
              <w:spacing w:after="0" w:line="148" w:lineRule="exact"/>
              <w:rPr>
                <w:sz w:val="20"/>
                <w:szCs w:val="20"/>
                <w:color w:val="auto"/>
              </w:rPr>
            </w:pPr>
            <w:r>
              <w:rPr>
                <w:rFonts w:ascii="Arial" w:cs="Arial" w:eastAsia="Arial" w:hAnsi="Arial"/>
                <w:sz w:val="14"/>
                <w:szCs w:val="14"/>
                <w:b w:val="1"/>
                <w:bCs w:val="1"/>
                <w:color w:val="auto"/>
              </w:rPr>
              <w:t>Percentage of Base Salary</w:t>
            </w:r>
          </w:p>
        </w:tc>
        <w:tc>
          <w:tcPr>
            <w:tcW w:w="0" w:type="dxa"/>
            <w:vAlign w:val="bottom"/>
          </w:tcPr>
          <w:p>
            <w:pPr>
              <w:spacing w:after="0"/>
              <w:rPr>
                <w:sz w:val="1"/>
                <w:szCs w:val="1"/>
                <w:color w:val="auto"/>
              </w:rPr>
            </w:pPr>
          </w:p>
        </w:tc>
      </w:tr>
      <w:tr>
        <w:trPr>
          <w:trHeight w:val="20"/>
        </w:trPr>
        <w:tc>
          <w:tcPr>
            <w:tcW w:w="39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Brent D. Richardson</w:t>
            </w:r>
          </w:p>
        </w:tc>
        <w:tc>
          <w:tcPr>
            <w:tcW w:w="2100" w:type="dxa"/>
            <w:vAlign w:val="bottom"/>
            <w:vMerge w:val="restart"/>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gridSpan w:val="2"/>
            <w:vMerge w:val="continue"/>
            <w:shd w:val="clear" w:color="auto" w:fill="CCEEFF"/>
          </w:tcPr>
          <w:p>
            <w:pPr>
              <w:spacing w:after="0"/>
              <w:rPr>
                <w:sz w:val="17"/>
                <w:szCs w:val="17"/>
                <w:color w:val="auto"/>
              </w:rPr>
            </w:pPr>
          </w:p>
        </w:tc>
        <w:tc>
          <w:tcPr>
            <w:tcW w:w="2100" w:type="dxa"/>
            <w:vAlign w:val="bottom"/>
            <w:vMerge w:val="continue"/>
            <w:shd w:val="clear" w:color="auto" w:fill="CCEEFF"/>
          </w:tcPr>
          <w:p>
            <w:pPr>
              <w:spacing w:after="0"/>
              <w:rPr>
                <w:sz w:val="17"/>
                <w:szCs w:val="17"/>
                <w:color w:val="auto"/>
              </w:rPr>
            </w:pPr>
          </w:p>
        </w:tc>
        <w:tc>
          <w:tcPr>
            <w:tcW w:w="17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Brian E. Mueller</w:t>
            </w:r>
          </w:p>
        </w:tc>
        <w:tc>
          <w:tcPr>
            <w:tcW w:w="380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W. Stan Meyer</w:t>
            </w:r>
          </w:p>
        </w:tc>
        <w:tc>
          <w:tcPr>
            <w:tcW w:w="3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Daniel E. Bachus</w:t>
            </w:r>
          </w:p>
        </w:tc>
        <w:tc>
          <w:tcPr>
            <w:tcW w:w="3800" w:type="dxa"/>
            <w:vAlign w:val="bottom"/>
            <w:gridSpan w:val="3"/>
          </w:tcPr>
          <w:p>
            <w:pPr>
              <w:jc w:val="right"/>
              <w:ind w:right="6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N. Mildenhall</w:t>
            </w:r>
          </w:p>
        </w:tc>
        <w:tc>
          <w:tcPr>
            <w:tcW w:w="3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Christopher C. Richardson</w:t>
            </w:r>
          </w:p>
        </w:tc>
        <w:tc>
          <w:tcPr>
            <w:tcW w:w="3800" w:type="dxa"/>
            <w:vAlign w:val="bottom"/>
            <w:gridSpan w:val="3"/>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Kathy Player</w:t>
            </w:r>
          </w:p>
        </w:tc>
        <w:tc>
          <w:tcPr>
            <w:tcW w:w="3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For each named executive officer, the financial metrics account for 80% of the target bonus, with the revenue target and the Adjusted EBITDA target accounting for 50% each of such 80%, respectively, and the specific individual performance goals accounting for 20% of the target bonus. The actual percentage is determined on the basis of the Company’s achievement of the revenue and Adjusted EBITDA targets that the Compensation Committee establishes for the applicable fiscal year. With respect to these targets, the threshold goal is set using the Company’s budget for the applicable fiscal year. For participants to earn any payout under the plan, the Company must achieve at least of 95% of both budgeted revenue and Adjusted EBITDA. Assuming both of these thresholds are achieved, payouts are made based on the Company’s achievement of a minimum of 95% of budgeted revenue and Adjusted EBITDA (resulting in a bonus of 50% of the target bonus allocable to the financial metrics) and a maximum of 105% of budgeted revenue and 107% of Adjusted EBITDA (resulting in a bonus of 150% of the target bonus allocable to the financial metrics). Performance between minimum and maximum levels results in prorated payments to plan participants using straight-line interpolation.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Shown below is a summary of the matrix described above: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Goal</w:t>
            </w: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Threshold</w:t>
            </w: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Target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Maximum</w:t>
            </w:r>
          </w:p>
        </w:tc>
      </w:tr>
      <w:tr>
        <w:trPr>
          <w:trHeight w:val="201"/>
        </w:trPr>
        <w:tc>
          <w:tcPr>
            <w:tcW w:w="68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6"/>
              </w:rPr>
              <w:t>Revenue goal</w:t>
            </w:r>
          </w:p>
        </w:tc>
        <w:tc>
          <w:tcPr>
            <w:tcW w:w="4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95% of budget</w:t>
            </w:r>
          </w:p>
        </w:tc>
        <w:tc>
          <w:tcPr>
            <w:tcW w:w="4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100% of budget</w:t>
            </w:r>
          </w:p>
        </w:tc>
        <w:tc>
          <w:tcPr>
            <w:tcW w:w="4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105% of budget</w:t>
            </w:r>
          </w:p>
        </w:tc>
      </w:tr>
      <w:tr>
        <w:trPr>
          <w:trHeight w:val="238"/>
        </w:trPr>
        <w:tc>
          <w:tcPr>
            <w:tcW w:w="72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2"/>
              </w:rPr>
              <w:t>(50.0% of financial metric)</w:t>
            </w:r>
          </w:p>
        </w:tc>
        <w:tc>
          <w:tcPr>
            <w:tcW w:w="10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383"/>
        </w:trPr>
        <w:tc>
          <w:tcPr>
            <w:tcW w:w="728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Adjusted EBITDA</w:t>
            </w: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95% of budget</w:t>
            </w: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100% of budget</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107% of budget</w:t>
            </w:r>
          </w:p>
        </w:tc>
      </w:tr>
      <w:tr>
        <w:trPr>
          <w:trHeight w:val="222"/>
        </w:trPr>
        <w:tc>
          <w:tcPr>
            <w:tcW w:w="728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(50.0% of financial metric)</w:t>
            </w: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91"/>
        </w:trPr>
        <w:tc>
          <w:tcPr>
            <w:tcW w:w="6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72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8"/>
              </w:rPr>
              <w:t>Bonus payout as a % of target bonus allocable to financial metrics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150%</w:t>
            </w:r>
          </w:p>
        </w:tc>
      </w:tr>
    </w:tbl>
    <w:p>
      <w:pPr>
        <w:spacing w:after="0" w:line="15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Under the Annual Cash Incentive Plan, the actual bonus that a named executive officer could earn for a given fiscal year ranges from 0% to a maximum of 140% of his or her annual target bonus (with such maximum achieved by obtaining the maximum payout for achieving the financial metrics (80% * 150%, or 120%) and achieving the individual goals (an additional 20%). To illustrate how the plan functions, assume that a participant’s base salary for 2010 is $300,000 and that the target bonus is 50% of base salary. Of this target bonus of $150,000, $60,000 (or 50% of the 80% subject to achievement of the financial metrics) would be based upon the Company’s achievement of the revenue target, $60,000 (or 50% of the 80% subject to the achievement of the financial metrics) would be based on the Company’s achievement of the Adjusted EBITDA target, and $30,000 (20%) would be based on the participant’s achievement of his or her individual performance goals. If the revenue target is achieved at the threshold level (so only 50% of the revenue component is payable at that level), the Adjusted EBITDA target is achieved at the target level (so that 100% of the Adjusted EBITDA component is payable at that level), and the specific individual performance goals are met, the participant would be entitled to a potential bonus of $120,000 (calculated as $30,000 plus $60,000 plus $30,000).</w:t>
      </w:r>
    </w:p>
    <w:p>
      <w:pPr>
        <w:spacing w:after="0" w:line="120" w:lineRule="exact"/>
        <w:rPr>
          <w:sz w:val="20"/>
          <w:szCs w:val="20"/>
          <w:color w:val="auto"/>
        </w:rPr>
      </w:pPr>
    </w:p>
    <w:p>
      <w:pPr>
        <w:ind w:right="320" w:firstLine="456"/>
        <w:spacing w:after="0" w:line="335" w:lineRule="auto"/>
        <w:rPr>
          <w:sz w:val="20"/>
          <w:szCs w:val="20"/>
          <w:color w:val="auto"/>
        </w:rPr>
      </w:pPr>
      <w:r>
        <w:rPr>
          <w:rFonts w:ascii="Arial" w:cs="Arial" w:eastAsia="Arial" w:hAnsi="Arial"/>
          <w:sz w:val="15"/>
          <w:szCs w:val="15"/>
          <w:color w:val="auto"/>
        </w:rPr>
        <w:t>The plan for eligible senior management other than the named executive officers is similar to the above, except that, for participants below the named executive officer level, the bonus is calculated based on two six-month cycles, such that the determination of the bonus payable for each half of the applicable year is determined on the basis of the achievement of the revenue, Adjusted EBITDA and individual performance targets established for each such period.</w:t>
      </w:r>
    </w:p>
    <w:p>
      <w:pPr>
        <w:spacing w:after="0" w:line="88"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i w:val="1"/>
          <w:iCs w:val="1"/>
          <w:color w:val="auto"/>
        </w:rPr>
        <w:t>Changes to performance goals and target awards</w:t>
      </w:r>
      <w:r>
        <w:rPr>
          <w:rFonts w:ascii="Arial" w:cs="Arial" w:eastAsia="Arial" w:hAnsi="Arial"/>
          <w:sz w:val="15"/>
          <w:szCs w:val="15"/>
          <w:color w:val="auto"/>
        </w:rPr>
        <w:t>. In accordance with the terms of the Annual Cash Incentive Plan, at any time prior to the final</w:t>
      </w:r>
      <w:r>
        <w:rPr>
          <w:rFonts w:ascii="Arial" w:cs="Arial" w:eastAsia="Arial" w:hAnsi="Arial"/>
          <w:sz w:val="15"/>
          <w:szCs w:val="15"/>
          <w:i w:val="1"/>
          <w:iCs w:val="1"/>
          <w:color w:val="auto"/>
        </w:rPr>
        <w:t xml:space="preserve"> </w:t>
      </w:r>
      <w:r>
        <w:rPr>
          <w:rFonts w:ascii="Arial" w:cs="Arial" w:eastAsia="Arial" w:hAnsi="Arial"/>
          <w:sz w:val="15"/>
          <w:szCs w:val="15"/>
          <w:color w:val="auto"/>
        </w:rPr>
        <w:t>determination of bonuses earned, the Compensation Committee may adjust the performance goals and target awards to reflect a change in corporate capitalization (such as a stock split or stock dividend), or a corporate transaction (such as a merger, consolidation, separation, reorganization or partial or complete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9" w:name="page30"/>
    <w:bookmarkEnd w:id="29"/>
    <w:p>
      <w:pPr>
        <w:ind w:right="4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liquidation), or to reflect equitably the occurrence of any extraordinary event, any change in applicable accounting rules or principles, any change in the Company’s method of accounting, any change in applicable law, any change due to any merger, consolidation, acquisition, reorganization, stock split, stock dividend, combination of shares or other changes in the Company’s corporate structure or shares, or any other change of a similar nature.</w:t>
      </w:r>
    </w:p>
    <w:p>
      <w:pPr>
        <w:spacing w:after="0" w:line="10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2011 financial goals. </w:t>
      </w:r>
      <w:r>
        <w:rPr>
          <w:rFonts w:ascii="Arial" w:cs="Arial" w:eastAsia="Arial" w:hAnsi="Arial"/>
          <w:sz w:val="18"/>
          <w:szCs w:val="18"/>
          <w:color w:val="auto"/>
        </w:rPr>
        <w:t>The following table shows the Company financial goals established for the named executive officers for 2011. These financial goals</w:t>
      </w:r>
      <w:r>
        <w:rPr>
          <w:rFonts w:ascii="Arial" w:cs="Arial" w:eastAsia="Arial" w:hAnsi="Arial"/>
          <w:sz w:val="18"/>
          <w:szCs w:val="18"/>
          <w:i w:val="1"/>
          <w:iCs w:val="1"/>
          <w:color w:val="auto"/>
        </w:rPr>
        <w:t xml:space="preserve"> </w:t>
      </w:r>
      <w:r>
        <w:rPr>
          <w:rFonts w:ascii="Arial" w:cs="Arial" w:eastAsia="Arial" w:hAnsi="Arial"/>
          <w:sz w:val="18"/>
          <w:szCs w:val="18"/>
          <w:color w:val="auto"/>
        </w:rPr>
        <w:t>were selected based upon the Company’s budget for 2011, which the Board of Directors believes is the appropriate level at which to set goals in order to maximize the incentive for superior performance.</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Maximum</w:t>
            </w:r>
          </w:p>
        </w:tc>
      </w:tr>
      <w:tr>
        <w:trPr>
          <w:trHeight w:val="149"/>
        </w:trPr>
        <w:tc>
          <w:tcPr>
            <w:tcW w:w="4720" w:type="dxa"/>
            <w:vAlign w:val="bottom"/>
          </w:tcPr>
          <w:p>
            <w:pPr>
              <w:spacing w:after="0"/>
              <w:rPr>
                <w:sz w:val="12"/>
                <w:szCs w:val="12"/>
                <w:color w:val="auto"/>
              </w:rPr>
            </w:pPr>
          </w:p>
        </w:tc>
        <w:tc>
          <w:tcPr>
            <w:tcW w:w="16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Threshold</w:t>
            </w:r>
          </w:p>
        </w:tc>
        <w:tc>
          <w:tcPr>
            <w:tcW w:w="16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Target</w:t>
            </w:r>
          </w:p>
        </w:tc>
        <w:tc>
          <w:tcPr>
            <w:tcW w:w="80" w:type="dxa"/>
            <w:vAlign w:val="bottom"/>
          </w:tcPr>
          <w:p>
            <w:pPr>
              <w:spacing w:after="0"/>
              <w:rPr>
                <w:sz w:val="12"/>
                <w:szCs w:val="12"/>
                <w:color w:val="auto"/>
              </w:rPr>
            </w:pPr>
          </w:p>
        </w:tc>
        <w:tc>
          <w:tcPr>
            <w:tcW w:w="14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(105% of Budget for</w:t>
            </w:r>
          </w:p>
        </w:tc>
      </w:tr>
      <w:tr>
        <w:trPr>
          <w:trHeight w:val="149"/>
        </w:trPr>
        <w:tc>
          <w:tcPr>
            <w:tcW w:w="4720" w:type="dxa"/>
            <w:vAlign w:val="bottom"/>
          </w:tcPr>
          <w:p>
            <w:pPr>
              <w:spacing w:after="0"/>
              <w:rPr>
                <w:sz w:val="12"/>
                <w:szCs w:val="12"/>
                <w:color w:val="auto"/>
              </w:rPr>
            </w:pPr>
          </w:p>
        </w:tc>
        <w:tc>
          <w:tcPr>
            <w:tcW w:w="16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(95% of</w:t>
            </w:r>
          </w:p>
        </w:tc>
        <w:tc>
          <w:tcPr>
            <w:tcW w:w="16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(100% of</w:t>
            </w:r>
          </w:p>
        </w:tc>
        <w:tc>
          <w:tcPr>
            <w:tcW w:w="1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Revenue/107% of Budget</w:t>
            </w:r>
          </w:p>
        </w:tc>
      </w:tr>
      <w:tr>
        <w:trPr>
          <w:trHeight w:val="161"/>
        </w:trPr>
        <w:tc>
          <w:tcPr>
            <w:tcW w:w="4720" w:type="dxa"/>
            <w:vAlign w:val="bottom"/>
          </w:tcPr>
          <w:p>
            <w:pPr>
              <w:spacing w:after="0"/>
              <w:rPr>
                <w:sz w:val="14"/>
                <w:szCs w:val="14"/>
                <w:color w:val="auto"/>
              </w:rPr>
            </w:pPr>
          </w:p>
        </w:tc>
        <w:tc>
          <w:tcPr>
            <w:tcW w:w="16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6"/>
              </w:rPr>
              <w:t>Budget)</w:t>
            </w:r>
          </w:p>
        </w:tc>
        <w:tc>
          <w:tcPr>
            <w:tcW w:w="16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6"/>
              </w:rPr>
              <w:t>Budget)</w:t>
            </w:r>
          </w:p>
        </w:tc>
        <w:tc>
          <w:tcPr>
            <w:tcW w:w="80" w:type="dxa"/>
            <w:vAlign w:val="bottom"/>
          </w:tcPr>
          <w:p>
            <w:pPr>
              <w:spacing w:after="0"/>
              <w:rPr>
                <w:sz w:val="14"/>
                <w:szCs w:val="14"/>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for Adjusted EBITDA</w:t>
            </w:r>
          </w:p>
        </w:tc>
      </w:tr>
      <w:tr>
        <w:trPr>
          <w:trHeight w:val="210"/>
        </w:trPr>
        <w:tc>
          <w:tcPr>
            <w:tcW w:w="4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Revenue</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$418,028,500</w:t>
            </w:r>
          </w:p>
        </w:tc>
        <w:tc>
          <w:tcPr>
            <w:tcW w:w="6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$440,030,000</w:t>
            </w:r>
          </w:p>
        </w:tc>
        <w:tc>
          <w:tcPr>
            <w:tcW w:w="6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462,031,500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720" w:type="dxa"/>
            <w:vAlign w:val="bottom"/>
          </w:tcPr>
          <w:p>
            <w:pPr>
              <w:spacing w:after="0"/>
              <w:rPr>
                <w:sz w:val="20"/>
                <w:szCs w:val="20"/>
                <w:color w:val="auto"/>
              </w:rPr>
            </w:pPr>
            <w:r>
              <w:rPr>
                <w:rFonts w:ascii="Arial" w:cs="Arial" w:eastAsia="Arial" w:hAnsi="Arial"/>
                <w:sz w:val="18"/>
                <w:szCs w:val="18"/>
                <w:b w:val="1"/>
                <w:bCs w:val="1"/>
                <w:i w:val="1"/>
                <w:iCs w:val="1"/>
                <w:color w:val="auto"/>
              </w:rPr>
              <w:t>Adjusted EBITDA</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105,995,869</w:t>
            </w:r>
          </w:p>
        </w:tc>
        <w:tc>
          <w:tcPr>
            <w:tcW w:w="660" w:type="dxa"/>
            <w:vAlign w:val="bottom"/>
          </w:tcPr>
          <w:p>
            <w:pPr>
              <w:spacing w:after="0"/>
              <w:rPr>
                <w:sz w:val="19"/>
                <w:szCs w:val="19"/>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8"/>
                <w:szCs w:val="18"/>
                <w:color w:val="auto"/>
                <w:w w:val="95"/>
              </w:rPr>
              <w:t>111,574,599</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119,384,821</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2011 individual goals</w:t>
      </w:r>
      <w:r>
        <w:rPr>
          <w:rFonts w:ascii="Arial" w:cs="Arial" w:eastAsia="Arial" w:hAnsi="Arial"/>
          <w:sz w:val="16"/>
          <w:szCs w:val="16"/>
          <w:color w:val="auto"/>
        </w:rPr>
        <w:t>. The individual performance goals applicable to the named executive officers in 2011 focused on each executive’s achievement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one or more objectives that related to their specific duties and responsibilities on behalf of the Company. For Dr. Meyer, Mr. Bachus, Mr. Chris Richardson, and Mr. Mildenhall, one individual performance goal was to manage their individual departments within budget. Mr. Brent Richardson’s individual performance goals included providing insight and direction to the senior management team regarding key corporate objectives. The individual performance goals for Mr. Mueller, Dr. Meyer and Mr. Bachus included developing solutions for operational challenges such as improving student time to completion, managing the impact of the transition to a borrower-based financial aid environment, improving staff to student ratios, and developing campus infrastructure. The individual performance goals for Mr. Mueller and Mr. Bachus included participation in a specified number of investor conferences and/or investor meetings. Dr. Meyer’s individual performance goals included developing a media and marketing strategy that improved the marketing awareness of Grand Canyon University and demonstrating leadership over key functional areas such as facilities, security and the athletics department. Mr. Bachus’ individual performance goals included managing the financial and reporting functions to ensure that no material weaknesses occurred within the Company’s financial reporting structure and overseeing the transition to the federal direct lending program. The individual performance goals for Mr. Chris Richardson included working with outside legal counsel to resolve outstanding legal matters and properly analyzing and implementing all of the new Department of Education regulations. Dr. Player’s individual performance goals included producing a comprehensive Presidential Report regarding Grand Canyon University and its colleges and working on solutions to improve certain academic related items. Mr. Mildenhall’s individual performance goals included improving and building additional software engineering capabilities to address key needs in student scheduling, demonstration of improvement in application availability, managing the new learning management system rollout and overseeing the relationship with CampusVue to ensure continued improvement are made to the product to eliminate manual processes.</w:t>
      </w:r>
    </w:p>
    <w:p>
      <w:pPr>
        <w:spacing w:after="0" w:line="124" w:lineRule="exact"/>
        <w:rPr>
          <w:sz w:val="20"/>
          <w:szCs w:val="20"/>
          <w:color w:val="auto"/>
        </w:rPr>
      </w:pPr>
    </w:p>
    <w:p>
      <w:pPr>
        <w:jc w:val="both"/>
        <w:ind w:right="60" w:firstLine="456"/>
        <w:spacing w:after="0" w:line="255" w:lineRule="auto"/>
        <w:rPr>
          <w:sz w:val="20"/>
          <w:szCs w:val="20"/>
          <w:color w:val="auto"/>
        </w:rPr>
      </w:pPr>
      <w:r>
        <w:rPr>
          <w:rFonts w:ascii="Arial" w:cs="Arial" w:eastAsia="Arial" w:hAnsi="Arial"/>
          <w:sz w:val="18"/>
          <w:szCs w:val="18"/>
          <w:i w:val="1"/>
          <w:iCs w:val="1"/>
          <w:color w:val="auto"/>
        </w:rPr>
        <w:t>Actual performance vs. compensation paid for 2011</w:t>
      </w:r>
      <w:r>
        <w:rPr>
          <w:rFonts w:ascii="Arial" w:cs="Arial" w:eastAsia="Arial" w:hAnsi="Arial"/>
          <w:sz w:val="18"/>
          <w:szCs w:val="18"/>
          <w:color w:val="auto"/>
        </w:rPr>
        <w:t>. For 2011, each named executive officer achieved performance payout percentages of between 85.0%</w:t>
      </w:r>
      <w:r>
        <w:rPr>
          <w:rFonts w:ascii="Arial" w:cs="Arial" w:eastAsia="Arial" w:hAnsi="Arial"/>
          <w:sz w:val="18"/>
          <w:szCs w:val="18"/>
          <w:i w:val="1"/>
          <w:iCs w:val="1"/>
          <w:color w:val="auto"/>
        </w:rPr>
        <w:t xml:space="preserve"> </w:t>
      </w:r>
      <w:r>
        <w:rPr>
          <w:rFonts w:ascii="Arial" w:cs="Arial" w:eastAsia="Arial" w:hAnsi="Arial"/>
          <w:sz w:val="18"/>
          <w:szCs w:val="18"/>
          <w:color w:val="auto"/>
        </w:rPr>
        <w:t>and 100.0% of the 20.0% portion of their respective bonus awards that are allocable to individual performance goals. In addition, the Company achieved revenue equal to 97.0% of target and Adjusted EBITDA equal to 96.3% of target, resulting in performance payout percentages of 70.0% for the revenue component of the target bonus and 64.0% for the Adjusted EBITDA component of the target bonus. Accordingly, the named executive officers achieved incentive bonuses equal to the following percentages of their base salaries: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Individual</w:t>
            </w: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3"/>
              </w:rPr>
              <w:t>2011 Bonus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Adjusted</w:t>
            </w: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Goals</w:t>
            </w: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1"/>
              </w:rPr>
              <w:t>2011 Bonus as</w:t>
            </w: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76"/>
              </w:rPr>
              <w:t>as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3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2"/>
              </w:rPr>
              <w:t>Revenue</w:t>
            </w:r>
          </w:p>
        </w:tc>
        <w:tc>
          <w:tcPr>
            <w:tcW w:w="13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9"/>
              </w:rPr>
              <w:t>EBITDA</w:t>
            </w:r>
          </w:p>
        </w:tc>
        <w:tc>
          <w:tcPr>
            <w:tcW w:w="13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Performance</w:t>
            </w:r>
          </w:p>
        </w:tc>
        <w:tc>
          <w:tcPr>
            <w:tcW w:w="13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2"/>
              </w:rPr>
              <w:t>Percentage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680" w:type="dxa"/>
            <w:vAlign w:val="bottom"/>
            <w:vMerge w:val="restart"/>
          </w:tcPr>
          <w:p>
            <w:pPr>
              <w:spacing w:after="0"/>
              <w:rPr>
                <w:sz w:val="12"/>
                <w:szCs w:val="12"/>
                <w:color w:val="auto"/>
              </w:rPr>
            </w:pPr>
          </w:p>
        </w:tc>
        <w:tc>
          <w:tcPr>
            <w:tcW w:w="13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Performance</w:t>
            </w:r>
          </w:p>
        </w:tc>
        <w:tc>
          <w:tcPr>
            <w:tcW w:w="13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Performance</w:t>
            </w:r>
          </w:p>
        </w:tc>
        <w:tc>
          <w:tcPr>
            <w:tcW w:w="13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Payout</w:t>
            </w: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Target Bonus</w:t>
            </w: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2"/>
              </w:rPr>
              <w:t>of Base</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0" w:type="dxa"/>
            <w:vAlign w:val="bottom"/>
            <w:tcBorders>
              <w:bottom w:val="single" w:sz="8" w:color="auto"/>
            </w:tcBorders>
            <w:vMerge w:val="continue"/>
          </w:tcPr>
          <w:p>
            <w:pPr>
              <w:spacing w:after="0"/>
              <w:rPr>
                <w:sz w:val="12"/>
                <w:szCs w:val="12"/>
                <w:color w:val="auto"/>
              </w:rPr>
            </w:pPr>
          </w:p>
        </w:tc>
        <w:tc>
          <w:tcPr>
            <w:tcW w:w="3680" w:type="dxa"/>
            <w:vAlign w:val="bottom"/>
            <w:vMerge w:val="continue"/>
          </w:tcPr>
          <w:p>
            <w:pPr>
              <w:spacing w:after="0"/>
              <w:rPr>
                <w:sz w:val="12"/>
                <w:szCs w:val="12"/>
                <w:color w:val="auto"/>
              </w:rPr>
            </w:pPr>
          </w:p>
        </w:tc>
        <w:tc>
          <w:tcPr>
            <w:tcW w:w="1320" w:type="dxa"/>
            <w:vAlign w:val="bottom"/>
            <w:gridSpan w:val="2"/>
          </w:tcPr>
          <w:p>
            <w:pPr>
              <w:jc w:val="center"/>
              <w:ind w:right="580"/>
              <w:spacing w:after="0" w:line="148" w:lineRule="exact"/>
              <w:rPr>
                <w:sz w:val="20"/>
                <w:szCs w:val="20"/>
                <w:color w:val="auto"/>
              </w:rPr>
            </w:pPr>
            <w:r>
              <w:rPr>
                <w:rFonts w:ascii="Arial" w:cs="Arial" w:eastAsia="Arial" w:hAnsi="Arial"/>
                <w:sz w:val="14"/>
                <w:szCs w:val="14"/>
                <w:b w:val="1"/>
                <w:bCs w:val="1"/>
                <w:color w:val="auto"/>
                <w:w w:val="91"/>
              </w:rPr>
              <w:t>Payout (%)</w:t>
            </w:r>
          </w:p>
        </w:tc>
        <w:tc>
          <w:tcPr>
            <w:tcW w:w="132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93"/>
              </w:rPr>
              <w:t>Payout (%)</w:t>
            </w: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7"/>
              </w:rPr>
              <w:t>(%)(1)</w:t>
            </w:r>
          </w:p>
        </w:tc>
        <w:tc>
          <w:tcPr>
            <w:tcW w:w="580" w:type="dxa"/>
            <w:vAlign w:val="bottom"/>
          </w:tcPr>
          <w:p>
            <w:pPr>
              <w:spacing w:after="0"/>
              <w:rPr>
                <w:sz w:val="12"/>
                <w:szCs w:val="12"/>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2"/>
                <w:szCs w:val="12"/>
                <w:color w:val="auto"/>
              </w:rPr>
            </w:pPr>
          </w:p>
        </w:tc>
        <w:tc>
          <w:tcPr>
            <w:tcW w:w="1240" w:type="dxa"/>
            <w:vAlign w:val="bottom"/>
            <w:gridSpan w:val="2"/>
          </w:tcPr>
          <w:p>
            <w:pPr>
              <w:jc w:val="center"/>
              <w:ind w:right="580"/>
              <w:spacing w:after="0" w:line="148" w:lineRule="exact"/>
              <w:rPr>
                <w:sz w:val="20"/>
                <w:szCs w:val="20"/>
                <w:color w:val="auto"/>
              </w:rPr>
            </w:pPr>
            <w:r>
              <w:rPr>
                <w:rFonts w:ascii="Arial" w:cs="Arial" w:eastAsia="Arial" w:hAnsi="Arial"/>
                <w:sz w:val="14"/>
                <w:szCs w:val="14"/>
                <w:b w:val="1"/>
                <w:bCs w:val="1"/>
                <w:color w:val="auto"/>
                <w:w w:val="91"/>
              </w:rPr>
              <w:t>Salary($)</w:t>
            </w:r>
          </w:p>
        </w:tc>
        <w:tc>
          <w:tcPr>
            <w:tcW w:w="76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Bonus ($)</w:t>
            </w:r>
          </w:p>
        </w:tc>
        <w:tc>
          <w:tcPr>
            <w:tcW w:w="0" w:type="dxa"/>
            <w:vAlign w:val="bottom"/>
          </w:tcPr>
          <w:p>
            <w:pPr>
              <w:spacing w:after="0"/>
              <w:rPr>
                <w:sz w:val="1"/>
                <w:szCs w:val="1"/>
                <w:color w:val="auto"/>
              </w:rPr>
            </w:pPr>
          </w:p>
        </w:tc>
      </w:tr>
      <w:tr>
        <w:trPr>
          <w:trHeight w:val="20"/>
        </w:trPr>
        <w:tc>
          <w:tcPr>
            <w:tcW w:w="40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Brent D. Richardson</w:t>
            </w:r>
          </w:p>
        </w:tc>
        <w:tc>
          <w:tcPr>
            <w:tcW w:w="76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gridSpan w:val="2"/>
            <w:vMerge w:val="continue"/>
            <w:shd w:val="clear" w:color="auto" w:fill="CCEEFF"/>
          </w:tcPr>
          <w:p>
            <w:pPr>
              <w:spacing w:after="0"/>
              <w:rPr>
                <w:sz w:val="17"/>
                <w:szCs w:val="17"/>
                <w:color w:val="auto"/>
              </w:rPr>
            </w:pPr>
          </w:p>
        </w:tc>
        <w:tc>
          <w:tcPr>
            <w:tcW w:w="1320" w:type="dxa"/>
            <w:vAlign w:val="bottom"/>
            <w:gridSpan w:val="2"/>
            <w:shd w:val="clear" w:color="auto" w:fill="CCEEFF"/>
          </w:tcPr>
          <w:p>
            <w:pPr>
              <w:jc w:val="right"/>
              <w:ind w:right="420"/>
              <w:spacing w:after="0" w:line="203" w:lineRule="exact"/>
              <w:rPr>
                <w:sz w:val="20"/>
                <w:szCs w:val="20"/>
                <w:color w:val="auto"/>
              </w:rPr>
            </w:pPr>
            <w:r>
              <w:rPr>
                <w:rFonts w:ascii="Arial" w:cs="Arial" w:eastAsia="Arial" w:hAnsi="Arial"/>
                <w:sz w:val="18"/>
                <w:szCs w:val="18"/>
                <w:color w:val="auto"/>
              </w:rPr>
              <w:t>70.0%</w:t>
            </w:r>
          </w:p>
        </w:tc>
        <w:tc>
          <w:tcPr>
            <w:tcW w:w="1320" w:type="dxa"/>
            <w:vAlign w:val="bottom"/>
            <w:gridSpan w:val="2"/>
            <w:shd w:val="clear" w:color="auto" w:fill="CCEEFF"/>
          </w:tcPr>
          <w:p>
            <w:pPr>
              <w:jc w:val="right"/>
              <w:ind w:right="420"/>
              <w:spacing w:after="0" w:line="203" w:lineRule="exact"/>
              <w:rPr>
                <w:sz w:val="20"/>
                <w:szCs w:val="20"/>
                <w:color w:val="auto"/>
              </w:rPr>
            </w:pPr>
            <w:r>
              <w:rPr>
                <w:rFonts w:ascii="Arial" w:cs="Arial" w:eastAsia="Arial" w:hAnsi="Arial"/>
                <w:sz w:val="18"/>
                <w:szCs w:val="18"/>
                <w:color w:val="auto"/>
              </w:rPr>
              <w:t>64.0%</w:t>
            </w:r>
          </w:p>
        </w:tc>
        <w:tc>
          <w:tcPr>
            <w:tcW w:w="13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420"/>
              <w:spacing w:after="0" w:line="203" w:lineRule="exact"/>
              <w:rPr>
                <w:sz w:val="20"/>
                <w:szCs w:val="20"/>
                <w:color w:val="auto"/>
              </w:rPr>
            </w:pPr>
            <w:r>
              <w:rPr>
                <w:rFonts w:ascii="Arial" w:cs="Arial" w:eastAsia="Arial" w:hAnsi="Arial"/>
                <w:sz w:val="18"/>
                <w:szCs w:val="18"/>
                <w:color w:val="auto"/>
              </w:rPr>
              <w:t>73.6%</w:t>
            </w:r>
          </w:p>
        </w:tc>
        <w:tc>
          <w:tcPr>
            <w:tcW w:w="12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6.2%</w:t>
            </w:r>
          </w:p>
        </w:tc>
        <w:tc>
          <w:tcPr>
            <w:tcW w:w="6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4"/>
              </w:rPr>
              <w:t>$ 18,400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Brian E. Mueller</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70.0%</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64.0%</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100.0%</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73.6%</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73.6%</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$441,600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W. Stan Meyer</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70.0%</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64.0%</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73.6%</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55.2%</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$193,200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Daniel E. Bachus</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70.0%</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64.0%</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87.5%</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71.1%</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53.3%</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$186,638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C. Richardson</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70.0%</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64.0%</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73.6%</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36.8%</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$109,480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Joseph N. Mildenhall</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70.0%</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64.0%</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87.5%</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71.1%</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35.6%</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$106,650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Kathy Player</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70.0%</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64.0%</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85.0%</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70.6%</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35.3%</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$ 97,075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20" w:hanging="452"/>
        <w:spacing w:after="0" w:line="298"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With respect to the individual goals performance payout, Mr. Bachus did not receive full credit for his material weakness individual goal because a material weakness was identified in conjunction with the Company’s November 2011 bad debt expense restatement (which was mitigated by December 31, 2011); Mr. Mildenhall did not achieve all of his individual goals as two of the goals related to IT implementation schedules that weren’t met; and Dr. Player did not achieve all of her individual goals as one of the academic related goals improved over the prior year but not to the extent of the target goal percentage.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Equity Incentives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2008, our Board of Directors and stockholders adopted the Equity Incentive Plan and authorized and reserved a total of 4,199,937 shares of our common stock for issuance thereunder. The number of shares authorized and reserved under the Equity Incentive Plan increases on each subsequent January 1 through 2018 by an amount equal to the smaller of (a) 2.5% of the number of shares of common stock issued and outstanding on the immediately preceding December 31, or (b) a lesser amount determined by our Board of Directors. As of January 1, 2012, there is authorized and reserved a total of 8,729,478 shares under the Equity Incentive plan. Shares subject to awards that expire or are cancelled or forfeited will again become available for issuance under the Equity Incentive Plan. The shares available are not reduced by awards settled in cash or by shares withheld to satisfy tax withholding obligations. Only the net number of shares issued upon the exercise of stock appreciation rights or options exercised by means of a net exercise or by tender of previously owned shares are deducted from the shares available under the Equity Incentive Plan.</w:t>
      </w:r>
    </w:p>
    <w:p>
      <w:pPr>
        <w:spacing w:after="0" w:line="11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2011, with respect to shares of our common stock that may be issued under our existing equity compensation plans: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760" w:type="dxa"/>
            <w:vAlign w:val="bottom"/>
            <w:gridSpan w:val="2"/>
          </w:tcPr>
          <w:p>
            <w:pPr>
              <w:jc w:val="center"/>
              <w:ind w:right="184"/>
              <w:spacing w:after="0"/>
              <w:rPr>
                <w:sz w:val="20"/>
                <w:szCs w:val="20"/>
                <w:color w:val="auto"/>
              </w:rPr>
            </w:pPr>
            <w:r>
              <w:rPr>
                <w:rFonts w:ascii="Arial" w:cs="Arial" w:eastAsia="Arial" w:hAnsi="Arial"/>
                <w:sz w:val="14"/>
                <w:szCs w:val="14"/>
                <w:b w:val="1"/>
                <w:bCs w:val="1"/>
                <w:color w:val="auto"/>
                <w:w w:val="86"/>
              </w:rPr>
              <w:t>Number of securities to be</w:t>
            </w:r>
          </w:p>
        </w:tc>
        <w:tc>
          <w:tcPr>
            <w:tcW w:w="10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Weighted-average</w:t>
            </w:r>
          </w:p>
        </w:tc>
        <w:tc>
          <w:tcPr>
            <w:tcW w:w="260" w:type="dxa"/>
            <w:vAlign w:val="bottom"/>
          </w:tcPr>
          <w:p>
            <w:pPr>
              <w:spacing w:after="0"/>
              <w:rPr>
                <w:sz w:val="14"/>
                <w:szCs w:val="14"/>
                <w:color w:val="auto"/>
              </w:rPr>
            </w:pPr>
          </w:p>
        </w:tc>
        <w:tc>
          <w:tcPr>
            <w:tcW w:w="1720" w:type="dxa"/>
            <w:vAlign w:val="bottom"/>
            <w:gridSpan w:val="2"/>
          </w:tcPr>
          <w:p>
            <w:pPr>
              <w:jc w:val="center"/>
              <w:ind w:right="104"/>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760" w:type="dxa"/>
            <w:vAlign w:val="bottom"/>
            <w:gridSpan w:val="2"/>
          </w:tcPr>
          <w:p>
            <w:pPr>
              <w:jc w:val="center"/>
              <w:ind w:right="184"/>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260" w:type="dxa"/>
            <w:vAlign w:val="bottom"/>
          </w:tcPr>
          <w:p>
            <w:pPr>
              <w:spacing w:after="0"/>
              <w:rPr>
                <w:sz w:val="12"/>
                <w:szCs w:val="12"/>
                <w:color w:val="auto"/>
              </w:rPr>
            </w:pPr>
          </w:p>
        </w:tc>
        <w:tc>
          <w:tcPr>
            <w:tcW w:w="1720" w:type="dxa"/>
            <w:vAlign w:val="bottom"/>
            <w:gridSpan w:val="2"/>
          </w:tcPr>
          <w:p>
            <w:pPr>
              <w:jc w:val="center"/>
              <w:ind w:right="124"/>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3700" w:type="dxa"/>
            <w:vAlign w:val="bottom"/>
            <w:vMerge w:val="restart"/>
          </w:tcPr>
          <w:p>
            <w:pPr>
              <w:spacing w:after="0"/>
              <w:rPr>
                <w:sz w:val="12"/>
                <w:szCs w:val="12"/>
                <w:color w:val="auto"/>
              </w:rPr>
            </w:pPr>
          </w:p>
        </w:tc>
        <w:tc>
          <w:tcPr>
            <w:tcW w:w="1760" w:type="dxa"/>
            <w:vAlign w:val="bottom"/>
            <w:gridSpan w:val="2"/>
          </w:tcPr>
          <w:p>
            <w:pPr>
              <w:jc w:val="center"/>
              <w:ind w:right="204"/>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100" w:type="dxa"/>
            <w:vAlign w:val="bottom"/>
          </w:tcPr>
          <w:p>
            <w:pPr>
              <w:spacing w:after="0"/>
              <w:rPr>
                <w:sz w:val="12"/>
                <w:szCs w:val="12"/>
                <w:color w:val="auto"/>
              </w:rPr>
            </w:pP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2"/>
              </w:rPr>
              <w:t>outstanding options,</w:t>
            </w:r>
          </w:p>
        </w:tc>
        <w:tc>
          <w:tcPr>
            <w:tcW w:w="260" w:type="dxa"/>
            <w:vAlign w:val="bottom"/>
          </w:tcPr>
          <w:p>
            <w:pPr>
              <w:spacing w:after="0"/>
              <w:rPr>
                <w:sz w:val="12"/>
                <w:szCs w:val="12"/>
                <w:color w:val="auto"/>
              </w:rPr>
            </w:pPr>
          </w:p>
        </w:tc>
        <w:tc>
          <w:tcPr>
            <w:tcW w:w="1720" w:type="dxa"/>
            <w:vAlign w:val="bottom"/>
            <w:gridSpan w:val="2"/>
          </w:tcPr>
          <w:p>
            <w:pPr>
              <w:jc w:val="center"/>
              <w:ind w:right="124"/>
              <w:spacing w:after="0" w:line="149" w:lineRule="exact"/>
              <w:rPr>
                <w:sz w:val="20"/>
                <w:szCs w:val="20"/>
                <w:color w:val="auto"/>
              </w:rPr>
            </w:pPr>
            <w:r>
              <w:rPr>
                <w:rFonts w:ascii="Arial" w:cs="Arial" w:eastAsia="Arial" w:hAnsi="Arial"/>
                <w:sz w:val="14"/>
                <w:szCs w:val="14"/>
                <w:b w:val="1"/>
                <w:bCs w:val="1"/>
                <w:color w:val="auto"/>
                <w:w w:val="86"/>
              </w:rPr>
              <w:t>for future issuance under</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700" w:type="dxa"/>
            <w:vAlign w:val="bottom"/>
            <w:vMerge w:val="continue"/>
          </w:tcPr>
          <w:p>
            <w:pPr>
              <w:spacing w:after="0"/>
              <w:rPr>
                <w:sz w:val="14"/>
                <w:szCs w:val="14"/>
                <w:color w:val="auto"/>
              </w:rPr>
            </w:pPr>
          </w:p>
        </w:tc>
        <w:tc>
          <w:tcPr>
            <w:tcW w:w="1760" w:type="dxa"/>
            <w:vAlign w:val="bottom"/>
            <w:gridSpan w:val="2"/>
          </w:tcPr>
          <w:p>
            <w:pPr>
              <w:jc w:val="center"/>
              <w:ind w:right="204"/>
              <w:spacing w:after="0" w:line="148" w:lineRule="exact"/>
              <w:rPr>
                <w:sz w:val="20"/>
                <w:szCs w:val="20"/>
                <w:color w:val="auto"/>
              </w:rPr>
            </w:pPr>
            <w:r>
              <w:rPr>
                <w:rFonts w:ascii="Arial" w:cs="Arial" w:eastAsia="Arial" w:hAnsi="Arial"/>
                <w:sz w:val="14"/>
                <w:szCs w:val="14"/>
                <w:b w:val="1"/>
                <w:bCs w:val="1"/>
                <w:color w:val="auto"/>
                <w:w w:val="87"/>
              </w:rPr>
              <w:t>warrants and rights</w:t>
            </w:r>
          </w:p>
        </w:tc>
        <w:tc>
          <w:tcPr>
            <w:tcW w:w="100" w:type="dxa"/>
            <w:vAlign w:val="bottom"/>
          </w:tcPr>
          <w:p>
            <w:pPr>
              <w:spacing w:after="0"/>
              <w:rPr>
                <w:sz w:val="14"/>
                <w:szCs w:val="14"/>
                <w:color w:val="auto"/>
              </w:rPr>
            </w:pPr>
          </w:p>
        </w:tc>
        <w:tc>
          <w:tcPr>
            <w:tcW w:w="116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7"/>
              </w:rPr>
              <w:t>warrants and rights</w:t>
            </w:r>
          </w:p>
        </w:tc>
        <w:tc>
          <w:tcPr>
            <w:tcW w:w="260" w:type="dxa"/>
            <w:vAlign w:val="bottom"/>
          </w:tcPr>
          <w:p>
            <w:pPr>
              <w:spacing w:after="0"/>
              <w:rPr>
                <w:sz w:val="14"/>
                <w:szCs w:val="14"/>
                <w:color w:val="auto"/>
              </w:rPr>
            </w:pPr>
          </w:p>
        </w:tc>
        <w:tc>
          <w:tcPr>
            <w:tcW w:w="1720" w:type="dxa"/>
            <w:vAlign w:val="bottom"/>
            <w:gridSpan w:val="2"/>
          </w:tcPr>
          <w:p>
            <w:pPr>
              <w:jc w:val="center"/>
              <w:ind w:right="104"/>
              <w:spacing w:after="0" w:line="148" w:lineRule="exact"/>
              <w:rPr>
                <w:sz w:val="20"/>
                <w:szCs w:val="20"/>
                <w:color w:val="auto"/>
              </w:rPr>
            </w:pPr>
            <w:r>
              <w:rPr>
                <w:rFonts w:ascii="Arial" w:cs="Arial" w:eastAsia="Arial" w:hAnsi="Arial"/>
                <w:sz w:val="14"/>
                <w:szCs w:val="14"/>
                <w:b w:val="1"/>
                <w:bCs w:val="1"/>
                <w:color w:val="auto"/>
                <w:w w:val="84"/>
              </w:rPr>
              <w:t>equity compensation plans</w:t>
            </w:r>
          </w:p>
        </w:tc>
        <w:tc>
          <w:tcPr>
            <w:tcW w:w="0" w:type="dxa"/>
            <w:vAlign w:val="bottom"/>
          </w:tcPr>
          <w:p>
            <w:pPr>
              <w:spacing w:after="0"/>
              <w:rPr>
                <w:sz w:val="1"/>
                <w:szCs w:val="1"/>
                <w:color w:val="auto"/>
              </w:rPr>
            </w:pPr>
          </w:p>
        </w:tc>
      </w:tr>
      <w:tr>
        <w:trPr>
          <w:trHeight w:val="203"/>
        </w:trPr>
        <w:tc>
          <w:tcPr>
            <w:tcW w:w="45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9"/>
              </w:rPr>
              <w:t>Equity Compensation Plans Approved by Securityholders</w:t>
            </w:r>
          </w:p>
        </w:tc>
        <w:tc>
          <w:tcPr>
            <w:tcW w:w="1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5,528,392</w:t>
            </w:r>
          </w:p>
        </w:tc>
        <w:tc>
          <w:tcPr>
            <w:tcW w:w="240" w:type="dxa"/>
            <w:vAlign w:val="bottom"/>
            <w:tcBorders>
              <w:top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w w:val="74"/>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14.43</w:t>
            </w:r>
          </w:p>
        </w:tc>
        <w:tc>
          <w:tcPr>
            <w:tcW w:w="26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3,201,086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8"/>
              </w:rPr>
              <w:t>(2)</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w w:val="93"/>
              </w:rPr>
              <w:t>Equity Compensation Plans Not Approved by Securityholders</w:t>
            </w:r>
          </w:p>
        </w:tc>
        <w:tc>
          <w:tcPr>
            <w:tcW w:w="1520" w:type="dxa"/>
            <w:vAlign w:val="bottom"/>
          </w:tcPr>
          <w:p>
            <w:pPr>
              <w:jc w:val="right"/>
              <w:spacing w:after="0"/>
              <w:rPr>
                <w:sz w:val="20"/>
                <w:szCs w:val="20"/>
                <w:color w:val="auto"/>
              </w:rPr>
            </w:pPr>
            <w:r>
              <w:rPr>
                <w:rFonts w:ascii="Arial" w:cs="Arial" w:eastAsia="Arial" w:hAnsi="Arial"/>
                <w:sz w:val="18"/>
                <w:szCs w:val="18"/>
                <w:color w:val="auto"/>
              </w:rPr>
              <w:t>None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720" w:type="dxa"/>
            <w:vAlign w:val="bottom"/>
            <w:gridSpan w:val="2"/>
          </w:tcPr>
          <w:p>
            <w:pPr>
              <w:jc w:val="right"/>
              <w:ind w:right="124"/>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760" w:type="dxa"/>
            <w:vAlign w:val="bottom"/>
            <w:gridSpan w:val="2"/>
            <w:shd w:val="clear" w:color="auto" w:fill="CCEEFF"/>
          </w:tcPr>
          <w:p>
            <w:pPr>
              <w:jc w:val="right"/>
              <w:ind w:right="64"/>
              <w:spacing w:after="0"/>
              <w:rPr>
                <w:sz w:val="20"/>
                <w:szCs w:val="20"/>
                <w:color w:val="auto"/>
              </w:rPr>
            </w:pPr>
            <w:r>
              <w:rPr>
                <w:rFonts w:ascii="Arial" w:cs="Arial" w:eastAsia="Arial" w:hAnsi="Arial"/>
                <w:sz w:val="18"/>
                <w:szCs w:val="18"/>
                <w:color w:val="auto"/>
              </w:rPr>
              <w:t>5,528,392</w:t>
            </w:r>
            <w:r>
              <w:rPr>
                <w:rFonts w:ascii="Arial" w:cs="Arial" w:eastAsia="Arial" w:hAnsi="Arial"/>
                <w:sz w:val="11"/>
                <w:szCs w:val="11"/>
                <w:color w:val="auto"/>
              </w:rPr>
              <w:t>(1)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3,201,086</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outstanding options to purchase shares of our common stock under our Equity Incentive Plan.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shares available for future issuance under our Equity Incentive Plan.</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may grant awards under the Equity Incentive Plan to our employees, officers, directors, or consultants, or those of any future parent or subsidiary corporation or other affiliated entity. While we may grant incentive stock options only to employees, we may grant nonstatutory stock options, stock appreciation rights, restricted stock purchase rights or bonuses, restricted stock units, performance shares, performance units, and cash-based awards or other stock-based awards to any eligible participant.</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Only members of the Board of Directors who are not employees at the time of grant are eligible to participate in the non-employee director awards component of the Equity Incentive Plan. The Board of Directors, based on the recommendation of the Nominating and Corporate Governance Committee, sets the amount and type of non-employee director awards to be awarded on a periodic, non-discriminatory basis. Non-employee director awards may be granted in the form of nonstatutory stock options, stock appreciation rights, restricted stock awards and restricted stock unit awards.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31" w:name="page32"/>
    <w:bookmarkEnd w:id="31"/>
    <w:p>
      <w:pPr>
        <w:ind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of a change in control, as described in the Equity Incentive Plan, the acquiring or successor entity may assume or continue all or any awards outstanding under the Equity Incentive Plan or substitute substantially equivalent awards. Any awards that are not assumed or continued in connection with a change in control or are not exercised or settled prior to the change in control will terminate effective as of the time of the change in control. In connection with a change in control, the Compensation Committee may provide for the acceleration of vesting of any or all outstanding awards upon such terms and to such extent as it determines, except that the vesting of all non-employee director awards will automatically be accelerated in full, and the vesting of awards held by each of our named executive officers who are parties to employment agreements will automatically be accelerated in full upon termination other than for cause upon or within 12 months following such change in control. The Equity Incentive Plan also authorizes the Compensation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has approved a policy relating to the granting of stock options and other equity-based awards. Under this policy:</w:t>
      </w:r>
    </w:p>
    <w:p>
      <w:pPr>
        <w:spacing w:after="0" w:line="90" w:lineRule="exact"/>
        <w:rPr>
          <w:sz w:val="20"/>
          <w:szCs w:val="20"/>
          <w:color w:val="auto"/>
        </w:rPr>
      </w:pPr>
    </w:p>
    <w:p>
      <w:pPr>
        <w:ind w:left="900" w:right="70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stock option grants, restricted stock awards, and other equity based awards, which we collectively refer to as stock-based grants, must be approved by the Compensation Committee;</w:t>
      </w:r>
    </w:p>
    <w:p>
      <w:pPr>
        <w:spacing w:after="0" w:line="50" w:lineRule="exact"/>
        <w:rPr>
          <w:rFonts w:ascii="Arial" w:cs="Arial" w:eastAsia="Arial" w:hAnsi="Arial"/>
          <w:sz w:val="18"/>
          <w:szCs w:val="18"/>
          <w:color w:val="auto"/>
        </w:rPr>
      </w:pPr>
    </w:p>
    <w:p>
      <w:pPr>
        <w:ind w:left="900" w:right="160" w:hanging="446"/>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for determining the strike price and similar measurements for stock-based awards will be the date of the meeting (or a date shortly after the meeting) or, in the case of an employee, director, or consultant not yet hired, appointed, or retained, respectively, the subsequent date of hire, appointment, or retention, as the case may be;</w:t>
      </w:r>
    </w:p>
    <w:p>
      <w:pPr>
        <w:spacing w:after="0" w:line="59"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will not intentionally grant stock-based awards before the anticipated announcement of materially favorable news or intentionally delay the grant of stock-based awards until after the announcement of materially unfavorable news;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Compensation Committee will approve stock-based grants only for persons specifically identified at the meeting by management.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the Compensation Consultant</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Compensation Committee has the sole authority from the Board of Directors for the appointment, compensation and oversight of our outside compensation consultant. The Compensation Committee has retained Mercer, a wholly-owned subsidiary of Marsh &amp; McLennan Companies, Inc. (“MMC”), as its consultant to assist the Compensation Committee with its responsibilities related to our executive compensation programs. Mercer’s fees for executive compensation consulting to the Compensation Committee in fiscal year 2011 were $30,000. The executive compensation services that Mercer provided to the Compensation Committee included assisting in revising the Company’s board of director compensation package and executive compensation strategy, providing market benchmark information, supporting and reviewing the design of incentive compensation plans, advising on the competitiveness of board of director compensation and executive officer compensation, and providing regulatory and corporate governance guidance.</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During the fiscal year, Mercer and its MMC affiliates were retained by Company management to provide services unrelated to executive compensation, including insurance brokerage services and services related to the Company’s employee health plans. The aggregate fees paid for those other services in fiscal 2011 were $131,000. The Compensation Committee did not review or approve the other services provided by Mercer and its affiliates to the Company, as those services were approved by management in the normal course of business. Based on policies and procedures implemented by the Compensation Committee and by Mercer to ensure the objectivity of Mercer’s individual executive compensation consultant, the Compensation Committee believes that the consulting advice it receives from Mercer is objective and not influenced by Mercer’s or its affiliates’ other relationships with the Company.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 of Accounting and Tax Treatment on Compensation Decisions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Revenue Code Section 162(m) Policy</w:t>
      </w:r>
    </w:p>
    <w:p>
      <w:pPr>
        <w:spacing w:after="0" w:line="9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Section 162(m) of the Code, as amended, imposes a $1 million limit on the amount that a public company may deduct for compensation paid to the company’s chief executive officer or any of the company’s four other most highly compensated executive officers who are employed as of the end of the year. This limitation does not apply to compensation that meets the requirements under Section 162(m) for “qualifying performance-based” compensation (i.e., compensation paid only if the individual’s performance meets pre-established objective goals based on performance criteria approved by stockholders). With regard to our Equity Incentive Plan, at our 2011 annual meeting, our stockholders approved the grant limitation within our 2008 Equity Incentive Plan. With regard to the cash compensation we pay, in the form of both base salary and pursuant to our Annual Cash Incentive Plan described above, at our 2011 annual meeting, our stockholders approved the Annual Cash Incentive Plan in accordance with Section 162(m).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Revenue Code Section 409A</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Section 409A of the Code (“Section 409A”) requires that “nonqualified deferred compensation” be deferred and paid under plans or arrangements that satisfy the requirements of the statute with respect to the timing of deferral elections, timing of payments and certain other matters. Failure to satisfy these requirements can expose employees and other service providers to accelerated income tax liabilities and penalty taxes and interest on their vested compensation under such plans. Accordingly, as a general matter, it is our intention to design and administer our compensation and benefits plans and arrangements for all of our employees and other service providers, including our named executive officers, so that they are either exempt from, or satisfy the requirements of, Section 409A. With respect to our compensation and benefit plans that are subject to Section 409A, in accordance with Section 409A and regulatory guidance issued by the Internal Revenue Service, we are currently operating such plans in compliance with Section 409A.</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Grants of stock options under the Equity Incentive Plan are recognized as compensation expense for the fair value of equity-based compensation awards. The Compensation Committee considers the accounting implications of significant compensation decisions, including in connection with decisions that relate to the Equity Incentive Plan and equity award programs thereunder. As accounting standards change, we may revise certain programs to appropriately align accounting expenses of our equity awards with our overall executive compensation philosophy and objectives.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believe that the compensation amounts paid to our named executive officers for their service in 2011 were reasonable and appropriate and in our best interests.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Events After December 31, 2011</w:t>
      </w:r>
    </w:p>
    <w:p>
      <w:pPr>
        <w:spacing w:after="0" w:line="9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Following a review of the Company’s equity incentive program, in 2012, the Compensation Committee approved restricted stock grants in lieu of the annual stock option grants as it determined upon receiving feedback from management under the executive officer level that restricted stock would serve as a better retention tool. Following the approval of this change in the program, the Compensation Committee approved grants of restricted stock awards to the Company’s named executive officers, other than Brent D. Richardson and Christopher C. Richardson, effective March 12, 2012. Consistent with past option vesting practice, each restricted stock award vests 20% on March 17, 2013 (the “First Vesting Date”) and on each of the first four anniversaries of the First Vesting Date. The number of shares granted to each such officer was as follows:</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2280" w:type="dxa"/>
            <w:vAlign w:val="bottom"/>
          </w:tcPr>
          <w:p>
            <w:pPr>
              <w:spacing w:after="0"/>
              <w:rPr>
                <w:sz w:val="15"/>
                <w:szCs w:val="15"/>
                <w:color w:val="auto"/>
              </w:rPr>
            </w:pPr>
          </w:p>
        </w:tc>
        <w:tc>
          <w:tcPr>
            <w:tcW w:w="5120" w:type="dxa"/>
            <w:vAlign w:val="bottom"/>
            <w:gridSpan w:val="3"/>
          </w:tcPr>
          <w:p>
            <w:pPr>
              <w:ind w:left="1960"/>
              <w:spacing w:after="0"/>
              <w:rPr>
                <w:sz w:val="20"/>
                <w:szCs w:val="20"/>
                <w:color w:val="auto"/>
              </w:rPr>
            </w:pPr>
            <w:r>
              <w:rPr>
                <w:rFonts w:ascii="Arial" w:cs="Arial" w:eastAsia="Arial" w:hAnsi="Arial"/>
                <w:sz w:val="14"/>
                <w:szCs w:val="14"/>
                <w:b w:val="1"/>
                <w:bCs w:val="1"/>
                <w:color w:val="auto"/>
                <w:w w:val="88"/>
              </w:rPr>
              <w:t>Number of Shares Subject to Restricted Stock Award</w:t>
            </w:r>
          </w:p>
        </w:tc>
      </w:tr>
      <w:tr>
        <w:trPr>
          <w:trHeight w:val="203"/>
        </w:trPr>
        <w:tc>
          <w:tcPr>
            <w:tcW w:w="2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Brian E. Mueller</w:t>
            </w:r>
          </w:p>
        </w:tc>
        <w:tc>
          <w:tcPr>
            <w:tcW w:w="1960" w:type="dxa"/>
            <w:vAlign w:val="bottom"/>
            <w:tcBorders>
              <w:top w:val="single" w:sz="8" w:color="CCEEFF"/>
            </w:tcBorders>
            <w:shd w:val="clear" w:color="auto" w:fill="CCEEFF"/>
          </w:tcPr>
          <w:p>
            <w:pPr>
              <w:spacing w:after="0"/>
              <w:rPr>
                <w:sz w:val="17"/>
                <w:szCs w:val="17"/>
                <w:color w:val="auto"/>
              </w:rPr>
            </w:pPr>
          </w:p>
        </w:tc>
        <w:tc>
          <w:tcPr>
            <w:tcW w:w="3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67,500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Dr. W. Stan Meyer</w:t>
            </w:r>
          </w:p>
        </w:tc>
        <w:tc>
          <w:tcPr>
            <w:tcW w:w="5020" w:type="dxa"/>
            <w:vAlign w:val="bottom"/>
            <w:gridSpan w:val="2"/>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tcPr>
          <w:p>
            <w:pPr>
              <w:spacing w:after="0"/>
              <w:rPr>
                <w:sz w:val="18"/>
                <w:szCs w:val="18"/>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5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shd w:val="clear" w:color="auto" w:fill="CCEEFF"/>
          </w:tcPr>
          <w:p>
            <w:pPr>
              <w:spacing w:after="0"/>
              <w:rPr>
                <w:sz w:val="18"/>
                <w:szCs w:val="18"/>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Joseph N. Mildenhall</w:t>
            </w:r>
          </w:p>
        </w:tc>
        <w:tc>
          <w:tcPr>
            <w:tcW w:w="50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Kathy Player</w:t>
            </w:r>
          </w:p>
        </w:tc>
        <w:tc>
          <w:tcPr>
            <w:tcW w:w="5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r>
      <w:tr>
        <w:trPr>
          <w:trHeight w:val="363"/>
        </w:trPr>
        <w:tc>
          <w:tcPr>
            <w:tcW w:w="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960" w:type="dxa"/>
            <w:vAlign w:val="bottom"/>
          </w:tcPr>
          <w:p>
            <w:pPr>
              <w:jc w:val="right"/>
              <w:ind w:right="556"/>
              <w:spacing w:after="0"/>
              <w:rPr>
                <w:sz w:val="20"/>
                <w:szCs w:val="20"/>
                <w:color w:val="auto"/>
              </w:rPr>
            </w:pPr>
            <w:r>
              <w:rPr>
                <w:rFonts w:ascii="Arial" w:cs="Arial" w:eastAsia="Arial" w:hAnsi="Arial"/>
                <w:sz w:val="18"/>
                <w:szCs w:val="18"/>
                <w:color w:val="auto"/>
              </w:rPr>
              <w:t>28</w:t>
            </w:r>
          </w:p>
        </w:tc>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60"/>
          </w:cols>
          <w:pgMar w:left="240" w:top="280" w:right="39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Policies and Practices as Related to Risk Management</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 connection with the preparation of this proxy statement, our Compensation Committee reviewed and discussed our compensation policies and practices for senior management, including our named executive officers. In this regard, the Compensation Committee took note of the fact that:</w:t>
      </w:r>
    </w:p>
    <w:p>
      <w:pPr>
        <w:spacing w:after="0" w:line="4" w:lineRule="exact"/>
        <w:rPr>
          <w:sz w:val="20"/>
          <w:szCs w:val="20"/>
          <w:color w:val="auto"/>
        </w:rPr>
      </w:pPr>
    </w:p>
    <w:p>
      <w:pPr>
        <w:ind w:left="900" w:right="540" w:hanging="446"/>
        <w:spacing w:after="0" w:line="33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pay base salaries we believe are competitive and that are generally intended to constitute the largest component of cash compensation. We believe that this emphasis on paying competitive base salaries that are not at risk for performance discourages inappropriate risk taking;</w:t>
      </w:r>
    </w:p>
    <w:p>
      <w:pPr>
        <w:spacing w:after="0" w:line="4" w:lineRule="exact"/>
        <w:rPr>
          <w:rFonts w:ascii="Arial" w:cs="Arial" w:eastAsia="Arial" w:hAnsi="Arial"/>
          <w:sz w:val="16"/>
          <w:szCs w:val="16"/>
          <w:color w:val="auto"/>
        </w:rPr>
      </w:pPr>
    </w:p>
    <w:p>
      <w:pPr>
        <w:ind w:left="900" w:right="60" w:hanging="446"/>
        <w:spacing w:after="0" w:line="256"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Annual Cash Incentive Plan focuses on the achievement of company-wide revenue and adjusted EBITDA targets and individual non-financial performance metrics (which can include metrics based on compliance with regulatory or other risk management policies). We believe that the design of the Annual Cash Incentive Plan prevents participants from being able to materially enhance their bonus prospects through excessive or inappropriate risk-taking;</w:t>
      </w:r>
    </w:p>
    <w:p>
      <w:pPr>
        <w:spacing w:after="0" w:line="62"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cash payments that may be made to our named executive officers under the Annual Cash Incentive Plan are subject to stated maximum limits, which we believe mitigates any risks that our named executive officers may take;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equity grants made to our named executive officers, and all other employees, under the Equity Incentive Plan all vest in annual increments over a period of five years, which we believe discourages excessive or inappropriate short-term risk taking.</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Based on that review, and with input from management, the Compensation Committee has determined that that there are no known potential risks arising from our compensation polices or practices that are reasonably likely to have a material adverse effect on 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Report</w:t>
      </w:r>
    </w:p>
    <w:p>
      <w:pPr>
        <w:spacing w:after="0" w:line="96"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The Compensation Committee has discussed and reviewed the Compensation Discussion and Analysis with management. Based upon this review and discussion, the Compensation Committee recommended to the Board of Directors that the Compensation Discussion and Analysis be included in this proxy statement.</w:t>
      </w:r>
    </w:p>
    <w:p>
      <w:pPr>
        <w:spacing w:after="0" w:line="2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Compensation Committee:</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David J. Johnson (Chair)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Chad N. Heath</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D. Mark Dorman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following table sets forth the total compensation earned for services rendered by our principal executive officer, our principal financial officer, and our five other most highly compensated executive officers whose total compensation for the fiscal year ended December 31, 2011 was in excess of $100,000 and who were serving as executive officers at the end of that fiscal year. The listed individuals are referred to herein as the “named executive officers.”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6"/>
              </w:rPr>
              <w:t>Non-Equity</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3"/>
              </w:rPr>
              <w:t>Options</w:t>
            </w:r>
          </w:p>
        </w:tc>
        <w:tc>
          <w:tcPr>
            <w:tcW w:w="400" w:type="dxa"/>
            <w:vAlign w:val="bottom"/>
          </w:tcPr>
          <w:p>
            <w:pPr>
              <w:spacing w:after="0"/>
              <w:rPr>
                <w:sz w:val="12"/>
                <w:szCs w:val="12"/>
                <w:color w:val="auto"/>
              </w:rPr>
            </w:pPr>
          </w:p>
        </w:tc>
        <w:tc>
          <w:tcPr>
            <w:tcW w:w="122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84"/>
              </w:rPr>
              <w:t>Incentive Plan</w:t>
            </w:r>
          </w:p>
        </w:tc>
        <w:tc>
          <w:tcPr>
            <w:tcW w:w="1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All Other</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Salary</w:t>
            </w:r>
          </w:p>
        </w:tc>
        <w:tc>
          <w:tcPr>
            <w:tcW w:w="100" w:type="dxa"/>
            <w:vAlign w:val="bottom"/>
          </w:tcPr>
          <w:p>
            <w:pPr>
              <w:spacing w:after="0"/>
              <w:rPr>
                <w:sz w:val="12"/>
                <w:szCs w:val="12"/>
                <w:color w:val="auto"/>
              </w:rPr>
            </w:pPr>
          </w:p>
        </w:tc>
        <w:tc>
          <w:tcPr>
            <w:tcW w:w="7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6"/>
              </w:rPr>
              <w:t>Awards</w:t>
            </w:r>
          </w:p>
        </w:tc>
        <w:tc>
          <w:tcPr>
            <w:tcW w:w="400" w:type="dxa"/>
            <w:vAlign w:val="bottom"/>
          </w:tcPr>
          <w:p>
            <w:pPr>
              <w:spacing w:after="0"/>
              <w:rPr>
                <w:sz w:val="12"/>
                <w:szCs w:val="12"/>
                <w:color w:val="auto"/>
              </w:rPr>
            </w:pPr>
          </w:p>
        </w:tc>
        <w:tc>
          <w:tcPr>
            <w:tcW w:w="122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82"/>
              </w:rPr>
              <w:t>Compensation</w:t>
            </w:r>
          </w:p>
        </w:tc>
        <w:tc>
          <w:tcPr>
            <w:tcW w:w="10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gridSpan w:val="3"/>
            <w:vMerge w:val="continue"/>
          </w:tcPr>
          <w:p>
            <w:pPr>
              <w:spacing w:after="0"/>
              <w:rPr>
                <w:sz w:val="12"/>
                <w:szCs w:val="12"/>
                <w:color w:val="auto"/>
              </w:rPr>
            </w:pPr>
          </w:p>
        </w:tc>
        <w:tc>
          <w:tcPr>
            <w:tcW w:w="400" w:type="dxa"/>
            <w:vAlign w:val="bottom"/>
          </w:tcPr>
          <w:p>
            <w:pPr>
              <w:ind w:left="60"/>
              <w:spacing w:after="0" w:line="148" w:lineRule="exact"/>
              <w:rPr>
                <w:sz w:val="20"/>
                <w:szCs w:val="20"/>
                <w:color w:val="auto"/>
              </w:rPr>
            </w:pPr>
            <w:r>
              <w:rPr>
                <w:rFonts w:ascii="Arial" w:cs="Arial" w:eastAsia="Arial" w:hAnsi="Arial"/>
                <w:sz w:val="14"/>
                <w:szCs w:val="14"/>
                <w:b w:val="1"/>
                <w:bCs w:val="1"/>
                <w:color w:val="auto"/>
              </w:rPr>
              <w:t>Year</w:t>
            </w:r>
          </w:p>
        </w:tc>
        <w:tc>
          <w:tcPr>
            <w:tcW w:w="1080" w:type="dxa"/>
            <w:vAlign w:val="bottom"/>
            <w:gridSpan w:val="2"/>
          </w:tcPr>
          <w:p>
            <w:pPr>
              <w:jc w:val="right"/>
              <w:ind w:right="182"/>
              <w:spacing w:after="0" w:line="148"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5"/>
              <w:spacing w:after="0" w:line="148" w:lineRule="exact"/>
              <w:rPr>
                <w:sz w:val="20"/>
                <w:szCs w:val="20"/>
                <w:color w:val="auto"/>
              </w:rPr>
            </w:pPr>
            <w:r>
              <w:rPr>
                <w:rFonts w:ascii="Arial" w:cs="Arial" w:eastAsia="Arial" w:hAnsi="Arial"/>
                <w:sz w:val="14"/>
                <w:szCs w:val="14"/>
                <w:b w:val="1"/>
                <w:bCs w:val="1"/>
                <w:color w:val="auto"/>
                <w:w w:val="93"/>
              </w:rPr>
              <w:t>($)(1)</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73"/>
              <w:spacing w:after="0" w:line="148" w:lineRule="exact"/>
              <w:rPr>
                <w:sz w:val="20"/>
                <w:szCs w:val="20"/>
                <w:color w:val="auto"/>
              </w:rPr>
            </w:pPr>
            <w:r>
              <w:rPr>
                <w:rFonts w:ascii="Arial" w:cs="Arial" w:eastAsia="Arial" w:hAnsi="Arial"/>
                <w:sz w:val="14"/>
                <w:szCs w:val="14"/>
                <w:b w:val="1"/>
                <w:bCs w:val="1"/>
                <w:color w:val="auto"/>
              </w:rPr>
              <w:t>($)(2)</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34"/>
              <w:spacing w:after="0" w:line="148" w:lineRule="exact"/>
              <w:rPr>
                <w:sz w:val="20"/>
                <w:szCs w:val="20"/>
                <w:color w:val="auto"/>
              </w:rPr>
            </w:pPr>
            <w:r>
              <w:rPr>
                <w:rFonts w:ascii="Arial" w:cs="Arial" w:eastAsia="Arial" w:hAnsi="Arial"/>
                <w:sz w:val="14"/>
                <w:szCs w:val="14"/>
                <w:b w:val="1"/>
                <w:bCs w:val="1"/>
                <w:color w:val="auto"/>
                <w:w w:val="94"/>
              </w:rPr>
              <w:t>($) (3)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ind w:left="26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CCEEFF"/>
            </w:tcBorders>
            <w:shd w:val="clear" w:color="auto" w:fill="000000"/>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Brent D. Richardson</w:t>
            </w:r>
          </w:p>
        </w:tc>
        <w:tc>
          <w:tcPr>
            <w:tcW w:w="400" w:type="dxa"/>
            <w:vAlign w:val="bottom"/>
            <w:shd w:val="clear" w:color="auto" w:fill="CCEEFF"/>
          </w:tcPr>
          <w:p>
            <w:pPr>
              <w:ind w:left="60"/>
              <w:spacing w:after="0" w:line="182" w:lineRule="exact"/>
              <w:rPr>
                <w:sz w:val="20"/>
                <w:szCs w:val="20"/>
                <w:color w:val="auto"/>
              </w:rPr>
            </w:pPr>
            <w:r>
              <w:rPr>
                <w:rFonts w:ascii="Arial" w:cs="Arial" w:eastAsia="Arial" w:hAnsi="Arial"/>
                <w:sz w:val="18"/>
                <w:szCs w:val="18"/>
                <w:color w:val="auto"/>
                <w:w w:val="79"/>
              </w:rPr>
              <w:t>2011</w:t>
            </w: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87"/>
              </w:rPr>
              <w:t>$297,500</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18,400</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19,004</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91"/>
              </w:rPr>
              <w:t>$  334,904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Executive Chairman</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297,500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22,600</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17,408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337,508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860" w:type="dxa"/>
            <w:vAlign w:val="bottom"/>
            <w:shd w:val="clear" w:color="auto" w:fill="CCEEFF"/>
          </w:tcPr>
          <w:p>
            <w:pPr>
              <w:spacing w:after="0"/>
              <w:rPr>
                <w:sz w:val="20"/>
                <w:szCs w:val="20"/>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2009</w:t>
            </w: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297,500</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25,425</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17,408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340,333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5020" w:type="dxa"/>
            <w:vAlign w:val="bottom"/>
            <w:gridSpan w:val="3"/>
          </w:tcPr>
          <w:p>
            <w:pPr>
              <w:spacing w:after="0"/>
              <w:rPr>
                <w:sz w:val="20"/>
                <w:szCs w:val="20"/>
                <w:color w:val="auto"/>
              </w:rPr>
            </w:pPr>
            <w:r>
              <w:rPr>
                <w:rFonts w:ascii="Arial" w:cs="Arial" w:eastAsia="Arial" w:hAnsi="Arial"/>
                <w:sz w:val="18"/>
                <w:szCs w:val="18"/>
                <w:color w:val="auto"/>
              </w:rPr>
              <w:t>Brian E. Mueller</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2011</w:t>
            </w: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1,048,350</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441,600</w:t>
            </w:r>
          </w:p>
        </w:tc>
        <w:tc>
          <w:tcPr>
            <w:tcW w:w="12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2,580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2,092,530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200"/>
              <w:spacing w:after="0"/>
              <w:rPr>
                <w:sz w:val="20"/>
                <w:szCs w:val="20"/>
                <w:color w:val="auto"/>
              </w:rPr>
            </w:pPr>
            <w:r>
              <w:rPr>
                <w:rFonts w:ascii="Arial" w:cs="Arial" w:eastAsia="Arial" w:hAnsi="Arial"/>
                <w:sz w:val="18"/>
                <w:szCs w:val="18"/>
                <w:i w:val="1"/>
                <w:iCs w:val="1"/>
                <w:color w:val="auto"/>
              </w:rPr>
              <w:t>Chief Executive Officer and Director</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2010</w:t>
            </w: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553,384</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1,067,000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542,400</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2,580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2,165,364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gridSpan w:val="2"/>
          </w:tcPr>
          <w:p>
            <w:pPr>
              <w:ind w:left="200"/>
              <w:spacing w:after="0"/>
              <w:rPr>
                <w:sz w:val="20"/>
                <w:szCs w:val="20"/>
                <w:color w:val="auto"/>
              </w:rPr>
            </w:pPr>
            <w:r>
              <w:rPr>
                <w:rFonts w:ascii="Arial" w:cs="Arial" w:eastAsia="Arial" w:hAnsi="Arial"/>
                <w:sz w:val="18"/>
                <w:szCs w:val="18"/>
                <w:color w:val="auto"/>
              </w:rPr>
              <w:t>(Principal Executive Officer)</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2009</w:t>
            </w: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508,500</w:t>
            </w:r>
          </w:p>
        </w:tc>
        <w:tc>
          <w:tcPr>
            <w:tcW w:w="1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20,205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1,028,705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11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W. Stan Meyer</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2011</w:t>
            </w: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559,120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193,200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5,778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1,108,098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Executive Vice President</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327,692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426,800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234,019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991,256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860" w:type="dxa"/>
            <w:vAlign w:val="bottom"/>
            <w:shd w:val="clear" w:color="auto" w:fill="CCEEFF"/>
          </w:tcPr>
          <w:p>
            <w:pPr>
              <w:spacing w:after="0"/>
              <w:rPr>
                <w:sz w:val="20"/>
                <w:szCs w:val="20"/>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2009</w:t>
            </w: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152,550</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5,391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457,941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5020" w:type="dxa"/>
            <w:vAlign w:val="bottom"/>
            <w:gridSpan w:val="3"/>
          </w:tcPr>
          <w:p>
            <w:pPr>
              <w:spacing w:after="0"/>
              <w:rPr>
                <w:sz w:val="20"/>
                <w:szCs w:val="20"/>
                <w:color w:val="auto"/>
              </w:rPr>
            </w:pPr>
            <w:r>
              <w:rPr>
                <w:rFonts w:ascii="Arial" w:cs="Arial" w:eastAsia="Arial" w:hAnsi="Arial"/>
                <w:sz w:val="18"/>
                <w:szCs w:val="18"/>
                <w:color w:val="auto"/>
              </w:rPr>
              <w:t>Daniel E. Bachus</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2011</w:t>
            </w: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559,120</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186,638</w:t>
            </w:r>
          </w:p>
        </w:tc>
        <w:tc>
          <w:tcPr>
            <w:tcW w:w="12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420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1,096,178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200"/>
              <w:spacing w:after="0"/>
              <w:rPr>
                <w:sz w:val="20"/>
                <w:szCs w:val="20"/>
                <w:color w:val="auto"/>
              </w:rPr>
            </w:pPr>
            <w:r>
              <w:rPr>
                <w:rFonts w:ascii="Arial" w:cs="Arial" w:eastAsia="Arial" w:hAnsi="Arial"/>
                <w:sz w:val="18"/>
                <w:szCs w:val="18"/>
                <w:i w:val="1"/>
                <w:iCs w:val="1"/>
                <w:color w:val="auto"/>
              </w:rPr>
              <w:t>Chief Financial Officer</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2010</w:t>
            </w: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316,538</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426,800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237,300</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420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981,058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gridSpan w:val="2"/>
          </w:tcPr>
          <w:p>
            <w:pPr>
              <w:ind w:left="200"/>
              <w:spacing w:after="0"/>
              <w:rPr>
                <w:sz w:val="20"/>
                <w:szCs w:val="20"/>
                <w:color w:val="auto"/>
              </w:rPr>
            </w:pPr>
            <w:r>
              <w:rPr>
                <w:rFonts w:ascii="Arial" w:cs="Arial" w:eastAsia="Arial" w:hAnsi="Arial"/>
                <w:sz w:val="18"/>
                <w:szCs w:val="18"/>
                <w:color w:val="auto"/>
              </w:rPr>
              <w:t>(Principal Financial Officer)</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2009</w:t>
            </w: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275,000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139,838</w:t>
            </w:r>
          </w:p>
        </w:tc>
        <w:tc>
          <w:tcPr>
            <w:tcW w:w="1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323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415,161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11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Joseph N. Mildenhall</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2011</w:t>
            </w: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559,120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106,650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5,199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Chief Information Officer</w:t>
            </w:r>
            <w:r>
              <w:rPr>
                <w:rFonts w:ascii="Arial" w:cs="Arial" w:eastAsia="Arial" w:hAnsi="Arial"/>
                <w:sz w:val="18"/>
                <w:szCs w:val="18"/>
                <w:color w:val="auto"/>
              </w:rPr>
              <w:t>(4)</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266,750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135,600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860" w:type="dxa"/>
            <w:vAlign w:val="bottom"/>
            <w:shd w:val="clear" w:color="auto" w:fill="CCEEFF"/>
          </w:tcPr>
          <w:p>
            <w:pPr>
              <w:spacing w:after="0"/>
              <w:rPr>
                <w:sz w:val="20"/>
                <w:szCs w:val="20"/>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2009</w:t>
            </w: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78,075</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580,650</w:t>
            </w: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44,356</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17,887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720,968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5020" w:type="dxa"/>
            <w:vAlign w:val="bottom"/>
            <w:gridSpan w:val="3"/>
          </w:tcPr>
          <w:p>
            <w:pPr>
              <w:spacing w:after="0"/>
              <w:rPr>
                <w:sz w:val="20"/>
                <w:szCs w:val="20"/>
                <w:color w:val="auto"/>
              </w:rPr>
            </w:pPr>
            <w:r>
              <w:rPr>
                <w:rFonts w:ascii="Arial" w:cs="Arial" w:eastAsia="Arial" w:hAnsi="Arial"/>
                <w:sz w:val="18"/>
                <w:szCs w:val="18"/>
                <w:color w:val="auto"/>
              </w:rPr>
              <w:t>Dr. Kathy Player</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2011</w:t>
            </w: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275,000</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104,835</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97,075</w:t>
            </w:r>
          </w:p>
        </w:tc>
        <w:tc>
          <w:tcPr>
            <w:tcW w:w="12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3,961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480,871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200"/>
              <w:spacing w:after="0"/>
              <w:rPr>
                <w:sz w:val="20"/>
                <w:szCs w:val="20"/>
                <w:color w:val="auto"/>
              </w:rPr>
            </w:pPr>
            <w:r>
              <w:rPr>
                <w:rFonts w:ascii="Arial" w:cs="Arial" w:eastAsia="Arial" w:hAnsi="Arial"/>
                <w:sz w:val="18"/>
                <w:szCs w:val="18"/>
                <w:i w:val="1"/>
                <w:iCs w:val="1"/>
                <w:color w:val="auto"/>
              </w:rPr>
              <w:t>Grand Canyon University President</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2010</w:t>
            </w: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275,000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266,750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120,175</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2,610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664,535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2009</w:t>
            </w: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275,000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139,838</w:t>
            </w:r>
          </w:p>
        </w:tc>
        <w:tc>
          <w:tcPr>
            <w:tcW w:w="1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5,346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420,184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11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C. Richardson</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2011</w:t>
            </w: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297,500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109,480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4,207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General Counsel and Director</w:t>
            </w:r>
            <w:r>
              <w:rPr>
                <w:rFonts w:ascii="Arial" w:cs="Arial" w:eastAsia="Arial" w:hAnsi="Arial"/>
                <w:sz w:val="18"/>
                <w:szCs w:val="18"/>
                <w:color w:val="auto"/>
              </w:rPr>
              <w:t>(5)</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297,500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134,470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860" w:type="dxa"/>
            <w:vAlign w:val="bottom"/>
            <w:shd w:val="clear" w:color="auto" w:fill="CCEEFF"/>
          </w:tcPr>
          <w:p>
            <w:pPr>
              <w:spacing w:after="0"/>
              <w:rPr>
                <w:sz w:val="20"/>
                <w:szCs w:val="20"/>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2009</w:t>
            </w: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297,500</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76,275</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5,244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379,019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120" w:hanging="452"/>
        <w:spacing w:after="0" w:line="255"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amounts shown in this column reflect the compensation costs attributable to the stock options granted to the named executive officers in 2011, 2010, and 2009. The compensation costs are based on the grant date fair value of each stock option and do not take into account any estimated forfeitures related to service-based vesting conditions, if any. Assumptions used in the calculation of the grant date fair value of each option granted during the 2011, 2010 and 2009 fiscal year are set forth in Notes 2 and 14 to our financial statements for the fiscal year ended December 31, 2011 included in our 2011 Annual Report on Form 10-K.</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09" w:right="239" w:bottom="1440" w:gutter="0" w:footer="0" w:header="0"/>
        </w:sectPr>
      </w:pPr>
    </w:p>
    <w:bookmarkStart w:id="35" w:name="page36"/>
    <w:bookmarkEnd w:id="35"/>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amounts in this column reflect non-equity incentive payments earned pursuant to our Annual Cash Incentive Plan.</w:t>
      </w:r>
    </w:p>
    <w:p>
      <w:pPr>
        <w:spacing w:after="0" w:line="15" w:lineRule="exact"/>
        <w:rPr>
          <w:rFonts w:ascii="Arial" w:cs="Arial" w:eastAsia="Arial" w:hAnsi="Arial"/>
          <w:sz w:val="18"/>
          <w:szCs w:val="18"/>
          <w:color w:val="auto"/>
        </w:rPr>
      </w:pPr>
    </w:p>
    <w:p>
      <w:pPr>
        <w:jc w:val="both"/>
        <w:ind w:left="460" w:right="40" w:hanging="452"/>
        <w:spacing w:after="0" w:line="300" w:lineRule="auto"/>
        <w:tabs>
          <w:tab w:leader="none" w:pos="4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For Mr. Brent D. Richardson, the amounts in this column include the value of payments made by us on a Company-owned vehicle used by Mr. Richardson. In 2009 for Mr. Mueller, the amount in this column reflects the value of tuition-free enrollment for an additional child at Grand Canyon University (beyond the single spouse or child tuition benefit available to all full-time Company employees at that time). For Mr. Mueller, Dr. Meyer, Mr. Christopher D.</w:t>
      </w:r>
    </w:p>
    <w:p>
      <w:pPr>
        <w:spacing w:after="0" w:line="1" w:lineRule="exact"/>
        <w:rPr>
          <w:rFonts w:ascii="Arial" w:cs="Arial" w:eastAsia="Arial" w:hAnsi="Arial"/>
          <w:sz w:val="15"/>
          <w:szCs w:val="15"/>
          <w:color w:val="auto"/>
        </w:rPr>
      </w:pPr>
    </w:p>
    <w:p>
      <w:pPr>
        <w:ind w:left="460" w:right="200"/>
        <w:spacing w:after="0" w:line="281" w:lineRule="auto"/>
        <w:rPr>
          <w:rFonts w:ascii="Arial" w:cs="Arial" w:eastAsia="Arial" w:hAnsi="Arial"/>
          <w:sz w:val="15"/>
          <w:szCs w:val="15"/>
          <w:color w:val="auto"/>
        </w:rPr>
      </w:pPr>
      <w:r>
        <w:rPr>
          <w:rFonts w:ascii="Arial" w:cs="Arial" w:eastAsia="Arial" w:hAnsi="Arial"/>
          <w:sz w:val="16"/>
          <w:szCs w:val="16"/>
          <w:color w:val="auto"/>
        </w:rPr>
        <w:t>Richardson, Mr. Mildenhall and Dr. Player, the amounts in this column reflect matching payments made by the Company under our 401(k) plan. In 2011, 2010 and 2009, the amounts in this column include company paid life insurance premiums for all named executive officers.</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Mildenhall commenced employment with us on September 16, 2009.</w:t>
      </w:r>
    </w:p>
    <w:p>
      <w:pPr>
        <w:spacing w:after="0" w:line="9" w:lineRule="exact"/>
        <w:rPr>
          <w:rFonts w:ascii="Arial" w:cs="Arial" w:eastAsia="Arial" w:hAnsi="Arial"/>
          <w:sz w:val="18"/>
          <w:szCs w:val="18"/>
          <w:color w:val="auto"/>
        </w:rPr>
      </w:pPr>
    </w:p>
    <w:p>
      <w:pPr>
        <w:ind w:left="460" w:right="600" w:hanging="452"/>
        <w:spacing w:after="0" w:line="261"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Christopher C. Richardson has notified the Company that he will resign from our Board of Directors and as General Counsel effective upon the selection of his replacement as General Counsel.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Grants of Plan-Based Awards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sets forth certain information with respect to incentive plan awards under our Annual Cash Incentive Plan and our Equity Incentive Plan for the fiscal year ended December 31, 2011 to each of our named executive officers: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All Other</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Option</w:t>
            </w: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80" w:type="dxa"/>
            <w:vAlign w:val="bottom"/>
          </w:tcPr>
          <w:p>
            <w:pPr>
              <w:spacing w:after="0"/>
              <w:rPr>
                <w:sz w:val="12"/>
                <w:szCs w:val="12"/>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Awards:</w:t>
            </w:r>
          </w:p>
        </w:tc>
        <w:tc>
          <w:tcPr>
            <w:tcW w:w="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or Base</w:t>
            </w:r>
          </w:p>
        </w:tc>
        <w:tc>
          <w:tcPr>
            <w:tcW w:w="2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Number of</w:t>
            </w: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Price of</w:t>
            </w:r>
          </w:p>
        </w:tc>
        <w:tc>
          <w:tcPr>
            <w:tcW w:w="2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7"/>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Estimated Future Payouts Under Non-Equity</w:t>
            </w: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Securities</w:t>
            </w: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of Stock</w:t>
            </w:r>
          </w:p>
        </w:tc>
        <w:tc>
          <w:tcPr>
            <w:tcW w:w="0" w:type="dxa"/>
            <w:vAlign w:val="bottom"/>
          </w:tcPr>
          <w:p>
            <w:pPr>
              <w:spacing w:after="0"/>
              <w:rPr>
                <w:sz w:val="1"/>
                <w:szCs w:val="1"/>
                <w:color w:val="auto"/>
              </w:rPr>
            </w:pPr>
          </w:p>
        </w:tc>
      </w:tr>
      <w:tr>
        <w:trPr>
          <w:trHeight w:val="175"/>
        </w:trPr>
        <w:tc>
          <w:tcPr>
            <w:tcW w:w="4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5"/>
                <w:szCs w:val="15"/>
                <w:color w:val="auto"/>
              </w:rPr>
            </w:pPr>
          </w:p>
        </w:tc>
        <w:tc>
          <w:tcPr>
            <w:tcW w:w="2220" w:type="dxa"/>
            <w:vAlign w:val="bottom"/>
            <w:tcBorders>
              <w:bottom w:val="single" w:sz="8" w:color="auto"/>
            </w:tcBorders>
            <w:gridSpan w:val="5"/>
          </w:tcPr>
          <w:p>
            <w:pPr>
              <w:jc w:val="center"/>
              <w:ind w:left="567"/>
              <w:spacing w:after="0"/>
              <w:rPr>
                <w:sz w:val="20"/>
                <w:szCs w:val="20"/>
                <w:color w:val="auto"/>
              </w:rPr>
            </w:pPr>
            <w:r>
              <w:rPr>
                <w:rFonts w:ascii="Arial" w:cs="Arial" w:eastAsia="Arial" w:hAnsi="Arial"/>
                <w:sz w:val="14"/>
                <w:szCs w:val="14"/>
                <w:b w:val="1"/>
                <w:bCs w:val="1"/>
                <w:color w:val="auto"/>
                <w:w w:val="88"/>
              </w:rPr>
              <w:t>Incentive Plan Awards(1)</w:t>
            </w:r>
          </w:p>
        </w:tc>
        <w:tc>
          <w:tcPr>
            <w:tcW w:w="6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Underlying</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280" w:type="dxa"/>
            <w:vAlign w:val="bottom"/>
          </w:tcPr>
          <w:p>
            <w:pPr>
              <w:spacing w:after="0"/>
              <w:rPr>
                <w:sz w:val="15"/>
                <w:szCs w:val="15"/>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and Option</w:t>
            </w:r>
          </w:p>
        </w:tc>
        <w:tc>
          <w:tcPr>
            <w:tcW w:w="0" w:type="dxa"/>
            <w:vAlign w:val="bottom"/>
          </w:tcPr>
          <w:p>
            <w:pPr>
              <w:spacing w:after="0"/>
              <w:rPr>
                <w:sz w:val="1"/>
                <w:szCs w:val="1"/>
                <w:color w:val="auto"/>
              </w:rPr>
            </w:pPr>
          </w:p>
        </w:tc>
      </w:tr>
      <w:tr>
        <w:trPr>
          <w:trHeight w:val="129"/>
        </w:trPr>
        <w:tc>
          <w:tcPr>
            <w:tcW w:w="4360" w:type="dxa"/>
            <w:vAlign w:val="bottom"/>
            <w:gridSpan w:val="3"/>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4"/>
                <w:szCs w:val="14"/>
                <w:b w:val="1"/>
                <w:bCs w:val="1"/>
                <w:u w:val="single" w:color="auto"/>
                <w:color w:val="auto"/>
                <w:w w:val="87"/>
              </w:rPr>
              <w:t>Threshold($</w:t>
            </w:r>
            <w:r>
              <w:rPr>
                <w:rFonts w:ascii="Arial" w:cs="Arial" w:eastAsia="Arial" w:hAnsi="Arial"/>
                <w:sz w:val="14"/>
                <w:szCs w:val="14"/>
                <w:b w:val="1"/>
                <w:bCs w:val="1"/>
                <w:color w:val="auto"/>
                <w:w w:val="87"/>
              </w:rPr>
              <w:t>)</w:t>
            </w:r>
          </w:p>
        </w:tc>
        <w:tc>
          <w:tcPr>
            <w:tcW w:w="280" w:type="dxa"/>
            <w:vAlign w:val="bottom"/>
          </w:tcPr>
          <w:p>
            <w:pPr>
              <w:spacing w:after="0"/>
              <w:rPr>
                <w:sz w:val="11"/>
                <w:szCs w:val="11"/>
                <w:color w:val="auto"/>
              </w:rPr>
            </w:pPr>
          </w:p>
        </w:tc>
        <w:tc>
          <w:tcPr>
            <w:tcW w:w="100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Target($)</w:t>
            </w:r>
          </w:p>
        </w:tc>
        <w:tc>
          <w:tcPr>
            <w:tcW w:w="8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u w:val="single" w:color="auto"/>
                <w:color w:val="auto"/>
                <w:w w:val="92"/>
              </w:rPr>
              <w:t>Maximum($</w:t>
            </w:r>
            <w:r>
              <w:rPr>
                <w:rFonts w:ascii="Arial" w:cs="Arial" w:eastAsia="Arial" w:hAnsi="Arial"/>
                <w:sz w:val="14"/>
                <w:szCs w:val="14"/>
                <w:b w:val="1"/>
                <w:bCs w:val="1"/>
                <w:color w:val="auto"/>
                <w:w w:val="92"/>
              </w:rPr>
              <w:t>)</w:t>
            </w:r>
          </w:p>
        </w:tc>
        <w:tc>
          <w:tcPr>
            <w:tcW w:w="280" w:type="dxa"/>
            <w:vAlign w:val="bottom"/>
          </w:tcPr>
          <w:p>
            <w:pPr>
              <w:spacing w:after="0"/>
              <w:rPr>
                <w:sz w:val="11"/>
                <w:szCs w:val="11"/>
                <w:color w:val="auto"/>
              </w:rPr>
            </w:pPr>
          </w:p>
        </w:tc>
        <w:tc>
          <w:tcPr>
            <w:tcW w:w="94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9"/>
              </w:rPr>
              <w:t>Options (#)</w:t>
            </w: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($/Sh)</w:t>
            </w:r>
          </w:p>
        </w:tc>
        <w:tc>
          <w:tcPr>
            <w:tcW w:w="280" w:type="dxa"/>
            <w:vAlign w:val="bottom"/>
          </w:tcPr>
          <w:p>
            <w:pPr>
              <w:spacing w:after="0"/>
              <w:rPr>
                <w:sz w:val="11"/>
                <w:szCs w:val="11"/>
                <w:color w:val="auto"/>
              </w:rPr>
            </w:pPr>
          </w:p>
        </w:tc>
        <w:tc>
          <w:tcPr>
            <w:tcW w:w="90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8"/>
              </w:rPr>
              <w:t>Awards(2)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Brent D. Richardson</w:t>
            </w:r>
          </w:p>
        </w:tc>
        <w:tc>
          <w:tcPr>
            <w:tcW w:w="1100" w:type="dxa"/>
            <w:vAlign w:val="bottom"/>
            <w:shd w:val="clear" w:color="auto" w:fill="CCEEFF"/>
          </w:tcPr>
          <w:p>
            <w:pPr>
              <w:ind w:left="84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10,000</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  25,000</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35,000</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2"/>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Brian E. Mueller</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w w:val="93"/>
              </w:rPr>
              <w:t>Mar. 11, 2011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240,000</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600,000</w:t>
            </w: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840,000</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150,000</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$15.34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$1,048,350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W. Stan Meyer</w:t>
            </w:r>
          </w:p>
        </w:tc>
        <w:tc>
          <w:tcPr>
            <w:tcW w:w="1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3"/>
              </w:rPr>
              <w:t>Mar. 11, 2011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105,000</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262,500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367,500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Daniel E. Bachus</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w w:val="93"/>
              </w:rPr>
              <w:t>Mar. 11, 2011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105,000</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262,500</w:t>
            </w: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367,500</w:t>
            </w:r>
          </w:p>
        </w:tc>
        <w:tc>
          <w:tcPr>
            <w:tcW w:w="660" w:type="dxa"/>
            <w:vAlign w:val="bottom"/>
          </w:tcPr>
          <w:p>
            <w:pPr>
              <w:jc w:val="right"/>
              <w:spacing w:after="0"/>
              <w:rPr>
                <w:sz w:val="20"/>
                <w:szCs w:val="20"/>
                <w:color w:val="auto"/>
              </w:rPr>
            </w:pPr>
            <w:r>
              <w:rPr>
                <w:rFonts w:ascii="Arial" w:cs="Arial" w:eastAsia="Arial" w:hAnsi="Arial"/>
                <w:sz w:val="18"/>
                <w:szCs w:val="18"/>
                <w:color w:val="auto"/>
              </w:rPr>
              <w:t>80,000</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15.34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559,120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N. Mildenhall</w:t>
            </w:r>
          </w:p>
        </w:tc>
        <w:tc>
          <w:tcPr>
            <w:tcW w:w="1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3"/>
              </w:rPr>
              <w:t>Mar. 11, 2011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150,000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210,000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Dr. Kathy Player</w:t>
            </w: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w w:val="93"/>
              </w:rPr>
              <w:t>Mar. 11, 2011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55,000</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137,500</w:t>
            </w:r>
          </w:p>
        </w:tc>
        <w:tc>
          <w:tcPr>
            <w:tcW w:w="18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192,500</w:t>
            </w:r>
          </w:p>
        </w:tc>
        <w:tc>
          <w:tcPr>
            <w:tcW w:w="660" w:type="dxa"/>
            <w:vAlign w:val="bottom"/>
          </w:tcPr>
          <w:p>
            <w:pPr>
              <w:jc w:val="right"/>
              <w:spacing w:after="0"/>
              <w:rPr>
                <w:sz w:val="20"/>
                <w:szCs w:val="20"/>
                <w:color w:val="auto"/>
              </w:rPr>
            </w:pPr>
            <w:r>
              <w:rPr>
                <w:rFonts w:ascii="Arial" w:cs="Arial" w:eastAsia="Arial" w:hAnsi="Arial"/>
                <w:sz w:val="18"/>
                <w:szCs w:val="18"/>
                <w:color w:val="auto"/>
              </w:rPr>
              <w:t>15,000</w:t>
            </w: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15.34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104,835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C. Richardson</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59,500</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148,750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208,250</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300" w:hanging="452"/>
        <w:spacing w:after="0" w:line="286"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These amounts reflect the Threshold, Target and Maximum bonuses payable to our named executive officers under our Annual Cash Incentive Plan. All such awards have been paid, and the actual amounts paid are set forth in the Summary Compensation Table above.</w:t>
      </w:r>
    </w:p>
    <w:p>
      <w:pPr>
        <w:jc w:val="both"/>
        <w:ind w:left="460" w:right="180" w:hanging="452"/>
        <w:spacing w:after="0" w:line="331" w:lineRule="auto"/>
        <w:tabs>
          <w:tab w:leader="none" w:pos="4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dollar value reported in this column with respect to option awards represents the grant date fair value of each option award determined in accordance with the provisions of SFAS 123(R). A discussion of the valuation assumptions used in the SFAS 123(R) calculation of grant date fair value is set forth in Notes 2 and 14 to our financial statements for the fiscal year ended December 31, 2011, included in our 2011 Annual Report on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Outstanding Equity Awards at Fiscal Year-End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certain summary information concerning outstanding equity awards held by the named executive officers as of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80" w:type="dxa"/>
            <w:vAlign w:val="bottom"/>
            <w:gridSpan w:val="4"/>
          </w:tcPr>
          <w:p>
            <w:pPr>
              <w:ind w:left="20"/>
              <w:spacing w:after="0"/>
              <w:rPr>
                <w:sz w:val="20"/>
                <w:szCs w:val="20"/>
                <w:color w:val="auto"/>
              </w:rPr>
            </w:pPr>
            <w:r>
              <w:rPr>
                <w:rFonts w:ascii="Arial" w:cs="Arial" w:eastAsia="Arial" w:hAnsi="Arial"/>
                <w:sz w:val="14"/>
                <w:szCs w:val="14"/>
                <w:b w:val="1"/>
                <w:bCs w:val="1"/>
                <w:color w:val="auto"/>
              </w:rPr>
              <w:t>Option Awards(1)</w:t>
            </w: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gridSpan w:val="4"/>
          </w:tcPr>
          <w:p>
            <w:pPr>
              <w:ind w:left="5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Borders>
              <w:top w:val="single" w:sz="8" w:color="auto"/>
            </w:tcBorders>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Number of</w:t>
            </w: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3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Number of</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Market 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1"/>
              </w:rPr>
              <w:t>Shares of</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of Shares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Option</w:t>
            </w: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Stock That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7"/>
              </w:rPr>
              <w:t>Stock That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66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Options (#)</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380" w:type="dxa"/>
            <w:vAlign w:val="bottom"/>
          </w:tcPr>
          <w:p>
            <w:pPr>
              <w:spacing w:after="0"/>
              <w:rPr>
                <w:sz w:val="12"/>
                <w:szCs w:val="12"/>
                <w:color w:val="auto"/>
              </w:rPr>
            </w:pPr>
          </w:p>
        </w:tc>
        <w:tc>
          <w:tcPr>
            <w:tcW w:w="120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17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Option Expiration</w:t>
            </w: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Have Not</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6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4"/>
              </w:rPr>
              <w:t>Exercisable</w:t>
            </w: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4"/>
              </w:rPr>
              <w:t>Unexercisable</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255"/>
              <w:spacing w:after="0" w:line="148"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1700" w:type="dxa"/>
            <w:vAlign w:val="bottom"/>
            <w:gridSpan w:val="2"/>
          </w:tcPr>
          <w:p>
            <w:pPr>
              <w:ind w:left="580"/>
              <w:spacing w:after="0" w:line="148" w:lineRule="exact"/>
              <w:rPr>
                <w:sz w:val="20"/>
                <w:szCs w:val="20"/>
                <w:color w:val="auto"/>
              </w:rPr>
            </w:pPr>
            <w:r>
              <w:rPr>
                <w:rFonts w:ascii="Arial" w:cs="Arial" w:eastAsia="Arial" w:hAnsi="Arial"/>
                <w:sz w:val="14"/>
                <w:szCs w:val="14"/>
                <w:b w:val="1"/>
                <w:bCs w:val="1"/>
                <w:color w:val="auto"/>
              </w:rPr>
              <w:t>Date</w:t>
            </w:r>
          </w:p>
        </w:tc>
        <w:tc>
          <w:tcPr>
            <w:tcW w:w="102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78"/>
              </w:rPr>
              <w:t>Vested</w:t>
            </w:r>
          </w:p>
        </w:tc>
        <w:tc>
          <w:tcPr>
            <w:tcW w:w="90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Brian E. Mueller</w:t>
            </w:r>
          </w:p>
        </w:tc>
        <w:tc>
          <w:tcPr>
            <w:tcW w:w="2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150,000</w:t>
            </w: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15.34</w:t>
            </w:r>
          </w:p>
        </w:tc>
        <w:tc>
          <w:tcPr>
            <w:tcW w:w="3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March 11, 2021</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3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25, 2020</w:t>
            </w: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655,972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437,316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3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19, 2018</w:t>
            </w: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040" w:type="dxa"/>
            <w:vAlign w:val="bottom"/>
            <w:gridSpan w:val="2"/>
          </w:tcPr>
          <w:p>
            <w:pPr>
              <w:spacing w:after="0"/>
              <w:rPr>
                <w:sz w:val="20"/>
                <w:szCs w:val="20"/>
                <w:color w:val="auto"/>
              </w:rPr>
            </w:pPr>
            <w:r>
              <w:rPr>
                <w:rFonts w:ascii="Arial" w:cs="Arial" w:eastAsia="Arial" w:hAnsi="Arial"/>
                <w:sz w:val="18"/>
                <w:szCs w:val="18"/>
                <w:color w:val="auto"/>
              </w:rPr>
              <w:t>Dr. W. Stan Meyer</w:t>
            </w:r>
          </w:p>
        </w:tc>
        <w:tc>
          <w:tcPr>
            <w:tcW w:w="28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80,000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15.34</w:t>
            </w:r>
          </w:p>
        </w:tc>
        <w:tc>
          <w:tcPr>
            <w:tcW w:w="38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March 11, 2021</w:t>
            </w: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8,000</w:t>
            </w:r>
          </w:p>
        </w:tc>
        <w:tc>
          <w:tcPr>
            <w:tcW w:w="800" w:type="dxa"/>
            <w:vAlign w:val="bottom"/>
          </w:tcPr>
          <w:p>
            <w:pPr>
              <w:jc w:val="right"/>
              <w:spacing w:after="0"/>
              <w:rPr>
                <w:sz w:val="20"/>
                <w:szCs w:val="20"/>
                <w:color w:val="auto"/>
              </w:rPr>
            </w:pPr>
            <w:r>
              <w:rPr>
                <w:rFonts w:ascii="Arial" w:cs="Arial" w:eastAsia="Arial" w:hAnsi="Arial"/>
                <w:sz w:val="18"/>
                <w:szCs w:val="18"/>
                <w:color w:val="auto"/>
              </w:rPr>
              <w:t>32,000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21.10</w:t>
            </w:r>
          </w:p>
        </w:tc>
        <w:tc>
          <w:tcPr>
            <w:tcW w:w="38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February 25, 2020</w:t>
            </w: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262,389</w:t>
            </w:r>
          </w:p>
        </w:tc>
        <w:tc>
          <w:tcPr>
            <w:tcW w:w="800" w:type="dxa"/>
            <w:vAlign w:val="bottom"/>
          </w:tcPr>
          <w:p>
            <w:pPr>
              <w:jc w:val="right"/>
              <w:spacing w:after="0"/>
              <w:rPr>
                <w:sz w:val="20"/>
                <w:szCs w:val="20"/>
                <w:color w:val="auto"/>
              </w:rPr>
            </w:pPr>
            <w:r>
              <w:rPr>
                <w:rFonts w:ascii="Arial" w:cs="Arial" w:eastAsia="Arial" w:hAnsi="Arial"/>
                <w:sz w:val="18"/>
                <w:szCs w:val="18"/>
                <w:color w:val="auto"/>
              </w:rPr>
              <w:t>174,926</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12.00</w:t>
            </w:r>
          </w:p>
        </w:tc>
        <w:tc>
          <w:tcPr>
            <w:tcW w:w="380" w:type="dxa"/>
            <w:vAlign w:val="bottom"/>
          </w:tcPr>
          <w:p>
            <w:pPr>
              <w:spacing w:after="0"/>
              <w:rPr>
                <w:sz w:val="19"/>
                <w:szCs w:val="19"/>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November 19, 2018</w:t>
            </w: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3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11, 2021</w:t>
            </w: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3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25, 2020</w:t>
            </w: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236,150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157,434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3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19, 2018</w:t>
            </w: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040" w:type="dxa"/>
            <w:vAlign w:val="bottom"/>
            <w:gridSpan w:val="2"/>
          </w:tcPr>
          <w:p>
            <w:pPr>
              <w:spacing w:after="0"/>
              <w:rPr>
                <w:sz w:val="20"/>
                <w:szCs w:val="20"/>
                <w:color w:val="auto"/>
              </w:rPr>
            </w:pPr>
            <w:r>
              <w:rPr>
                <w:rFonts w:ascii="Arial" w:cs="Arial" w:eastAsia="Arial" w:hAnsi="Arial"/>
                <w:sz w:val="18"/>
                <w:szCs w:val="18"/>
                <w:color w:val="auto"/>
              </w:rPr>
              <w:t>Joseph N. Mildenhall</w:t>
            </w:r>
          </w:p>
        </w:tc>
        <w:tc>
          <w:tcPr>
            <w:tcW w:w="28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80,000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15.34</w:t>
            </w:r>
          </w:p>
        </w:tc>
        <w:tc>
          <w:tcPr>
            <w:tcW w:w="38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March 11, 2021</w:t>
            </w: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5,000</w:t>
            </w:r>
          </w:p>
        </w:tc>
        <w:tc>
          <w:tcPr>
            <w:tcW w:w="800" w:type="dxa"/>
            <w:vAlign w:val="bottom"/>
          </w:tcPr>
          <w:p>
            <w:pPr>
              <w:jc w:val="right"/>
              <w:spacing w:after="0"/>
              <w:rPr>
                <w:sz w:val="20"/>
                <w:szCs w:val="20"/>
                <w:color w:val="auto"/>
              </w:rPr>
            </w:pPr>
            <w:r>
              <w:rPr>
                <w:rFonts w:ascii="Arial" w:cs="Arial" w:eastAsia="Arial" w:hAnsi="Arial"/>
                <w:sz w:val="18"/>
                <w:szCs w:val="18"/>
                <w:color w:val="auto"/>
              </w:rPr>
              <w:t>20,000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21.10</w:t>
            </w:r>
          </w:p>
        </w:tc>
        <w:tc>
          <w:tcPr>
            <w:tcW w:w="38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February 25, 2020</w:t>
            </w: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30,000</w:t>
            </w:r>
          </w:p>
        </w:tc>
        <w:tc>
          <w:tcPr>
            <w:tcW w:w="800" w:type="dxa"/>
            <w:vAlign w:val="bottom"/>
          </w:tcPr>
          <w:p>
            <w:pPr>
              <w:jc w:val="right"/>
              <w:spacing w:after="0"/>
              <w:rPr>
                <w:sz w:val="20"/>
                <w:szCs w:val="20"/>
                <w:color w:val="auto"/>
              </w:rPr>
            </w:pPr>
            <w:r>
              <w:rPr>
                <w:rFonts w:ascii="Arial" w:cs="Arial" w:eastAsia="Arial" w:hAnsi="Arial"/>
                <w:sz w:val="18"/>
                <w:szCs w:val="18"/>
                <w:color w:val="auto"/>
              </w:rPr>
              <w:t>45,000</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17.03</w:t>
            </w:r>
          </w:p>
        </w:tc>
        <w:tc>
          <w:tcPr>
            <w:tcW w:w="380" w:type="dxa"/>
            <w:vAlign w:val="bottom"/>
          </w:tcPr>
          <w:p>
            <w:pPr>
              <w:spacing w:after="0"/>
              <w:rPr>
                <w:sz w:val="19"/>
                <w:szCs w:val="19"/>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September 16, 2019</w:t>
            </w: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Kathy Player</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3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11, 2021</w:t>
            </w: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3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25, 2020</w:t>
            </w: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40,702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3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19, 2018</w:t>
            </w: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140" w:hanging="452"/>
        <w:spacing w:after="0" w:line="302" w:lineRule="auto"/>
        <w:tabs>
          <w:tab w:leader="none" w:pos="4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For Dr. Player, 29,463 shares covered by her exercisable options were fully vested upon grant. The shares covered by the options granted to Mr. Mueller, Dr. Meyer, Mr. Bachus, Mr. Mildenhall and the remainder of Dr. Player’s options vest in five successive equal annual installments upon the completion of each year of service with us over the five year period measured from their grant date, subject to fully accelerated vesting in the event of a termination of employment by us without cause or by the executive for good reason within 12 months following a change in control of the Company. Mr. Mueller,</w:t>
      </w:r>
    </w:p>
    <w:p>
      <w:pPr>
        <w:spacing w:after="0" w:line="2" w:lineRule="exact"/>
        <w:rPr>
          <w:rFonts w:ascii="Arial" w:cs="Arial" w:eastAsia="Arial" w:hAnsi="Arial"/>
          <w:sz w:val="15"/>
          <w:szCs w:val="15"/>
          <w:color w:val="auto"/>
        </w:rPr>
      </w:pPr>
    </w:p>
    <w:p>
      <w:pPr>
        <w:ind w:left="460" w:right="540"/>
        <w:spacing w:after="0" w:line="261" w:lineRule="auto"/>
        <w:rPr>
          <w:rFonts w:ascii="Arial" w:cs="Arial" w:eastAsia="Arial" w:hAnsi="Arial"/>
          <w:sz w:val="15"/>
          <w:szCs w:val="15"/>
          <w:color w:val="auto"/>
        </w:rPr>
      </w:pPr>
      <w:r>
        <w:rPr>
          <w:rFonts w:ascii="Arial" w:cs="Arial" w:eastAsia="Arial" w:hAnsi="Arial"/>
          <w:sz w:val="18"/>
          <w:szCs w:val="18"/>
          <w:color w:val="auto"/>
        </w:rPr>
        <w:t>Dr. Meyer, Mr. Bachus and Mr. Mildenhall also receive partially accelerated vesting through the next vesting date immediately following the date of termination, upon the termination of employment by us without cause or by the executive for good reason.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Exercises and Stock Vested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our named executive officers exercised stock options during the fiscal year ended December 31,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Employment Agreements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are parties to employment agreements with each of our named executive officers. The agreements with Mr. Mueller, Dr. Meyer, and Mr. Bachus (entered into in July 2008), and the agreements with Messrs. Richardson and Richardson and Dr. Player (entered into in September 2008) each have a four-year term that automatically renew for one year periods after the initial four-year term unless either party provides written notice that it does not wish to renew the respective agreement. The agreement with Mr. Mildenhall (entered into in September 2009) has a three-year term and is also subject to automatic renewal. Except with respect to certain items of compensation, as described below, the terms of each agreement are similar in all material respects.</w:t>
      </w:r>
    </w:p>
    <w:p>
      <w:pPr>
        <w:spacing w:after="0" w:line="35" w:lineRule="exact"/>
        <w:rPr>
          <w:sz w:val="20"/>
          <w:szCs w:val="20"/>
          <w:color w:val="auto"/>
        </w:rPr>
      </w:pPr>
    </w:p>
    <w:p>
      <w:pPr>
        <w:ind w:left="900" w:right="60" w:hanging="446"/>
        <w:spacing w:after="0" w:line="253"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agreements with each of Brent D. Richardson and Christopher C. Richardson provide for a base salary of $297,500, subject to annual review by the Compensation Committee, and entitle each to receive performance bonuses as determined by the Compensation Committee based upon the Company’s achievement of performance, budgetary, and other objectives, as set in advance by the Compensation Committee. The agreements do not set a target performance bonus as percentage of base salary, but leave such target to be determined by the Compensation Committee. In addition, and also as discussed elsewhere in this proxy statement, although Messrs. Richardson and Richardson are eligible to participate in the Equity Incentive Plan, we do not anticipate granting any material awards under the Equity Incentive Plan to them and their agreements do not provide for any such awards.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5" w:right="239" w:bottom="1440" w:gutter="0" w:footer="0" w:header="0"/>
        </w:sectPr>
      </w:pPr>
    </w:p>
    <w:bookmarkStart w:id="37" w:name="page38"/>
    <w:bookmarkEnd w:id="37"/>
    <w:p>
      <w:pPr>
        <w:ind w:left="900" w:right="140" w:hanging="446"/>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agreements with each of Mr. Mueller, Dr. Meyer, Mr. Bachus, Mr. Mildenhall and Dr. Player provide for a base salary and a target bonus under our Annual Cash Incentive Plan. Mr. Mueller, Dr. Meyer, Mr. Bachus, Mr. Mildenhall, and Dr. Player are also eligible to receive equity incentive awards under our Equity Incentive Plan.</w:t>
      </w:r>
    </w:p>
    <w:p>
      <w:pPr>
        <w:spacing w:after="0" w:line="59" w:lineRule="exact"/>
        <w:rPr>
          <w:rFonts w:ascii="Arial" w:cs="Arial" w:eastAsia="Arial" w:hAnsi="Arial"/>
          <w:sz w:val="18"/>
          <w:szCs w:val="18"/>
          <w:color w:val="auto"/>
        </w:rPr>
      </w:pPr>
    </w:p>
    <w:p>
      <w:pPr>
        <w:ind w:left="900" w:right="58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agreement entitles the executive to receive customary and usual fringe benefits generally available to our senior management, and to be reimbursed for reasonable out-of-pocket business expenses.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agreement entitles the executive to certain benefits upon his or her termination of employment under specified circumstances.</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addition, each of the above employment agreements provides for payments upon certain terminations of the executive’s employment. For a description of these termination provisions, whether or not following a change-in-control, and a quantification of benefits that would be received by these executives, see the heading “Potential Payments upon Termination or Change in Control”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employment agreements with our named executive officers entitle them to certain severance payments and other benefits in the event of certain types of terminations, which are summarized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for Cause</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Each of the employment agreements provides that if the named executive officer is terminated by us for “Cause,” the named executive officer will be entitled to receive only his or her base salary then in effect, pro rated to the date of termination, and all fringe benefits through the date of termination, and all of such officer’s vested and unvested options will terminate. For purposes of each of the employment agreements, “Cause” is defined as (a) acts or omissions constituting gross negligence, recklessness or willful misconduct on the part of the executive with respect to the executive’s obligations or otherwise relating to the business of the Company; (b) the executive’s material breach of the employment agreement; (c) the executive’s breach of the Company’s employee nondisclosure and assignment agreement; (d) the executive’s conviction or entry of a plea of nolo contendere for fraud, misappropriation or embezzlement, or any felony or crime of moral turpitude; (e) the executive’s inability to perform the essential functions of the executive’s position, with or without reasonable accommodation, due to a mental or physical disability; (f) the executive’s willful neglect of duties as determined in the sole and exclusive discretion of the Board of Directors, provided that the executive has received written notice of the action or omission giving rise to such determination and has failed to remedy such situation to the satisfaction of the Board of Directors within 30 days following receipt of such written notice, unless the executive’s action or omission is not subject to cure, in which case no such notice shall be required, or (g) the executive’s death.</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Without Cause or Termination for Good Reason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Each of the employment agreements provides that if the named executive officer’s employment is terminated by us without Cause, or by the executive for “Good Reason,” the named executive officer will be entitled to receive his or her base salary then in effect, pro-rated to the date of termination, as well as a severance package consisting of the following:</w:t>
      </w:r>
    </w:p>
    <w:p>
      <w:pPr>
        <w:spacing w:after="0" w:line="59" w:lineRule="exact"/>
        <w:rPr>
          <w:sz w:val="20"/>
          <w:szCs w:val="20"/>
          <w:color w:val="auto"/>
        </w:rPr>
      </w:pPr>
    </w:p>
    <w:p>
      <w:pPr>
        <w:ind w:left="900" w:right="120" w:hanging="446"/>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severance payment equivalent to 12 months of the executive’s base salary then in effect on the date of termination, payable in accordance with the Company’s regular payroll cycle commencing with the first payroll date occurring on or after the 60th day following the date of the executive’s termination of employment;</w:t>
      </w:r>
    </w:p>
    <w:p>
      <w:pPr>
        <w:spacing w:after="0" w:line="59" w:lineRule="exact"/>
        <w:rPr>
          <w:rFonts w:ascii="Arial" w:cs="Arial" w:eastAsia="Arial" w:hAnsi="Arial"/>
          <w:sz w:val="18"/>
          <w:szCs w:val="18"/>
          <w:color w:val="auto"/>
        </w:rPr>
      </w:pPr>
    </w:p>
    <w:p>
      <w:pPr>
        <w:ind w:left="900" w:right="140" w:hanging="446"/>
        <w:spacing w:after="0" w:line="256"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payment by us of the premiums required to continue the executive’s group health care coverage for a period of 12 months following the executive’s termination, under the applicable provisions of the Consolidated Omnibus Budget Reconciliation Act (“COBRA”), provided that the executive timely elects to continue and remains eligible for these benefits under COBRA, and does not become eligible for health coverage through another employer during this period; and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38" w:name="page39"/>
    <w:bookmarkEnd w:id="38"/>
    <w:p>
      <w:pPr>
        <w:ind w:left="900" w:right="180" w:hanging="446"/>
        <w:spacing w:after="0" w:line="33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respect to Mr. Mueller, Dr. Meyer, and Mr. Bachus, acceleration of the vesting of the next annual installment of the options granted to them in November 2008 that would otherwise have vested on the next vesting date following the termination of the executive’s employment.</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To receive the severance package, the executive must: (i) comply with all surviving provisions of his or her agreement, including the non-competition, non-solicitation, and confidentiality provisions described below, and (ii) execute a full general release, releasing all claims, known or unknown, that executive may have against us arising out of or in any way related to executive’s employment or termination of employment with us. In addition, for options that previously vested, the executive has until the earlier of three months from the date of separation and the expiration of the applicable option to exercise such option.</w:t>
      </w:r>
    </w:p>
    <w:p>
      <w:pPr>
        <w:spacing w:after="0" w:line="113"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For purposes of each of the employment agreements, “Good Reason” is defined as the occurrence of any of the following conditions without the executive’s written consent, which condition remains in effect 30 days after the executive provides written notice to us of such condition: (a) a material reduction in the executive’s base salary as then in effect prior to such reduction, other than as part of a salary reduction program among similar management employees,</w:t>
      </w:r>
    </w:p>
    <w:p>
      <w:pPr>
        <w:spacing w:after="0" w:line="1" w:lineRule="exact"/>
        <w:rPr>
          <w:sz w:val="20"/>
          <w:szCs w:val="20"/>
          <w:color w:val="auto"/>
        </w:rPr>
      </w:pPr>
    </w:p>
    <w:p>
      <w:pPr>
        <w:ind w:right="20" w:firstLine="8"/>
        <w:spacing w:after="0" w:line="254" w:lineRule="auto"/>
        <w:tabs>
          <w:tab w:leader="none" w:pos="249"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material diminution in the executive’s authority, duties or responsibilities as an employee of the Company as they existed prior to such change, or (c) a relocation of the executive’s principal place of work that increases the executive’s one-way commute distance by more than 50 miles; provided that the executive will be deemed to have given consent to any such condition if the executive does not provide written notice to us of his or her intent to exercise such rights within 30 days following the first occurrence of such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Upon a Change in Control</w:t>
      </w:r>
    </w:p>
    <w:p>
      <w:pPr>
        <w:spacing w:after="0" w:line="9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Each of the employment agreements provides that if the named executive officer’s employment is terminated by us without Cause or by the executive for Good Reason, in each case upon or within 12 months following a “Change in Control,” then, in addition to receiving his or her base salary then in effect, pro-rated to the date of termination, and the severance package described above, the named executive officer will also be entitled to acceleration of the vesting of all stock options and restricted stock held by such executive that have not yet vested as of the date of such termination. For purposes of each of the employment agreements, “Change in Control” is defined as any one of the following occurrences: (a) any “person” (as such term is used in Sections 13(d) and 14(d) of the Exchange Act), becomes the “beneficial owner” (as such term is defined in Rule 13d-3 promulgated under the Exchange Act), directly or indirectly, of securities of the Company representing more than 50% of the total fair market value or total combined voting power of our then-outstanding securities entitled to vote generally in the election of directors; provided, however, that a Change in Control shall not be deemed to have occurred if such degree of beneficial ownership results from any of the following: (i) an acquisition of securities by any person who on the effective date of the employment agreement was the beneficial owner of more than 50% of such voting power, (ii) any acquisition of securities directly from us including, without limitation, pursuant to or in connection with a public offering of securities, (iii) any acquisition of securities by us, (iv) any acquisition of securities by a trustee or other fiduciary under a Company employee benefit plan, or (v) any acquisition of securities by an entity owned directly or indirectly by stockholders of the Company in substantially the same proportions as their ownership of the voting securities of the Company; (b) the sale or disposition of all or substantially all of the Company’s assets (other than a sale or disposition to one or more subsidiaries of the Company), or any transaction having similar effect is consummated; (c) the Company is party to a merger or consolidation that results in the holders of voting securities of the Company outstanding immediately prior thereto failing to continue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 (d) the dissolution or liquidation of the Company.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Non-Competition and Non-Solicitation Obligations</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Each of the employment agreements prohibits the executives from engaging in any work that creates an actual conflict of interest with us, and includes customary non-competition and non-solicitation covenants that prohibit the executives, during their employment with us and for 12 months thereafter, from (i) owning (except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39" w:name="page40"/>
    <w:bookmarkEnd w:id="39"/>
    <w:p>
      <w:pPr>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ownership of less than 1% of any class of securities which are listed for trading on any securities exchange or which are traded in the over the counter market), managing, controlling, participating in, consulting with, rendering services for, or in any manner engaging in the operation of a for-profit, postsecondary education institution or any other business that is in the same line of business as us; (ii) soliciting funds on behalf of, or for the benefit of, any for-profit, postsecondary education institution (other than us) or any other entity that competes with us; (iii) soliciting our current or prospective students to be students for any other for-profit, postsecondary education institution; (iv) inducing or attempting to induce any of our employees to leave our employ, or in any way interfering with the relationship between us and any of our employees; or (v) inducing or attempting to induce any of our students, customers, suppliers, licensees, or other business partners to cease doing business with, or modify its business relationship with, us, or in any way interfere with or hinder the relationship between any such student, customer, supplier, licensee, or business partner and us. Each of the executives has separately entered into a confidentiality agreement with us.</w:t>
      </w:r>
    </w:p>
    <w:p>
      <w:pPr>
        <w:spacing w:after="0" w:line="15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following table provides information regarding the potential payments upon termination without Cause or for Good Reason, as well upon termination without Cause or for Good Reason after a Change in Control of the Company, which would have been paid to each executive in the event he or she had been terminated as of December 30, 2011, the last business day of fiscal year 2011. All payments in connection with any such termination will comply with Section 409A of the Code, to the extent Section 409A applies. The actual amounts to be paid out can only be determined at the time of such executive’s separation from the Company.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86"/>
              </w:rPr>
              <w:t>Termination without Cause or for Good Reason</w:t>
            </w:r>
          </w:p>
        </w:tc>
      </w:tr>
      <w:tr>
        <w:trPr>
          <w:trHeight w:val="161"/>
        </w:trPr>
        <w:tc>
          <w:tcPr>
            <w:tcW w:w="3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720" w:type="dxa"/>
            <w:vAlign w:val="bottom"/>
            <w:gridSpan w:val="7"/>
          </w:tcPr>
          <w:p>
            <w:pPr>
              <w:ind w:left="280"/>
              <w:spacing w:after="0"/>
              <w:rPr>
                <w:sz w:val="20"/>
                <w:szCs w:val="20"/>
                <w:color w:val="auto"/>
              </w:rPr>
            </w:pPr>
            <w:r>
              <w:rPr>
                <w:rFonts w:ascii="Arial" w:cs="Arial" w:eastAsia="Arial" w:hAnsi="Arial"/>
                <w:sz w:val="14"/>
                <w:szCs w:val="14"/>
                <w:b w:val="1"/>
                <w:bCs w:val="1"/>
                <w:color w:val="auto"/>
              </w:rPr>
              <w:t>Termination without Cause or for Good Reason</w:t>
            </w:r>
          </w:p>
        </w:tc>
        <w:tc>
          <w:tcPr>
            <w:tcW w:w="34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87"/>
              </w:rPr>
              <w:t>following a Change in Control</w:t>
            </w:r>
          </w:p>
        </w:tc>
      </w:tr>
      <w:tr>
        <w:trPr>
          <w:trHeight w:val="129"/>
        </w:trPr>
        <w:tc>
          <w:tcPr>
            <w:tcW w:w="3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Cash</w:t>
            </w:r>
          </w:p>
        </w:tc>
        <w:tc>
          <w:tcPr>
            <w:tcW w:w="4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37"/>
              <w:spacing w:after="0" w:line="129" w:lineRule="exact"/>
              <w:rPr>
                <w:sz w:val="20"/>
                <w:szCs w:val="20"/>
                <w:color w:val="auto"/>
              </w:rPr>
            </w:pPr>
            <w:r>
              <w:rPr>
                <w:rFonts w:ascii="Arial" w:cs="Arial" w:eastAsia="Arial" w:hAnsi="Arial"/>
                <w:sz w:val="14"/>
                <w:szCs w:val="14"/>
                <w:b w:val="1"/>
                <w:bCs w:val="1"/>
                <w:color w:val="auto"/>
                <w:w w:val="86"/>
              </w:rPr>
              <w:t>Acceleration of</w:t>
            </w:r>
          </w:p>
        </w:tc>
        <w:tc>
          <w:tcPr>
            <w:tcW w:w="42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17"/>
              <w:spacing w:after="0" w:line="129" w:lineRule="exact"/>
              <w:rPr>
                <w:sz w:val="20"/>
                <w:szCs w:val="20"/>
                <w:color w:val="auto"/>
              </w:rPr>
            </w:pPr>
            <w:r>
              <w:rPr>
                <w:rFonts w:ascii="Arial" w:cs="Arial" w:eastAsia="Arial" w:hAnsi="Arial"/>
                <w:sz w:val="14"/>
                <w:szCs w:val="14"/>
                <w:b w:val="1"/>
                <w:bCs w:val="1"/>
                <w:color w:val="auto"/>
                <w:w w:val="84"/>
              </w:rPr>
              <w:t>Acceleration of</w:t>
            </w:r>
          </w:p>
        </w:tc>
        <w:tc>
          <w:tcPr>
            <w:tcW w:w="100" w:type="dxa"/>
            <w:vAlign w:val="bottom"/>
          </w:tcPr>
          <w:p>
            <w:pPr>
              <w:spacing w:after="0"/>
              <w:rPr>
                <w:sz w:val="11"/>
                <w:szCs w:val="11"/>
                <w:color w:val="auto"/>
              </w:rPr>
            </w:pPr>
          </w:p>
        </w:tc>
      </w:tr>
      <w:tr>
        <w:trPr>
          <w:trHeight w:val="149"/>
        </w:trPr>
        <w:tc>
          <w:tcPr>
            <w:tcW w:w="30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Payment</w:t>
            </w:r>
          </w:p>
        </w:tc>
        <w:tc>
          <w:tcPr>
            <w:tcW w:w="4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Benefits</w:t>
            </w:r>
          </w:p>
        </w:tc>
        <w:tc>
          <w:tcPr>
            <w:tcW w:w="420" w:type="dxa"/>
            <w:vAlign w:val="bottom"/>
          </w:tcPr>
          <w:p>
            <w:pPr>
              <w:spacing w:after="0"/>
              <w:rPr>
                <w:sz w:val="12"/>
                <w:szCs w:val="12"/>
                <w:color w:val="auto"/>
              </w:rPr>
            </w:pPr>
          </w:p>
        </w:tc>
        <w:tc>
          <w:tcPr>
            <w:tcW w:w="15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Vesting of Options</w:t>
            </w:r>
          </w:p>
        </w:tc>
        <w:tc>
          <w:tcPr>
            <w:tcW w:w="13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Payment</w:t>
            </w:r>
          </w:p>
        </w:tc>
        <w:tc>
          <w:tcPr>
            <w:tcW w:w="10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Benefits</w:t>
            </w: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Vesting of Options</w:t>
            </w:r>
          </w:p>
        </w:tc>
      </w:tr>
      <w:tr>
        <w:trPr>
          <w:trHeight w:val="161"/>
        </w:trPr>
        <w:tc>
          <w:tcPr>
            <w:tcW w:w="3060" w:type="dxa"/>
            <w:vAlign w:val="bottom"/>
          </w:tcPr>
          <w:p>
            <w:pPr>
              <w:spacing w:after="0"/>
              <w:rPr>
                <w:sz w:val="14"/>
                <w:szCs w:val="14"/>
                <w:color w:val="auto"/>
              </w:rPr>
            </w:pPr>
          </w:p>
        </w:tc>
        <w:tc>
          <w:tcPr>
            <w:tcW w:w="1860" w:type="dxa"/>
            <w:vAlign w:val="bottom"/>
            <w:gridSpan w:val="2"/>
          </w:tcPr>
          <w:p>
            <w:pPr>
              <w:jc w:val="center"/>
              <w:ind w:left="1055"/>
              <w:spacing w:after="0"/>
              <w:rPr>
                <w:sz w:val="20"/>
                <w:szCs w:val="20"/>
                <w:color w:val="auto"/>
              </w:rPr>
            </w:pPr>
            <w:r>
              <w:rPr>
                <w:rFonts w:ascii="Arial" w:cs="Arial" w:eastAsia="Arial" w:hAnsi="Arial"/>
                <w:sz w:val="14"/>
                <w:szCs w:val="14"/>
                <w:b w:val="1"/>
                <w:bCs w:val="1"/>
                <w:color w:val="auto"/>
                <w:w w:val="93"/>
              </w:rPr>
              <w:t>($)(1)</w:t>
            </w:r>
          </w:p>
        </w:tc>
        <w:tc>
          <w:tcPr>
            <w:tcW w:w="1020" w:type="dxa"/>
            <w:vAlign w:val="bottom"/>
            <w:gridSpan w:val="2"/>
          </w:tcPr>
          <w:p>
            <w:pPr>
              <w:jc w:val="right"/>
              <w:ind w:right="62"/>
              <w:spacing w:after="0"/>
              <w:rPr>
                <w:sz w:val="20"/>
                <w:szCs w:val="20"/>
                <w:color w:val="auto"/>
              </w:rPr>
            </w:pPr>
            <w:r>
              <w:rPr>
                <w:rFonts w:ascii="Arial" w:cs="Arial" w:eastAsia="Arial" w:hAnsi="Arial"/>
                <w:sz w:val="14"/>
                <w:szCs w:val="14"/>
                <w:b w:val="1"/>
                <w:bCs w:val="1"/>
                <w:color w:val="auto"/>
              </w:rPr>
              <w:t>($)(2)</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($)(3)</w:t>
            </w:r>
          </w:p>
        </w:tc>
        <w:tc>
          <w:tcPr>
            <w:tcW w:w="420" w:type="dxa"/>
            <w:vAlign w:val="bottom"/>
          </w:tcPr>
          <w:p>
            <w:pPr>
              <w:spacing w:after="0"/>
              <w:rPr>
                <w:sz w:val="14"/>
                <w:szCs w:val="14"/>
                <w:color w:val="auto"/>
              </w:rPr>
            </w:pPr>
          </w:p>
        </w:tc>
        <w:tc>
          <w:tcPr>
            <w:tcW w:w="840" w:type="dxa"/>
            <w:vAlign w:val="bottom"/>
          </w:tcPr>
          <w:p>
            <w:pPr>
              <w:jc w:val="right"/>
              <w:ind w:right="180"/>
              <w:spacing w:after="0"/>
              <w:rPr>
                <w:sz w:val="20"/>
                <w:szCs w:val="20"/>
                <w:color w:val="auto"/>
              </w:rPr>
            </w:pPr>
            <w:r>
              <w:rPr>
                <w:rFonts w:ascii="Arial" w:cs="Arial" w:eastAsia="Arial" w:hAnsi="Arial"/>
                <w:sz w:val="14"/>
                <w:szCs w:val="14"/>
                <w:b w:val="1"/>
                <w:bCs w:val="1"/>
                <w:color w:val="auto"/>
              </w:rPr>
              <w:t>($)(1)</w:t>
            </w:r>
          </w:p>
        </w:tc>
        <w:tc>
          <w:tcPr>
            <w:tcW w:w="46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Arial" w:cs="Arial" w:eastAsia="Arial" w:hAnsi="Arial"/>
                <w:sz w:val="14"/>
                <w:szCs w:val="14"/>
                <w:b w:val="1"/>
                <w:bCs w:val="1"/>
                <w:color w:val="auto"/>
              </w:rPr>
              <w:t>($)(2)</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17"/>
              <w:spacing w:after="0"/>
              <w:rPr>
                <w:sz w:val="20"/>
                <w:szCs w:val="20"/>
                <w:color w:val="auto"/>
              </w:rPr>
            </w:pPr>
            <w:r>
              <w:rPr>
                <w:rFonts w:ascii="Arial" w:cs="Arial" w:eastAsia="Arial" w:hAnsi="Arial"/>
                <w:sz w:val="14"/>
                <w:szCs w:val="14"/>
                <w:b w:val="1"/>
                <w:bCs w:val="1"/>
                <w:color w:val="auto"/>
                <w:w w:val="87"/>
              </w:rPr>
              <w:t>($)(3)</w:t>
            </w:r>
          </w:p>
        </w:tc>
        <w:tc>
          <w:tcPr>
            <w:tcW w:w="100" w:type="dxa"/>
            <w:vAlign w:val="bottom"/>
          </w:tcPr>
          <w:p>
            <w:pPr>
              <w:spacing w:after="0"/>
              <w:rPr>
                <w:sz w:val="14"/>
                <w:szCs w:val="14"/>
                <w:color w:val="auto"/>
              </w:rPr>
            </w:pPr>
          </w:p>
        </w:tc>
      </w:tr>
      <w:tr>
        <w:trPr>
          <w:trHeight w:val="210"/>
        </w:trPr>
        <w:tc>
          <w:tcPr>
            <w:tcW w:w="3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Brent D. Richardson</w:t>
            </w:r>
          </w:p>
        </w:tc>
        <w:tc>
          <w:tcPr>
            <w:tcW w:w="1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$ 297,500</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$ 16,229</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297,500</w:t>
            </w: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$16,229</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Brian E. Mueller</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600,000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10,808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884,484</w:t>
            </w:r>
          </w:p>
        </w:tc>
        <w:tc>
          <w:tcPr>
            <w:tcW w:w="840" w:type="dxa"/>
            <w:vAlign w:val="bottom"/>
          </w:tcPr>
          <w:p>
            <w:pPr>
              <w:jc w:val="right"/>
              <w:spacing w:after="0"/>
              <w:rPr>
                <w:sz w:val="20"/>
                <w:szCs w:val="20"/>
                <w:color w:val="auto"/>
              </w:rPr>
            </w:pPr>
            <w:r>
              <w:rPr>
                <w:rFonts w:ascii="Arial" w:cs="Arial" w:eastAsia="Arial" w:hAnsi="Arial"/>
                <w:sz w:val="18"/>
                <w:szCs w:val="18"/>
                <w:color w:val="auto"/>
              </w:rPr>
              <w:t>600,000</w:t>
            </w:r>
          </w:p>
        </w:tc>
        <w:tc>
          <w:tcPr>
            <w:tcW w:w="4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10,808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1,806,168</w:t>
            </w:r>
          </w:p>
        </w:tc>
        <w:tc>
          <w:tcPr>
            <w:tcW w:w="10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Dr. W. Stan Meyer</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16,229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356,273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732,387</w:t>
            </w:r>
          </w:p>
        </w:tc>
        <w:tc>
          <w:tcPr>
            <w:tcW w:w="100" w:type="dxa"/>
            <w:vAlign w:val="bottom"/>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Daniel E. Bachus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350,000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16,229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321,639</w:t>
            </w:r>
          </w:p>
        </w:tc>
        <w:tc>
          <w:tcPr>
            <w:tcW w:w="840" w:type="dxa"/>
            <w:vAlign w:val="bottom"/>
          </w:tcPr>
          <w:p>
            <w:pPr>
              <w:jc w:val="right"/>
              <w:spacing w:after="0"/>
              <w:rPr>
                <w:sz w:val="20"/>
                <w:szCs w:val="20"/>
                <w:color w:val="auto"/>
              </w:rPr>
            </w:pPr>
            <w:r>
              <w:rPr>
                <w:rFonts w:ascii="Arial" w:cs="Arial" w:eastAsia="Arial" w:hAnsi="Arial"/>
                <w:sz w:val="18"/>
                <w:szCs w:val="18"/>
                <w:color w:val="auto"/>
              </w:rPr>
              <w:t>350,000</w:t>
            </w:r>
          </w:p>
        </w:tc>
        <w:tc>
          <w:tcPr>
            <w:tcW w:w="4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16,229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663,117</w:t>
            </w:r>
          </w:p>
        </w:tc>
        <w:tc>
          <w:tcPr>
            <w:tcW w:w="10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Joseph N. Mildenhall</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13,078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9,920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39,680</w:t>
            </w:r>
          </w:p>
        </w:tc>
        <w:tc>
          <w:tcPr>
            <w:tcW w:w="100" w:type="dxa"/>
            <w:vAlign w:val="bottom"/>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Dr. Kathy Player</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275,000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5,618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275,000</w:t>
            </w:r>
          </w:p>
        </w:tc>
        <w:tc>
          <w:tcPr>
            <w:tcW w:w="4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76,711</w:t>
            </w:r>
          </w:p>
        </w:tc>
        <w:tc>
          <w:tcPr>
            <w:tcW w:w="10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Christopher C. Richardson</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297,500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16,011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297,500</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bl>
    <w:p>
      <w:pPr>
        <w:spacing w:after="0" w:line="73"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Assumes a termination date of December 30, 2011, and is based on the executive’s salary in effect at such date.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Reflects the cost related to the continuation of the executive’s health benefits for the period specified.</w:t>
      </w:r>
    </w:p>
    <w:p>
      <w:pPr>
        <w:spacing w:after="0" w:line="9" w:lineRule="exact"/>
        <w:rPr>
          <w:rFonts w:ascii="Arial" w:cs="Arial" w:eastAsia="Arial" w:hAnsi="Arial"/>
          <w:sz w:val="18"/>
          <w:szCs w:val="18"/>
          <w:color w:val="auto"/>
        </w:rPr>
      </w:pPr>
    </w:p>
    <w:p>
      <w:pPr>
        <w:ind w:left="460" w:right="200" w:hanging="452"/>
        <w:spacing w:after="0" w:line="261"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Calculated based on an assumed termination date of December 30, 2011 and the closing market price of our common stock on the Nasdaq Global Market on such date, less the applicable exercise price for each option for which vesting is accelerated.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40" w:name="page41"/>
    <w:bookmarkEnd w:id="40"/>
    <w:p>
      <w:pPr>
        <w:ind w:left="36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BENEFICIAL OWNERSHIP OF COMMON STOCK</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the beneficial ownership of our common stock as of February 29, 2012 for:</w:t>
      </w:r>
    </w:p>
    <w:p>
      <w:pPr>
        <w:spacing w:after="0" w:line="90"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person, or group of affiliated persons, known to us to own beneficially 5% or more of our outstanding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of our directors and named executive officers as a group.</w:t>
      </w:r>
    </w:p>
    <w:p>
      <w:pPr>
        <w:spacing w:after="0" w:line="17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information in the following table has been presented in accordance with the rules of the SEC. Under SEC rules, beneficial ownership of a class of capital stock includes any shares of such class as to which a person, directly or indirectly, has or shares voting power or investment power and also any shares as to which a person has the right to acquire such voting or investment power within 60 days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Unless otherwise noted below, the address for each holder listed below is 3300 W. Camelback Road, Phoenix, Arizona 85017.</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calculations of beneficial ownership in this table are based on 44,465,463 shares outstanding at February 29,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2260" w:type="dxa"/>
            <w:vAlign w:val="bottom"/>
            <w:tcBorders>
              <w:bottom w:val="single" w:sz="8" w:color="auto"/>
            </w:tcBorders>
            <w:gridSpan w:val="2"/>
          </w:tcPr>
          <w:p>
            <w:pPr>
              <w:ind w:left="1240"/>
              <w:spacing w:after="0"/>
              <w:rPr>
                <w:sz w:val="20"/>
                <w:szCs w:val="20"/>
                <w:color w:val="auto"/>
              </w:rPr>
            </w:pPr>
            <w:r>
              <w:rPr>
                <w:rFonts w:ascii="Arial" w:cs="Arial" w:eastAsia="Arial" w:hAnsi="Arial"/>
                <w:sz w:val="14"/>
                <w:szCs w:val="14"/>
                <w:b w:val="1"/>
                <w:bCs w:val="1"/>
                <w:color w:val="auto"/>
                <w:w w:val="97"/>
              </w:rPr>
              <w:t>Common Stock</w:t>
            </w:r>
          </w:p>
        </w:tc>
        <w:tc>
          <w:tcPr>
            <w:tcW w:w="11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860" w:type="dxa"/>
            <w:vAlign w:val="bottom"/>
          </w:tcPr>
          <w:p>
            <w:pPr>
              <w:spacing w:after="0"/>
              <w:rPr>
                <w:sz w:val="11"/>
                <w:szCs w:val="11"/>
                <w:color w:val="auto"/>
              </w:rPr>
            </w:pPr>
          </w:p>
        </w:tc>
        <w:tc>
          <w:tcPr>
            <w:tcW w:w="2260" w:type="dxa"/>
            <w:vAlign w:val="bottom"/>
            <w:gridSpan w:val="2"/>
          </w:tcPr>
          <w:p>
            <w:pPr>
              <w:jc w:val="center"/>
              <w:ind w:right="940"/>
              <w:spacing w:after="0" w:line="129" w:lineRule="exact"/>
              <w:rPr>
                <w:sz w:val="20"/>
                <w:szCs w:val="20"/>
                <w:color w:val="auto"/>
              </w:rPr>
            </w:pPr>
            <w:r>
              <w:rPr>
                <w:rFonts w:ascii="Arial" w:cs="Arial" w:eastAsia="Arial" w:hAnsi="Arial"/>
                <w:sz w:val="14"/>
                <w:szCs w:val="14"/>
                <w:b w:val="1"/>
                <w:bCs w:val="1"/>
                <w:color w:val="auto"/>
                <w:w w:val="89"/>
              </w:rPr>
              <w:t>Amount and Nature of</w:t>
            </w: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4"/>
              </w:rPr>
              <w:t>Percent of Class</w:t>
            </w:r>
            <w:r>
              <w:rPr>
                <w:rFonts w:ascii="Arial" w:cs="Arial" w:eastAsia="Arial" w:hAnsi="Arial"/>
                <w:sz w:val="22"/>
                <w:szCs w:val="22"/>
                <w:b w:val="1"/>
                <w:bCs w:val="1"/>
                <w:color w:val="auto"/>
                <w:w w:val="84"/>
                <w:vertAlign w:val="superscript"/>
              </w:rPr>
              <w:t>(1)</w:t>
            </w:r>
          </w:p>
        </w:tc>
        <w:tc>
          <w:tcPr>
            <w:tcW w:w="0" w:type="dxa"/>
            <w:vAlign w:val="bottom"/>
          </w:tcPr>
          <w:p>
            <w:pPr>
              <w:spacing w:after="0"/>
              <w:rPr>
                <w:sz w:val="1"/>
                <w:szCs w:val="1"/>
                <w:color w:val="auto"/>
              </w:rPr>
            </w:pPr>
          </w:p>
        </w:tc>
      </w:tr>
      <w:tr>
        <w:trPr>
          <w:trHeight w:val="161"/>
        </w:trPr>
        <w:tc>
          <w:tcPr>
            <w:tcW w:w="7860" w:type="dxa"/>
            <w:vAlign w:val="bottom"/>
          </w:tcPr>
          <w:p>
            <w:pPr>
              <w:spacing w:after="0"/>
              <w:rPr>
                <w:sz w:val="14"/>
                <w:szCs w:val="14"/>
                <w:color w:val="auto"/>
              </w:rPr>
            </w:pPr>
          </w:p>
        </w:tc>
        <w:tc>
          <w:tcPr>
            <w:tcW w:w="226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7"/>
              </w:rPr>
              <w:t>Beneficial Ownership</w:t>
            </w: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Principal Stockholders:</w:t>
            </w:r>
          </w:p>
        </w:tc>
        <w:tc>
          <w:tcPr>
            <w:tcW w:w="13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FMR LLC</w:t>
            </w:r>
            <w:r>
              <w:rPr>
                <w:rFonts w:ascii="Arial" w:cs="Arial" w:eastAsia="Arial" w:hAnsi="Arial"/>
                <w:sz w:val="11"/>
                <w:szCs w:val="11"/>
                <w:color w:val="auto"/>
              </w:rPr>
              <w:t>(2)</w:t>
            </w:r>
          </w:p>
        </w:tc>
        <w:tc>
          <w:tcPr>
            <w:tcW w:w="1320" w:type="dxa"/>
            <w:vAlign w:val="bottom"/>
          </w:tcPr>
          <w:p>
            <w:pPr>
              <w:jc w:val="right"/>
              <w:spacing w:after="0"/>
              <w:rPr>
                <w:sz w:val="20"/>
                <w:szCs w:val="20"/>
                <w:color w:val="auto"/>
              </w:rPr>
            </w:pPr>
            <w:r>
              <w:rPr>
                <w:rFonts w:ascii="Arial" w:cs="Arial" w:eastAsia="Arial" w:hAnsi="Arial"/>
                <w:sz w:val="18"/>
                <w:szCs w:val="18"/>
                <w:color w:val="auto"/>
              </w:rPr>
              <w:t>2,978,907</w:t>
            </w:r>
          </w:p>
        </w:tc>
        <w:tc>
          <w:tcPr>
            <w:tcW w:w="9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Wells Fargo and Company</w:t>
            </w:r>
            <w:r>
              <w:rPr>
                <w:rFonts w:ascii="Arial" w:cs="Arial" w:eastAsia="Arial" w:hAnsi="Arial"/>
                <w:sz w:val="11"/>
                <w:szCs w:val="11"/>
                <w:color w:val="auto"/>
              </w:rPr>
              <w:t>(3)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2,331,448</w:t>
            </w:r>
          </w:p>
        </w:tc>
        <w:tc>
          <w:tcPr>
            <w:tcW w:w="9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Brent D. Richardson</w:t>
            </w:r>
            <w:r>
              <w:rPr>
                <w:rFonts w:ascii="Arial" w:cs="Arial" w:eastAsia="Arial" w:hAnsi="Arial"/>
                <w:sz w:val="11"/>
                <w:szCs w:val="11"/>
                <w:color w:val="auto"/>
              </w:rPr>
              <w:t>(4)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1,516,504</w:t>
            </w:r>
          </w:p>
        </w:tc>
        <w:tc>
          <w:tcPr>
            <w:tcW w:w="9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Brian E. Mueller</w:t>
            </w:r>
            <w:r>
              <w:rPr>
                <w:rFonts w:ascii="Arial" w:cs="Arial" w:eastAsia="Arial" w:hAnsi="Arial"/>
                <w:sz w:val="11"/>
                <w:szCs w:val="11"/>
                <w:color w:val="auto"/>
              </w:rPr>
              <w:t>(5)</w:t>
            </w:r>
          </w:p>
        </w:tc>
        <w:tc>
          <w:tcPr>
            <w:tcW w:w="1320" w:type="dxa"/>
            <w:vAlign w:val="bottom"/>
          </w:tcPr>
          <w:p>
            <w:pPr>
              <w:jc w:val="right"/>
              <w:spacing w:after="0"/>
              <w:rPr>
                <w:sz w:val="20"/>
                <w:szCs w:val="20"/>
                <w:color w:val="auto"/>
              </w:rPr>
            </w:pPr>
            <w:r>
              <w:rPr>
                <w:rFonts w:ascii="Arial" w:cs="Arial" w:eastAsia="Arial" w:hAnsi="Arial"/>
                <w:sz w:val="18"/>
                <w:szCs w:val="18"/>
                <w:color w:val="auto"/>
              </w:rPr>
              <w:t>805,301</w:t>
            </w:r>
          </w:p>
        </w:tc>
        <w:tc>
          <w:tcPr>
            <w:tcW w:w="9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Dr. W. Stan Meyer</w:t>
            </w:r>
            <w:r>
              <w:rPr>
                <w:rFonts w:ascii="Arial" w:cs="Arial" w:eastAsia="Arial" w:hAnsi="Arial"/>
                <w:sz w:val="11"/>
                <w:szCs w:val="11"/>
                <w:color w:val="auto"/>
              </w:rPr>
              <w:t>(5)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281,889</w:t>
            </w:r>
          </w:p>
        </w:tc>
        <w:tc>
          <w:tcPr>
            <w:tcW w:w="9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Daniel E. Bachus</w:t>
            </w:r>
            <w:r>
              <w:rPr>
                <w:rFonts w:ascii="Arial" w:cs="Arial" w:eastAsia="Arial" w:hAnsi="Arial"/>
                <w:sz w:val="11"/>
                <w:szCs w:val="11"/>
                <w:color w:val="auto"/>
              </w:rPr>
              <w:t>(5)</w:t>
            </w:r>
          </w:p>
        </w:tc>
        <w:tc>
          <w:tcPr>
            <w:tcW w:w="1320" w:type="dxa"/>
            <w:vAlign w:val="bottom"/>
          </w:tcPr>
          <w:p>
            <w:pPr>
              <w:jc w:val="right"/>
              <w:spacing w:after="0"/>
              <w:rPr>
                <w:sz w:val="20"/>
                <w:szCs w:val="20"/>
                <w:color w:val="auto"/>
              </w:rPr>
            </w:pPr>
            <w:r>
              <w:rPr>
                <w:rFonts w:ascii="Arial" w:cs="Arial" w:eastAsia="Arial" w:hAnsi="Arial"/>
                <w:sz w:val="18"/>
                <w:szCs w:val="18"/>
                <w:color w:val="auto"/>
              </w:rPr>
              <w:t>262,150</w:t>
            </w:r>
          </w:p>
        </w:tc>
        <w:tc>
          <w:tcPr>
            <w:tcW w:w="9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Christopher C. Richardson</w:t>
            </w:r>
            <w:r>
              <w:rPr>
                <w:rFonts w:ascii="Arial" w:cs="Arial" w:eastAsia="Arial" w:hAnsi="Arial"/>
                <w:sz w:val="11"/>
                <w:szCs w:val="11"/>
                <w:color w:val="auto"/>
              </w:rPr>
              <w:t>(6)</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572,070</w:t>
            </w:r>
          </w:p>
        </w:tc>
        <w:tc>
          <w:tcPr>
            <w:tcW w:w="9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Joseph N. Mildenhall</w:t>
            </w:r>
            <w:r>
              <w:rPr>
                <w:rFonts w:ascii="Arial" w:cs="Arial" w:eastAsia="Arial" w:hAnsi="Arial"/>
                <w:sz w:val="11"/>
                <w:szCs w:val="11"/>
                <w:color w:val="auto"/>
              </w:rPr>
              <w:t>(5)</w:t>
            </w:r>
          </w:p>
        </w:tc>
        <w:tc>
          <w:tcPr>
            <w:tcW w:w="1320" w:type="dxa"/>
            <w:vAlign w:val="bottom"/>
          </w:tcPr>
          <w:p>
            <w:pPr>
              <w:jc w:val="right"/>
              <w:spacing w:after="0"/>
              <w:rPr>
                <w:sz w:val="20"/>
                <w:szCs w:val="20"/>
                <w:color w:val="auto"/>
              </w:rPr>
            </w:pPr>
            <w:r>
              <w:rPr>
                <w:rFonts w:ascii="Arial" w:cs="Arial" w:eastAsia="Arial" w:hAnsi="Arial"/>
                <w:sz w:val="18"/>
                <w:szCs w:val="18"/>
                <w:color w:val="auto"/>
              </w:rPr>
              <w:t>42,650</w:t>
            </w:r>
          </w:p>
        </w:tc>
        <w:tc>
          <w:tcPr>
            <w:tcW w:w="9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Dr. Kathy Player</w:t>
            </w:r>
            <w:r>
              <w:rPr>
                <w:rFonts w:ascii="Arial" w:cs="Arial" w:eastAsia="Arial" w:hAnsi="Arial"/>
                <w:sz w:val="11"/>
                <w:szCs w:val="11"/>
                <w:color w:val="auto"/>
              </w:rPr>
              <w:t>(5)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50,702</w:t>
            </w:r>
          </w:p>
        </w:tc>
        <w:tc>
          <w:tcPr>
            <w:tcW w:w="9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Chad N. Heath</w:t>
            </w:r>
            <w:r>
              <w:rPr>
                <w:rFonts w:ascii="Arial" w:cs="Arial" w:eastAsia="Arial" w:hAnsi="Arial"/>
                <w:sz w:val="11"/>
                <w:szCs w:val="11"/>
                <w:color w:val="auto"/>
              </w:rPr>
              <w:t>(7) (8)</w:t>
            </w:r>
          </w:p>
        </w:tc>
        <w:tc>
          <w:tcPr>
            <w:tcW w:w="1320" w:type="dxa"/>
            <w:vAlign w:val="bottom"/>
          </w:tcPr>
          <w:p>
            <w:pPr>
              <w:jc w:val="right"/>
              <w:spacing w:after="0"/>
              <w:rPr>
                <w:sz w:val="20"/>
                <w:szCs w:val="20"/>
                <w:color w:val="auto"/>
              </w:rPr>
            </w:pPr>
            <w:r>
              <w:rPr>
                <w:rFonts w:ascii="Arial" w:cs="Arial" w:eastAsia="Arial" w:hAnsi="Arial"/>
                <w:sz w:val="18"/>
                <w:szCs w:val="18"/>
                <w:color w:val="auto"/>
              </w:rPr>
              <w:t>1,010,000</w:t>
            </w:r>
          </w:p>
        </w:tc>
        <w:tc>
          <w:tcPr>
            <w:tcW w:w="9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 Mark Dorman</w:t>
            </w:r>
            <w:r>
              <w:rPr>
                <w:rFonts w:ascii="Arial" w:cs="Arial" w:eastAsia="Arial" w:hAnsi="Arial"/>
                <w:sz w:val="11"/>
                <w:szCs w:val="11"/>
                <w:color w:val="auto"/>
              </w:rPr>
              <w:t>(7) (9)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1,005,000</w:t>
            </w:r>
          </w:p>
        </w:tc>
        <w:tc>
          <w:tcPr>
            <w:tcW w:w="9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David J. Johnson</w:t>
            </w:r>
          </w:p>
        </w:tc>
        <w:tc>
          <w:tcPr>
            <w:tcW w:w="1320" w:type="dxa"/>
            <w:vAlign w:val="bottom"/>
          </w:tcPr>
          <w:p>
            <w:pPr>
              <w:jc w:val="right"/>
              <w:spacing w:after="0"/>
              <w:rPr>
                <w:sz w:val="20"/>
                <w:szCs w:val="20"/>
                <w:color w:val="auto"/>
              </w:rPr>
            </w:pPr>
            <w:r>
              <w:rPr>
                <w:rFonts w:ascii="Arial" w:cs="Arial" w:eastAsia="Arial" w:hAnsi="Arial"/>
                <w:sz w:val="18"/>
                <w:szCs w:val="18"/>
                <w:color w:val="auto"/>
              </w:rPr>
              <w:t>15,297</w:t>
            </w:r>
          </w:p>
        </w:tc>
        <w:tc>
          <w:tcPr>
            <w:tcW w:w="9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Jack A. Henry</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10,747</w:t>
            </w:r>
          </w:p>
        </w:tc>
        <w:tc>
          <w:tcPr>
            <w:tcW w:w="9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Bradley A. Casper</w:t>
            </w:r>
          </w:p>
        </w:tc>
        <w:tc>
          <w:tcPr>
            <w:tcW w:w="1320" w:type="dxa"/>
            <w:vAlign w:val="bottom"/>
          </w:tcPr>
          <w:p>
            <w:pPr>
              <w:jc w:val="right"/>
              <w:spacing w:after="0"/>
              <w:rPr>
                <w:sz w:val="20"/>
                <w:szCs w:val="20"/>
                <w:color w:val="auto"/>
              </w:rPr>
            </w:pPr>
            <w:r>
              <w:rPr>
                <w:rFonts w:ascii="Arial" w:cs="Arial" w:eastAsia="Arial" w:hAnsi="Arial"/>
                <w:sz w:val="18"/>
                <w:szCs w:val="18"/>
                <w:color w:val="auto"/>
              </w:rPr>
              <w:t>1,270</w:t>
            </w:r>
          </w:p>
        </w:tc>
        <w:tc>
          <w:tcPr>
            <w:tcW w:w="9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 directors and executive officers as a group (12 persons)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4,573,580</w:t>
            </w:r>
          </w:p>
        </w:tc>
        <w:tc>
          <w:tcPr>
            <w:tcW w:w="9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15" w:lineRule="exact"/>
        <w:rPr>
          <w:sz w:val="20"/>
          <w:szCs w:val="20"/>
          <w:color w:val="auto"/>
        </w:rPr>
      </w:pPr>
    </w:p>
    <w:p>
      <w:pPr>
        <w:ind w:left="460" w:right="40" w:hanging="452"/>
        <w:spacing w:after="0" w:line="253"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percentage of beneficial ownership as to any person as of a particular date is calculated by dividing the number of shares beneficially owned by such person, which includes the number of shares as to which such person has the right to acquire voting or investment power within 60 days after such date, by the sum of the number of shares outstanding as of such date plus the number of shares as to which such person has the right to acquire voting or investment power within 60 days after such date. Consequently, the denominator for calculating beneficial ownership percentages may be different for each beneficial owner.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41" w:name="page42"/>
    <w:bookmarkEnd w:id="41"/>
    <w:p>
      <w:pPr>
        <w:ind w:left="460" w:right="300" w:hanging="452"/>
        <w:spacing w:after="0" w:line="254"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information for FMR, LLC is based on a Schedule 13G filed with the Securities and Exchange Commission on February 13, 2012. The address for FMR, LLC is 82 Devonshire Street, Boston, MA 02109.</w:t>
      </w:r>
    </w:p>
    <w:p>
      <w:pPr>
        <w:ind w:left="460" w:right="12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information for Wells Fargo and Company is based on a Schedule 13G filed with the Securities and Exchange Commission on January 20, 2012. The address for Wells Fargo and Company is 420 Montgomery Street, San Francisco, CA 94163.</w:t>
      </w:r>
    </w:p>
    <w:p>
      <w:pPr>
        <w:ind w:left="460" w:right="6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Consists of 1,516,504 shares of common stock held of record by Exeter Capital, LLC, a limited liability company of which Brent D. Richardson, our Executive Chairman, is the manager, which are attributable to, and beneficially owned by, Mr. Brent D. Richardson, 1,000,000 of which have been pledged as security for a loan.</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shares of common stock issuable upon exercise of vested stock options.</w:t>
      </w:r>
    </w:p>
    <w:p>
      <w:pPr>
        <w:spacing w:after="0" w:line="9" w:lineRule="exact"/>
        <w:rPr>
          <w:rFonts w:ascii="Arial" w:cs="Arial" w:eastAsia="Arial" w:hAnsi="Arial"/>
          <w:sz w:val="18"/>
          <w:szCs w:val="18"/>
          <w:color w:val="auto"/>
        </w:rPr>
      </w:pPr>
    </w:p>
    <w:p>
      <w:pPr>
        <w:ind w:left="460" w:right="100" w:hanging="452"/>
        <w:spacing w:after="0" w:line="281"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Consists of 572,070 shares of common stock held of record by C&amp;H Capital LLC, a family limited liability company of which Christopher C. Richardson, our General Counsel and director, is a manager, which are attributable to, and beneficially owned by, Mr. Christopher C. Richardson and his wife.</w:t>
      </w:r>
    </w:p>
    <w:p>
      <w:pPr>
        <w:spacing w:after="0" w:line="1" w:lineRule="exact"/>
        <w:rPr>
          <w:rFonts w:ascii="Arial" w:cs="Arial" w:eastAsia="Arial" w:hAnsi="Arial"/>
          <w:sz w:val="16"/>
          <w:szCs w:val="16"/>
          <w:color w:val="auto"/>
        </w:rPr>
      </w:pPr>
    </w:p>
    <w:p>
      <w:pPr>
        <w:ind w:left="460" w:right="600"/>
        <w:spacing w:after="0" w:line="250" w:lineRule="auto"/>
        <w:rPr>
          <w:rFonts w:ascii="Arial" w:cs="Arial" w:eastAsia="Arial" w:hAnsi="Arial"/>
          <w:sz w:val="16"/>
          <w:szCs w:val="16"/>
          <w:color w:val="auto"/>
        </w:rPr>
      </w:pPr>
      <w:r>
        <w:rPr>
          <w:rFonts w:ascii="Arial" w:cs="Arial" w:eastAsia="Arial" w:hAnsi="Arial"/>
          <w:sz w:val="18"/>
          <w:szCs w:val="18"/>
          <w:color w:val="auto"/>
        </w:rPr>
        <w:t>Mr. Christopher C. Richardson has notified the Company that he will resign from our Board of Directors and as General Counsel effective upon the selection of his replacement as General Counsel.</w:t>
      </w:r>
    </w:p>
    <w:p>
      <w:pPr>
        <w:ind w:left="460" w:right="20" w:hanging="452"/>
        <w:spacing w:after="0" w:line="281"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Endeavour Capital IV, LLC is the general partner of the Endeavour Entities and, except as noted below, has voting and dispositive power with respect to the shares held by the Endeavour Entities. Messrs. Chad N. Heath and D. Mark Dorman, each of whom is a managing director of Endeavour Capital IV, LLC and serves on our Board of Directors, disclaim beneficial ownership of these shares except to the extent of their respective pecuniary interests. The address for these entities is 920 SW Sixth Avenue, Suite 1400, Portland, Oregon 97204.</w:t>
      </w:r>
    </w:p>
    <w:p>
      <w:pPr>
        <w:spacing w:after="0" w:line="2"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Consists of 1,000,000 shares of common stock held beneficially and of record by the Endeavour Entities (see note (7) above) (after giving effect to a sale by the Endeavour Entities of 1,000,000 shares on February 27, 2012 that was settled on March 1, 2012) and 10,000 shares of common stock held of record by Mr. Heath. Mr. Heath, who is a managing member of Endeavour Capital IV, LLC, the general partner of the Endeavour Entities, and serves on our Board of Directors, disclaims beneficial ownership of the shares held of record by any of the Endeavour Entities except to the extent of his pecuniary interest in such shares.</w:t>
      </w:r>
    </w:p>
    <w:p>
      <w:pPr>
        <w:spacing w:after="0" w:line="2" w:lineRule="exact"/>
        <w:rPr>
          <w:rFonts w:ascii="Arial" w:cs="Arial" w:eastAsia="Arial" w:hAnsi="Arial"/>
          <w:sz w:val="18"/>
          <w:szCs w:val="18"/>
          <w:color w:val="auto"/>
        </w:rPr>
      </w:pPr>
    </w:p>
    <w:p>
      <w:pPr>
        <w:ind w:left="460" w:right="160" w:hanging="452"/>
        <w:spacing w:after="0" w:line="253"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Consists of 1,000,000 shares of common stock held beneficially and of record by the Endeavour Entities (see note (7) above) (after giving effect to a sale by the Endeavour Entities of 1,000,000 shares on February 27, 2012 that was settled on March 1, 2012) and 5,000 shares of common stock held of record by Mr. Dorman. Mr. Dorman, who is a managing member of Endeavour Capital IV, LLC, the general partner of the Endeavour Entities, and serves on our Board of Directors, disclaims beneficial ownership of the shares held of record by any of the Endeavour Entities except to the extent of his pecuniary interest in such shares.</w:t>
      </w:r>
    </w:p>
    <w:p>
      <w:pPr>
        <w:spacing w:after="0" w:line="301" w:lineRule="exact"/>
        <w:rPr>
          <w:sz w:val="20"/>
          <w:szCs w:val="20"/>
          <w:color w:val="auto"/>
        </w:rPr>
      </w:pPr>
    </w:p>
    <w:p>
      <w:pPr>
        <w:ind w:right="3200" w:firstLine="3202"/>
        <w:spacing w:after="0" w:line="394" w:lineRule="auto"/>
        <w:rPr>
          <w:sz w:val="20"/>
          <w:szCs w:val="20"/>
          <w:color w:val="auto"/>
        </w:rPr>
      </w:pPr>
      <w:r>
        <w:rPr>
          <w:rFonts w:ascii="Arial" w:cs="Arial" w:eastAsia="Arial" w:hAnsi="Arial"/>
          <w:sz w:val="18"/>
          <w:szCs w:val="18"/>
          <w:b w:val="1"/>
          <w:bCs w:val="1"/>
          <w:color w:val="auto"/>
        </w:rPr>
        <w:t>CERTAIN RELATIONSHIPS AND RELATED TRANSACTIONS Policies and Procedures for Related Party Transactions</w:t>
      </w:r>
    </w:p>
    <w:p>
      <w:pPr>
        <w:spacing w:after="0" w:line="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have adopted a written related party transactions policy, pursuant to which our executive officers, directors and principal stockholders, including their immediate family members, are not permitted to enter into a related party transaction with us without the prior consent of our Audit Committee. Any request for us to enter into a transaction with an executive officer, director, principal stockholder or any of such persons’ immediate family members or affiliates, in which the amount involved exceeds $120,000 must be presented to our Audit Committee for review, consideration and approval. All of our directors, executive officers and employees are required to report to our Audit Committee any such related party transaction. In approving or rejecting the proposed agreement, our Audit Committee will take into account, among other factors it deems appropriate, whether the transaction is on terms no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42" w:name="page43"/>
    <w:bookmarkEnd w:id="42"/>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less favorable than terms generally available to an unaffiliated third-party under the same or similar circumstances and the extent of the related party’s interest in the transaction. Under the policy, if we should discover related party transactions that have not been pre-approved, the Audit Committee will be notified and will determine the appropriate action, including ratification, rescission or amendment of the transaction. In addition, under the policy, certain types of transactions have been pre-approved by the Audit Committee, including employment arrangements with executive officers, director compensation, transactions where all stockholders receive proportional benefits, transactions involving competitive bids, regulated transactions, and banking-related service transactions.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Transactions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Set forth below is a summary of certain transactions since January 1, 2011, in which the Company was or is to be a participant and involving our directors, executive officers, beneficial owners of more than 5% of our common stock, and some of the entities with which the foregoing persons are affiliated or associated, and in which the amount involved exceeds or will exceed $120,000.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Mind Streams and Lifetime Learning</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Through December 2010, we were a party to a revenue sharing arrangement (the Collaboration Agreement) with Mind Streams, L.L.C. (Mind Streams), which is owned and operated, in part, by Gail Richardson, the father of Brent D. Richardson, our Executive Chairman, and Christopher C. Richardson, our General Counsel and director, pursuant to which we paid to Mind Streams a percentage of the net revenue that we actually received from applicants recruited by Mind Streams who matriculated at the University. Mind Streams bore all costs associated with the recruitment of these applicants.</w:t>
      </w:r>
    </w:p>
    <w:p>
      <w:pPr>
        <w:spacing w:after="0" w:line="113" w:lineRule="exact"/>
        <w:rPr>
          <w:sz w:val="20"/>
          <w:szCs w:val="20"/>
          <w:color w:val="auto"/>
        </w:rPr>
      </w:pPr>
    </w:p>
    <w:p>
      <w:pPr>
        <w:ind w:right="280" w:firstLine="456"/>
        <w:spacing w:after="0" w:line="283" w:lineRule="auto"/>
        <w:rPr>
          <w:sz w:val="20"/>
          <w:szCs w:val="20"/>
          <w:color w:val="auto"/>
        </w:rPr>
      </w:pPr>
      <w:r>
        <w:rPr>
          <w:rFonts w:ascii="Arial" w:cs="Arial" w:eastAsia="Arial" w:hAnsi="Arial"/>
          <w:sz w:val="16"/>
          <w:szCs w:val="16"/>
          <w:color w:val="auto"/>
        </w:rPr>
        <w:t>As a result of new rules adopted by the Department of Education in October 2010 and effective July 1, 2011, we determined that revenue sharing arrangements like the agreement with Mind Streams most likely would no longer be permitted. Accordingly, we allowed the agreement with Mind Streams to expire by its terms effective December 30, 2010 and we paid Mind Streams an agreed upon amount in consideration for amounts that we would owe to Mind Streams under the Collaboration Agreement following such expiration in respect of anticipated net revenue derived from currently matriculated</w:t>
      </w:r>
    </w:p>
    <w:p>
      <w:pPr>
        <w:spacing w:after="0" w:line="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students identified by Mind Streams who continued to take courses at the University in the future. Leading up to the effective date of the new rules, the Department of Education made certain clarifications, which we determined would permit revenue sharing arrangements although on significantly different terms than the prior Collaboration Agreement. Accordingly, in the third quarter of 2011, we entered into a new agreement with Mind Streams that is in accordance with the requirements specified by the Department of Education. Additionally in 2010, Gail Richardson, a related party, formed a new entity, Lifetime Learning, for the purpose of generating and selling leads to the Company and other entities in the education sector. For the year ended December 31, 2011, we expensed approximately $0.9 million pursuant to these arrangements, and, as of December 31, 2011, approximately $0.2 million was due to Mind Streams and Lifetime Learning.</w:t>
      </w:r>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Section 16(a) of the Exchange Act requires that our Company’s directors and executive officers file initial reports of ownership and reports of changes in ownership with the SEC. Directors and executive officers are required to furnish our Company with copies of all Section 16(a) forms they file. Based solely on a review of the copies of such forms furnished to our Company and written representations from our Company’s directors and executive officers, all reports required by Section 16(a) were filed on a timely basis for the fiscal year ended December 31, 2011.</w:t>
      </w: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HOUSEHOLDING OF PROXY MATERIALS</w:t>
      </w:r>
    </w:p>
    <w:p>
      <w:pPr>
        <w:spacing w:after="0" w:line="17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SEC has adopted rules that permit companies and intermediaries such as brokers to satisfy delivery requirements for annual reports, proxy statements, and Notices of Internet Availability of Proxy Materials with respect to two or more stockholders sharing the same address by delivering a single annual report, proxy statement, or Notice of Internet Availability of Proxy Materials addressed to those stockholders. This process, which is commonly referred to as “householding,” potentially provides extra convenience for stockholders and cost savings for companies. Brokers with account holders who are stockholders of the Company may be householding the Company’s proxy materials. Once you have received notice from your broker that it will be householding materials to your address,</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280" w:right="299" w:bottom="1440" w:gutter="0" w:footer="0" w:header="0"/>
        </w:sectPr>
      </w:pPr>
    </w:p>
    <w:bookmarkStart w:id="43" w:name="page44"/>
    <w:bookmarkEnd w:id="43"/>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householding will continue until you are notified otherwise or until you revoke your consent. If, at any time, you no longer wish to participate in householding and would prefer to receive a separate annual report, proxy statement, or Notice of Internet Availability of Proxy Materials or if you are receiving multiple copies thereof and wish to receive only one, please notify your broker or notify the Company by sending a written request to Grand Canyon Education, Inc., 3300 W. Camelback Road, Phoenix, Arizona, 85017, Attn: Investor Relations, or by calling (602) 639-7500.</w:t>
      </w: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ADDITIONAL INFORMATION</w:t>
      </w:r>
    </w:p>
    <w:p>
      <w:pPr>
        <w:spacing w:after="0" w:line="177" w:lineRule="exact"/>
        <w:rPr>
          <w:sz w:val="20"/>
          <w:szCs w:val="20"/>
          <w:color w:val="auto"/>
        </w:rPr>
      </w:pPr>
    </w:p>
    <w:p>
      <w:pPr>
        <w:ind w:right="180" w:firstLine="456"/>
        <w:spacing w:after="0" w:line="284" w:lineRule="auto"/>
        <w:rPr>
          <w:sz w:val="20"/>
          <w:szCs w:val="20"/>
          <w:color w:val="auto"/>
        </w:rPr>
      </w:pPr>
      <w:r>
        <w:rPr>
          <w:rFonts w:ascii="Arial" w:cs="Arial" w:eastAsia="Arial" w:hAnsi="Arial"/>
          <w:sz w:val="16"/>
          <w:szCs w:val="16"/>
          <w:color w:val="auto"/>
        </w:rPr>
        <w:t xml:space="preserve">Our 2011 annual report and our Annual Report on Form 10-K for fiscal year 2011, including financial statements, are available electronically along with our proxy statement to all stockholders of record as of March 22, 2012, including those stockholders whose shares are held in a brokerage, bank or similar account, who will receive the same mailing from the organization holding the account. </w:t>
      </w:r>
      <w:r>
        <w:rPr>
          <w:rFonts w:ascii="Arial" w:cs="Arial" w:eastAsia="Arial" w:hAnsi="Arial"/>
          <w:sz w:val="16"/>
          <w:szCs w:val="16"/>
          <w:b w:val="1"/>
          <w:bCs w:val="1"/>
          <w:color w:val="auto"/>
        </w:rPr>
        <w:t>Stockholders who wish to obtain a copy of our Annual Report on</w:t>
      </w:r>
    </w:p>
    <w:p>
      <w:pPr>
        <w:spacing w:after="0" w:line="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color w:val="auto"/>
        </w:rPr>
        <w:t>Form 10-K, for the fiscal year ended December 31, 2011, and our proxy statement may do so without charge by writing to Investor Relations, Grand Canyon Education, Inc., 3300 W. Camelback Road, Phoenix, Arizona 85017.</w:t>
      </w:r>
    </w:p>
    <w:p>
      <w:pPr>
        <w:spacing w:after="0" w:line="138"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As of the date of this proxy statement, management knows of no matters that will be presented for determination at the Annual Meeting other than those referred to herein. If any other matters properly come before the Annual Meeting calling for a vote of stockholders, it is intended that the persons named in the proxies solicited by our Board of Directors, in accordance with their best judgment, will vote the shares represented by these proxies.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 March 26, 2012</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280" w:right="29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20" w:type="dxa"/>
            <w:vAlign w:val="bottom"/>
            <w:gridSpan w:val="6"/>
          </w:tcPr>
          <w:p>
            <w:pPr>
              <w:spacing w:after="0"/>
              <w:rPr>
                <w:sz w:val="20"/>
                <w:szCs w:val="20"/>
                <w:color w:val="auto"/>
              </w:rPr>
            </w:pPr>
            <w:r>
              <w:rPr>
                <w:rFonts w:ascii="Arial" w:cs="Arial" w:eastAsia="Arial" w:hAnsi="Arial"/>
                <w:sz w:val="14"/>
                <w:szCs w:val="14"/>
                <w:color w:val="FFFFFF"/>
                <w:w w:val="90"/>
              </w:rPr>
              <w:t>IMPORTANT ANNUAL MEETING INFORMATION Electronic Voting Instructions Available 24 hours a day, 7 days a week! Instead of mailing your proxy, you may choose one of the voting methods outlined</w:t>
            </w:r>
          </w:p>
        </w:tc>
      </w:tr>
      <w:tr>
        <w:trPr>
          <w:trHeight w:val="41"/>
        </w:trPr>
        <w:tc>
          <w:tcPr>
            <w:tcW w:w="7780" w:type="dxa"/>
            <w:vAlign w:val="bottom"/>
            <w:gridSpan w:val="3"/>
          </w:tcPr>
          <w:p>
            <w:pPr>
              <w:spacing w:after="0"/>
              <w:rPr>
                <w:sz w:val="20"/>
                <w:szCs w:val="20"/>
                <w:color w:val="auto"/>
              </w:rPr>
            </w:pPr>
            <w:r>
              <w:rPr>
                <w:rFonts w:ascii="Arial" w:cs="Arial" w:eastAsia="Arial" w:hAnsi="Arial"/>
                <w:sz w:val="3"/>
                <w:szCs w:val="3"/>
                <w:color w:val="FFFFFF"/>
              </w:rPr>
              <w:t>below to vote your proxy. VALIDATION DETAILS ARE LOCATED BELOW IN THE TITLE BAR. Proxies submitted by the Internet or</w:t>
            </w:r>
          </w:p>
        </w:tc>
        <w:tc>
          <w:tcPr>
            <w:tcW w:w="1780" w:type="dxa"/>
            <w:vAlign w:val="bottom"/>
            <w:gridSpan w:val="2"/>
          </w:tcPr>
          <w:p>
            <w:pPr>
              <w:jc w:val="right"/>
              <w:ind w:right="43"/>
              <w:spacing w:after="0"/>
              <w:rPr>
                <w:sz w:val="20"/>
                <w:szCs w:val="20"/>
                <w:color w:val="auto"/>
              </w:rPr>
            </w:pPr>
            <w:r>
              <w:rPr>
                <w:rFonts w:ascii="Arial" w:cs="Arial" w:eastAsia="Arial" w:hAnsi="Arial"/>
                <w:sz w:val="3"/>
                <w:szCs w:val="3"/>
                <w:color w:val="FFFFFF"/>
              </w:rPr>
              <w:t>must be received by 11:00</w:t>
            </w:r>
          </w:p>
        </w:tc>
        <w:tc>
          <w:tcPr>
            <w:tcW w:w="1860" w:type="dxa"/>
            <w:vAlign w:val="bottom"/>
          </w:tcPr>
          <w:p>
            <w:pPr>
              <w:jc w:val="right"/>
              <w:spacing w:after="0"/>
              <w:rPr>
                <w:sz w:val="20"/>
                <w:szCs w:val="20"/>
                <w:color w:val="auto"/>
              </w:rPr>
            </w:pPr>
            <w:r>
              <w:rPr>
                <w:rFonts w:ascii="Arial" w:cs="Arial" w:eastAsia="Arial" w:hAnsi="Arial"/>
                <w:sz w:val="3"/>
                <w:szCs w:val="3"/>
                <w:color w:val="FFFFFF"/>
              </w:rPr>
              <w:t>.m., Pacific Time, on Wednesday,</w:t>
            </w:r>
          </w:p>
        </w:tc>
      </w:tr>
      <w:tr>
        <w:trPr>
          <w:trHeight w:val="41"/>
        </w:trPr>
        <w:tc>
          <w:tcPr>
            <w:tcW w:w="2800" w:type="dxa"/>
            <w:vAlign w:val="bottom"/>
          </w:tcPr>
          <w:p>
            <w:pPr>
              <w:spacing w:after="0"/>
              <w:rPr>
                <w:sz w:val="20"/>
                <w:szCs w:val="20"/>
                <w:color w:val="auto"/>
              </w:rPr>
            </w:pPr>
            <w:r>
              <w:rPr>
                <w:rFonts w:ascii="Arial" w:cs="Arial" w:eastAsia="Arial" w:hAnsi="Arial"/>
                <w:sz w:val="3"/>
                <w:szCs w:val="3"/>
                <w:color w:val="FFFFFF"/>
              </w:rPr>
              <w:t>May 16, 2012. Vote by Internet Go   www.</w:t>
            </w:r>
          </w:p>
        </w:tc>
        <w:tc>
          <w:tcPr>
            <w:tcW w:w="8620" w:type="dxa"/>
            <w:vAlign w:val="bottom"/>
            <w:gridSpan w:val="5"/>
          </w:tcPr>
          <w:p>
            <w:pPr>
              <w:jc w:val="right"/>
              <w:ind w:right="189"/>
              <w:spacing w:after="0"/>
              <w:rPr>
                <w:sz w:val="20"/>
                <w:szCs w:val="20"/>
                <w:color w:val="auto"/>
              </w:rPr>
            </w:pPr>
            <w:r>
              <w:rPr>
                <w:rFonts w:ascii="Arial" w:cs="Arial" w:eastAsia="Arial" w:hAnsi="Arial"/>
                <w:sz w:val="3"/>
                <w:szCs w:val="3"/>
                <w:color w:val="FFFFFF"/>
              </w:rPr>
              <w:t>.com/LOPE Or scan the QR code with your smartphone Follow the steps outlinedtelephonethesecure website Vote by telephone Call toll free 1-800-652-</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VOTE (8683) within the USA, US territoriesenvisionreports&amp;Canada a touch tone telephone Using a black ink pen, mark your votes with an X as shown in this example.Please do not write outside the designated areas.</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Follow the instructions provided by the recorded message X Annual Meeting Proxy Card IF YOU HAVE NOT VOTED VIA THE INTERNET OR TELEPHONE, FOLD ALONG THE PERFORATION,</w:t>
            </w:r>
          </w:p>
        </w:tc>
      </w:tr>
      <w:tr>
        <w:trPr>
          <w:trHeight w:val="41"/>
        </w:trPr>
        <w:tc>
          <w:tcPr>
            <w:tcW w:w="4540" w:type="dxa"/>
            <w:vAlign w:val="bottom"/>
            <w:gridSpan w:val="2"/>
          </w:tcPr>
          <w:p>
            <w:pPr>
              <w:spacing w:after="0"/>
              <w:rPr>
                <w:sz w:val="20"/>
                <w:szCs w:val="20"/>
                <w:color w:val="auto"/>
              </w:rPr>
            </w:pPr>
            <w:r>
              <w:rPr>
                <w:rFonts w:ascii="Arial" w:cs="Arial" w:eastAsia="Arial" w:hAnsi="Arial"/>
                <w:sz w:val="3"/>
                <w:szCs w:val="3"/>
                <w:color w:val="FFFFFF"/>
              </w:rPr>
              <w:t>DETACH AND RETURN THE BOTTOM PORTION IN THE ENCLOSED</w:t>
            </w:r>
          </w:p>
        </w:tc>
        <w:tc>
          <w:tcPr>
            <w:tcW w:w="6880" w:type="dxa"/>
            <w:vAlign w:val="bottom"/>
            <w:gridSpan w:val="4"/>
          </w:tcPr>
          <w:p>
            <w:pPr>
              <w:jc w:val="right"/>
              <w:ind w:right="189"/>
              <w:spacing w:after="0"/>
              <w:rPr>
                <w:sz w:val="20"/>
                <w:szCs w:val="20"/>
                <w:color w:val="auto"/>
              </w:rPr>
            </w:pPr>
            <w:r>
              <w:rPr>
                <w:rFonts w:ascii="Arial" w:cs="Arial" w:eastAsia="Arial" w:hAnsi="Arial"/>
                <w:sz w:val="3"/>
                <w:szCs w:val="3"/>
                <w:color w:val="FFFFFF"/>
              </w:rPr>
              <w:t>. A Proposals — The Board of Directors recommends a vote FOR all the nominees listed, FOR Proposals 2 and 3. 1.</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Election of  irectors:01 - Brent D. Richardson02 - Brian E. Mueller03 - ChadENVELOPE.Heath04 - D. Mark Dorman 05 - David J. Johnson06 - Jack A. Henry07 - Bradley A. Casper Mark here to voteMark here to</w:t>
            </w:r>
          </w:p>
        </w:tc>
      </w:tr>
      <w:tr>
        <w:trPr>
          <w:trHeight w:val="41"/>
        </w:trPr>
        <w:tc>
          <w:tcPr>
            <w:tcW w:w="8920" w:type="dxa"/>
            <w:vAlign w:val="bottom"/>
            <w:gridSpan w:val="4"/>
          </w:tcPr>
          <w:p>
            <w:pPr>
              <w:spacing w:after="0"/>
              <w:rPr>
                <w:sz w:val="20"/>
                <w:szCs w:val="20"/>
                <w:color w:val="auto"/>
              </w:rPr>
            </w:pPr>
            <w:r>
              <w:rPr>
                <w:rFonts w:ascii="Arial" w:cs="Arial" w:eastAsia="Arial" w:hAnsi="Arial"/>
                <w:sz w:val="3"/>
                <w:szCs w:val="3"/>
                <w:color w:val="FFFFFF"/>
              </w:rPr>
              <w:t>WITHHOLDFor All EXCEPT - To withhold authority to vote for any FOR all nomineesvote from all nomineesnominee(s), write the name(s) of such nominee(s)</w:t>
            </w:r>
          </w:p>
        </w:tc>
        <w:tc>
          <w:tcPr>
            <w:tcW w:w="640" w:type="dxa"/>
            <w:vAlign w:val="bottom"/>
          </w:tcPr>
          <w:p>
            <w:pPr>
              <w:jc w:val="right"/>
              <w:ind w:right="403"/>
              <w:spacing w:after="0"/>
              <w:rPr>
                <w:sz w:val="20"/>
                <w:szCs w:val="20"/>
                <w:color w:val="auto"/>
              </w:rPr>
            </w:pPr>
            <w:r>
              <w:rPr>
                <w:rFonts w:ascii="Arial" w:cs="Arial" w:eastAsia="Arial" w:hAnsi="Arial"/>
                <w:sz w:val="3"/>
                <w:szCs w:val="3"/>
                <w:color w:val="FFFFFF"/>
              </w:rPr>
              <w:t>.</w:t>
            </w:r>
          </w:p>
        </w:tc>
        <w:tc>
          <w:tcPr>
            <w:tcW w:w="1860" w:type="dxa"/>
            <w:vAlign w:val="bottom"/>
          </w:tcPr>
          <w:p>
            <w:pPr>
              <w:spacing w:after="0"/>
              <w:rPr>
                <w:sz w:val="3"/>
                <w:szCs w:val="3"/>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_____________________________________________ For Against AbstainFor Against Abstain 2. To approve, on an advisory basis, the compensation of our3. Tbelowratify the appointment of Ernst &amp; Young LLP</w:t>
            </w:r>
          </w:p>
        </w:tc>
      </w:tr>
      <w:tr>
        <w:trPr>
          <w:trHeight w:val="0"/>
        </w:trPr>
        <w:tc>
          <w:tcPr>
            <w:tcW w:w="9560" w:type="dxa"/>
            <w:vAlign w:val="bottom"/>
            <w:gridSpan w:val="5"/>
          </w:tcPr>
          <w:p>
            <w:pPr>
              <w:spacing w:after="0" w:line="80" w:lineRule="exact"/>
              <w:rPr>
                <w:sz w:val="20"/>
                <w:szCs w:val="20"/>
                <w:color w:val="auto"/>
              </w:rPr>
            </w:pPr>
            <w:r>
              <w:rPr>
                <w:rFonts w:ascii="Arial" w:cs="Arial" w:eastAsia="Arial" w:hAnsi="Arial"/>
                <w:sz w:val="9"/>
                <w:szCs w:val="9"/>
                <w:color w:val="FFFFFF"/>
              </w:rPr>
              <w:t>as named executive officers.our independent registered public accounting firm for the fiscal year ending December 31, 2012. B Non-Voting Items Change of Address — Please</w:t>
            </w:r>
          </w:p>
        </w:tc>
        <w:tc>
          <w:tcPr>
            <w:tcW w:w="1860" w:type="dxa"/>
            <w:vAlign w:val="bottom"/>
          </w:tcPr>
          <w:p>
            <w:pPr>
              <w:jc w:val="right"/>
              <w:ind w:right="389"/>
              <w:spacing w:after="0" w:line="80" w:lineRule="exact"/>
              <w:rPr>
                <w:sz w:val="20"/>
                <w:szCs w:val="20"/>
                <w:color w:val="auto"/>
              </w:rPr>
            </w:pPr>
            <w:r>
              <w:rPr>
                <w:rFonts w:ascii="Arial" w:cs="Arial" w:eastAsia="Arial" w:hAnsi="Arial"/>
                <w:sz w:val="9"/>
                <w:szCs w:val="9"/>
                <w:color w:val="FFFFFF"/>
              </w:rPr>
              <w:t>new address below. C</w:t>
            </w:r>
          </w:p>
        </w:tc>
      </w:tr>
    </w:tbl>
    <w:p>
      <w:pPr>
        <w:ind w:right="100"/>
        <w:spacing w:after="0" w:line="234" w:lineRule="auto"/>
        <w:rPr>
          <w:sz w:val="20"/>
          <w:szCs w:val="20"/>
          <w:color w:val="auto"/>
        </w:rPr>
      </w:pPr>
      <w:r>
        <w:rPr>
          <w:rFonts w:ascii="Arial" w:cs="Arial" w:eastAsia="Arial" w:hAnsi="Arial"/>
          <w:sz w:val="9"/>
          <w:szCs w:val="9"/>
          <w:color w:val="FFFFFF"/>
        </w:rPr>
        <w:t>Authorized Signatures — This section must be completed for your vote to be counted. — Date and Sign Below Please sign exactly as your name(s) appear on the proxy. If held printjoint tenancy, all persons must sign. Trustee, administrators, etc., should include title and authority. Corporations should provide the full name of corporation and the title of the authorized officer signing the proxy. Date (mm/dd/yyyy) — Please print date below.Signature 1 — Please keep signature within the box.Signature 2 — Please keep signature within the box. 01G5TB</w:t>
      </w:r>
    </w:p>
    <w:p>
      <w:pPr>
        <w:sectPr>
          <w:pgSz w:w="11900" w:h="16838" w:orient="portrait"/>
          <w:cols w:equalWidth="0" w:num="1">
            <w:col w:w="11420"/>
          </w:cols>
          <w:pgMar w:left="240" w:top="1440" w:right="23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2"/>
          <w:szCs w:val="12"/>
          <w:color w:val="FFFFFF"/>
        </w:rPr>
        <w:t>ANNUAL MEETING OF STOCKHOLDERS Thursday, May 17, 2012 10:00May.m. Grand Canyon University Arena 3300 W. Camelback Road Phoenix, Arizona 85017 Important Notice Regarding the</w:t>
      </w:r>
    </w:p>
    <w:p>
      <w:pPr>
        <w:ind w:right="80"/>
        <w:spacing w:after="0" w:line="181" w:lineRule="auto"/>
        <w:rPr>
          <w:sz w:val="20"/>
          <w:szCs w:val="20"/>
          <w:color w:val="auto"/>
        </w:rPr>
      </w:pPr>
      <w:r>
        <w:rPr>
          <w:rFonts w:ascii="Arial" w:cs="Arial" w:eastAsia="Arial" w:hAnsi="Arial"/>
          <w:sz w:val="7"/>
          <w:szCs w:val="7"/>
          <w:color w:val="FFFFFF"/>
        </w:rPr>
        <w:t>www.edocumentview.com/LOPE.vailabilityofProxyMaterialsforIFtheYOUStockholderHAVENOTMeetingVOTEDtoBeVIAHeldTHEon INTERNET17,2012.ORThisTELEPHONE,proxystatementFOLDand ALONGourannualTHEreportPERFORATION,fortheyearendedDETACHDecemberAND31,RETURN2011,areTHEavailableBOTTOMandmayPORTIONbeviewedIN at THE ENCLOSED ENVELOPE. Proxy — Grand Canyon Education, Inc. Notice of 2012 Annual Meeting of Stockholders Grand Canyon University Arena 3300 W. Camelback RoaredPhoherebynix, Arizona 85017</w:t>
      </w:r>
    </w:p>
    <w:p>
      <w:pPr>
        <w:ind w:left="11080"/>
        <w:spacing w:after="0"/>
        <w:rPr>
          <w:sz w:val="20"/>
          <w:szCs w:val="20"/>
          <w:color w:val="auto"/>
        </w:rPr>
      </w:pPr>
      <w:r>
        <w:rPr>
          <w:rFonts w:ascii="Arial" w:cs="Arial" w:eastAsia="Arial" w:hAnsi="Arial"/>
          <w:sz w:val="1"/>
          <w:szCs w:val="1"/>
          <w:color w:val="FFFFFF"/>
        </w:rPr>
        <w:t>representProxySolicitedandvoteby theBoardsharesofDirectorsoftheundersigned,forAnnualwithMeetingallthe—powersThursday,whichMay 17,undersigned2012BrianwouldE.Muellerpossessandif DanielpersonallyE.Bachus,present,orat the ofAnnualthem, MeetingeachwithoftheStockholderspowerofsubstitution,ofGrandCanyon Education,authorizedInc. toto be</w:t>
      </w:r>
    </w:p>
    <w:p>
      <w:pPr>
        <w:spacing w:after="0" w:line="209" w:lineRule="auto"/>
        <w:rPr>
          <w:sz w:val="20"/>
          <w:szCs w:val="20"/>
          <w:color w:val="auto"/>
        </w:rPr>
      </w:pPr>
      <w:r>
        <w:rPr>
          <w:rFonts w:ascii="Arial" w:cs="Arial" w:eastAsia="Arial" w:hAnsi="Arial"/>
          <w:sz w:val="12"/>
          <w:szCs w:val="12"/>
          <w:color w:val="FFFFFF"/>
        </w:rPr>
        <w:t>held on Thursday, May 17, 2012 or at any postponement or adjournment thereof. THIS PROXY WHEN PROPERLY EXECUTED WILL BE VOTED AS DIRECTED OR, IF NO DIRECTION IS GIVEN, WILL BE VOTED FOR ITEMS 1, 2 AND 3. In their discretion, the Proxies are authorized to vote upon such other business as may properly come before the meeting. (Items to be voted appear on reverse side.)</w:t>
      </w:r>
    </w:p>
    <w:sectPr>
      <w:pgSz w:w="11900" w:h="16838" w:orient="portrait"/>
      <w:cols w:equalWidth="0" w:num="1">
        <w:col w:w="11380"/>
      </w:cols>
      <w:pgMar w:left="240" w:top="144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lvl w:ilvl="1">
      <w:lvlJc w:val="left"/>
      <w:lvlText w:val="(%2)"/>
      <w:numFmt w:val="decimal"/>
      <w:start w:val="1"/>
    </w:lvl>
  </w:abstractNum>
  <w:abstractNum w:abstractNumId="5">
    <w:nsid w:val="79838CB2"/>
    <w:multiLevelType w:val="hybridMultilevel"/>
    <w:lvl w:ilvl="0">
      <w:lvlJc w:val="left"/>
      <w:lvlText w:val="%1."/>
      <w:numFmt w:val="decimal"/>
      <w:start w:val="1"/>
    </w:lvl>
    <w:lvl w:ilvl="1">
      <w:lvlJc w:val="left"/>
      <w:lvlText w:val="%2."/>
      <w:numFmt w:val="lowerLetter"/>
      <w:start w:val="1"/>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1)"/>
      <w:numFmt w:val="upperLetter"/>
      <w:start w:val="2"/>
    </w:lvl>
  </w:abstractNum>
  <w:abstractNum w:abstractNumId="12">
    <w:nsid w:val="836C40E"/>
    <w:multiLevelType w:val="hybridMultilevel"/>
    <w:lvl w:ilvl="0">
      <w:lvlJc w:val="left"/>
      <w:lvlText w:val="(%1)"/>
      <w:numFmt w:val="upperLetter"/>
      <w:start w:val="4"/>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1)"/>
      <w:numFmt w:val="lowerLetter"/>
      <w:start w:val="2"/>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2"/>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1)"/>
      <w:numFmt w:val="lowerLetter"/>
      <w:start w:val="2"/>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2019-12-09T19:14:55Z</dcterms:created>
  <dcterms:modified xsi:type="dcterms:W3CDTF">2019-12-09T19:14:55Z</dcterms:modified>
</cp:coreProperties>
</file>