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460" w:right="1799" w:hanging="89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128905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8"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292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left="-3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4" w:lineRule="exact"/>
        <w:rPr>
          <w:sz w:val="20"/>
          <w:szCs w:val="20"/>
          <w:color w:val="auto"/>
        </w:rPr>
      </w:pPr>
    </w:p>
    <w:p>
      <w:pPr>
        <w:sectPr>
          <w:pgSz w:w="11900" w:h="16838" w:orient="portrait"/>
          <w:cols w:equalWidth="0" w:num="4">
            <w:col w:w="2080" w:space="300"/>
            <w:col w:w="1340" w:space="240"/>
            <w:col w:w="3360" w:space="200"/>
            <w:col w:w="2699"/>
          </w:cols>
          <w:pgMar w:left="240" w:top="122" w:right="1440" w:bottom="1440" w:gutter="0" w:footer="0" w:header="0"/>
          <w:type w:val="continuous"/>
        </w:sectPr>
      </w:pPr>
    </w:p>
    <w:p>
      <w:pPr>
        <w:ind w:left="340" w:right="133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October 30, 2009, was 45,613,794.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160655</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c>
          <w:tcPr>
            <w:tcW w:w="1840" w:type="dxa"/>
            <w:vAlign w:val="bottom"/>
          </w:tcPr>
          <w:p>
            <w:pPr>
              <w:spacing w:after="0"/>
              <w:rPr>
                <w:sz w:val="20"/>
                <w:szCs w:val="20"/>
                <w:color w:val="auto"/>
              </w:rPr>
            </w:pPr>
          </w:p>
        </w:tc>
      </w:tr>
      <w:tr>
        <w:trPr>
          <w:trHeight w:val="385"/>
        </w:trPr>
        <w:tc>
          <w:tcPr>
            <w:tcW w:w="38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r>
      <w:tr>
        <w:trPr>
          <w:trHeight w:val="412"/>
        </w:trPr>
        <w:tc>
          <w:tcPr>
            <w:tcW w:w="380" w:type="dxa"/>
            <w:vAlign w:val="bottom"/>
          </w:tcPr>
          <w:p>
            <w:pPr>
              <w:spacing w:after="0"/>
              <w:rPr>
                <w:sz w:val="24"/>
                <w:szCs w:val="24"/>
                <w:color w:val="auto"/>
              </w:rPr>
            </w:pPr>
          </w:p>
        </w:tc>
        <w:tc>
          <w:tcPr>
            <w:tcW w:w="320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080" w:type="dxa"/>
            <w:vAlign w:val="bottom"/>
            <w:gridSpan w:val="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11</w:t>
            </w:r>
          </w:p>
        </w:tc>
      </w:tr>
      <w:tr>
        <w:trPr>
          <w:trHeight w:val="412"/>
        </w:trPr>
        <w:tc>
          <w:tcPr>
            <w:tcW w:w="3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r>
      <w:tr>
        <w:trPr>
          <w:trHeight w:val="412"/>
        </w:trPr>
        <w:tc>
          <w:tcPr>
            <w:tcW w:w="38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4 Controls and Procedures</w:t>
              </w:r>
            </w:hyperlink>
          </w:p>
        </w:tc>
        <w:tc>
          <w:tcPr>
            <w:tcW w:w="6040" w:type="dxa"/>
            <w:vAlign w:val="bottom"/>
            <w:gridSpan w:val="8"/>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r>
      <w:tr>
        <w:trPr>
          <w:trHeight w:val="412"/>
        </w:trPr>
        <w:tc>
          <w:tcPr>
            <w:tcW w:w="38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r>
      <w:tr>
        <w:trPr>
          <w:trHeight w:val="412"/>
        </w:trPr>
        <w:tc>
          <w:tcPr>
            <w:tcW w:w="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1 Legal Proceedings</w:t>
              </w:r>
            </w:hyperlink>
          </w:p>
        </w:tc>
        <w:tc>
          <w:tcPr>
            <w:tcW w:w="1100" w:type="dxa"/>
            <w:vAlign w:val="bottom"/>
            <w:tcBorders>
              <w:top w:val="single" w:sz="8" w:color="0000EE"/>
            </w:tcBorders>
            <w:gridSpan w:val="4"/>
          </w:tcPr>
          <w:p>
            <w:pPr>
              <w:spacing w:after="0"/>
              <w:rPr>
                <w:sz w:val="24"/>
                <w:szCs w:val="24"/>
                <w:color w:val="auto"/>
              </w:rPr>
            </w:pPr>
          </w:p>
        </w:tc>
        <w:tc>
          <w:tcPr>
            <w:tcW w:w="5380" w:type="dxa"/>
            <w:vAlign w:val="bottom"/>
            <w:gridSpan w:val="6"/>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19</w:t>
            </w:r>
          </w:p>
        </w:tc>
      </w:tr>
      <w:tr>
        <w:trPr>
          <w:trHeight w:val="412"/>
        </w:trPr>
        <w:tc>
          <w:tcPr>
            <w:tcW w:w="38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1A Risk Factors</w:t>
              </w:r>
            </w:hyperlink>
          </w:p>
        </w:tc>
        <w:tc>
          <w:tcPr>
            <w:tcW w:w="6780" w:type="dxa"/>
            <w:vAlign w:val="bottom"/>
            <w:gridSpan w:val="12"/>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412"/>
        </w:trPr>
        <w:tc>
          <w:tcPr>
            <w:tcW w:w="38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2 Unregistered Sales of Equity Securities and Use of Proceeds</w:t>
              </w:r>
            </w:hyperlink>
          </w:p>
        </w:tc>
        <w:tc>
          <w:tcPr>
            <w:tcW w:w="3460" w:type="dxa"/>
            <w:vAlign w:val="bottom"/>
            <w:gridSpan w:val="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412"/>
        </w:trPr>
        <w:tc>
          <w:tcPr>
            <w:tcW w:w="38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 Defaults Upon Senior Securities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28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Submission of Matters to a Vote of Security Holders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412"/>
        </w:trPr>
        <w:tc>
          <w:tcPr>
            <w:tcW w:w="38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 Other Information</w:t>
              </w:r>
            </w:hyperlink>
          </w:p>
        </w:tc>
        <w:tc>
          <w:tcPr>
            <w:tcW w:w="2440" w:type="dxa"/>
            <w:vAlign w:val="bottom"/>
            <w:tcBorders>
              <w:top w:val="single" w:sz="8" w:color="0000EE"/>
            </w:tcBorders>
            <w:gridSpan w:val="7"/>
          </w:tcPr>
          <w:p>
            <w:pPr>
              <w:spacing w:after="0"/>
              <w:rPr>
                <w:sz w:val="24"/>
                <w:szCs w:val="24"/>
                <w:color w:val="auto"/>
              </w:rPr>
            </w:pPr>
          </w:p>
        </w:tc>
        <w:tc>
          <w:tcPr>
            <w:tcW w:w="4060" w:type="dxa"/>
            <w:vAlign w:val="bottom"/>
            <w:gridSpan w:val="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412"/>
        </w:trPr>
        <w:tc>
          <w:tcPr>
            <w:tcW w:w="38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6 Exhibits</w:t>
              </w:r>
            </w:hyperlink>
          </w:p>
        </w:tc>
        <w:tc>
          <w:tcPr>
            <w:tcW w:w="7200" w:type="dxa"/>
            <w:vAlign w:val="bottom"/>
            <w:gridSpan w:val="13"/>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20</w:t>
            </w: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SIGNATURES</w:t>
              </w:r>
            </w:hyperlink>
          </w:p>
        </w:tc>
        <w:tc>
          <w:tcPr>
            <w:tcW w:w="7220" w:type="dxa"/>
            <w:vAlign w:val="bottom"/>
            <w:gridSpan w:val="1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 10.1</w:t>
            </w:r>
          </w:p>
        </w:tc>
        <w:tc>
          <w:tcPr>
            <w:tcW w:w="740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31.1</w:t>
            </w:r>
          </w:p>
        </w:tc>
        <w:tc>
          <w:tcPr>
            <w:tcW w:w="74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31.2</w:t>
            </w:r>
          </w:p>
        </w:tc>
        <w:tc>
          <w:tcPr>
            <w:tcW w:w="74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32.1</w:t>
            </w:r>
          </w:p>
        </w:tc>
        <w:tc>
          <w:tcPr>
            <w:tcW w:w="740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280" w:type="dxa"/>
            <w:vAlign w:val="bottom"/>
            <w:gridSpan w:val="17"/>
          </w:tcPr>
          <w:p>
            <w:pPr>
              <w:spacing w:after="0" w:line="196" w:lineRule="exact"/>
              <w:rPr>
                <w:sz w:val="20"/>
                <w:szCs w:val="20"/>
                <w:color w:val="auto"/>
              </w:rPr>
            </w:pPr>
            <w:r>
              <w:rPr>
                <w:rFonts w:ascii="Arial" w:cs="Arial" w:eastAsia="Arial" w:hAnsi="Arial"/>
                <w:sz w:val="18"/>
                <w:szCs w:val="18"/>
                <w:color w:val="0000EE"/>
              </w:rPr>
              <w:t>Exhibit 32.2</w:t>
            </w:r>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960" w:type="dxa"/>
            <w:vAlign w:val="bottom"/>
            <w:gridSpan w:val="13"/>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4"/>
              </w:rPr>
              <w:t>Three Months Ended</w:t>
            </w:r>
          </w:p>
        </w:tc>
        <w:tc>
          <w:tcPr>
            <w:tcW w:w="17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34"/>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60" w:type="dxa"/>
            <w:vAlign w:val="bottom"/>
          </w:tcPr>
          <w:p>
            <w:pPr>
              <w:spacing w:after="0"/>
              <w:rPr>
                <w:sz w:val="20"/>
                <w:szCs w:val="20"/>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2009</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184,448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109,626</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36,995</w:t>
            </w:r>
          </w:p>
        </w:tc>
        <w:tc>
          <w:tcPr>
            <w:tcW w:w="0" w:type="dxa"/>
            <w:vAlign w:val="bottom"/>
          </w:tcPr>
          <w:p>
            <w:pPr>
              <w:spacing w:after="0"/>
              <w:rPr>
                <w:sz w:val="1"/>
                <w:szCs w:val="1"/>
                <w:color w:val="auto"/>
              </w:rPr>
            </w:pPr>
          </w:p>
        </w:tc>
      </w:tr>
      <w:tr>
        <w:trPr>
          <w:trHeight w:val="202"/>
        </w:trPr>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and promotional, including $1,928 and $1,398 for the three</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200"/>
              <w:spacing w:after="0"/>
              <w:rPr>
                <w:sz w:val="20"/>
                <w:szCs w:val="20"/>
                <w:color w:val="auto"/>
              </w:rPr>
            </w:pPr>
            <w:r>
              <w:rPr>
                <w:rFonts w:ascii="Arial" w:cs="Arial" w:eastAsia="Arial" w:hAnsi="Arial"/>
                <w:sz w:val="18"/>
                <w:szCs w:val="18"/>
                <w:color w:val="auto"/>
                <w:w w:val="99"/>
              </w:rPr>
              <w:t>months ended September 30, 2009 and 2008, respectively, and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200"/>
              <w:spacing w:after="0"/>
              <w:rPr>
                <w:sz w:val="20"/>
                <w:szCs w:val="20"/>
                <w:color w:val="auto"/>
              </w:rPr>
            </w:pPr>
            <w:r>
              <w:rPr>
                <w:rFonts w:ascii="Arial" w:cs="Arial" w:eastAsia="Arial" w:hAnsi="Arial"/>
                <w:sz w:val="18"/>
                <w:szCs w:val="18"/>
                <w:color w:val="auto"/>
                <w:w w:val="94"/>
              </w:rPr>
              <w:t>$5,319 and $4,323 for the nine months ended September 30, 2009</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00"/>
              <w:spacing w:after="0"/>
              <w:rPr>
                <w:sz w:val="20"/>
                <w:szCs w:val="20"/>
                <w:color w:val="auto"/>
              </w:rPr>
            </w:pPr>
            <w:r>
              <w:rPr>
                <w:rFonts w:ascii="Arial" w:cs="Arial" w:eastAsia="Arial" w:hAnsi="Arial"/>
                <w:sz w:val="18"/>
                <w:szCs w:val="18"/>
                <w:color w:val="auto"/>
              </w:rPr>
              <w:t>and 2008, respectively, to related parties</w:t>
            </w: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22,095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62,396</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46,035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Estimated litigation loss</w:t>
            </w: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Royalty to former owner</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59,391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36,685</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155,740</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27,617</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Shares used in computing net income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45,032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380" w:type="dxa"/>
            <w:vAlign w:val="bottom"/>
          </w:tcPr>
          <w:p>
            <w:pPr>
              <w:jc w:val="center"/>
              <w:ind w:left="1810"/>
              <w:spacing w:after="0"/>
              <w:rPr>
                <w:sz w:val="20"/>
                <w:szCs w:val="20"/>
                <w:color w:val="auto"/>
              </w:rPr>
            </w:pPr>
            <w:r>
              <w:rPr>
                <w:rFonts w:ascii="Arial" w:cs="Arial" w:eastAsia="Arial" w:hAnsi="Arial"/>
                <w:sz w:val="18"/>
                <w:szCs w:val="18"/>
                <w:b w:val="1"/>
                <w:bCs w:val="1"/>
                <w:color w:val="auto"/>
              </w:rPr>
              <w:t>GRAND CANYON EDUCATION, INC.</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jc w:val="center"/>
              <w:ind w:left="1810"/>
              <w:spacing w:after="0"/>
              <w:rPr>
                <w:sz w:val="20"/>
                <w:szCs w:val="20"/>
                <w:color w:val="auto"/>
              </w:rPr>
            </w:pPr>
            <w:r>
              <w:rPr>
                <w:rFonts w:ascii="Arial" w:cs="Arial" w:eastAsia="Arial" w:hAnsi="Arial"/>
                <w:sz w:val="18"/>
                <w:szCs w:val="18"/>
                <w:b w:val="1"/>
                <w:bCs w:val="1"/>
                <w:color w:val="auto"/>
                <w:w w:val="87"/>
              </w:rPr>
              <w:t>Balance Sheets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 w:type="dxa"/>
            <w:vAlign w:val="bottom"/>
          </w:tcPr>
          <w:p>
            <w:pPr>
              <w:spacing w:after="0"/>
              <w:rPr>
                <w:sz w:val="20"/>
                <w:szCs w:val="20"/>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38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73,670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r>
      <w:tr>
        <w:trPr>
          <w:trHeight w:val="202"/>
        </w:trPr>
        <w:tc>
          <w:tcPr>
            <w:tcW w:w="340" w:type="dxa"/>
            <w:vAlign w:val="bottom"/>
          </w:tcPr>
          <w:p>
            <w:pPr>
              <w:spacing w:after="0"/>
              <w:rPr>
                <w:sz w:val="17"/>
                <w:szCs w:val="17"/>
                <w:color w:val="auto"/>
              </w:rPr>
            </w:pPr>
          </w:p>
        </w:tc>
        <w:tc>
          <w:tcPr>
            <w:tcW w:w="64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Restricted cash and cash equivalents and investments (of which $171 is unrestricted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00" w:type="dxa"/>
            <w:vAlign w:val="bottom"/>
            <w:gridSpan w:val="2"/>
          </w:tcPr>
          <w:p>
            <w:pPr>
              <w:ind w:left="400"/>
              <w:spacing w:after="0"/>
              <w:rPr>
                <w:sz w:val="20"/>
                <w:szCs w:val="20"/>
                <w:color w:val="auto"/>
              </w:rPr>
            </w:pPr>
            <w:r>
              <w:rPr>
                <w:rFonts w:ascii="Arial" w:cs="Arial" w:eastAsia="Arial" w:hAnsi="Arial"/>
                <w:sz w:val="18"/>
                <w:szCs w:val="18"/>
                <w:color w:val="auto"/>
              </w:rPr>
              <w:t>at September 30, 2009)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3,844</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r>
      <w:tr>
        <w:trPr>
          <w:trHeight w:val="202"/>
        </w:trPr>
        <w:tc>
          <w:tcPr>
            <w:tcW w:w="340" w:type="dxa"/>
            <w:vAlign w:val="bottom"/>
          </w:tcPr>
          <w:p>
            <w:pPr>
              <w:spacing w:after="0"/>
              <w:rPr>
                <w:sz w:val="17"/>
                <w:szCs w:val="17"/>
                <w:color w:val="auto"/>
              </w:rPr>
            </w:pPr>
          </w:p>
        </w:tc>
        <w:tc>
          <w:tcPr>
            <w:tcW w:w="64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doubtful accounts of $5,232 and $6,356 at</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September 30, 2009 and December 31, 2008, respectively</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15,577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r>
      <w:tr>
        <w:trPr>
          <w:trHeight w:val="223"/>
        </w:trPr>
        <w:tc>
          <w:tcPr>
            <w:tcW w:w="34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101,080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53,599</w:t>
            </w: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63,425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41,399</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Restricted cash and investments (of which $2,928 is restricted at December 31, 2008)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7,494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8,043</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7,752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30"/>
        </w:trPr>
        <w:tc>
          <w:tcPr>
            <w:tcW w:w="34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183,608</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3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18,358</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14,262</w:t>
            </w: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3,110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w:t>
            </w:r>
          </w:p>
        </w:tc>
      </w:tr>
      <w:tr>
        <w:trPr>
          <w:trHeight w:val="223"/>
        </w:trPr>
        <w:tc>
          <w:tcPr>
            <w:tcW w:w="34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83,038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32,557</w:t>
            </w: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29,384</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 and other</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r>
      <w:tr>
        <w:trPr>
          <w:trHeight w:val="230"/>
        </w:trPr>
        <w:tc>
          <w:tcPr>
            <w:tcW w:w="34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110,119</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63,400</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10,000,000 shares authorized; 0 shares issued and</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2009 and December 31, 2008</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400" w:type="dxa"/>
            <w:vAlign w:val="bottom"/>
            <w:gridSpan w:val="2"/>
          </w:tcPr>
          <w:p>
            <w:pPr>
              <w:spacing w:after="0" w:line="201" w:lineRule="exact"/>
              <w:rPr>
                <w:sz w:val="20"/>
                <w:szCs w:val="20"/>
                <w:color w:val="auto"/>
              </w:rPr>
            </w:pPr>
            <w:r>
              <w:rPr>
                <w:rFonts w:ascii="Arial" w:cs="Arial" w:eastAsia="Arial" w:hAnsi="Arial"/>
                <w:sz w:val="18"/>
                <w:szCs w:val="18"/>
                <w:color w:val="auto"/>
                <w:w w:val="98"/>
              </w:rPr>
              <w:t>Common stock, $0.01 par value, 100,000,000 shares authorized; 45,613,794 and</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w w:val="90"/>
              </w:rPr>
              <w:t>45,465,160 shares issued and outstanding at September 30, 2009 and December 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2008, respectively</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455</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64,808</w:t>
            </w: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(deficit)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(11,689)</w:t>
            </w:r>
          </w:p>
        </w:tc>
      </w:tr>
      <w:tr>
        <w:trPr>
          <w:trHeight w:val="230"/>
        </w:trPr>
        <w:tc>
          <w:tcPr>
            <w:tcW w:w="34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73,489</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53,590</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183,608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116,990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3320" w:type="dxa"/>
            <w:vAlign w:val="bottom"/>
            <w:gridSpan w:val="9"/>
          </w:tcPr>
          <w:p>
            <w:pPr>
              <w:jc w:val="center"/>
              <w:ind w:left="110"/>
              <w:spacing w:after="0"/>
              <w:rPr>
                <w:sz w:val="20"/>
                <w:szCs w:val="20"/>
                <w:color w:val="auto"/>
              </w:rPr>
            </w:pPr>
            <w:r>
              <w:rPr>
                <w:rFonts w:ascii="Arial" w:cs="Arial" w:eastAsia="Arial" w:hAnsi="Arial"/>
                <w:sz w:val="18"/>
                <w:szCs w:val="18"/>
                <w:b w:val="1"/>
                <w:bCs w:val="1"/>
                <w:color w:val="auto"/>
              </w:rPr>
              <w:t>GRAND CANYON EDUCATION, INC.</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320" w:type="dxa"/>
            <w:vAlign w:val="bottom"/>
            <w:gridSpan w:val="9"/>
          </w:tcPr>
          <w:p>
            <w:pPr>
              <w:jc w:val="center"/>
              <w:ind w:left="110"/>
              <w:spacing w:after="0"/>
              <w:rPr>
                <w:sz w:val="20"/>
                <w:szCs w:val="20"/>
                <w:color w:val="auto"/>
              </w:rPr>
            </w:pPr>
            <w:r>
              <w:rPr>
                <w:rFonts w:ascii="Arial" w:cs="Arial" w:eastAsia="Arial" w:hAnsi="Arial"/>
                <w:sz w:val="18"/>
                <w:szCs w:val="18"/>
                <w:b w:val="1"/>
                <w:bCs w:val="1"/>
                <w:color w:val="auto"/>
                <w:w w:val="90"/>
              </w:rPr>
              <w:t>Statement of Stockholders’ Equity</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040" w:type="dxa"/>
            <w:vAlign w:val="bottom"/>
            <w:gridSpan w:val="8"/>
          </w:tcPr>
          <w:p>
            <w:pPr>
              <w:jc w:val="center"/>
              <w:ind w:left="390"/>
              <w:spacing w:after="0"/>
              <w:rPr>
                <w:sz w:val="20"/>
                <w:szCs w:val="20"/>
                <w:color w:val="auto"/>
              </w:rPr>
            </w:pPr>
            <w:r>
              <w:rPr>
                <w:rFonts w:ascii="Arial" w:cs="Arial" w:eastAsia="Arial" w:hAnsi="Arial"/>
                <w:sz w:val="18"/>
                <w:szCs w:val="18"/>
                <w:b w:val="1"/>
                <w:bCs w:val="1"/>
                <w:color w:val="auto"/>
                <w:w w:val="89"/>
              </w:rPr>
              <w:t>(In thousands, except share data)</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280" w:type="dxa"/>
            <w:vAlign w:val="bottom"/>
          </w:tcPr>
          <w:p>
            <w:pPr>
              <w:spacing w:after="0"/>
              <w:rPr>
                <w:sz w:val="19"/>
                <w:szCs w:val="19"/>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Paid-in</w:t>
            </w:r>
          </w:p>
        </w:tc>
        <w:tc>
          <w:tcPr>
            <w:tcW w:w="13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Par Value</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(Deficit)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45,465,160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64,808</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16,209</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16,209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 hedging</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 net of taxes of $122</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Unrealized gains on available</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w w:val="92"/>
              </w:rPr>
              <w:t>for-sale securities, net of taxes of $5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2,439</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57,982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w w:val="95"/>
              </w:rPr>
              <w:t>Excess tax benefits from share-based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Repurchase and retirement of the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Company’s common stock</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(909,348)</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(14,486)</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(14,495)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w w:val="97"/>
              </w:rPr>
              <w:t>Issuance of shares of the Company’s</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w w:val="91"/>
              </w:rPr>
              <w:t>common stock, net of issuance costs</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14,878</w:t>
            </w:r>
          </w:p>
        </w:tc>
        <w:tc>
          <w:tcPr>
            <w:tcW w:w="2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45,613,794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68,670</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5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rPr>
              <w:t>GRAND CANYON EDUCATION,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7"/>
              </w:rPr>
              <w:t>Statements of Cash Flows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8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vMerge w:val="restart"/>
          </w:tcPr>
          <w:p>
            <w:pPr>
              <w:spacing w:after="0"/>
              <w:rPr>
                <w:sz w:val="24"/>
                <w:szCs w:val="24"/>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340" w:type="dxa"/>
            <w:vAlign w:val="bottom"/>
            <w:tcBorders>
              <w:bottom w:val="single" w:sz="8" w:color="auto"/>
            </w:tcBorders>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16,209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2,439</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9,931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5,782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(16,066)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4,240</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Income taxes receivable/payable</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Deposit with former owner</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Royalty payable to former owner</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Prepaid royalties to former owner</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28,333</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66,811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Purchase of campus land and buildings</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(35,505)</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(52,983)</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25,547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Repayment on line of credit</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Repurchase of Institute Warrant</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Repurchase of Institute Note Payable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Amount paid related to initial public offering</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14,888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24,690</w:t>
            </w: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38,518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35,152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73,670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Cash paid for income taxes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11,980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2,116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Purchases of property and equipment included in accounts payable and deferred rent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30,020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Value assigned to Blanchard shares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05" w:right="144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0219"/>
          </w:cols>
          <w:pgMar w:left="240" w:top="405" w:right="1440" w:bottom="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879" w:firstLine="373"/>
        <w:spacing w:after="0" w:line="257" w:lineRule="auto"/>
        <w:rPr>
          <w:sz w:val="20"/>
          <w:szCs w:val="20"/>
          <w:color w:val="auto"/>
        </w:rPr>
      </w:pPr>
      <w:r>
        <w:rPr>
          <w:rFonts w:ascii="Arial" w:cs="Arial" w:eastAsia="Arial" w:hAnsi="Arial"/>
          <w:sz w:val="18"/>
          <w:szCs w:val="18"/>
          <w:color w:val="auto"/>
        </w:rPr>
        <w:t>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The accompanying unaudited interim financial statements of the Company have been prepared in accordance with U.S. generally accepted accounting principles, consistent in all material respects with those applied in its financial statements included in its Annual Report on Form 10-K for the fiscal year ended December 31, 2008.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Company’s audited financial statements and footnotes included in its Annual Report on Form 10-K for the fiscal year ended December 31, 2008.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98"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color w:val="auto"/>
        </w:rPr>
        <w:t>On August 27, 2009, the Company filed a Registration Statement on Form S-1 (Registration No. 333-161571) for a public offering of shares of its common stock, which was completed on September 18, 2009. In the offering 6,900,000 shares were sold, consisting of 1,000,000 shares sold by the Company and 5,900,000 shares sold by certain stockholders of the Company. Total net proceeds to the Company were $14.9 million, net of underwriting discounts and commissions and offering expenses. The Company did not receive any of the proceeds from the sale of common stock sold by the selling stockholders.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619" w:firstLine="373"/>
        <w:spacing w:after="0" w:line="288" w:lineRule="auto"/>
        <w:rPr>
          <w:sz w:val="20"/>
          <w:szCs w:val="20"/>
          <w:color w:val="auto"/>
        </w:rPr>
      </w:pPr>
      <w:r>
        <w:rPr>
          <w:rFonts w:ascii="Arial" w:cs="Arial" w:eastAsia="Arial" w:hAnsi="Arial"/>
          <w:sz w:val="16"/>
          <w:szCs w:val="16"/>
          <w:color w:val="auto"/>
        </w:rPr>
        <w:t>Net revenues consist primarily of tuition and fees derived from courses taught by the Company online, at its traditional campus in Phoenix, Arizona, and onsite at facilities of employers, as well as from related educational resources such as access to online materials. Tuition revenue and most fees and related educational resources are recognized pro rata over the applicable period of instruction, net of scholarships provided by the Company. If a student withdraws within the first three weeks of a course, the Company will refund all or a portion of tuition already paid pursuant to its refund policy, dependent upon length of course and modality.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quarters. Therefore, at the end of each fiscal quarter, a portion of revenue from these programs is not yet earned. Other revenues may be recognized as sales occur or services are performed.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85"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32"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6" w:lineRule="exact"/>
        <w:rPr>
          <w:sz w:val="20"/>
          <w:szCs w:val="20"/>
          <w:color w:val="auto"/>
        </w:rPr>
      </w:pPr>
    </w:p>
    <w:p>
      <w:pPr>
        <w:ind w:left="340" w:right="679" w:firstLine="373"/>
        <w:spacing w:after="0" w:line="270" w:lineRule="auto"/>
        <w:rPr>
          <w:sz w:val="20"/>
          <w:szCs w:val="20"/>
          <w:color w:val="auto"/>
        </w:rPr>
      </w:pPr>
      <w:r>
        <w:rPr>
          <w:rFonts w:ascii="Arial" w:cs="Arial" w:eastAsia="Arial" w:hAnsi="Arial"/>
          <w:sz w:val="17"/>
          <w:szCs w:val="17"/>
          <w:color w:val="auto"/>
        </w:rPr>
        <w:t>On June 30, 2009, the Company entered into two derivative agreements to manage its 30 Day LIBOR interest exposure related to its variable rate debt, which commenced in April 2009 and matures in April 2014. The fair value of the corridor derivative asset on June 30, 2009 was $164. The fair value for the interest rate corridor was determined using a hypothetical derivative transaction and Level 2 of the hierarchy of valuation inputs. The fair value as of September 30, 2009 with adjustment for credit risk was $109 and this derivative asset is included in Other assets. The fair value of the forward starting interest rate swap, without any adjustment for credit risk, is a liability of $247 as of September 30, 2009 and is included in long term notes payable and other. These derivative instruments were designated as cash flow hedges of variable rate debt obligations. The adjustment of $302 for the effective portion of the loss on the derivatives is included as a component of other comprehensive income, net of taxes.</w:t>
      </w:r>
    </w:p>
    <w:p>
      <w:pPr>
        <w:spacing w:after="0" w:line="141" w:lineRule="exact"/>
        <w:rPr>
          <w:sz w:val="20"/>
          <w:szCs w:val="20"/>
          <w:color w:val="auto"/>
        </w:rPr>
      </w:pPr>
    </w:p>
    <w:p>
      <w:pPr>
        <w:jc w:val="both"/>
        <w:ind w:left="340" w:right="699" w:firstLine="373"/>
        <w:spacing w:after="0" w:line="312" w:lineRule="auto"/>
        <w:rPr>
          <w:sz w:val="20"/>
          <w:szCs w:val="20"/>
          <w:color w:val="auto"/>
        </w:rPr>
      </w:pPr>
      <w:r>
        <w:rPr>
          <w:rFonts w:ascii="Arial" w:cs="Arial" w:eastAsia="Arial" w:hAnsi="Arial"/>
          <w:sz w:val="16"/>
          <w:szCs w:val="16"/>
          <w:color w:val="auto"/>
        </w:rPr>
        <w:t>The interest rate corridor instrument hedges variable interest rate risk starting July 1, 2009 through April 30, 2014 with a notional amount of $12.6 million as of September 30, 2009. The corridor instrument permits the Company to hedge its interest rate risk at several thresholds; the Company will pay variable interest rates based on the 30 Day LIBOR rates monthly until that</w:t>
      </w:r>
    </w:p>
    <w:p>
      <w:pPr>
        <w:sectPr>
          <w:pgSz w:w="11900" w:h="16838" w:orient="portrait"/>
          <w:cols w:equalWidth="0" w:num="1">
            <w:col w:w="10219"/>
          </w:cols>
          <w:pgMar w:left="240" w:top="419" w:right="1440" w:bottom="0" w:gutter="0" w:footer="0" w:header="0"/>
        </w:sectPr>
      </w:pPr>
    </w:p>
    <w:bookmarkStart w:id="8" w:name="page9"/>
    <w:bookmarkEnd w:id="8"/>
    <w:p>
      <w:pPr>
        <w:jc w:val="both"/>
        <w:ind w:right="739"/>
        <w:spacing w:after="0" w:line="342" w:lineRule="auto"/>
        <w:rPr>
          <w:sz w:val="20"/>
          <w:szCs w:val="20"/>
          <w:color w:val="auto"/>
        </w:rPr>
      </w:pPr>
      <w:r>
        <w:rPr>
          <w:rFonts w:ascii="Arial" w:cs="Arial" w:eastAsia="Arial" w:hAnsi="Arial"/>
          <w:sz w:val="16"/>
          <w:szCs w:val="16"/>
          <w:color w:val="auto"/>
        </w:rPr>
        <w:t>index reaches 4%. If 30 Day LIBOR is equal to 4% through 6%, the Company will pay 4%. If 30 Day LIBOR exceeds 6%, the Company will pay actual 30 Day LIBOR less 2%. This reduces the Company’s exposure to potential increases in interest rates.</w:t>
      </w:r>
    </w:p>
    <w:p>
      <w:pPr>
        <w:spacing w:after="0" w:line="83" w:lineRule="exact"/>
        <w:rPr>
          <w:sz w:val="20"/>
          <w:szCs w:val="20"/>
          <w:color w:val="auto"/>
        </w:rPr>
      </w:pPr>
    </w:p>
    <w:p>
      <w:pPr>
        <w:ind w:right="679" w:firstLine="373"/>
        <w:spacing w:after="0" w:line="255" w:lineRule="auto"/>
        <w:rPr>
          <w:sz w:val="20"/>
          <w:szCs w:val="20"/>
          <w:color w:val="auto"/>
        </w:rPr>
      </w:pPr>
      <w:r>
        <w:rPr>
          <w:rFonts w:ascii="Arial" w:cs="Arial" w:eastAsia="Arial" w:hAnsi="Arial"/>
          <w:sz w:val="18"/>
          <w:szCs w:val="18"/>
          <w:color w:val="auto"/>
        </w:rPr>
        <w:t>The forward starting interest rate swap commences on May 1, 2010 and continues each month thereafter until April 30, 2014 and has an initial notional amount of $12.0 million. The Company will receive 30 Day LIBOR and pay 3.245% fixed interest on the amortizing notional amount. Therefore, the Company has hedged its exposure to future variable rate cash flows through April 30, 2014. The forward interest rate swap in not subject to a master netting arrangement and no collateral has been called or posted by the counterparty. Such collateral, if called by the counterparty, would be included in the restricted cash and cash equivalent balances.</w:t>
      </w:r>
    </w:p>
    <w:p>
      <w:pPr>
        <w:spacing w:after="0" w:line="166" w:lineRule="exact"/>
        <w:rPr>
          <w:sz w:val="20"/>
          <w:szCs w:val="20"/>
          <w:color w:val="auto"/>
        </w:rPr>
      </w:pPr>
    </w:p>
    <w:p>
      <w:pPr>
        <w:ind w:right="599" w:firstLine="373"/>
        <w:spacing w:after="0" w:line="276" w:lineRule="auto"/>
        <w:rPr>
          <w:sz w:val="20"/>
          <w:szCs w:val="20"/>
          <w:color w:val="auto"/>
        </w:rPr>
      </w:pPr>
      <w:r>
        <w:rPr>
          <w:rFonts w:ascii="Arial" w:cs="Arial" w:eastAsia="Arial" w:hAnsi="Arial"/>
          <w:sz w:val="17"/>
          <w:szCs w:val="17"/>
          <w:color w:val="auto"/>
        </w:rPr>
        <w:t>As of September 30, 2009 no derivative ineffectiveness was identified. Any ineffectiveness in the Company’s derivative instruments designated as hedges would be reported in Interest expense in the statement of operations. As of September 30, 2009 credit default risk interest income of $0 was identified and recognized and is reported in Interest expense in the statement of operations. At September 30, 2009, the Company expects to reclassify $0 of gains or losses on derivative instruments from accumulated other comprehensive (loss) income into earnings during the next 12 months.</w:t>
      </w:r>
    </w:p>
    <w:p>
      <w:pPr>
        <w:spacing w:after="0" w:line="200" w:lineRule="exact"/>
        <w:rPr>
          <w:sz w:val="20"/>
          <w:szCs w:val="20"/>
          <w:color w:val="auto"/>
        </w:rPr>
      </w:pPr>
    </w:p>
    <w:p>
      <w:pPr>
        <w:spacing w:after="0" w:line="3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As of September 30, 2009,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Company for debt of similar risk and maturities. The fair value of investments was determined using Level 1 of the hierarchy of valuation inputs, with the use of observable market prices in the active market. The Company’s investment portfolio is primarily comprised of money market funds with AAA rating at more than one financial institution. Derivative financial instruments are carried at fair value, determined using Level 2 of the hierarchy of valuation inputs, with the use of inputs other than quoted prices that are observable for the asset or liability. See Note 2, Summary of Significant Accounting Policies — Derivatives and Hedging.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98" w:lineRule="exact"/>
        <w:rPr>
          <w:sz w:val="20"/>
          <w:szCs w:val="20"/>
          <w:color w:val="auto"/>
        </w:rPr>
      </w:pPr>
    </w:p>
    <w:p>
      <w:pPr>
        <w:ind w:left="340" w:right="779" w:firstLine="373"/>
        <w:spacing w:after="0" w:line="259" w:lineRule="auto"/>
        <w:rPr>
          <w:sz w:val="20"/>
          <w:szCs w:val="20"/>
          <w:color w:val="auto"/>
        </w:rPr>
      </w:pPr>
      <w:r>
        <w:rPr>
          <w:rFonts w:ascii="Arial" w:cs="Arial" w:eastAsia="Arial" w:hAnsi="Arial"/>
          <w:sz w:val="18"/>
          <w:szCs w:val="18"/>
          <w:color w:val="auto"/>
        </w:rPr>
        <w:t>Total comprehensive income includes net income and other comprehensive income (loss), which consists solely of unrealized gains and losses on available-for-sale investments and the effective portion of the change in fair value of qualifying hedge instruments. Total comprehensive income for the nine months ended September 30, 2009 and 2008 was $16,036 and $4,408,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left="340" w:right="73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Actual results could differ from those estimates.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executive officer manages the Company’s operations as a whole and no expense or operating income information is generated or evaluated on any component level.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ind w:left="340" w:right="1039" w:firstLine="373"/>
        <w:spacing w:after="0" w:line="277" w:lineRule="auto"/>
        <w:rPr>
          <w:sz w:val="20"/>
          <w:szCs w:val="20"/>
          <w:color w:val="auto"/>
        </w:rPr>
      </w:pPr>
      <w:r>
        <w:rPr>
          <w:rFonts w:ascii="Arial" w:cs="Arial" w:eastAsia="Arial" w:hAnsi="Arial"/>
          <w:sz w:val="18"/>
          <w:szCs w:val="18"/>
          <w:color w:val="auto"/>
        </w:rPr>
        <w:t>Certain reclassification of prior period amounts have been made to the prior period balances to conform to the current period.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color w:val="auto"/>
        </w:rPr>
        <w:t>In April 2009, the Financial Accounting Standards Board (“FASB”) issued new guidance that expands the fair value disclosures required for all financial instruments to be included in interim financial statements. In addition, the new guidance requires public companies to disclose the method and significant assumptions used to estimate the fair value of those financial instruments and to discuss any changes of method or assumptions, if any, during the reporting period. This new guidance was effective for the Company’s quarter ended June 30, 2009. As this guidance relates specifically to disclosures, the adoption had no impact on the Company’s financial position or results of operations.</w:t>
      </w:r>
    </w:p>
    <w:p>
      <w:pPr>
        <w:spacing w:after="0" w:line="151"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color w:val="auto"/>
        </w:rPr>
        <w:t>In May 2009, the FASB issued new guidance to establish general standards of accounting for and disclosures of events that occur after the balance sheet date but before financial statements are issued or are available to be issued. Among other things, this new guidance requires the disclosure of the date through which an entity has evaluated subsequent events and the basis for that date. This new guidance was effective for the Company’s quarter ended June 30, 2009. The Company has evaluated subsequent events for this interim reporting period through November 3, 2009, the date on which the financial statements were issued. Given the centralization of operations and location of key management personnel, the Company believes this is a reasonable date through which to evaluate subsequent events. The adoption had no impact on the Company’s financial position or results of operations.</w:t>
      </w:r>
    </w:p>
    <w:p>
      <w:pPr>
        <w:spacing w:after="0" w:line="138" w:lineRule="exact"/>
        <w:rPr>
          <w:sz w:val="20"/>
          <w:szCs w:val="20"/>
          <w:color w:val="auto"/>
        </w:rPr>
      </w:pPr>
    </w:p>
    <w:p>
      <w:pPr>
        <w:ind w:left="340" w:right="999" w:firstLine="373"/>
        <w:spacing w:after="0" w:line="297" w:lineRule="auto"/>
        <w:rPr>
          <w:sz w:val="20"/>
          <w:szCs w:val="20"/>
          <w:color w:val="auto"/>
        </w:rPr>
      </w:pPr>
      <w:r>
        <w:rPr>
          <w:rFonts w:ascii="Arial" w:cs="Arial" w:eastAsia="Arial" w:hAnsi="Arial"/>
          <w:sz w:val="16"/>
          <w:szCs w:val="16"/>
          <w:color w:val="auto"/>
        </w:rPr>
        <w:t>In June 2009, the FASB issued the FASB Accounting Standards Codification (“Codification”). The Codification is the source of authoritative accounting principles recognized by the FASB to be applied by non-governmental entities in the preparation of financial statements in conformity with U.S. generally accepted accounting principles. The Codification is effective for interim and annual periods ending after September 15, 2009. The Codification does not change U. S. generally accepted accounting principles and did not have a material impact on the Company’s financial statements.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Spirit Transaction</w:t>
      </w:r>
    </w:p>
    <w:p>
      <w:pPr>
        <w:spacing w:after="0" w:line="202"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color w:val="auto"/>
        </w:rPr>
        <w:t>On April 28, 2009, the Company acquired the land and buildings that comprise its ground campus and 909,348 shares of its common stock from Spirit Master Funding, LLC and Spirit Management Company, respectively (collectively, “Spirit”) for an aggregate purchase price of $50 million.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to which it borrowed $25.7 million. Under the terms of the loan agreement, the Company makes principal payments in equal monthly installments of $143 plus accrued interest at 30 day LIBOR plus 3.5% (approximately 3.8% at September 30, 2009). All remaining unpaid</w:t>
      </w:r>
    </w:p>
    <w:p>
      <w:pPr>
        <w:sectPr>
          <w:pgSz w:w="11900" w:h="16838" w:orient="portrait"/>
          <w:cols w:equalWidth="0" w:num="1">
            <w:col w:w="10219"/>
          </w:cols>
          <w:pgMar w:left="240" w:top="419" w:right="1440" w:bottom="0" w:gutter="0" w:footer="0" w:header="0"/>
        </w:sectPr>
      </w:pPr>
    </w:p>
    <w:bookmarkStart w:id="10" w:name="page11"/>
    <w:bookmarkEnd w:id="10"/>
    <w:p>
      <w:pPr>
        <w:jc w:val="both"/>
        <w:ind w:right="959"/>
        <w:spacing w:after="0" w:line="288" w:lineRule="auto"/>
        <w:rPr>
          <w:sz w:val="20"/>
          <w:szCs w:val="20"/>
          <w:color w:val="auto"/>
        </w:rPr>
      </w:pPr>
      <w:r>
        <w:rPr>
          <w:rFonts w:ascii="Arial" w:cs="Arial" w:eastAsia="Arial" w:hAnsi="Arial"/>
          <w:sz w:val="16"/>
          <w:szCs w:val="16"/>
          <w:color w:val="auto"/>
        </w:rPr>
        <w:t>principal is due on April 30, 2014. The loan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w:t>
      </w:r>
    </w:p>
    <w:p>
      <w:pPr>
        <w:ind w:right="679"/>
        <w:spacing w:after="0" w:line="261" w:lineRule="auto"/>
        <w:rPr>
          <w:sz w:val="20"/>
          <w:szCs w:val="20"/>
          <w:color w:val="auto"/>
        </w:rPr>
      </w:pPr>
      <w:r>
        <w:rPr>
          <w:rFonts w:ascii="Arial" w:cs="Arial" w:eastAsia="Arial" w:hAnsi="Arial"/>
          <w:sz w:val="18"/>
          <w:szCs w:val="18"/>
          <w:color w:val="auto"/>
        </w:rPr>
        <w:t>Indebtedness under the loan agreement is secured by the land and buildings that comprise the Company’s ground campus. As of September 30, 2009, the Company is in compliance with its debt covenants.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allocated $14.5 million of the purchase price to the repurchase of its common stock and the remaining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$35.5 million to the land and buildings. Additionally, the Company removed the building and improvement assets and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lease obligations of $30.0 million and applied the deferred gain of $1.4 million as a reduction to the new building value.</w:t>
      </w:r>
    </w:p>
    <w:p>
      <w:pPr>
        <w:spacing w:after="0" w:line="200" w:lineRule="exact"/>
        <w:rPr>
          <w:sz w:val="20"/>
          <w:szCs w:val="20"/>
          <w:color w:val="auto"/>
        </w:rPr>
      </w:pPr>
    </w:p>
    <w:p>
      <w:pPr>
        <w:spacing w:after="0" w:line="39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Earnings Per Share</w:t>
      </w:r>
    </w:p>
    <w:p>
      <w:pPr>
        <w:spacing w:after="0" w:line="189"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3" w:lineRule="exact"/>
        <w:rPr>
          <w:sz w:val="20"/>
          <w:szCs w:val="20"/>
          <w:color w:val="auto"/>
        </w:rPr>
      </w:pPr>
    </w:p>
    <w:p>
      <w:pPr>
        <w:ind w:left="340" w:right="1239" w:firstLine="373"/>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38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7"/>
          </w:tcPr>
          <w:p>
            <w:pPr>
              <w:ind w:left="460"/>
              <w:spacing w:after="0"/>
              <w:rPr>
                <w:sz w:val="20"/>
                <w:szCs w:val="20"/>
                <w:color w:val="auto"/>
              </w:rPr>
            </w:pPr>
            <w:r>
              <w:rPr>
                <w:rFonts w:ascii="Arial" w:cs="Arial" w:eastAsia="Arial" w:hAnsi="Arial"/>
                <w:sz w:val="18"/>
                <w:szCs w:val="18"/>
                <w:b w:val="1"/>
                <w:bCs w:val="1"/>
                <w:color w:val="auto"/>
              </w:rPr>
              <w:t>September 30,</w:t>
            </w:r>
          </w:p>
        </w:tc>
        <w:tc>
          <w:tcPr>
            <w:tcW w:w="238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2009</w:t>
            </w: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44,783,079</w:t>
            </w:r>
          </w:p>
        </w:tc>
        <w:tc>
          <w:tcPr>
            <w:tcW w:w="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19,218,650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45,032,008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19,132,681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preferred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10,870,178</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10,870,178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340" w:type="dxa"/>
            <w:vAlign w:val="bottom"/>
          </w:tcPr>
          <w:p>
            <w:pPr>
              <w:ind w:left="200"/>
              <w:spacing w:after="0"/>
              <w:rPr>
                <w:sz w:val="20"/>
                <w:szCs w:val="20"/>
                <w:color w:val="auto"/>
              </w:rPr>
            </w:pPr>
            <w:r>
              <w:rPr>
                <w:rFonts w:ascii="Arial" w:cs="Arial" w:eastAsia="Arial" w:hAnsi="Arial"/>
                <w:sz w:val="18"/>
                <w:szCs w:val="18"/>
                <w:color w:val="auto"/>
              </w:rPr>
              <w:t>Effect of dilutive warrants and contingently issuable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881,647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2,094,197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316,076</w:t>
            </w:r>
          </w:p>
        </w:tc>
        <w:tc>
          <w:tcPr>
            <w:tcW w:w="340" w:type="dxa"/>
            <w:vAlign w:val="bottom"/>
            <w:tcBorders>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289,767</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45,099,155</w:t>
            </w:r>
          </w:p>
        </w:tc>
        <w:tc>
          <w:tcPr>
            <w:tcW w:w="3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30,970,475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45,321,775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32,097,056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Balance at</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Beginning of</w:t>
            </w:r>
          </w:p>
        </w:tc>
        <w:tc>
          <w:tcPr>
            <w:tcW w:w="12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Charged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6"/>
              </w:rPr>
              <w:t>Expense</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Nine months ended September 30, 2009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6,356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9,931</w:t>
            </w:r>
          </w:p>
        </w:tc>
        <w:tc>
          <w:tcPr>
            <w:tcW w:w="18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(11,055)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12,158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5,301</w:t>
            </w:r>
          </w:p>
        </w:tc>
        <w:tc>
          <w:tcPr>
            <w:tcW w:w="18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16,327</w:t>
            </w:r>
          </w:p>
        </w:tc>
        <w:tc>
          <w:tcPr>
            <w:tcW w:w="0" w:type="dxa"/>
            <w:vAlign w:val="bottom"/>
          </w:tcPr>
          <w:p>
            <w:pPr>
              <w:spacing w:after="0"/>
              <w:rPr>
                <w:sz w:val="1"/>
                <w:szCs w:val="1"/>
                <w:color w:val="auto"/>
              </w:rPr>
            </w:pPr>
          </w:p>
        </w:tc>
      </w:tr>
      <w:tr>
        <w:trPr>
          <w:trHeight w:val="338"/>
        </w:trPr>
        <w:tc>
          <w:tcPr>
            <w:tcW w:w="5660" w:type="dxa"/>
            <w:vAlign w:val="bottom"/>
            <w:gridSpan w:val="6"/>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4"/>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 reserves, income tax related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4"/>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September 30, 2009:</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3,771</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3,491</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2,996</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13,055</w:t>
            </w:r>
          </w:p>
        </w:tc>
      </w:tr>
      <w:tr>
        <w:trPr>
          <w:trHeight w:val="27"/>
        </w:trPr>
        <w:tc>
          <w:tcPr>
            <w:tcW w:w="8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27,036</w:t>
            </w: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12" w:name="page13"/>
    <w:bookmarkEnd w:id="12"/>
    <w:p>
      <w:pPr>
        <w:ind w:right="55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nine months ended September 30, 2009 and 2008 were $3,300 and $1,663, respectively.</w:t>
      </w:r>
    </w:p>
    <w:p>
      <w:pPr>
        <w:spacing w:after="0" w:line="200" w:lineRule="exact"/>
        <w:rPr>
          <w:sz w:val="20"/>
          <w:szCs w:val="20"/>
          <w:color w:val="auto"/>
        </w:rPr>
      </w:pPr>
    </w:p>
    <w:p>
      <w:pPr>
        <w:spacing w:after="0" w:line="3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3" w:name="page14"/>
    <w:bookmarkEnd w:id="13"/>
    <w:p>
      <w:pPr>
        <w:spacing w:after="0" w:line="9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38"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The Company was previously a party to a dispute with SunGard Higher Education Managed Services Inc. (“SunGard”). On October 22, 2008, an arbitration panel issued a final award pursuant to which the Company and SunGard were awarded damages, with a net award to SunGard in the amount of approximately $250 plus interest. The arbitration panel also held that each party would be responsible for its own attorneys’ fees and that the parties would equally share the arbitration costs. As a result, the Company reduced its reserve for litigation by $300 in the quarter ended September 30, 2008. On January 14, 2009, the Company entered into a settlement agreement with SunGard regarding payment of the arbitration award and effecting a mutual release between the parties regarding all claims that were brought, or could have been brought, in the litigation and related arbitration, and all administrative matters relating to this dispute have been resolved. Therefore, as of September 30, 2009 there are no reserves for litigation related to this matter.</w:t>
      </w:r>
    </w:p>
    <w:p>
      <w:pPr>
        <w:spacing w:after="0" w:line="155" w:lineRule="exact"/>
        <w:rPr>
          <w:sz w:val="20"/>
          <w:szCs w:val="20"/>
          <w:color w:val="auto"/>
        </w:rPr>
      </w:pPr>
    </w:p>
    <w:p>
      <w:pPr>
        <w:ind w:left="340" w:right="679" w:firstLine="373"/>
        <w:spacing w:after="0" w:line="297" w:lineRule="auto"/>
        <w:rPr>
          <w:sz w:val="20"/>
          <w:szCs w:val="20"/>
          <w:color w:val="auto"/>
        </w:rPr>
      </w:pPr>
      <w:r>
        <w:rPr>
          <w:rFonts w:ascii="Arial" w:cs="Arial" w:eastAsia="Arial" w:hAnsi="Arial"/>
          <w:sz w:val="16"/>
          <w:szCs w:val="16"/>
          <w:color w:val="auto"/>
        </w:rPr>
        <w:t>On August 14, 2008, the Office of Inspector General of the United States Department of Education (“OIG”) served an administrative subpoena on the Company requiring it to provide certain records and information related to performance reviews and salary adjustments for all of its enrollment counselors and managers from January 1, 2004 to the present. The Company is cooperating with the OIG to facilitate its investigation and has completed production of all requested documents. The Company cannot presently predict the ultimate outcome of the investigation or any liability or other sanctions that may result.</w:t>
      </w:r>
    </w:p>
    <w:p>
      <w:pPr>
        <w:spacing w:after="0" w:line="118"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color w:val="auto"/>
        </w:rPr>
        <w:t xml:space="preserve">On September 11, 2008, the Company was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Company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under the federal False Claims Act by one or more individual (a “relator”) on behalf of the federal government for an alleged submission to the government of a false claim for payment.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The Company filed a motion to dismiss this case in November 2008, which was denied by the court in February 2009, and it has continued to vigorously contest this lawsuit. We cannot presently predict the ultimate outcome of this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case or any liability or other sanctions that may result.</w:t>
      </w:r>
    </w:p>
    <w:p>
      <w:pPr>
        <w:spacing w:after="0" w:line="346"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 xml:space="preserve">Pursuant to the court’s mandatory scheduling order, the Company has entered into settlement discussions with respect to the qui tam matter with the relator. In connection with such discussions, the Company is negotiating for a comprehensive settlement that would include, among other things, the resolution by the OIG of its investigation. The Company reached a settlement in principle with the relator pursuant to which the Company has agreed to pay $5,200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The Company has accrued $5,200 for estimated litigation loss in the accompanying financial statements for the quarter ended September 30, 2009. This settlement is conditioned upon obtaining the approval of the U.S. Department of Justice (which has authority to approve settlements of False Claims Act matters) and the Department of Education with respect to the resolution of the OIG investigation, and finalizing settlement terms that would release the Company from other False Claims Act cases based upon the conduct covered by the settlement. Pursuant to a joint request by the Company, the relator and the Department of Justice, on September 28, 2009, the Court granted a stay of all litigation proceedings for 120 days while the parties attempt to negotiate a final settlement, which negotiations are underway. The ultimate dismissal of the action, should a final settlement be reached, is subject to the Court’s approval. Should the parties fail to conclude the settlement on the proposed or other terms, the Company would continue to vigorously defend this lawsuit.</w:t>
      </w:r>
    </w:p>
    <w:p>
      <w:pPr>
        <w:spacing w:after="0" w:line="148" w:lineRule="exact"/>
        <w:rPr>
          <w:sz w:val="20"/>
          <w:szCs w:val="20"/>
          <w:color w:val="auto"/>
        </w:rPr>
      </w:pPr>
    </w:p>
    <w:p>
      <w:pPr>
        <w:ind w:left="340" w:right="65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w:t>
      </w:r>
    </w:p>
    <w:p>
      <w:pPr>
        <w:spacing w:after="0" w:line="146" w:lineRule="exact"/>
        <w:rPr>
          <w:sz w:val="20"/>
          <w:szCs w:val="20"/>
          <w:color w:val="auto"/>
        </w:rPr>
      </w:pPr>
    </w:p>
    <w:p>
      <w:pPr>
        <w:ind w:left="340" w:right="579" w:firstLine="373"/>
        <w:spacing w:after="0" w:line="342" w:lineRule="auto"/>
        <w:rPr>
          <w:sz w:val="20"/>
          <w:szCs w:val="20"/>
          <w:color w:val="auto"/>
        </w:rPr>
      </w:pPr>
      <w:r>
        <w:rPr>
          <w:rFonts w:ascii="Arial" w:cs="Arial" w:eastAsia="Arial" w:hAnsi="Arial"/>
          <w:sz w:val="16"/>
          <w:szCs w:val="16"/>
          <w:color w:val="auto"/>
        </w:rPr>
        <w:t>Upon resolution of any pending legal matters, the Company may incur charges in excess of presently established reserves. Management does not believe that any such charges would, individually or in the aggregate, have a material adverse effect on the</w:t>
      </w:r>
    </w:p>
    <w:p>
      <w:pPr>
        <w:sectPr>
          <w:pgSz w:w="11900" w:h="16935" w:orient="portrait"/>
          <w:cols w:equalWidth="0" w:num="1">
            <w:col w:w="10219"/>
          </w:cols>
          <w:pgMar w:left="240" w:top="419" w:right="1440"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Company’s financial condition,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98" w:lineRule="exact"/>
        <w:rPr>
          <w:sz w:val="20"/>
          <w:szCs w:val="20"/>
          <w:color w:val="auto"/>
        </w:rPr>
      </w:pPr>
    </w:p>
    <w:p>
      <w:pPr>
        <w:ind w:right="599" w:firstLine="373"/>
        <w:spacing w:after="0" w:line="255"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At September 30, 2009 and December 31, 2008, the Company had reserved approximately $244 and $710, respectively, for tax matters where its ultimate exposure is considered probable and the potential loss can be reasonably estimated. During the three months ended June 30, 2009, a non-income tax related matter related to the Company’s classification of its online faculty as independent contractors was resolved with the Internal Revenue Service (“IRS”) and, effective July 1, 2009, all faculty for the Company are now treated as employees. The Company had reserved $235 related to this matter, which approximated the amount paid.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jc w:val="both"/>
        <w:ind w:right="659" w:firstLine="373"/>
        <w:spacing w:after="0" w:line="312" w:lineRule="auto"/>
        <w:rPr>
          <w:sz w:val="20"/>
          <w:szCs w:val="20"/>
          <w:color w:val="auto"/>
        </w:rPr>
      </w:pPr>
      <w:r>
        <w:rPr>
          <w:rFonts w:ascii="Arial" w:cs="Arial" w:eastAsia="Arial" w:hAnsi="Arial"/>
          <w:sz w:val="16"/>
          <w:szCs w:val="16"/>
          <w:color w:val="auto"/>
        </w:rPr>
        <w:t>The Company’s uncertain tax positions are related to tax years that remain subject to examination by tax authorities. As of September 30, 2009, the earliest tax year still subject to examination for federal and state purposes was 2005. During the second quarter ended June 30, 2008, the IRS commenced an examination of the Company’s 2005 income tax return.</w:t>
      </w:r>
    </w:p>
    <w:p>
      <w:pPr>
        <w:spacing w:after="0" w:line="120" w:lineRule="exact"/>
        <w:rPr>
          <w:sz w:val="20"/>
          <w:szCs w:val="20"/>
          <w:color w:val="auto"/>
        </w:rPr>
      </w:pPr>
    </w:p>
    <w:p>
      <w:pPr>
        <w:ind w:right="579" w:firstLine="373"/>
        <w:spacing w:after="0" w:line="257" w:lineRule="auto"/>
        <w:rPr>
          <w:sz w:val="20"/>
          <w:szCs w:val="20"/>
          <w:color w:val="auto"/>
        </w:rPr>
      </w:pPr>
      <w:r>
        <w:rPr>
          <w:rFonts w:ascii="Arial" w:cs="Arial" w:eastAsia="Arial" w:hAnsi="Arial"/>
          <w:sz w:val="18"/>
          <w:szCs w:val="18"/>
          <w:color w:val="auto"/>
        </w:rPr>
        <w:t>During the three months ended June 30, 2009, the Company revised its approach for the treatment of excess tax benefits in 2009 generated in connection with the exercise of a warrant to purchase the Company’s common stock. This exercise generated a leasehold intangible for income tax purposes that will be amortized over the life of the original term of the lease agreement. Given that the tax benefit related to an equity transaction, the benefit of this deduction has been and will continue to be recorded as a credit to additional paid-in capital.</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189"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On September 27, 2008 the Company’s shareholders approved the adoption of the 2008 Equity Incentive Plan (“Incentive Plan”) and the 2008 Employee Stock Purchase (“ESPP”). A total of 4,199,937 shares of the Company’s common stock were originally authorized for issuance under the Incentive Plan. On January 1, 2009 and in accordance with the terms of the Incentive Plan, the number of shares authorized for issuance under the Incentive Plan automatically increased by 2.5% of the number of shares of common stock issued and outstanding on December 31, 2008, or 1,136,629 shares, raising the total number of shares of common stock authorized for issuance under the Incentive Plan to 5,336,566 shares. Although the ESPP has not yet been implemented, a total of 1,049,984 shares of the Company’s common stock have been authorized for sale under the ESPP.</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table below reflects the Company’s share-based compensation expense recognized in the three and nine months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2009 and 2008 related to stock options granted under the Incentive Plan:</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Ended September 30,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ind w:left="100"/>
              <w:spacing w:after="0"/>
              <w:rPr>
                <w:sz w:val="20"/>
                <w:szCs w:val="20"/>
                <w:color w:val="auto"/>
              </w:rPr>
            </w:pPr>
            <w:r>
              <w:rPr>
                <w:rFonts w:ascii="Arial" w:cs="Arial" w:eastAsia="Arial" w:hAnsi="Arial"/>
                <w:sz w:val="18"/>
                <w:szCs w:val="18"/>
                <w:b w:val="1"/>
                <w:bCs w:val="1"/>
                <w:color w:val="auto"/>
              </w:rPr>
              <w:t>Ended 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9"/>
        </w:trPr>
        <w:tc>
          <w:tcPr>
            <w:tcW w:w="4400" w:type="dxa"/>
            <w:vAlign w:val="bottom"/>
          </w:tcPr>
          <w:p>
            <w:pPr>
              <w:spacing w:after="0"/>
              <w:rPr>
                <w:sz w:val="20"/>
                <w:szCs w:val="20"/>
                <w:color w:val="auto"/>
              </w:rPr>
            </w:pPr>
            <w:r>
              <w:rPr>
                <w:rFonts w:ascii="Arial" w:cs="Arial" w:eastAsia="Arial" w:hAnsi="Arial"/>
                <w:sz w:val="18"/>
                <w:szCs w:val="18"/>
                <w:color w:val="auto"/>
              </w:rPr>
              <w:t>Stock-based compensation expense included in</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2,389</w:t>
            </w:r>
          </w:p>
        </w:tc>
        <w:tc>
          <w:tcPr>
            <w:tcW w:w="180" w:type="dxa"/>
            <w:vAlign w:val="bottom"/>
          </w:tcPr>
          <w:p>
            <w:pPr>
              <w:spacing w:after="0"/>
              <w:rPr>
                <w:sz w:val="20"/>
                <w:szCs w:val="20"/>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(334)</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Share-based compensation expense, net of tax</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tcBorders>
          </w:tcPr>
          <w:p>
            <w:pPr>
              <w:jc w:val="right"/>
              <w:ind w:right="5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3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48"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 of December 31, 2008 and September 30, 2009, management believes the Company is in compliance with the applicable regulations in all material respects.</w:t>
      </w:r>
    </w:p>
    <w:p>
      <w:pPr>
        <w:spacing w:after="0" w:line="156"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ectPr>
          <w:pgSz w:w="11900" w:h="16838" w:orient="portrait"/>
          <w:cols w:equalWidth="0" w:num="1">
            <w:col w:w="10219"/>
          </w:cols>
          <w:pgMar w:left="240" w:top="419" w:right="1440" w:bottom="0" w:gutter="0" w:footer="0" w:header="0"/>
        </w:sectPr>
      </w:pPr>
    </w:p>
    <w:bookmarkStart w:id="16" w:name="page17"/>
    <w:bookmarkEnd w:id="16"/>
    <w:p>
      <w:pPr>
        <w:ind w:left="37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1" w:lineRule="exact"/>
        <w:rPr>
          <w:sz w:val="20"/>
          <w:szCs w:val="20"/>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right="85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convenants and to pay principal and interest payments, limits our ability to conduct our operations or seek new business opportunities;</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0" w:lineRule="exact"/>
        <w:rPr>
          <w:rFonts w:ascii="Arial" w:cs="Arial" w:eastAsia="Arial" w:hAnsi="Arial"/>
          <w:sz w:val="16"/>
          <w:szCs w:val="16"/>
          <w:b w:val="1"/>
          <w:bCs w:val="1"/>
          <w:color w:val="auto"/>
        </w:rPr>
      </w:pPr>
    </w:p>
    <w:p>
      <w:pPr>
        <w:ind w:left="1420" w:right="113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and “Management’s Discussion and Analysis of Financial Condition and Results of Operations.”</w:t>
      </w:r>
    </w:p>
    <w:p>
      <w:pPr>
        <w:spacing w:after="0" w:line="130"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Forward-looking statements speak only as of the date the statements are made. Factors that could cause actual results to differ from those discussed in the forward-looking statements include, but are not limited to, those described in “Risk Factors” in Part I, Item 1A of our Annual Report on Form 10-K for the fiscal year ended December 31, 2008, as updated in our subsequent reports filed with the Securities and Exchange Commission (“SEC”), including our updated Risk Factors and Regulation discussion included in Registration Statement on Form S-1 filed with the SEC on August 27, 2009 and filed in our Current Report on Form 8-K filed with the SEC on August 27, 2009, including any updates found in Part II, Item 1A of this or other reports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line="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In</w:t>
      </w:r>
    </w:p>
    <w:p>
      <w:pPr>
        <w:ind w:left="340" w:right="579"/>
        <w:spacing w:after="0" w:line="252" w:lineRule="auto"/>
        <w:rPr>
          <w:sz w:val="20"/>
          <w:szCs w:val="20"/>
          <w:color w:val="auto"/>
        </w:rPr>
      </w:pPr>
      <w:r>
        <w:rPr>
          <w:rFonts w:ascii="Arial" w:cs="Arial" w:eastAsia="Arial" w:hAnsi="Arial"/>
          <w:sz w:val="18"/>
          <w:szCs w:val="18"/>
          <w:color w:val="auto"/>
        </w:rPr>
        <w:t>February 2004, several of our current stockholders acquired the assets of the school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ground campus and student and technology support services. We believe the changes we have instituted, combined with our management expertise, provide a platform that will support continued enrollment and revenue growth.</w:t>
      </w:r>
    </w:p>
    <w:p>
      <w:pPr>
        <w:spacing w:after="0" w:line="154"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At September 30, 2009, we had approximately 34,200 students, an increase of 55.8% over the approximately 22,000 students we had at September 30, 2008. At September 30, 2009, 91.1% of our students were enrolled in our online programs, and 44.4% were pursuing master’s or doctoral degrees. In addition, we increased tuition prices for students in our online and professional studies programs by 2.3% to 15.5% for our 2009-10 academic year, depending on the program, with an estimated blended rate increase of 5.0%, as compared to tuition price increases of 5.0% to 5.3% for the prior academic year. Tuition for our traditional ground programs increased 11.2% for our 2008-09 academic year, as compared to a tuition price increase of 16.0% for the prior academic year. We increased tuition for our traditional ground programs by 6.6% for our 2009-10 academic year. The benefits of the enrollment and tuition price increases were partially offset by the continuing mix shift towards online programs, which have a lower tuition price per credit hour and with respect to which our online students take fewer credit hours per semester than our traditional ground students. Operating income was $6.7 million for the quarter ended September 30, 2009, an increase of $4.0 million over the $2.7 million in operating income for the quarter ended September 30, 2008.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2" w:lineRule="exact"/>
        <w:rPr>
          <w:sz w:val="20"/>
          <w:szCs w:val="20"/>
          <w:color w:val="auto"/>
        </w:rPr>
      </w:pPr>
    </w:p>
    <w:p>
      <w:pPr>
        <w:ind w:left="340" w:right="779" w:firstLine="373"/>
        <w:spacing w:after="0" w:line="264"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2008. During the nine months ended September 30, 2009, there have been no significant changes in our critical accounting policies.</w:t>
      </w:r>
    </w:p>
    <w:p>
      <w:pPr>
        <w:spacing w:after="0" w:line="141" w:lineRule="exact"/>
        <w:rPr>
          <w:sz w:val="20"/>
          <w:szCs w:val="20"/>
          <w:color w:val="auto"/>
        </w:rPr>
      </w:pPr>
    </w:p>
    <w:p>
      <w:pPr>
        <w:ind w:left="340" w:right="1039" w:firstLine="373"/>
        <w:spacing w:after="0" w:line="308" w:lineRule="auto"/>
        <w:rPr>
          <w:sz w:val="20"/>
          <w:szCs w:val="20"/>
          <w:color w:val="auto"/>
        </w:rPr>
      </w:pPr>
      <w:r>
        <w:rPr>
          <w:rFonts w:ascii="Arial" w:cs="Arial" w:eastAsia="Arial" w:hAnsi="Arial"/>
          <w:sz w:val="17"/>
          <w:szCs w:val="17"/>
          <w:color w:val="auto"/>
        </w:rPr>
        <w:t>The following is a summary of our student enrollment at September 30, 2009 and 2008 (which included less than 170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Master’s or doctoral degree</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15,202</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19,016</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9,671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315 students pursuing doctoral degrees at September 30, 2009.</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b w:val="1"/>
          <w:bCs w:val="1"/>
          <w:i w:val="1"/>
          <w:iCs w:val="1"/>
          <w:color w:val="auto"/>
        </w:rPr>
        <w:t>Public company expenses</w:t>
      </w:r>
      <w:r>
        <w:rPr>
          <w:rFonts w:ascii="Arial" w:cs="Arial" w:eastAsia="Arial" w:hAnsi="Arial"/>
          <w:sz w:val="17"/>
          <w:szCs w:val="17"/>
          <w:color w:val="auto"/>
        </w:rPr>
        <w:t>. In November 2008, we completed an initial public offering of shares of our common stock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are listed for trading on the Nasdaq Global Market. As a result, we now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has caused us to incur, and will continue to cause us to incur, increased general and administrative expenses related to salaries and fees paid to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has made it more expensive for us to obtain director and officer liability insurance. We estimate that incremental annual public company costs will be between $3.0 million and $4.0 million in fiscal 2009, which will primarily be reflected in general and administrative costs.</w:t>
      </w:r>
    </w:p>
    <w:p>
      <w:pPr>
        <w:spacing w:after="0" w:line="139" w:lineRule="exact"/>
        <w:rPr>
          <w:sz w:val="20"/>
          <w:szCs w:val="20"/>
          <w:color w:val="auto"/>
        </w:rPr>
      </w:pPr>
    </w:p>
    <w:p>
      <w:pPr>
        <w:ind w:left="340" w:right="619" w:firstLine="373"/>
        <w:spacing w:after="0" w:line="276" w:lineRule="auto"/>
        <w:rPr>
          <w:sz w:val="20"/>
          <w:szCs w:val="20"/>
          <w:color w:val="auto"/>
        </w:rPr>
      </w:pPr>
      <w:r>
        <w:rPr>
          <w:rFonts w:ascii="Arial" w:cs="Arial" w:eastAsia="Arial" w:hAnsi="Arial"/>
          <w:sz w:val="17"/>
          <w:szCs w:val="17"/>
          <w:b w:val="1"/>
          <w:bCs w:val="1"/>
          <w:i w:val="1"/>
          <w:iCs w:val="1"/>
          <w:color w:val="auto"/>
        </w:rPr>
        <w:t>Management fees and expenses</w:t>
      </w:r>
      <w:r>
        <w:rPr>
          <w:rFonts w:ascii="Arial" w:cs="Arial" w:eastAsia="Arial" w:hAnsi="Arial"/>
          <w:sz w:val="17"/>
          <w:szCs w:val="17"/>
          <w:color w:val="auto"/>
        </w:rPr>
        <w:t>. In connection with an August 2005 investment in us led by Endeavour Capital Fund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and affiliates (collectively, the “Endeavour Entities”), we entered into a professional services agreement with the Endeavour Entities’ general partner. Concurrent with the completion of our initial public offering in November 2008, the professional services agreement terminated by its terms. For the three and nine months ended September 30, 2008, we incurred $0.1 million and $0.3 million, respectively, in fees and expenses under this agreement.</w:t>
      </w:r>
    </w:p>
    <w:p>
      <w:pPr>
        <w:sectPr>
          <w:pgSz w:w="11900" w:h="16846" w:orient="portrait"/>
          <w:cols w:equalWidth="0" w:num="1">
            <w:col w:w="10219"/>
          </w:cols>
          <w:pgMar w:left="240" w:top="419" w:right="1440" w:bottom="0" w:gutter="0" w:footer="0" w:header="0"/>
        </w:sectPr>
      </w:pPr>
    </w:p>
    <w:bookmarkStart w:id="19" w:name="page20"/>
    <w:bookmarkEnd w:id="19"/>
    <w:p>
      <w:pPr>
        <w:ind w:left="360"/>
        <w:spacing w:after="0"/>
        <w:rPr>
          <w:sz w:val="20"/>
          <w:szCs w:val="20"/>
          <w:color w:val="auto"/>
        </w:rPr>
      </w:pPr>
      <w:r>
        <w:rPr>
          <w:rFonts w:ascii="Arial" w:cs="Arial" w:eastAsia="Arial" w:hAnsi="Arial"/>
          <w:sz w:val="16"/>
          <w:szCs w:val="16"/>
          <w:b w:val="1"/>
          <w:bCs w:val="1"/>
          <w:i w:val="1"/>
          <w:iCs w:val="1"/>
          <w:color w:val="auto"/>
        </w:rPr>
        <w:t>Share-based and other executive compensation</w:t>
      </w:r>
      <w:r>
        <w:rPr>
          <w:rFonts w:ascii="Arial" w:cs="Arial" w:eastAsia="Arial" w:hAnsi="Arial"/>
          <w:sz w:val="16"/>
          <w:szCs w:val="16"/>
          <w:color w:val="auto"/>
        </w:rPr>
        <w:t>. Prior to becoming a public company, we had not granted or issued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Accordingly, we had not recognized any stock-based compensation expense in prior periods.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19, 2008, in connection with our initial public offering, we made substantial awards to our directors, officers,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and have continued to make awards since that time, principally in connection with new management hires.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we incurred share-based compensation expenses in the three and nine months ended September 30, 2009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million and $2.4 million, respectively, and will continue to incur expense in future periods as compared to no share-based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in the quarters ending prior to September 30, 2008.</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39" w:firstLine="373"/>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 and tax expense</w:t>
      </w:r>
      <w:r>
        <w:rPr>
          <w:rFonts w:ascii="Arial" w:cs="Arial" w:eastAsia="Arial" w:hAnsi="Arial"/>
          <w:sz w:val="18"/>
          <w:szCs w:val="18"/>
          <w:color w:val="auto"/>
        </w:rPr>
        <w:t>. In July 2008, we hired a new Chief Executive Officer,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and have since hired a new Chief Information Officer and other financial, accounting, and administrative personnel. Accordingly, compensation expenses, as reflected in our general and administrative expenses, are higher beginning in the third quarter of 2008.</w:t>
      </w:r>
    </w:p>
    <w:p>
      <w:pPr>
        <w:spacing w:after="0" w:line="160"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In June 2004, we entered into a license agreement with Blanchard Education, LLC (“Blanchard”)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use of the Ken Blanchard name for our College of Business. The license agreement remains in effect (unless terminated earlier) until February 6, 2016. Under the terms of that agreement, we agreed to pay Blanchard royalties and to issue to Blanchard up to 909,348 shares of common stock, with the actual number of shares to be issued to be contingent upon our achievement of stated enrollment levels in the College of Business programs during the term of the agreement. On May 9, 2008, the terms of the agreement were amended, pursuant to which Blanchard was issued a total of 365,200 shares of common stock in full settlement of all shares owed and contingently owed under this agreement. Thus,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29"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b w:val="1"/>
          <w:bCs w:val="1"/>
          <w:i w:val="1"/>
          <w:iCs w:val="1"/>
          <w:color w:val="auto"/>
        </w:rPr>
        <w:t>Settlement with former owner</w:t>
      </w:r>
      <w:r>
        <w:rPr>
          <w:rFonts w:ascii="Arial" w:cs="Arial" w:eastAsia="Arial" w:hAnsi="Arial"/>
          <w:sz w:val="17"/>
          <w:szCs w:val="17"/>
          <w:color w:val="auto"/>
        </w:rPr>
        <w:t>. To resolve a dispute with our former owner arising from our acquisition of Grand Canyon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and subsequent lease of our campus, we 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among other things, final resolution of the dispute and related matters. A portion of the settlement payments has been treated as a prepaid royalty asset that will be amortized over 20 years at approximately $0.3 million per year, which differs from the historical royalty expense.</w:t>
      </w:r>
    </w:p>
    <w:p>
      <w:pPr>
        <w:spacing w:after="0" w:line="138"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b w:val="1"/>
          <w:bCs w:val="1"/>
          <w:i w:val="1"/>
          <w:iCs w:val="1"/>
          <w:color w:val="auto"/>
        </w:rPr>
        <w:t>Spirit transaction and related borrowings</w:t>
      </w:r>
      <w:r>
        <w:rPr>
          <w:rFonts w:ascii="Arial" w:cs="Arial" w:eastAsia="Arial" w:hAnsi="Arial"/>
          <w:sz w:val="16"/>
          <w:szCs w:val="16"/>
          <w:color w:val="auto"/>
        </w:rPr>
        <w:t>. On April 28, 2009, we acquired the land and buildings that comprise our ground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campus and 909,348 shares of our common stock from Spirit Master Funding, LLC and Spirit Management Company, respectively (collectively, “Spirit”) for an aggregate purchase price of $50 million. Prior to the acquisition, we had leased the land and buildings from Spirit, accounting for the land as an operating lease and the buildings and improvements as capital lease obligations. To finance a portion of the purchase, we entered into a loan agreement with a financial institution pursuant to which we borrowed $25.7 million. Under the terms of the loan agreement, we make principal payments in equal monthly installments of approximately $143,000 plus accrued interest at 30 day LIBOR plus 3.5% (approximately 3.8% at September 30, 2009). All remaining unpaid principal is due on April 30, 2014. We allocated $14.5 million to the repurchase of our common stock and the remaining $35.5 million to the land and buildings. Additionally, we removed the building and improvement assets and related capital lease obligations of $30.0 million and applied the deferred gain of $1.4 million as a reduction to the new building value. Accordingly, interest expense is lower starting in May 2009 as the effective interest rate for the capital lease obligations was approximately 8.7% as compared to variable rate debt at an effective interest rate of approximately 3.8% starting in May 2009.</w:t>
      </w:r>
    </w:p>
    <w:p>
      <w:pPr>
        <w:spacing w:after="0" w:line="142" w:lineRule="exact"/>
        <w:rPr>
          <w:sz w:val="20"/>
          <w:szCs w:val="20"/>
          <w:color w:val="auto"/>
        </w:rPr>
      </w:pPr>
    </w:p>
    <w:p>
      <w:pPr>
        <w:jc w:val="both"/>
        <w:ind w:left="340" w:right="659" w:firstLine="373"/>
        <w:spacing w:after="0" w:line="312" w:lineRule="auto"/>
        <w:rPr>
          <w:sz w:val="20"/>
          <w:szCs w:val="20"/>
          <w:color w:val="auto"/>
        </w:rPr>
      </w:pPr>
      <w:r>
        <w:rPr>
          <w:rFonts w:ascii="Arial" w:cs="Arial" w:eastAsia="Arial" w:hAnsi="Arial"/>
          <w:sz w:val="16"/>
          <w:szCs w:val="16"/>
          <w:b w:val="1"/>
          <w:bCs w:val="1"/>
          <w:i w:val="1"/>
          <w:iCs w:val="1"/>
          <w:color w:val="auto"/>
        </w:rPr>
        <w:t>Estimated litigation loss</w:t>
      </w:r>
      <w:r>
        <w:rPr>
          <w:rFonts w:ascii="Arial" w:cs="Arial" w:eastAsia="Arial" w:hAnsi="Arial"/>
          <w:sz w:val="16"/>
          <w:szCs w:val="16"/>
          <w:color w:val="auto"/>
        </w:rPr>
        <w:t>. During the third quarter of fiscal year 2009, the Company recorded an accrual of $5.2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litigation settlement that has been reached in principle but is conditioned upon obtaining governmental approval and finalizing settlement terms. See Note 7 — Commitments and Contingencies, and Part II, Item 1, Legal Proceedings.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4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200" w:type="dxa"/>
            <w:vAlign w:val="bottom"/>
          </w:tcPr>
          <w:p>
            <w:pPr>
              <w:spacing w:after="0"/>
              <w:rPr>
                <w:sz w:val="20"/>
                <w:szCs w:val="20"/>
                <w:color w:val="auto"/>
              </w:rPr>
            </w:pPr>
          </w:p>
        </w:tc>
        <w:tc>
          <w:tcPr>
            <w:tcW w:w="27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33.8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Royalty to former owner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30"/>
        </w:trPr>
        <w:tc>
          <w:tcPr>
            <w:tcW w:w="42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4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0"/>
        </w:trPr>
        <w:tc>
          <w:tcPr>
            <w:tcW w:w="4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September 30, 2009 Compared to Three Months Ended September 30, 2008</w:t>
      </w:r>
    </w:p>
    <w:p>
      <w:pPr>
        <w:spacing w:after="0" w:line="185" w:lineRule="exact"/>
        <w:rPr>
          <w:sz w:val="20"/>
          <w:szCs w:val="20"/>
          <w:color w:val="auto"/>
        </w:rPr>
      </w:pPr>
    </w:p>
    <w:p>
      <w:pPr>
        <w:ind w:left="340" w:right="679" w:firstLine="373"/>
        <w:spacing w:after="0" w:line="297"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quarter ended September 30, 2009 was $66.1 million, an increase of $26.8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67.9%, as compared to net revenue of $39.3 million for the quarter ended September 30, 2008. This increase was primarily due to increased online enrollment and, to a lesser extent, and increases in the average tuition per student caused by tuition price increases, partially offset by an increase in institutional scholarships. End-of-period enrollment increased 55.8% between September 30, 2009 and 2008, as we were able to continue our growth and increase our recruitment, marketing, and enrollment</w:t>
      </w:r>
    </w:p>
    <w:p>
      <w:pPr>
        <w:sectPr>
          <w:pgSz w:w="11900" w:h="16838" w:orient="portrait"/>
          <w:cols w:equalWidth="0" w:num="1">
            <w:col w:w="10219"/>
          </w:cols>
          <w:pgMar w:left="240" w:top="419" w:right="1440" w:bottom="0" w:gutter="0" w:footer="0" w:header="0"/>
        </w:sectPr>
      </w:pPr>
    </w:p>
    <w:bookmarkStart w:id="21" w:name="page22"/>
    <w:bookmarkEnd w:id="21"/>
    <w:p>
      <w:pPr>
        <w:ind w:right="719"/>
        <w:spacing w:after="0" w:line="277" w:lineRule="auto"/>
        <w:rPr>
          <w:sz w:val="20"/>
          <w:szCs w:val="20"/>
          <w:color w:val="auto"/>
        </w:rPr>
      </w:pPr>
      <w:r>
        <w:rPr>
          <w:rFonts w:ascii="Arial" w:cs="Arial" w:eastAsia="Arial" w:hAnsi="Arial"/>
          <w:sz w:val="18"/>
          <w:szCs w:val="18"/>
          <w:color w:val="auto"/>
        </w:rPr>
        <w:t>operations. The year-over-year increase in net revenue exceeded the year-over-year increase in enrollment due to an increase in the average revenue per student primarily due to tuition price increases.</w:t>
      </w:r>
    </w:p>
    <w:p>
      <w:pPr>
        <w:spacing w:after="0" w:line="130" w:lineRule="exact"/>
        <w:rPr>
          <w:sz w:val="20"/>
          <w:szCs w:val="20"/>
          <w:color w:val="auto"/>
        </w:rPr>
      </w:pPr>
    </w:p>
    <w:p>
      <w:pPr>
        <w:ind w:right="559" w:firstLine="373"/>
        <w:spacing w:after="0" w:line="286"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quarter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were $23.5 million, an increase of $10.5 million, or 81.0%, as compared to instructional cost and services expenses of $13.0 million for the quarter ended September 30, 2008. This increase was primarily due to increases in instructional compensation and related expenses, faculty compensation, instructional supplies, depreciation and amortization, share-based compensation, and other miscellaneous instructional costs and services of $4.9 million, $2.0 million, $0.9 million, $0.8 million, $0.3 million, and $1.6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increased by 2.5% to 35.5% for the quarter ended September 30, 2009, as compared to 33.0% for the quarter ended September 30, 2008. This increase was a result of increase in employee compensation and related expenses as a percentage of revenue as we have increased the support personnel to student ratios to further improve the customer service to our students, increased employer tax expense from the transition of our online faculty to employees from independent contractors, partially offset by the continued shift of our student population to online programs and our ability to leverage the relatively fixed cost structure of our campus-based facilities and ground faculty across an increasing revenue base, as well as increased class size.</w:t>
      </w: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quarter ended September 30, 2009 were</w:t>
      </w:r>
      <w:r>
        <w:rPr>
          <w:rFonts w:ascii="Arial" w:cs="Arial" w:eastAsia="Arial" w:hAnsi="Arial"/>
          <w:sz w:val="16"/>
          <w:szCs w:val="16"/>
          <w:i w:val="1"/>
          <w:iCs w:val="1"/>
          <w:color w:val="auto"/>
        </w:rPr>
        <w:t xml:space="preserve"> </w:t>
      </w:r>
      <w:r>
        <w:rPr>
          <w:rFonts w:ascii="Arial" w:cs="Arial" w:eastAsia="Arial" w:hAnsi="Arial"/>
          <w:sz w:val="16"/>
          <w:szCs w:val="16"/>
          <w:color w:val="auto"/>
        </w:rPr>
        <w:t>$22.1 million, an increase of $3.6 million, or 19.0%, as compared to selling and promotional expenses of $18.5 million for the quarter ended September 30, 2008. This increase was primarily due to increases in selling and promotional employee compensation and related expenses, advertising, occupancy, and other selling and promotional related costs of $2.5 million, $0.4 million, $0.3 million, and $0.4 million, respectively. These increases were driven by a continued substantial expansion in our marketing efforts following the removal of our growth restrictions by the Department of Education in 2006, which resulted in an increase in recruitment, marketing, and enrollment staffing, and expenses related to our revenue sharing arrangement. Our selling and promotional expenses as a percentage of net revenue decreased by 13.8% to 33.4% for the quarter ended September 30, 2009, from 47.2% for the quarter ended September 30, 2008. This decrease occurred as a result of an increase in the productivity of our enrollment counselors that were hired during 2008, coupled with our efforts to focus on pursuing higher quality leads to increase enrollment.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expect selling and promotional expenses as a percentage of net revenue to continue to decline in the future.</w:t>
      </w:r>
    </w:p>
    <w:p>
      <w:pPr>
        <w:spacing w:after="0" w:line="142" w:lineRule="exact"/>
        <w:rPr>
          <w:sz w:val="20"/>
          <w:szCs w:val="20"/>
          <w:color w:val="auto"/>
        </w:rPr>
      </w:pPr>
    </w:p>
    <w:p>
      <w:pPr>
        <w:ind w:left="340" w:right="579" w:firstLine="373"/>
        <w:spacing w:after="0" w:line="285"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September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were $8.6 million, an increase of $3.6 million, or 70.0%, as compared to general and administrative expenses of $5.0 million for the quarter ended September 30, 2008. This increase was primarily due to increases in bad debt expense, employee compensation, and share-based compensation, partially offset by a decrease in legal, audit and corporate insurance expenses of $2.1 million, $1.1 million, $0.6 million, and $0.2 million, respectively. Bad debt expense increased to $3.3 million for the quarter ended September 30, 2009 from $1.2 million for the quarter ended September 30, 2008 as a result of an increase in net revenues and the increase in aged receivables between periods. Employee compensation increased primarily as a result of the additions in July 2008 to our executive management team and the hiring of other personnel needed to operate as a public company. Share based compensation increased since prior to November 2008 we had never granted equity awards. The decrease in legal, audit, and corporate insurance is primarily related to lower legal costs in 2009 as a result of the settlement of the SunGard litigation and the completion of our initial public offering in November 2008, partially offset by increased insurance and audit costs associated with being a public company. Our general and administrative expenses as a percentage of net revenue increased by 0.1% to 12.9% for the quarter ended September 30, 2009, from 12.8% for the quarter ended September 30, 2008. This increase was primarily due to an increase in bad debt expense from $1.2 million in the third quarter of 2008 to $3.3 million in the third quarter of 2009. The increase was the result of both an increase in revenue and a refinement made in 2009 to our methodology for estimating bad debt expense to better reflect the pattern and timing of the aging of our receivables as well as to incorporate our most recent collections experience. On a sequential basis, bad debt expense as a percentage of revenue of 5.1% for the third quarter is down from 5.5% in the second quarter of 2009, and 5.2% for the year ended December 31, 2008. In addition, share-based compensation represented 0.9% of net revenue for the quarter ended September 30, 2009. These increases were partially offset by our ability to leverage our fixed infrastructure over an increasing revenue base.</w:t>
      </w:r>
    </w:p>
    <w:p>
      <w:pPr>
        <w:spacing w:after="0" w:line="128" w:lineRule="exact"/>
        <w:rPr>
          <w:sz w:val="20"/>
          <w:szCs w:val="20"/>
          <w:color w:val="auto"/>
        </w:rPr>
      </w:pPr>
    </w:p>
    <w:p>
      <w:pPr>
        <w:ind w:left="340" w:right="559" w:firstLine="373"/>
        <w:spacing w:after="0" w:line="312" w:lineRule="auto"/>
        <w:rPr>
          <w:sz w:val="20"/>
          <w:szCs w:val="20"/>
          <w:color w:val="auto"/>
        </w:rPr>
      </w:pPr>
      <w:r>
        <w:rPr>
          <w:rFonts w:ascii="Arial" w:cs="Arial" w:eastAsia="Arial" w:hAnsi="Arial"/>
          <w:sz w:val="16"/>
          <w:szCs w:val="16"/>
          <w:i w:val="1"/>
          <w:iCs w:val="1"/>
          <w:color w:val="auto"/>
        </w:rPr>
        <w:t>Estimated litigation loss</w:t>
      </w:r>
      <w:r>
        <w:rPr>
          <w:rFonts w:ascii="Arial" w:cs="Arial" w:eastAsia="Arial" w:hAnsi="Arial"/>
          <w:sz w:val="16"/>
          <w:szCs w:val="16"/>
          <w:color w:val="auto"/>
        </w:rPr>
        <w:t>. During the third quarter of fiscal year 2009, the Company recorded an accrual of $5.2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estimated settlement of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has been reached in principle but is conditioned upon obtaining governmental approval and finalizing settlement terms. See Note 7 — Commitments and Contingencies, and Part II, Item 1, Legal Proceedings.</w:t>
      </w:r>
    </w:p>
    <w:p>
      <w:pPr>
        <w:spacing w:after="0" w:line="106" w:lineRule="exact"/>
        <w:rPr>
          <w:sz w:val="20"/>
          <w:szCs w:val="20"/>
          <w:color w:val="auto"/>
        </w:rPr>
      </w:pPr>
    </w:p>
    <w:p>
      <w:pPr>
        <w:ind w:left="340" w:right="599" w:firstLine="373"/>
        <w:spacing w:after="0" w:line="273" w:lineRule="auto"/>
        <w:rPr>
          <w:sz w:val="20"/>
          <w:szCs w:val="20"/>
          <w:color w:val="auto"/>
        </w:rPr>
      </w:pPr>
      <w:r>
        <w:rPr>
          <w:rFonts w:ascii="Arial" w:cs="Arial" w:eastAsia="Arial" w:hAnsi="Arial"/>
          <w:sz w:val="17"/>
          <w:szCs w:val="17"/>
          <w:i w:val="1"/>
          <w:iCs w:val="1"/>
          <w:color w:val="auto"/>
        </w:rPr>
        <w:t>Royalty to former owner</w:t>
      </w:r>
      <w:r>
        <w:rPr>
          <w:rFonts w:ascii="Arial" w:cs="Arial" w:eastAsia="Arial" w:hAnsi="Arial"/>
          <w:sz w:val="17"/>
          <w:szCs w:val="17"/>
          <w:color w:val="auto"/>
        </w:rPr>
        <w:t>. In connection with our royalty fee arrangement with the former owner related to online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we incurred royalty expenses for the quarter ended September 30, 2009 of $0.0 million, a decrease of $0.1 million, or 40.0%, as compared to royalty expenses incurred of $0.1 million for the quarter ended September 30, 2008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quarter ended September 30, 2009 was $0.3 million, a decrease of</w:t>
      </w:r>
    </w:p>
    <w:p>
      <w:pPr>
        <w:spacing w:after="0" w:line="35" w:lineRule="exact"/>
        <w:rPr>
          <w:sz w:val="20"/>
          <w:szCs w:val="20"/>
          <w:color w:val="auto"/>
        </w:rPr>
      </w:pPr>
    </w:p>
    <w:p>
      <w:pPr>
        <w:ind w:left="340" w:right="559"/>
        <w:spacing w:after="0" w:line="254" w:lineRule="auto"/>
        <w:rPr>
          <w:sz w:val="20"/>
          <w:szCs w:val="20"/>
          <w:color w:val="auto"/>
        </w:rPr>
      </w:pPr>
      <w:r>
        <w:rPr>
          <w:rFonts w:ascii="Arial" w:cs="Arial" w:eastAsia="Arial" w:hAnsi="Arial"/>
          <w:sz w:val="18"/>
          <w:szCs w:val="18"/>
          <w:color w:val="auto"/>
        </w:rPr>
        <w:t>$0.4 million from $0.7 million for the quarter ended September 30, 2008, as the average level of borrowings and related interest rates were significantly lowered as a result of the repurchase of the campus land and building and the conversion from a capital lease obligation at an effective interest rate of approximately 8.7% to a variable rate debt with an effective interest rate of 3.8% in the third quarter of 2009.</w:t>
      </w:r>
    </w:p>
    <w:p>
      <w:pPr>
        <w:spacing w:after="0" w:line="149" w:lineRule="exact"/>
        <w:rPr>
          <w:sz w:val="20"/>
          <w:szCs w:val="20"/>
          <w:color w:val="auto"/>
        </w:rPr>
      </w:pPr>
    </w:p>
    <w:p>
      <w:pPr>
        <w:ind w:left="340" w:right="979" w:firstLine="373"/>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quarter ended September 30, 2009 and 2008 were $0.1 million.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interest rates in 2009 were offset by increased cash balances in 2009.</w:t>
      </w:r>
    </w:p>
    <w:p>
      <w:pPr>
        <w:spacing w:after="0" w:line="130"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for the quarter ended September 30, 2009 was $3.0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$2.2 million from $0.8 million for the quarter ended September 30, 2008. This increase was primarily attributable to increased income before income taxes. Our effective tax rate was 46.0% during the third quarter of 2009 compared to 40.2% during the third quarter of 2008. This increase is primarily attributable to the potential impact of the estimated litigation loss for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settlement, which may not be fully deductible.</w:t>
      </w:r>
    </w:p>
    <w:p>
      <w:pPr>
        <w:spacing w:after="0" w:line="161" w:lineRule="exact"/>
        <w:rPr>
          <w:sz w:val="20"/>
          <w:szCs w:val="20"/>
          <w:color w:val="auto"/>
        </w:rPr>
      </w:pPr>
    </w:p>
    <w:p>
      <w:pPr>
        <w:ind w:left="340" w:right="939" w:firstLine="373"/>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quarter ended September 30, 2009 was $3.5 million, an increase of $2.2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$1.3 million for the quarter ended September 30, 2008, due to the factors discussed above.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2009 Compared to Nine Months Ended September 30, 2008</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nine months ended September 30, 2009 was $184.5 million, an increase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$74.9 million, or 68.3%, as compared to net revenue of $109.6 million for the nine months ended September 30, 2008. This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 was primarily due to increased online enrollment and, to a lesser extent, increases in the average tuition per student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caused by tuition price increases, an increase in the average credits per student and increases in our digital media content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revenues, partially offset by an increase in institutional scholarships. End-of-period enrollment increased 55.8% between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September 30, 2009 and 2008, as we were able to continue our growth and increase our recruitment, marketing, and enrollment</w:t>
      </w:r>
    </w:p>
    <w:p>
      <w:pPr>
        <w:sectPr>
          <w:pgSz w:w="11900" w:h="16838" w:orient="portrait"/>
          <w:cols w:equalWidth="0" w:num="1">
            <w:col w:w="10219"/>
          </w:cols>
          <w:pgMar w:left="240" w:top="419" w:right="1440" w:bottom="0" w:gutter="0" w:footer="0" w:header="0"/>
        </w:sectPr>
      </w:pPr>
    </w:p>
    <w:bookmarkStart w:id="23" w:name="page24"/>
    <w:bookmarkEnd w:id="23"/>
    <w:p>
      <w:pPr>
        <w:ind w:right="719"/>
        <w:spacing w:after="0" w:line="277" w:lineRule="auto"/>
        <w:rPr>
          <w:sz w:val="20"/>
          <w:szCs w:val="20"/>
          <w:color w:val="auto"/>
        </w:rPr>
      </w:pPr>
      <w:r>
        <w:rPr>
          <w:rFonts w:ascii="Arial" w:cs="Arial" w:eastAsia="Arial" w:hAnsi="Arial"/>
          <w:sz w:val="18"/>
          <w:szCs w:val="18"/>
          <w:color w:val="auto"/>
        </w:rPr>
        <w:t>operations. The year-over-year increase in net revenue exceeded the year-over-year increase in enrollment due to an increase in the average revenue per student primarily due to tuition price increases.</w:t>
      </w:r>
    </w:p>
    <w:p>
      <w:pPr>
        <w:spacing w:after="0" w:line="130" w:lineRule="exact"/>
        <w:rPr>
          <w:sz w:val="20"/>
          <w:szCs w:val="20"/>
          <w:color w:val="auto"/>
        </w:rPr>
      </w:pPr>
    </w:p>
    <w:p>
      <w:pPr>
        <w:ind w:right="599" w:firstLine="373"/>
        <w:spacing w:after="0" w:line="286"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2009 were $61.9 million, an increase of $24.9 million, or 67.2%, as compared to instructional cost and services expenses of $37.0 million for the nine months ended September 30, 2008. This increase was primarily due to increases in instructional compensation and related expenses, faculty compensation, occupancy, instructional supplies, depreciation and amortization, share-based compensation, and other miscellaneous instructional costs and services of $11.8 million, $5.3 million, $1.6 million, $1.6 million, $1.6 million, $0.4 million, and $2.6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0.2% to 33.5% for the nine months ended September 30, 2009, as compared to 33.7% for the nine months ended September 30, 2008.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an increase in employee compensation and related expenses as a percentage of revenue as we have increased the support personnel to student ratios to further improve the customer service to our students.</w:t>
      </w:r>
    </w:p>
    <w:p>
      <w:pPr>
        <w:spacing w:after="0" w:line="200" w:lineRule="exact"/>
        <w:rPr>
          <w:sz w:val="20"/>
          <w:szCs w:val="20"/>
          <w:color w:val="auto"/>
        </w:rPr>
      </w:pP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4" w:name="page25"/>
    <w:bookmarkEnd w:id="24"/>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nine months ended September 30, 2009</w:t>
      </w:r>
      <w:r>
        <w:rPr>
          <w:rFonts w:ascii="Arial" w:cs="Arial" w:eastAsia="Arial" w:hAnsi="Arial"/>
          <w:sz w:val="17"/>
          <w:szCs w:val="17"/>
          <w:i w:val="1"/>
          <w:iCs w:val="1"/>
          <w:color w:val="auto"/>
        </w:rPr>
        <w:t xml:space="preserve"> </w:t>
      </w:r>
      <w:r>
        <w:rPr>
          <w:rFonts w:ascii="Arial" w:cs="Arial" w:eastAsia="Arial" w:hAnsi="Arial"/>
          <w:sz w:val="17"/>
          <w:szCs w:val="17"/>
          <w:color w:val="auto"/>
        </w:rPr>
        <w:t>were $62.4 million, an increase of $16.4 million, or 35.5%, as compared to selling and promotional expenses of $46.0 million for the nine months ended September 30, 2008. This increase was primarily due to increases in selling and promotional employee compensation and related expenses, advertising, occupancy, and other selling and promotional related costs of $8.0 million, $5.9 million, $1.1 million, and $1.4 million, respectively. These increases were driven by a continued substantial expansion in our marketing efforts following the removal of our growth restrictions by the Department of Education in 2006, which resulted in an increase in recruitment, marketing, and enrollment staffing, and expenses related to our revenue sharing arrangement. Our selling and promotional expenses as a percentage of net revenue decreased by 8.2% to 33.8% for the nine months ended September 30, 2009, from 42.0% for the nine months ended September 30, 2008. This decrease occurred as a result of an increase in the productivity of our enrollment counselors that were hired during 2008, coupled with a focus on higher quality leads to enhance our efforts to enroll prospective students.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continue to reduce selling and promotional expenses as a percentage of net revenue in the future.</w:t>
      </w:r>
    </w:p>
    <w:p>
      <w:pPr>
        <w:spacing w:after="0" w:line="154" w:lineRule="exact"/>
        <w:rPr>
          <w:sz w:val="20"/>
          <w:szCs w:val="20"/>
          <w:color w:val="auto"/>
        </w:rPr>
      </w:pPr>
    </w:p>
    <w:p>
      <w:pPr>
        <w:ind w:left="340" w:right="819" w:firstLine="373"/>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were $26.1 million, an increase of $10.1 million, or 63.1%, as compared to general and administrative expenses of</w:t>
      </w:r>
    </w:p>
    <w:p>
      <w:pPr>
        <w:ind w:left="340" w:right="619"/>
        <w:spacing w:after="0" w:line="305" w:lineRule="auto"/>
        <w:rPr>
          <w:sz w:val="20"/>
          <w:szCs w:val="20"/>
          <w:color w:val="auto"/>
        </w:rPr>
      </w:pPr>
      <w:r>
        <w:rPr>
          <w:rFonts w:ascii="Arial" w:cs="Arial" w:eastAsia="Arial" w:hAnsi="Arial"/>
          <w:sz w:val="15"/>
          <w:szCs w:val="15"/>
          <w:color w:val="auto"/>
        </w:rPr>
        <w:t>$16.0 million for the nine months ended September 30, 2008. This increase was primarily due to increases in bad debt expense, employee compensation, share-based compensation, and other general and administrative expenses of $4.6 million, $3.5 million, $1.9 million and $0.1 million, respectively. Bad debt expense increased to $9.9 million for the nine months ended September 30, 2009 from $5.3 million for the nine months ended September 30, 2008 as a result of an increase in net revenues and the increase in aged receivables between periods. Employee compensation increased primarily as a result of the additions in July 2008 to our executive management team and the hiring of other personnel needed to operate as a public company. Share based compensation increased since prior to November 2008 we had never granted equity awards. Our general and administrative expenses as a percentage of net revenue decreased by 0.5% to 14.1% for the nine months ended September 30, 2009, from 14.6% for the nine months ended September 30, 2008, primarily due to our ability to leverage our fixed infrastructure over an increasing revenue base, partially offset by an increase in our bad debt expense as a percentage of net revenue between periods from 4.8% of net revenue during the nine months ended September 30, 2008 to 5.4% of net revenue during the nine months ended September 30, 2009 and increased employee compensation and related expenses as a percentage of net revenue as discussed above, and share-based compensation, which represented 1.0% of net revenue for the nine months ended September 30, 2009.</w:t>
      </w:r>
    </w:p>
    <w:p>
      <w:pPr>
        <w:spacing w:after="0" w:line="121" w:lineRule="exact"/>
        <w:rPr>
          <w:sz w:val="20"/>
          <w:szCs w:val="20"/>
          <w:color w:val="auto"/>
        </w:rPr>
      </w:pPr>
    </w:p>
    <w:p>
      <w:pPr>
        <w:ind w:left="340" w:right="779" w:firstLine="373"/>
        <w:spacing w:after="0" w:line="259" w:lineRule="auto"/>
        <w:rPr>
          <w:sz w:val="20"/>
          <w:szCs w:val="20"/>
          <w:color w:val="auto"/>
        </w:rPr>
      </w:pPr>
      <w:r>
        <w:rPr>
          <w:rFonts w:ascii="Arial" w:cs="Arial" w:eastAsia="Arial" w:hAnsi="Arial"/>
          <w:sz w:val="18"/>
          <w:szCs w:val="18"/>
          <w:i w:val="1"/>
          <w:iCs w:val="1"/>
          <w:color w:val="auto"/>
        </w:rPr>
        <w:t xml:space="preserve">Estimated litigation loss. </w:t>
      </w:r>
      <w:r>
        <w:rPr>
          <w:rFonts w:ascii="Arial" w:cs="Arial" w:eastAsia="Arial" w:hAnsi="Arial"/>
          <w:sz w:val="18"/>
          <w:szCs w:val="18"/>
          <w:color w:val="auto"/>
        </w:rPr>
        <w:t>During the nine months ended September 30, 2009, the Company recorded an accrual of</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for the estimated settlement of the qui tam lawsuit that has been reached in principle but is conditioned upon obtaining governmental approval and finalizing settlement terms. See Note 7 — Commitments and Contingencies, and Part II, Item 1, Legal Proceedings.</w:t>
      </w:r>
    </w:p>
    <w:p>
      <w:pPr>
        <w:spacing w:after="0" w:line="146" w:lineRule="exact"/>
        <w:rPr>
          <w:sz w:val="20"/>
          <w:szCs w:val="20"/>
          <w:color w:val="auto"/>
        </w:rPr>
      </w:pPr>
    </w:p>
    <w:p>
      <w:pPr>
        <w:ind w:left="340" w:right="719" w:firstLine="373"/>
        <w:spacing w:after="0" w:line="291" w:lineRule="auto"/>
        <w:rPr>
          <w:sz w:val="20"/>
          <w:szCs w:val="20"/>
          <w:color w:val="auto"/>
        </w:rPr>
      </w:pPr>
      <w:r>
        <w:rPr>
          <w:rFonts w:ascii="Arial" w:cs="Arial" w:eastAsia="Arial" w:hAnsi="Arial"/>
          <w:sz w:val="16"/>
          <w:szCs w:val="16"/>
          <w:i w:val="1"/>
          <w:iCs w:val="1"/>
          <w:color w:val="auto"/>
        </w:rPr>
        <w:t>Royalty to former owner</w:t>
      </w:r>
      <w:r>
        <w:rPr>
          <w:rFonts w:ascii="Arial" w:cs="Arial" w:eastAsia="Arial" w:hAnsi="Arial"/>
          <w:sz w:val="16"/>
          <w:szCs w:val="16"/>
          <w:color w:val="auto"/>
        </w:rPr>
        <w:t>. In connection with our royalty fee arrangement with the former owner related to online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we incurred royalty expenses for the nine months ended September 30, 2009 of $0.2 million, a decrease of $1.4 million, or</w:t>
      </w:r>
    </w:p>
    <w:p>
      <w:pPr>
        <w:ind w:left="340" w:right="599"/>
        <w:spacing w:after="0" w:line="292" w:lineRule="auto"/>
        <w:rPr>
          <w:sz w:val="20"/>
          <w:szCs w:val="20"/>
          <w:color w:val="auto"/>
        </w:rPr>
      </w:pPr>
      <w:r>
        <w:rPr>
          <w:rFonts w:ascii="Arial" w:cs="Arial" w:eastAsia="Arial" w:hAnsi="Arial"/>
          <w:sz w:val="16"/>
          <w:szCs w:val="16"/>
          <w:color w:val="auto"/>
        </w:rPr>
        <w:t>86.2%, as compared to royalty expenses incurred of $1.6 million for the nine months ended September 30, 2008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0.1% for the nine months ended September 30, 2009 from 1.5% for the nine months ended September 30, 2008.</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nine months ended September 30, 2009 was $1.4 million, a decrease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$0.8 million from $2.2 million for the quarter ended September 30, 2008, as the average level of borrowings and related interest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rates changed as a result of the repurchase of the campus land and buildings in late April 2009 from an effective borrowing rates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of approximately 8.7% to variable rate debt with an effective interest of approximately 3.8% starting in May 2009.</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Our interest income for the nine months ended September 30, 2009 was $0.3 million, a decrease of</w:t>
      </w:r>
    </w:p>
    <w:p>
      <w:pPr>
        <w:spacing w:after="0" w:line="35" w:lineRule="exact"/>
        <w:rPr>
          <w:sz w:val="20"/>
          <w:szCs w:val="20"/>
          <w:color w:val="auto"/>
        </w:rPr>
      </w:pPr>
    </w:p>
    <w:p>
      <w:pPr>
        <w:ind w:left="340" w:right="579"/>
        <w:spacing w:after="0" w:line="261" w:lineRule="auto"/>
        <w:rPr>
          <w:sz w:val="20"/>
          <w:szCs w:val="20"/>
          <w:color w:val="auto"/>
        </w:rPr>
      </w:pPr>
      <w:r>
        <w:rPr>
          <w:rFonts w:ascii="Arial" w:cs="Arial" w:eastAsia="Arial" w:hAnsi="Arial"/>
          <w:sz w:val="18"/>
          <w:szCs w:val="18"/>
          <w:color w:val="auto"/>
        </w:rPr>
        <w:t>$0.2 million from $0.5 million for the nine months ended September 30, 2008, as a result of decreased short-term interest rates in 2009 partially offset by higher cash balances in 2009 as a result of the owner settlement in 2008.</w:t>
      </w:r>
    </w:p>
    <w:p>
      <w:pPr>
        <w:spacing w:after="0" w:line="143"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nine months ended September 30, 2009 was $11.4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$8.6 million from $2.8 million for the nine months ended September 30, 2008. This increase was primarily attributable to increased income before income taxes. Our effective tax rate was 41.3% during the nine months ended September 30, 2009 compared to 39.0% during the nine months ended September 30, 2008. This increase is primarily attributable to the potential impact of the estimated litigation loss for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settlement, which may not be fully deductible.</w:t>
      </w:r>
    </w:p>
    <w:p>
      <w:pPr>
        <w:spacing w:after="0" w:line="131" w:lineRule="exact"/>
        <w:rPr>
          <w:sz w:val="20"/>
          <w:szCs w:val="20"/>
          <w:color w:val="auto"/>
        </w:rPr>
      </w:pPr>
    </w:p>
    <w:p>
      <w:pPr>
        <w:jc w:val="both"/>
        <w:ind w:left="340" w:right="599" w:firstLine="373"/>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nine months ended September 30, 2009 was $16.2 million, an increase of $11.7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262%, as compared to net income of $4.5 million for the nine months ended September 30, 2008, due to the factors discussed above.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579" w:firstLine="373"/>
        <w:spacing w:after="0" w:line="291"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traditional ground students do not attend courses during the summer months (June through August), which affects our results for our second and third fiscal quarters. Since a significant amount of our campus costs are fixed, the lower revenue resulting from the decreased ground student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w:t>
      </w:r>
    </w:p>
    <w:p>
      <w:pPr>
        <w:sectPr>
          <w:pgSz w:w="11900" w:h="16851" w:orient="portrait"/>
          <w:cols w:equalWidth="0" w:num="1">
            <w:col w:w="10219"/>
          </w:cols>
          <w:pgMar w:left="240" w:top="419" w:right="1440" w:bottom="0" w:gutter="0" w:footer="0" w:header="0"/>
        </w:sectPr>
      </w:pPr>
    </w:p>
    <w:bookmarkStart w:id="25" w:name="page26"/>
    <w:bookmarkEnd w:id="25"/>
    <w:p>
      <w:pPr>
        <w:ind w:right="659"/>
        <w:spacing w:after="0" w:line="255" w:lineRule="auto"/>
        <w:rPr>
          <w:sz w:val="20"/>
          <w:szCs w:val="20"/>
          <w:color w:val="auto"/>
        </w:rPr>
      </w:pPr>
      <w:r>
        <w:rPr>
          <w:rFonts w:ascii="Arial" w:cs="Arial" w:eastAsia="Arial" w:hAnsi="Arial"/>
          <w:sz w:val="18"/>
          <w:szCs w:val="18"/>
          <w:color w:val="auto"/>
        </w:rPr>
        <w:t>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 in net revenue, resulting in higher operating income in the first and fourth quarters relative to other quarters. We expect quarterly fluctuation in operating results to continue as a result of these seasonal patterns.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nine months ended September 30, 2009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2008 primarily through cash provided by operating activities, loan proceeds of $25.7 million received in the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2009 used solely for the purchase of the land and buildings comprising our ground campus, and offering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$14.9 million received in September 2009 from the sale of 1,000,000 shares of our common stock. Our unrestricted cash,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and marketable securities were $74.2 million and $35.6 million at September 30, 2009 and December 31, 2008,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Our restricted cash, cash equivalents and investments at September 30, 2009 and December 31, 2008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$3.7 million and $5.1 million, respectively.</w:t>
      </w:r>
    </w:p>
    <w:p>
      <w:pPr>
        <w:spacing w:after="0" w:line="170" w:lineRule="exact"/>
        <w:rPr>
          <w:sz w:val="20"/>
          <w:szCs w:val="20"/>
          <w:color w:val="auto"/>
        </w:rPr>
      </w:pPr>
    </w:p>
    <w:p>
      <w:pPr>
        <w:ind w:right="559" w:firstLine="373"/>
        <w:spacing w:after="0" w:line="29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nine months ended September 30, 2009 was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$66.8 million as compared to $17.9 million for the nine months ended September 30, 2008. Cash provided by operations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nine months ended September 30, 2009 resulted from our net income plus non cash charges for bad debts, depreciation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and share-based compensation. The cash provided by operations in the nine months ended September 30, 2008 was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than 2009 primarily due to continued increases in enrollment in 2009 and the $19.5 million payment made in April 2008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connection with the settlement with the former owners.</w:t>
      </w:r>
    </w:p>
    <w:p>
      <w:pPr>
        <w:spacing w:after="0" w:line="170"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$53.0 million and $4.8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2009 and 2008, respectively. Cash used in investing activities is primarily related to the acquisition of our campus land and buildings from Spirit , for an allocated purchase amount of $35.5 million. Other capital expenditures were $18.7 million and $5.8 million for the nine months ended September 30, 2009 and 2008, respectively. Capital expenditures primarily consist of computer equipment, leasehold improvements, new system infrastructure licenses and office furniture and fixtures to support our increasing employee headcounts and increased internal use software development.</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$24.7 million for the nine months ended September 30,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2009 and cash used in financing activity was $13.1 million for the nine months ended September 30, 2008. During the first nine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of 2008, principal payments on notes payable, capital lease obligations, settlement with the prior owners and our line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were offset by proceeds from preferred stock issuances. During the first nine months of 2009, the proceeds from the loan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agreement and proceeds from our 2009 public offering of stock were partially offset by the repurchase of our shares from Spirit.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following table sets forth, as of September 30, 2009,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tcPr>
          <w:p>
            <w:pPr>
              <w:ind w:left="80"/>
              <w:spacing w:after="0" w:line="191" w:lineRule="exact"/>
              <w:rPr>
                <w:sz w:val="20"/>
                <w:szCs w:val="20"/>
                <w:color w:val="auto"/>
              </w:rPr>
            </w:pPr>
            <w:r>
              <w:rPr>
                <w:rFonts w:ascii="Arial" w:cs="Arial" w:eastAsia="Arial" w:hAnsi="Arial"/>
                <w:sz w:val="18"/>
                <w:szCs w:val="18"/>
                <w:b w:val="1"/>
                <w:bCs w:val="1"/>
                <w:color w:val="auto"/>
              </w:rPr>
              <w:t>Less than</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2"/>
              </w:rPr>
              <w:t>More than</w:t>
            </w:r>
          </w:p>
        </w:tc>
        <w:tc>
          <w:tcPr>
            <w:tcW w:w="4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1 Year</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2–3 Years</w:t>
            </w:r>
          </w:p>
        </w:tc>
        <w:tc>
          <w:tcPr>
            <w:tcW w:w="32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4–5 Years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5 Years</w:t>
            </w:r>
          </w:p>
        </w:tc>
        <w:tc>
          <w:tcPr>
            <w:tcW w:w="40" w:type="dxa"/>
            <w:vAlign w:val="bottom"/>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and notes payable</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7"/>
        </w:trPr>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0"/>
        </w:trPr>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19" w:hanging="348"/>
        <w:spacing w:after="0" w:line="30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material change since December 31, 2008 is a result of the acquisition of the land and buildings comprising our ground campus in April 2009. In connection with this acquisition, we reduced our capital lease obligations for the buildings that we had previously leased and increased our debt obligations pursuant to the loan agreement with a financial institution that we entered into for the sole purpose of financing the acquisition of the campus land and buildings.</w:t>
      </w:r>
    </w:p>
    <w:p>
      <w:pPr>
        <w:spacing w:after="0" w:line="5" w:lineRule="exact"/>
        <w:rPr>
          <w:rFonts w:ascii="Arial" w:cs="Arial" w:eastAsia="Arial" w:hAnsi="Arial"/>
          <w:sz w:val="16"/>
          <w:szCs w:val="16"/>
          <w:color w:val="auto"/>
        </w:rPr>
      </w:pPr>
    </w:p>
    <w:p>
      <w:pPr>
        <w:ind w:left="680" w:right="699" w:hanging="348"/>
        <w:spacing w:after="0" w:line="34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purchase obligation amounts include expected spending by period under contracts that were in effect at September 30, 2009. Less than one year represents expected expenditures from October 1, 2009 through December 31, 2009.</w:t>
      </w:r>
    </w:p>
    <w:p>
      <w:pPr>
        <w:spacing w:after="0" w:line="97"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31" w:lineRule="exact"/>
        <w:rPr>
          <w:sz w:val="20"/>
          <w:szCs w:val="20"/>
          <w:color w:val="auto"/>
        </w:rPr>
      </w:pPr>
    </w:p>
    <w:p>
      <w:pPr>
        <w:ind w:left="340" w:right="759" w:firstLine="373"/>
        <w:spacing w:after="0" w:line="279" w:lineRule="auto"/>
        <w:rPr>
          <w:sz w:val="20"/>
          <w:szCs w:val="20"/>
          <w:color w:val="auto"/>
        </w:rPr>
      </w:pPr>
      <w:r>
        <w:rPr>
          <w:rFonts w:ascii="Arial" w:cs="Arial" w:eastAsia="Arial" w:hAnsi="Arial"/>
          <w:sz w:val="17"/>
          <w:szCs w:val="17"/>
          <w:color w:val="auto"/>
        </w:rPr>
        <w:t>We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(ii) management fees and expenses that are no longer paid, (iii) estimated litigation losses, and (iv) share-based compensation.</w:t>
      </w:r>
    </w:p>
    <w:p>
      <w:pPr>
        <w:spacing w:after="0" w:line="144" w:lineRule="exact"/>
        <w:rPr>
          <w:sz w:val="20"/>
          <w:szCs w:val="20"/>
          <w:color w:val="auto"/>
        </w:rPr>
      </w:pPr>
    </w:p>
    <w:p>
      <w:pPr>
        <w:ind w:left="340" w:right="639" w:firstLine="373"/>
        <w:spacing w:after="0" w:line="293"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w:t>
      </w:r>
    </w:p>
    <w:p>
      <w:pPr>
        <w:sectPr>
          <w:pgSz w:w="11900" w:h="16838" w:orient="portrait"/>
          <w:cols w:equalWidth="0" w:num="1">
            <w:col w:w="10219"/>
          </w:cols>
          <w:pgMar w:left="240" w:top="419" w:right="1440" w:bottom="0" w:gutter="0" w:footer="0" w:header="0"/>
        </w:sectPr>
      </w:pPr>
    </w:p>
    <w:bookmarkStart w:id="27" w:name="page28"/>
    <w:bookmarkEnd w:id="27"/>
    <w:p>
      <w:pPr>
        <w:ind w:right="619"/>
        <w:spacing w:after="0" w:line="270" w:lineRule="auto"/>
        <w:rPr>
          <w:sz w:val="20"/>
          <w:szCs w:val="20"/>
          <w:color w:val="auto"/>
        </w:rPr>
      </w:pPr>
      <w:r>
        <w:rPr>
          <w:rFonts w:ascii="Arial" w:cs="Arial" w:eastAsia="Arial" w:hAnsi="Arial"/>
          <w:sz w:val="17"/>
          <w:szCs w:val="17"/>
          <w:color w:val="auto"/>
        </w:rPr>
        <w:t>resources that affect our underlying revenue and profit generating operations during that period. Management fees and expenses, royalty expenses paid to our former owner, estimated litigation losses, financing arrangements,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200" w:lineRule="exact"/>
        <w:rPr>
          <w:sz w:val="20"/>
          <w:szCs w:val="20"/>
          <w:color w:val="auto"/>
        </w:rPr>
      </w:pPr>
    </w:p>
    <w:p>
      <w:pPr>
        <w:spacing w:after="0" w:line="34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61" w:lineRule="exact"/>
        <w:rPr>
          <w:sz w:val="20"/>
          <w:szCs w:val="20"/>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180" w:lineRule="exact"/>
        <w:rPr>
          <w:rFonts w:ascii="Arial" w:cs="Arial" w:eastAsia="Arial" w:hAnsi="Arial"/>
          <w:sz w:val="16"/>
          <w:szCs w:val="16"/>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1420" w:right="559" w:hanging="345"/>
        <w:spacing w:after="0" w:line="259" w:lineRule="auto"/>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(i) royalties to our former owner, including amortization of royalties prepaid in connection with our settlement, (ii) management fees and expenses that were payable until completion of our initial public offering, (iii) estimated litigation loss, and (iv) share-based compensation.</w:t>
      </w:r>
    </w:p>
    <w:p>
      <w:pPr>
        <w:spacing w:after="0" w:line="146"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45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4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5,560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Plus: royalty to former owner (a)</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 (b)</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Plus: estimated litigation loss (c)</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719" w:hanging="348"/>
        <w:spacing w:after="0" w:line="259"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royalty fee arrangement with our former owner in which we agreed to pay a stated percentage of cash revenue generated by our online programs. As a result of the settlement of a dispute with the former owner, we are no longer obligated to pay this royalty, although the settlement included a prepayment of future royalties that will be amortized in 2009 and future periods.</w:t>
      </w:r>
    </w:p>
    <w:p>
      <w:pPr>
        <w:spacing w:after="0" w:line="38" w:lineRule="exact"/>
        <w:rPr>
          <w:rFonts w:ascii="Arial" w:cs="Arial" w:eastAsia="Arial" w:hAnsi="Arial"/>
          <w:sz w:val="18"/>
          <w:szCs w:val="18"/>
          <w:color w:val="auto"/>
        </w:rPr>
      </w:pPr>
    </w:p>
    <w:p>
      <w:pPr>
        <w:ind w:left="680" w:right="75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management fees and expenses of $0.1 million and $0.3 million for the three and nine months periods ended September 30, 2008 to the general partner of the Endeavour Entities. The agreement relating to this arrangement has been terminated.</w:t>
      </w:r>
    </w:p>
    <w:p>
      <w:pPr>
        <w:spacing w:after="0" w:line="32"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an accrual of $5.2 million for an estimated litigation settlement that has been reached in principle but is conditioned upon obtaining governmental approval and finalizing settlement terms. See Note 7 — Commitments and Contingencies, and Part II, Item 1, Legal Proceedings.</w:t>
      </w:r>
    </w:p>
    <w:p>
      <w:pPr>
        <w:spacing w:after="0" w:line="32" w:lineRule="exact"/>
        <w:rPr>
          <w:rFonts w:ascii="Arial" w:cs="Arial" w:eastAsia="Arial" w:hAnsi="Arial"/>
          <w:sz w:val="18"/>
          <w:szCs w:val="18"/>
          <w:color w:val="auto"/>
        </w:rPr>
      </w:pPr>
    </w:p>
    <w:p>
      <w:pPr>
        <w:ind w:left="680" w:right="73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share-based compensation expense recorded in the first nine months of 2009 related to share-based compensation for stock options granted to employees and directors in connection with our initial public offering and additional equity awards granted in subsequent periods.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340" w:right="69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2009 or 2008. There can be no assurance that future inflation will not have an adverse impact on our operating results and financial condition.</w:t>
      </w:r>
    </w:p>
    <w:p>
      <w:pPr>
        <w:spacing w:after="0" w:line="141"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we entered into two derivative agreements to manage our 30 Day LIBOR interest 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variable rate debt we incurred in connection with the repurchase from Spirit of shares of our common stock and the land and buildings that comprise our ground campus, which debt matures in April 2014. The corridor instrument, which hedges variable interest rate risk starting July 1, 2009 through April 30, 2014 with a notional amount of $12.6 million as of September 30, 2009,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forward interest rate risk starts on May 1, 2010, continues each month thereafter until April 30, 2014, and has a notional amount of $12.0 million. Under this arrangement, we will receive 30 Day LIBOR and pay 3.245% fixed rate on the amortizing notional amount plus the credit spread.</w:t>
      </w:r>
    </w:p>
    <w:p>
      <w:pPr>
        <w:sectPr>
          <w:pgSz w:w="11900" w:h="16838" w:orient="portrait"/>
          <w:cols w:equalWidth="0" w:num="1">
            <w:col w:w="10219"/>
          </w:cols>
          <w:pgMar w:left="240" w:top="419" w:right="1440" w:bottom="0" w:gutter="0" w:footer="0" w:header="0"/>
        </w:sectPr>
      </w:pPr>
    </w:p>
    <w:bookmarkStart w:id="29" w:name="page30"/>
    <w:bookmarkEnd w:id="29"/>
    <w:p>
      <w:pPr>
        <w:ind w:right="639" w:firstLine="373"/>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right="579" w:firstLine="373"/>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September 30, 2009, a 10% increase or decrease in interest rates would not have a material impact on our future earnings, fair values, or cash flows. For information regarding our variable rate debt, see “Market risk” above.</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2009,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left="340" w:right="619" w:firstLine="373"/>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previously a party to a dispute with SunGard Higher Education Managed Services Inc. (“SunGard”). 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October 22, 2008, an arbitration panel issued a final award pursuant to which the Company and SunGard were awarded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a net award to SunGard in the amount of approximately $250,000 plus interest. The arbitration panel also held that each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party would be responsible for its own attorneys’ fees and that the parties would equally share the arbitration costs. As a result,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reduced our reserves for litigation by $300,000 in the quarter ended September 30, 2008. On January 14, 2009, we entered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into a settlement agreement with SunGard regarding payment of the arbitration award and effecting a mutual release between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parties regarding all claims that were brought, or could have been brought, in the litigation and related arbitration, and all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administrative matters relating to this dispute have been resolved. Therefore, as of September 30, 2009 there are no reserves for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related to this matter.</w:t>
      </w:r>
    </w:p>
    <w:p>
      <w:pPr>
        <w:spacing w:after="0" w:line="170"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On August 14, 2008, the OIG served an administrative subpoena on Grand Canyon University requiring us to provide certain records and information related to performance reviews and salary adjustments for all of our enrollment counselors and managers from January 1, 2004 to the present. We are cooperating with the OIG to facilitate its investigation and have completed production of all requested documents. We cannot presently predict the ultimate outcome of the investigation or any liability or other sanctions that may result.</w:t>
      </w:r>
    </w:p>
    <w:p>
      <w:pPr>
        <w:spacing w:after="0" w:line="148"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is a civil lawsuit brought under the federal False Claims Act by one or more individuals (a “relator”) on behalf of the federal government for an alleged submission to the government of a false claim for payment. The </w:t>
      </w:r>
      <w:r>
        <w:rPr>
          <w:rFonts w:ascii="Arial" w:cs="Arial" w:eastAsia="Arial" w:hAnsi="Arial"/>
          <w:sz w:val="16"/>
          <w:szCs w:val="16"/>
          <w:i w:val="1"/>
          <w:iCs w:val="1"/>
          <w:color w:val="auto"/>
        </w:rPr>
        <w:t xml:space="preserve">qui tam </w:t>
      </w:r>
      <w:r>
        <w:rPr>
          <w:rFonts w:ascii="Arial" w:cs="Arial" w:eastAsia="Arial" w:hAnsi="Arial"/>
          <w:sz w:val="16"/>
          <w:szCs w:val="16"/>
          <w:color w:val="auto"/>
        </w:rPr>
        <w:t>lawsuit alleges, among other things, that we violated the False Claims Act by knowingly making false statements,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The Company filed a motion to dismiss this case in November 2008, which was denied by the court in February 2009, and it has continued to vigorously contest this lawsuit. We cannot presently predict the ultimate outcome of this litigation or any liability or other sanctions that may result</w:t>
      </w:r>
    </w:p>
    <w:p>
      <w:pPr>
        <w:spacing w:after="0" w:line="143"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 xml:space="preserve">Pursuant to the court’s mandatory scheduling order, we have entered into a settlement discussions with respect to the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matter with the relator. In connection with such discussions, we are negotiating for a comprehensive settlement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 among other things, the resolution by the OIG of its investigation. We have reached a settlement in principle with the relator pursuant to which we have agreed to pay $5.2 million to finally resolve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case and thereby avoid the cost and distraction of a potentially protracted trial. We have accrued that amount in the accompanying financial statements for the quarter ended September 30, 2009. This settlement is conditioned upon obtaining the approval of the U.S. Department of Justice (which has authority to approve settlement of False Claims Act matters) and the Department of Education with respect to the resolution of the OIG investigation, and finalizing settlement terms that would release us from other False Claims Act cases based upon the conduct covered by the settlement. Pursuant to a joint request by us, the relator and the Department of Justice, on September 28, 2009, the Court granted a stay of all litigation proceedings for 120 days while the parties attempt to negotiate a final settlement, which negotiations are underway. The ultimate dismissal of the action, should a final settlement be reached, is subject to the</w:t>
      </w:r>
    </w:p>
    <w:p>
      <w:pPr>
        <w:sectPr>
          <w:pgSz w:w="11900" w:h="16838" w:orient="portrait"/>
          <w:cols w:equalWidth="0" w:num="1">
            <w:col w:w="10219"/>
          </w:cols>
          <w:pgMar w:left="240" w:top="419" w:right="1440" w:bottom="0" w:gutter="0" w:footer="0" w:header="0"/>
        </w:sectPr>
      </w:pPr>
    </w:p>
    <w:bookmarkStart w:id="31" w:name="page32"/>
    <w:bookmarkEnd w:id="31"/>
    <w:p>
      <w:pPr>
        <w:ind w:right="1179"/>
        <w:spacing w:after="0" w:line="277" w:lineRule="auto"/>
        <w:rPr>
          <w:sz w:val="20"/>
          <w:szCs w:val="20"/>
          <w:color w:val="auto"/>
        </w:rPr>
      </w:pPr>
      <w:r>
        <w:rPr>
          <w:rFonts w:ascii="Arial" w:cs="Arial" w:eastAsia="Arial" w:hAnsi="Arial"/>
          <w:sz w:val="18"/>
          <w:szCs w:val="18"/>
          <w:color w:val="auto"/>
        </w:rPr>
        <w:t>Court’s approval. Should the parties fail to conclude the settlement on the proposed or other terms, we would continue to vigorously defend this lawsuit.</w:t>
      </w:r>
    </w:p>
    <w:p>
      <w:pPr>
        <w:spacing w:after="0" w:line="130" w:lineRule="exact"/>
        <w:rPr>
          <w:sz w:val="20"/>
          <w:szCs w:val="20"/>
          <w:color w:val="auto"/>
        </w:rPr>
      </w:pPr>
    </w:p>
    <w:p>
      <w:pPr>
        <w:ind w:right="659" w:firstLine="373"/>
        <w:spacing w:after="0" w:line="259"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w:t>
      </w:r>
    </w:p>
    <w:p>
      <w:pPr>
        <w:spacing w:after="0" w:line="160" w:lineRule="exact"/>
        <w:rPr>
          <w:sz w:val="20"/>
          <w:szCs w:val="20"/>
          <w:color w:val="auto"/>
        </w:rPr>
      </w:pPr>
    </w:p>
    <w:p>
      <w:pPr>
        <w:ind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899" w:firstLine="373"/>
        <w:spacing w:after="0" w:line="312" w:lineRule="auto"/>
        <w:rPr>
          <w:sz w:val="20"/>
          <w:szCs w:val="20"/>
          <w:color w:val="auto"/>
        </w:rPr>
      </w:pPr>
      <w:r>
        <w:rPr>
          <w:rFonts w:ascii="Arial" w:cs="Arial" w:eastAsia="Arial" w:hAnsi="Arial"/>
          <w:sz w:val="16"/>
          <w:szCs w:val="16"/>
          <w:color w:val="auto"/>
        </w:rPr>
        <w:t>There have been no material changes to the risk factors disclosed in the “Risk Factors” section of our Annual Report on Form 10-K for the year ended December 31, 2008, as updated in our Quarterly Reports on Form 10-Q for the quarters ended March 31, 2009 and June 30, 2009 and as updated in our Current Report on Form 8-K filed on August 27, 2009.</w:t>
      </w:r>
    </w:p>
    <w:p>
      <w:pPr>
        <w:spacing w:after="0" w:line="102" w:lineRule="exact"/>
        <w:rPr>
          <w:sz w:val="20"/>
          <w:szCs w:val="20"/>
          <w:color w:val="auto"/>
        </w:rPr>
      </w:pPr>
    </w:p>
    <w:p>
      <w:pPr>
        <w:ind w:left="340" w:right="4719"/>
        <w:spacing w:after="0" w:line="46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Recent Sales of Unregistered Securities</w:t>
      </w: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None.</w:t>
            </w: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05"/>
        </w:trPr>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Item 6. Exhibits</w:t>
            </w: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92"/>
        </w:trPr>
        <w:tc>
          <w:tcPr>
            <w:tcW w:w="1480" w:type="dxa"/>
            <w:vAlign w:val="bottom"/>
            <w:gridSpan w:val="2"/>
          </w:tcPr>
          <w:p>
            <w:pPr>
              <w:ind w:left="360"/>
              <w:spacing w:after="0"/>
              <w:rPr>
                <w:sz w:val="20"/>
                <w:szCs w:val="20"/>
                <w:color w:val="auto"/>
              </w:rPr>
            </w:pPr>
            <w:r>
              <w:rPr>
                <w:rFonts w:ascii="Arial" w:cs="Arial" w:eastAsia="Arial" w:hAnsi="Arial"/>
                <w:sz w:val="18"/>
                <w:szCs w:val="18"/>
                <w:color w:val="auto"/>
              </w:rPr>
              <w:t>(a) Exhibits</w:t>
            </w:r>
          </w:p>
        </w:tc>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2"/>
        </w:trPr>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120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w:t>
            </w:r>
          </w:p>
        </w:tc>
        <w:tc>
          <w:tcPr>
            <w:tcW w:w="2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Incorporation.</w:t>
            </w: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2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2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2 to the Company’s Registration</w:t>
            </w: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0" w:gutter="0" w:footer="0" w:header="0"/>
        </w:sectPr>
      </w:pP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3860" w:type="dxa"/>
            <w:vAlign w:val="bottom"/>
          </w:tcPr>
          <w:p>
            <w:pPr>
              <w:ind w:left="360"/>
              <w:spacing w:after="0"/>
              <w:rPr>
                <w:sz w:val="20"/>
                <w:szCs w:val="20"/>
                <w:color w:val="auto"/>
              </w:rPr>
            </w:pPr>
            <w:r>
              <w:rPr>
                <w:rFonts w:ascii="Arial" w:cs="Arial" w:eastAsia="Arial" w:hAnsi="Arial"/>
                <w:sz w:val="18"/>
                <w:szCs w:val="18"/>
                <w:color w:val="auto"/>
              </w:rPr>
              <w:t>Amended and Restated Investor Rights</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92"/>
              </w:rPr>
              <w:t>Agreement, dated September 17, 2008, by and</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95"/>
              </w:rPr>
              <w:t>among Grand Canyon Education, Inc. and the</w:t>
            </w:r>
          </w:p>
        </w:tc>
      </w:tr>
      <w:tr>
        <w:trPr>
          <w:trHeight w:val="230"/>
        </w:trPr>
        <w:tc>
          <w:tcPr>
            <w:tcW w:w="680" w:type="dxa"/>
            <w:vAlign w:val="bottom"/>
          </w:tcPr>
          <w:p>
            <w:pPr>
              <w:spacing w:after="0"/>
              <w:rPr>
                <w:sz w:val="20"/>
                <w:szCs w:val="20"/>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other parties named therein.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3860" w:type="dxa"/>
            <w:vAlign w:val="bottom"/>
          </w:tcPr>
          <w:p>
            <w:pPr>
              <w:ind w:left="360"/>
              <w:spacing w:after="0"/>
              <w:rPr>
                <w:sz w:val="20"/>
                <w:szCs w:val="20"/>
                <w:color w:val="auto"/>
              </w:rPr>
            </w:pPr>
            <w:r>
              <w:rPr>
                <w:rFonts w:ascii="Arial" w:cs="Arial" w:eastAsia="Arial" w:hAnsi="Arial"/>
                <w:sz w:val="18"/>
                <w:szCs w:val="18"/>
                <w:color w:val="auto"/>
                <w:w w:val="93"/>
              </w:rPr>
              <w:t>Employment Agreement, dated September 16,</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89"/>
              </w:rPr>
              <w:t>2009, by and between Grand Canyon Education,</w:t>
            </w:r>
          </w:p>
        </w:tc>
      </w:tr>
      <w:tr>
        <w:trPr>
          <w:trHeight w:val="230"/>
        </w:trPr>
        <w:tc>
          <w:tcPr>
            <w:tcW w:w="680" w:type="dxa"/>
            <w:vAlign w:val="bottom"/>
          </w:tcPr>
          <w:p>
            <w:pPr>
              <w:spacing w:after="0"/>
              <w:rPr>
                <w:sz w:val="20"/>
                <w:szCs w:val="20"/>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Inc. and Joseph N. Mildenhall.</w:t>
            </w:r>
          </w:p>
        </w:tc>
      </w:tr>
    </w:tbl>
    <w:p>
      <w:pPr>
        <w:spacing w:after="0" w:line="20" w:lineRule="exact"/>
        <w:rPr>
          <w:sz w:val="20"/>
          <w:szCs w:val="20"/>
          <w:color w:val="auto"/>
        </w:rPr>
      </w:pPr>
      <w:r>
        <w:rPr>
          <w:sz w:val="20"/>
          <w:szCs w:val="20"/>
          <w:color w:val="auto"/>
        </w:rPr>
        <w:br w:type="column"/>
      </w:r>
    </w:p>
    <w:p>
      <w:pPr>
        <w:ind w:right="89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320" w:space="420"/>
            <w:col w:w="4479"/>
          </w:cols>
          <w:pgMar w:left="240" w:top="419" w:right="1440" w:bottom="0" w:gutter="0" w:footer="0" w:header="0"/>
          <w:type w:val="continuous"/>
        </w:sectPr>
      </w:pP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4140" w:type="dxa"/>
            <w:vAlign w:val="bottom"/>
          </w:tcPr>
          <w:p>
            <w:pPr>
              <w:ind w:left="360"/>
              <w:spacing w:after="0"/>
              <w:rPr>
                <w:sz w:val="20"/>
                <w:szCs w:val="20"/>
                <w:color w:val="auto"/>
              </w:rPr>
            </w:pPr>
            <w:r>
              <w:rPr>
                <w:rFonts w:ascii="Arial" w:cs="Arial" w:eastAsia="Arial" w:hAnsi="Arial"/>
                <w:sz w:val="18"/>
                <w:szCs w:val="18"/>
                <w:color w:val="auto"/>
                <w:w w:val="99"/>
              </w:rPr>
              <w:t>Certification of Chief Executive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Section 302 of the Sarbanes-Oxley Act of 2002.</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41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Section 302 of the Sarbanes-Oxley Act of 2002.</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4140" w:type="dxa"/>
            <w:vAlign w:val="bottom"/>
          </w:tcPr>
          <w:p>
            <w:pPr>
              <w:ind w:left="360"/>
              <w:spacing w:after="0"/>
              <w:rPr>
                <w:sz w:val="20"/>
                <w:szCs w:val="20"/>
                <w:color w:val="auto"/>
              </w:rPr>
            </w:pPr>
            <w:r>
              <w:rPr>
                <w:rFonts w:ascii="Arial" w:cs="Arial" w:eastAsia="Arial" w:hAnsi="Arial"/>
                <w:sz w:val="18"/>
                <w:szCs w:val="18"/>
                <w:color w:val="auto"/>
                <w:w w:val="99"/>
              </w:rPr>
              <w:t>Certification of Chief Executive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18 U.S.C. Section 1350, as adopted pursuant to</w:t>
            </w:r>
          </w:p>
        </w:tc>
        <w:tc>
          <w:tcPr>
            <w:tcW w:w="12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5"/>
              </w:rPr>
              <w:t>Section 906 of the Sarbanes-Oxley Act of 2002. †</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41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18 U.S.C. Section 1350, as adopted pursuant to</w:t>
            </w:r>
          </w:p>
        </w:tc>
        <w:tc>
          <w:tcPr>
            <w:tcW w:w="12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5"/>
              </w:rPr>
              <w:t>Section 906 of the Sarbanes-Oxley Act of 2002. †</w:t>
            </w:r>
          </w:p>
        </w:tc>
        <w:tc>
          <w:tcPr>
            <w:tcW w:w="122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0" w:gutter="0" w:footer="0" w:header="0"/>
          <w:type w:val="continuous"/>
        </w:sectPr>
      </w:pPr>
    </w:p>
    <w:bookmarkStart w:id="33" w:name="page34"/>
    <w:bookmarkEnd w:id="33"/>
    <w:p>
      <w:pPr>
        <w:ind w:left="370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700" w:type="dxa"/>
            <w:vAlign w:val="bottom"/>
            <w:gridSpan w:val="2"/>
          </w:tcPr>
          <w:p>
            <w:pPr>
              <w:ind w:left="820"/>
              <w:spacing w:after="0"/>
              <w:rPr>
                <w:sz w:val="20"/>
                <w:szCs w:val="20"/>
                <w:color w:val="auto"/>
              </w:rPr>
            </w:pPr>
            <w:r>
              <w:rPr>
                <w:rFonts w:ascii="Arial" w:cs="Arial" w:eastAsia="Arial" w:hAnsi="Arial"/>
                <w:sz w:val="18"/>
                <w:szCs w:val="18"/>
                <w:b w:val="1"/>
                <w:bCs w:val="1"/>
                <w:color w:val="auto"/>
              </w:rPr>
              <w:t>GRAND CANYON EDUCATION, INC.</w:t>
            </w:r>
          </w:p>
        </w:tc>
        <w:tc>
          <w:tcPr>
            <w:tcW w:w="2780" w:type="dxa"/>
            <w:vAlign w:val="bottom"/>
          </w:tcPr>
          <w:p>
            <w:pPr>
              <w:spacing w:after="0"/>
              <w:rPr>
                <w:sz w:val="20"/>
                <w:szCs w:val="20"/>
                <w:color w:val="auto"/>
              </w:rPr>
            </w:pPr>
          </w:p>
        </w:tc>
      </w:tr>
      <w:tr>
        <w:trPr>
          <w:trHeight w:val="432"/>
        </w:trPr>
        <w:tc>
          <w:tcPr>
            <w:tcW w:w="2940" w:type="dxa"/>
            <w:vAlign w:val="bottom"/>
          </w:tcPr>
          <w:p>
            <w:pPr>
              <w:ind w:left="340"/>
              <w:spacing w:after="0"/>
              <w:rPr>
                <w:sz w:val="20"/>
                <w:szCs w:val="20"/>
                <w:color w:val="auto"/>
              </w:rPr>
            </w:pPr>
            <w:r>
              <w:rPr>
                <w:rFonts w:ascii="Arial" w:cs="Arial" w:eastAsia="Arial" w:hAnsi="Arial"/>
                <w:sz w:val="18"/>
                <w:szCs w:val="18"/>
                <w:color w:val="auto"/>
              </w:rPr>
              <w:t>Date: November 3, 2009</w:t>
            </w:r>
          </w:p>
        </w:tc>
        <w:tc>
          <w:tcPr>
            <w:tcW w:w="5700" w:type="dxa"/>
            <w:vAlign w:val="bottom"/>
            <w:gridSpan w:val="2"/>
          </w:tcPr>
          <w:p>
            <w:pPr>
              <w:ind w:left="820"/>
              <w:spacing w:after="0"/>
              <w:rPr>
                <w:sz w:val="20"/>
                <w:szCs w:val="20"/>
                <w:color w:val="auto"/>
              </w:rPr>
            </w:pPr>
            <w:r>
              <w:rPr>
                <w:rFonts w:ascii="Arial" w:cs="Arial" w:eastAsia="Arial" w:hAnsi="Arial"/>
                <w:sz w:val="18"/>
                <w:szCs w:val="18"/>
                <w:color w:val="auto"/>
              </w:rPr>
              <w:t>By: /s/ Daniel E. Bachus</w:t>
            </w:r>
          </w:p>
        </w:tc>
        <w:tc>
          <w:tcPr>
            <w:tcW w:w="2780" w:type="dxa"/>
            <w:vAlign w:val="bottom"/>
          </w:tcPr>
          <w:p>
            <w:pPr>
              <w:spacing w:after="0"/>
              <w:rPr>
                <w:sz w:val="24"/>
                <w:szCs w:val="24"/>
                <w:color w:val="auto"/>
              </w:rPr>
            </w:pPr>
          </w:p>
        </w:tc>
      </w:tr>
      <w:tr>
        <w:trPr>
          <w:trHeight w:val="195"/>
        </w:trPr>
        <w:tc>
          <w:tcPr>
            <w:tcW w:w="2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78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780" w:type="dxa"/>
            <w:vAlign w:val="bottom"/>
          </w:tcPr>
          <w:p>
            <w:pPr>
              <w:spacing w:after="0"/>
              <w:rPr>
                <w:sz w:val="18"/>
                <w:szCs w:val="18"/>
                <w:color w:val="auto"/>
              </w:rPr>
            </w:pPr>
          </w:p>
        </w:tc>
      </w:tr>
      <w:tr>
        <w:trPr>
          <w:trHeight w:val="230"/>
        </w:trPr>
        <w:tc>
          <w:tcPr>
            <w:tcW w:w="2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780" w:type="dxa"/>
            <w:vAlign w:val="bottom"/>
          </w:tcPr>
          <w:p>
            <w:pPr>
              <w:spacing w:after="0"/>
              <w:rPr>
                <w:sz w:val="20"/>
                <w:szCs w:val="20"/>
                <w:color w:val="auto"/>
              </w:rPr>
            </w:pPr>
          </w:p>
        </w:tc>
      </w:tr>
      <w:tr>
        <w:trPr>
          <w:trHeight w:val="783"/>
        </w:trPr>
        <w:tc>
          <w:tcPr>
            <w:tcW w:w="2940" w:type="dxa"/>
            <w:vAlign w:val="bottom"/>
          </w:tcPr>
          <w:p>
            <w:pPr>
              <w:spacing w:after="0"/>
              <w:rPr>
                <w:sz w:val="24"/>
                <w:szCs w:val="24"/>
                <w:color w:val="auto"/>
              </w:rPr>
            </w:pPr>
          </w:p>
        </w:tc>
        <w:tc>
          <w:tcPr>
            <w:tcW w:w="5700" w:type="dxa"/>
            <w:vAlign w:val="bottom"/>
            <w:gridSpan w:val="2"/>
          </w:tcPr>
          <w:p>
            <w:pPr>
              <w:jc w:val="right"/>
              <w:ind w:right="3470"/>
              <w:spacing w:after="0"/>
              <w:rPr>
                <w:sz w:val="20"/>
                <w:szCs w:val="20"/>
                <w:color w:val="auto"/>
              </w:rPr>
            </w:pPr>
            <w:r>
              <w:rPr>
                <w:rFonts w:ascii="Arial" w:cs="Arial" w:eastAsia="Arial" w:hAnsi="Arial"/>
                <w:sz w:val="18"/>
                <w:szCs w:val="18"/>
                <w:color w:val="auto"/>
              </w:rPr>
              <w:t>21</w:t>
            </w:r>
          </w:p>
        </w:tc>
        <w:tc>
          <w:tcPr>
            <w:tcW w:w="2780" w:type="dxa"/>
            <w:vAlign w:val="bottom"/>
          </w:tcPr>
          <w:p>
            <w:pPr>
              <w:spacing w:after="0"/>
              <w:rPr>
                <w:sz w:val="24"/>
                <w:szCs w:val="24"/>
                <w:color w:val="auto"/>
              </w:rPr>
            </w:pPr>
          </w:p>
        </w:tc>
      </w:tr>
      <w:tr>
        <w:trPr>
          <w:trHeight w:val="226"/>
        </w:trPr>
        <w:tc>
          <w:tcPr>
            <w:tcW w:w="29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540" w:type="dxa"/>
            <w:vAlign w:val="bottom"/>
            <w:gridSpan w:val="3"/>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2"/>
          </w:tcPr>
          <w:p>
            <w:pPr>
              <w:ind w:left="2480"/>
              <w:spacing w:after="0"/>
              <w:rPr>
                <w:sz w:val="20"/>
                <w:szCs w:val="20"/>
                <w:color w:val="auto"/>
              </w:rPr>
            </w:pPr>
            <w:r>
              <w:rPr>
                <w:rFonts w:ascii="Arial" w:cs="Arial" w:eastAsia="Arial" w:hAnsi="Arial"/>
                <w:sz w:val="18"/>
                <w:szCs w:val="18"/>
                <w:b w:val="1"/>
                <w:bCs w:val="1"/>
                <w:color w:val="auto"/>
              </w:rPr>
              <w:t>EXHIBIT INDEX</w:t>
            </w:r>
          </w:p>
        </w:tc>
        <w:tc>
          <w:tcPr>
            <w:tcW w:w="392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3.1</w:t>
            </w:r>
          </w:p>
        </w:tc>
        <w:tc>
          <w:tcPr>
            <w:tcW w:w="1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w:t>
            </w:r>
          </w:p>
        </w:tc>
        <w:tc>
          <w:tcPr>
            <w:tcW w:w="28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Incorporation.</w:t>
            </w: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Specimen of Stock Certificate.</w:t>
            </w:r>
          </w:p>
        </w:tc>
        <w:tc>
          <w:tcPr>
            <w:tcW w:w="392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9"/>
              </w:rPr>
              <w:t>Amendment No. 2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3860" w:type="dxa"/>
            <w:vAlign w:val="bottom"/>
          </w:tcPr>
          <w:p>
            <w:pPr>
              <w:ind w:left="360"/>
              <w:spacing w:after="0"/>
              <w:rPr>
                <w:sz w:val="20"/>
                <w:szCs w:val="20"/>
                <w:color w:val="auto"/>
              </w:rPr>
            </w:pPr>
            <w:r>
              <w:rPr>
                <w:rFonts w:ascii="Arial" w:cs="Arial" w:eastAsia="Arial" w:hAnsi="Arial"/>
                <w:sz w:val="18"/>
                <w:szCs w:val="18"/>
                <w:color w:val="auto"/>
              </w:rPr>
              <w:t>Amended and Restated Investor Rights</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92"/>
              </w:rPr>
              <w:t>Agreement, dated September 17, 2008, by and</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95"/>
              </w:rPr>
              <w:t>among Grand Canyon Education, Inc. and the</w:t>
            </w:r>
          </w:p>
        </w:tc>
      </w:tr>
      <w:tr>
        <w:trPr>
          <w:trHeight w:val="230"/>
        </w:trPr>
        <w:tc>
          <w:tcPr>
            <w:tcW w:w="680" w:type="dxa"/>
            <w:vAlign w:val="bottom"/>
          </w:tcPr>
          <w:p>
            <w:pPr>
              <w:spacing w:after="0"/>
              <w:rPr>
                <w:sz w:val="20"/>
                <w:szCs w:val="20"/>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other parties named therein.</w:t>
            </w: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3860" w:type="dxa"/>
            <w:vAlign w:val="bottom"/>
          </w:tcPr>
          <w:p>
            <w:pPr>
              <w:ind w:left="360"/>
              <w:spacing w:after="0"/>
              <w:rPr>
                <w:sz w:val="20"/>
                <w:szCs w:val="20"/>
                <w:color w:val="auto"/>
              </w:rPr>
            </w:pPr>
            <w:r>
              <w:rPr>
                <w:rFonts w:ascii="Arial" w:cs="Arial" w:eastAsia="Arial" w:hAnsi="Arial"/>
                <w:sz w:val="18"/>
                <w:szCs w:val="18"/>
                <w:color w:val="auto"/>
                <w:w w:val="93"/>
              </w:rPr>
              <w:t>Employment Agreement, dated September 16,</w:t>
            </w:r>
          </w:p>
        </w:tc>
      </w:tr>
      <w:tr>
        <w:trPr>
          <w:trHeight w:val="216"/>
        </w:trPr>
        <w:tc>
          <w:tcPr>
            <w:tcW w:w="680" w:type="dxa"/>
            <w:vAlign w:val="bottom"/>
          </w:tcPr>
          <w:p>
            <w:pPr>
              <w:spacing w:after="0"/>
              <w:rPr>
                <w:sz w:val="18"/>
                <w:szCs w:val="18"/>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w w:val="89"/>
              </w:rPr>
              <w:t>2009, by and between Grand Canyon Education,</w:t>
            </w:r>
          </w:p>
        </w:tc>
      </w:tr>
      <w:tr>
        <w:trPr>
          <w:trHeight w:val="230"/>
        </w:trPr>
        <w:tc>
          <w:tcPr>
            <w:tcW w:w="680" w:type="dxa"/>
            <w:vAlign w:val="bottom"/>
          </w:tcPr>
          <w:p>
            <w:pPr>
              <w:spacing w:after="0"/>
              <w:rPr>
                <w:sz w:val="20"/>
                <w:szCs w:val="20"/>
                <w:color w:val="auto"/>
              </w:rPr>
            </w:pPr>
          </w:p>
        </w:tc>
        <w:tc>
          <w:tcPr>
            <w:tcW w:w="3860" w:type="dxa"/>
            <w:vAlign w:val="bottom"/>
          </w:tcPr>
          <w:p>
            <w:pPr>
              <w:ind w:left="360"/>
              <w:spacing w:after="0"/>
              <w:rPr>
                <w:sz w:val="20"/>
                <w:szCs w:val="20"/>
                <w:color w:val="auto"/>
              </w:rPr>
            </w:pPr>
            <w:r>
              <w:rPr>
                <w:rFonts w:ascii="Arial" w:cs="Arial" w:eastAsia="Arial" w:hAnsi="Arial"/>
                <w:sz w:val="18"/>
                <w:szCs w:val="18"/>
                <w:color w:val="auto"/>
              </w:rPr>
              <w:t>Inc. and Joseph N. Mildenhall.</w:t>
            </w:r>
          </w:p>
        </w:tc>
      </w:tr>
    </w:tbl>
    <w:p>
      <w:pPr>
        <w:spacing w:after="0" w:line="20" w:lineRule="exact"/>
        <w:rPr>
          <w:sz w:val="20"/>
          <w:szCs w:val="20"/>
          <w:color w:val="auto"/>
        </w:rPr>
      </w:pPr>
      <w:r>
        <w:rPr>
          <w:sz w:val="20"/>
          <w:szCs w:val="20"/>
          <w:color w:val="auto"/>
        </w:rPr>
        <w:br w:type="column"/>
      </w:r>
    </w:p>
    <w:p>
      <w:pPr>
        <w:ind w:right="89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320" w:space="420"/>
            <w:col w:w="4479"/>
          </w:cols>
          <w:pgMar w:left="240" w:top="405" w:right="1440" w:bottom="1440" w:gutter="0" w:footer="0" w:header="0"/>
          <w:type w:val="continuous"/>
        </w:sectPr>
      </w:pPr>
    </w:p>
    <w:p>
      <w:pPr>
        <w:spacing w:after="0" w:line="2"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4140" w:type="dxa"/>
            <w:vAlign w:val="bottom"/>
          </w:tcPr>
          <w:p>
            <w:pPr>
              <w:ind w:left="360"/>
              <w:spacing w:after="0"/>
              <w:rPr>
                <w:sz w:val="20"/>
                <w:szCs w:val="20"/>
                <w:color w:val="auto"/>
              </w:rPr>
            </w:pPr>
            <w:r>
              <w:rPr>
                <w:rFonts w:ascii="Arial" w:cs="Arial" w:eastAsia="Arial" w:hAnsi="Arial"/>
                <w:sz w:val="18"/>
                <w:szCs w:val="18"/>
                <w:color w:val="auto"/>
                <w:w w:val="99"/>
              </w:rPr>
              <w:t>Certification of Chief Executive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Section 302 of the Sarbanes-Oxley Act of 2002.</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41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Section 302 of the Sarbanes-Oxley Act of 2002.</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4140" w:type="dxa"/>
            <w:vAlign w:val="bottom"/>
          </w:tcPr>
          <w:p>
            <w:pPr>
              <w:ind w:left="360"/>
              <w:spacing w:after="0"/>
              <w:rPr>
                <w:sz w:val="20"/>
                <w:szCs w:val="20"/>
                <w:color w:val="auto"/>
              </w:rPr>
            </w:pPr>
            <w:r>
              <w:rPr>
                <w:rFonts w:ascii="Arial" w:cs="Arial" w:eastAsia="Arial" w:hAnsi="Arial"/>
                <w:sz w:val="18"/>
                <w:szCs w:val="18"/>
                <w:color w:val="auto"/>
                <w:w w:val="99"/>
              </w:rPr>
              <w:t>Certification of Chief Executive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18 U.S.C. Section 1350, as adopted pursuant to</w:t>
            </w:r>
          </w:p>
        </w:tc>
        <w:tc>
          <w:tcPr>
            <w:tcW w:w="12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5"/>
              </w:rPr>
              <w:t>Section 906 of the Sarbanes-Oxley Act of 2002. †</w:t>
            </w:r>
          </w:p>
        </w:tc>
        <w:tc>
          <w:tcPr>
            <w:tcW w:w="1220" w:type="dxa"/>
            <w:vAlign w:val="bottom"/>
          </w:tcPr>
          <w:p>
            <w:pPr>
              <w:spacing w:after="0"/>
              <w:rPr>
                <w:sz w:val="20"/>
                <w:szCs w:val="20"/>
                <w:color w:val="auto"/>
              </w:rPr>
            </w:pPr>
          </w:p>
        </w:tc>
      </w:tr>
      <w:tr>
        <w:trPr>
          <w:trHeight w:val="418"/>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41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68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3"/>
              </w:rPr>
              <w:t>to 18 U.S.C. Section 1350, as adopted pursuant to</w:t>
            </w:r>
          </w:p>
        </w:tc>
        <w:tc>
          <w:tcPr>
            <w:tcW w:w="12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140" w:type="dxa"/>
            <w:vAlign w:val="bottom"/>
          </w:tcPr>
          <w:p>
            <w:pPr>
              <w:ind w:left="360"/>
              <w:spacing w:after="0"/>
              <w:rPr>
                <w:sz w:val="20"/>
                <w:szCs w:val="20"/>
                <w:color w:val="auto"/>
              </w:rPr>
            </w:pPr>
            <w:r>
              <w:rPr>
                <w:rFonts w:ascii="Arial" w:cs="Arial" w:eastAsia="Arial" w:hAnsi="Arial"/>
                <w:sz w:val="18"/>
                <w:szCs w:val="18"/>
                <w:color w:val="auto"/>
                <w:w w:val="95"/>
              </w:rPr>
              <w:t>Section 906 of the Sarbanes-Oxley Act of 2002. †</w:t>
            </w:r>
          </w:p>
        </w:tc>
        <w:tc>
          <w:tcPr>
            <w:tcW w:w="1220" w:type="dxa"/>
            <w:vAlign w:val="bottom"/>
          </w:tcPr>
          <w:p>
            <w:pPr>
              <w:spacing w:after="0"/>
              <w:rPr>
                <w:sz w:val="20"/>
                <w:szCs w:val="20"/>
                <w:color w:val="auto"/>
              </w:rPr>
            </w:pPr>
          </w:p>
        </w:tc>
      </w:tr>
    </w:tbl>
    <w:p>
      <w:pPr>
        <w:spacing w:after="0" w:line="107" w:lineRule="exact"/>
        <w:rPr>
          <w:sz w:val="20"/>
          <w:szCs w:val="20"/>
          <w:color w:val="auto"/>
        </w:rPr>
      </w:pPr>
    </w:p>
    <w:p>
      <w:pPr>
        <w:ind w:left="680" w:right="839" w:hanging="348"/>
        <w:spacing w:after="0" w:line="312"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05" w:right="1440" w:bottom="1440" w:gutter="0" w:footer="0" w:header="0"/>
          <w:type w:val="continuous"/>
        </w:sectPr>
      </w:pPr>
    </w:p>
    <w:bookmarkStart w:id="36" w:name="page37"/>
    <w:bookmarkEnd w:id="36"/>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70"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EXECUTIVE EMPLOYMENT AGREEMENT</w:t>
      </w:r>
    </w:p>
    <w:p>
      <w:pPr>
        <w:spacing w:after="0" w:line="1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(Chief Information Officer)</w:t>
      </w:r>
    </w:p>
    <w:p>
      <w:pPr>
        <w:spacing w:after="0" w:line="185" w:lineRule="exact"/>
        <w:rPr>
          <w:sz w:val="20"/>
          <w:szCs w:val="20"/>
          <w:color w:val="auto"/>
        </w:rPr>
      </w:pPr>
    </w:p>
    <w:p>
      <w:pPr>
        <w:ind w:left="8" w:right="639"/>
        <w:spacing w:after="0" w:line="275" w:lineRule="auto"/>
        <w:rPr>
          <w:sz w:val="20"/>
          <w:szCs w:val="20"/>
          <w:color w:val="auto"/>
        </w:rPr>
      </w:pPr>
      <w:r>
        <w:rPr>
          <w:rFonts w:ascii="Arial" w:cs="Arial" w:eastAsia="Arial" w:hAnsi="Arial"/>
          <w:sz w:val="17"/>
          <w:szCs w:val="17"/>
          <w:color w:val="auto"/>
        </w:rPr>
        <w:t>This Executive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on September 16th, 2009, by and between Grand Canyon Education,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Joseph N. Mildenhall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33" w:lineRule="exact"/>
        <w:rPr>
          <w:sz w:val="20"/>
          <w:szCs w:val="20"/>
          <w:color w:val="auto"/>
        </w:rPr>
      </w:pPr>
    </w:p>
    <w:p>
      <w:pPr>
        <w:ind w:left="368"/>
        <w:spacing w:after="0"/>
        <w:rPr>
          <w:sz w:val="20"/>
          <w:szCs w:val="20"/>
          <w:color w:val="auto"/>
        </w:rPr>
      </w:pPr>
      <w:r>
        <w:rPr>
          <w:rFonts w:ascii="Arial" w:cs="Arial" w:eastAsia="Arial" w:hAnsi="Arial"/>
          <w:sz w:val="18"/>
          <w:szCs w:val="18"/>
          <w:color w:val="auto"/>
        </w:rPr>
        <w:t>The parties agree as follows:</w:t>
      </w:r>
    </w:p>
    <w:p>
      <w:pPr>
        <w:spacing w:after="0" w:line="171" w:lineRule="exact"/>
        <w:rPr>
          <w:sz w:val="20"/>
          <w:szCs w:val="20"/>
          <w:color w:val="auto"/>
        </w:rPr>
      </w:pPr>
    </w:p>
    <w:p>
      <w:pPr>
        <w:ind w:left="8" w:right="919" w:firstLine="365"/>
        <w:spacing w:after="0" w:line="246" w:lineRule="auto"/>
        <w:tabs>
          <w:tab w:leader="none" w:pos="5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employs Executive, and Executive hereby accepts such employment, upon the terms and conditions set forth herein.</w:t>
      </w:r>
    </w:p>
    <w:p>
      <w:pPr>
        <w:spacing w:after="0" w:line="169" w:lineRule="exact"/>
        <w:rPr>
          <w:rFonts w:ascii="Arial" w:cs="Arial" w:eastAsia="Arial" w:hAnsi="Arial"/>
          <w:sz w:val="18"/>
          <w:szCs w:val="18"/>
          <w:color w:val="auto"/>
        </w:rPr>
      </w:pPr>
    </w:p>
    <w:p>
      <w:pPr>
        <w:ind w:left="568" w:hanging="195"/>
        <w:spacing w:after="0"/>
        <w:tabs>
          <w:tab w:leader="none" w:pos="5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71" w:lineRule="exact"/>
        <w:rPr>
          <w:sz w:val="20"/>
          <w:szCs w:val="20"/>
          <w:color w:val="auto"/>
        </w:rPr>
      </w:pPr>
    </w:p>
    <w:p>
      <w:pPr>
        <w:ind w:left="8" w:right="599" w:firstLine="747"/>
        <w:spacing w:after="0" w:line="25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Position</w:t>
      </w:r>
      <w:r>
        <w:rPr>
          <w:rFonts w:ascii="Arial" w:cs="Arial" w:eastAsia="Arial" w:hAnsi="Arial"/>
          <w:sz w:val="17"/>
          <w:szCs w:val="17"/>
          <w:color w:val="auto"/>
        </w:rPr>
        <w:t>. Executive is employed as Chief Information Officer and shall have the duties and responsibilities assigned by the Company’s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both upon initial hire and as may be reasonably assigned from time to time. Executive shall perform faithfully and diligently all duties assigned to Executive. The Company reserves the right to modify Executive’s position and duties at any time in its sole and absolute discretion, except that any material diminution in Executive’s duties shall be subject to Section 6.3(b) below.</w:t>
      </w:r>
    </w:p>
    <w:p>
      <w:pPr>
        <w:spacing w:after="0" w:line="150" w:lineRule="exact"/>
        <w:rPr>
          <w:sz w:val="20"/>
          <w:szCs w:val="20"/>
          <w:color w:val="auto"/>
        </w:rPr>
      </w:pPr>
    </w:p>
    <w:p>
      <w:pPr>
        <w:ind w:left="8" w:right="619" w:firstLine="747"/>
        <w:spacing w:after="0" w:line="23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Best Efforts/Full-time</w:t>
      </w:r>
      <w:r>
        <w:rPr>
          <w:rFonts w:ascii="Arial" w:cs="Arial" w:eastAsia="Arial" w:hAnsi="Arial"/>
          <w:sz w:val="18"/>
          <w:szCs w:val="18"/>
          <w:color w:val="auto"/>
        </w:rPr>
        <w:t>. Executive will expend Executive’s best efforts on behalf of the Company, and will abide by all policies and decisions made by the Company, as well as all applicable federal, state and local laws, regulations or ordinances. Executive will act in the best interest of the Company at all times. Executive shall devote Executive’s full business time and efforts to the performance of Executive’s assigned duties for the Company, unless Executive notifies the CEO in advance of Executive’s intent to engage in other paid work and receives the CEO’s express written consent to do so. Notwithstanding the foregoing, Executive will be permitted to serve as an outside director on the board of directors for corporate, civic, nonprofit or charitable entities, so long as Executive obtains the consent of the Company and provided such entities are not competitive with the Company and subject to the provisions of section 9 below.</w:t>
      </w:r>
    </w:p>
    <w:p>
      <w:pPr>
        <w:spacing w:after="0" w:line="180" w:lineRule="exact"/>
        <w:rPr>
          <w:sz w:val="20"/>
          <w:szCs w:val="20"/>
          <w:color w:val="auto"/>
        </w:rPr>
      </w:pPr>
    </w:p>
    <w:p>
      <w:pPr>
        <w:ind w:left="8" w:right="819" w:firstLine="747"/>
        <w:spacing w:after="0" w:line="24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Work Location</w:t>
      </w:r>
      <w:r>
        <w:rPr>
          <w:rFonts w:ascii="Arial" w:cs="Arial" w:eastAsia="Arial" w:hAnsi="Arial"/>
          <w:sz w:val="18"/>
          <w:szCs w:val="18"/>
          <w:color w:val="auto"/>
        </w:rPr>
        <w:t>. Executive’s principal place of work shall be located in Phoenix, Arizona, or such other location as the Company may direct from time to time.</w:t>
      </w:r>
    </w:p>
    <w:p>
      <w:pPr>
        <w:spacing w:after="0" w:line="156" w:lineRule="exact"/>
        <w:rPr>
          <w:sz w:val="20"/>
          <w:szCs w:val="20"/>
          <w:color w:val="auto"/>
        </w:rPr>
      </w:pPr>
    </w:p>
    <w:p>
      <w:pPr>
        <w:ind w:left="568" w:hanging="195"/>
        <w:spacing w:after="0"/>
        <w:tabs>
          <w:tab w:leader="none" w:pos="56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1" w:lineRule="exact"/>
        <w:rPr>
          <w:sz w:val="20"/>
          <w:szCs w:val="20"/>
          <w:color w:val="auto"/>
        </w:rPr>
      </w:pPr>
    </w:p>
    <w:p>
      <w:pPr>
        <w:ind w:left="8" w:right="879" w:firstLine="747"/>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Term</w:t>
      </w:r>
      <w:r>
        <w:rPr>
          <w:rFonts w:ascii="Arial" w:cs="Arial" w:eastAsia="Arial" w:hAnsi="Arial"/>
          <w:sz w:val="18"/>
          <w:szCs w:val="18"/>
          <w:color w:val="auto"/>
        </w:rPr>
        <w:t>. The employment relationship pursuant to this Agreement shall be for an initial term commencing on September 16,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continuing for a period of three (3) years following such date (“</w:t>
      </w:r>
      <w:r>
        <w:rPr>
          <w:rFonts w:ascii="Arial" w:cs="Arial" w:eastAsia="Arial" w:hAnsi="Arial"/>
          <w:sz w:val="18"/>
          <w:szCs w:val="18"/>
          <w:u w:val="single" w:color="auto"/>
          <w:color w:val="auto"/>
        </w:rPr>
        <w:t>Initial Term</w:t>
      </w:r>
      <w:r>
        <w:rPr>
          <w:rFonts w:ascii="Arial" w:cs="Arial" w:eastAsia="Arial" w:hAnsi="Arial"/>
          <w:sz w:val="18"/>
          <w:szCs w:val="18"/>
          <w:color w:val="auto"/>
        </w:rPr>
        <w:t>”), unless sooner terminated in accordance with Section 6 below.</w:t>
      </w:r>
    </w:p>
    <w:p>
      <w:pPr>
        <w:spacing w:after="0" w:line="171" w:lineRule="exact"/>
        <w:rPr>
          <w:sz w:val="20"/>
          <w:szCs w:val="20"/>
          <w:color w:val="auto"/>
        </w:rPr>
      </w:pPr>
    </w:p>
    <w:p>
      <w:pPr>
        <w:jc w:val="center"/>
        <w:ind w:right="751"/>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Renewal</w:t>
      </w:r>
      <w:r>
        <w:rPr>
          <w:rFonts w:ascii="Arial" w:cs="Arial" w:eastAsia="Arial" w:hAnsi="Arial"/>
          <w:sz w:val="18"/>
          <w:szCs w:val="18"/>
          <w:color w:val="auto"/>
        </w:rPr>
        <w:t>. On expiration of the Initial Term specified in Section 3.1 above, this Agreement will</w:t>
      </w:r>
    </w:p>
    <w:p>
      <w:pPr>
        <w:jc w:val="center"/>
        <w:ind w:right="811"/>
        <w:spacing w:after="0"/>
        <w:rPr>
          <w:sz w:val="20"/>
          <w:szCs w:val="20"/>
          <w:color w:val="auto"/>
        </w:rPr>
      </w:pPr>
      <w:r>
        <w:rPr>
          <w:rFonts w:ascii="Arial" w:cs="Arial" w:eastAsia="Arial" w:hAnsi="Arial"/>
          <w:sz w:val="17"/>
          <w:szCs w:val="17"/>
          <w:color w:val="auto"/>
        </w:rPr>
        <w:t>automatically renew for subsequent one (1) year terms (each a “</w:t>
      </w:r>
      <w:r>
        <w:rPr>
          <w:rFonts w:ascii="Arial" w:cs="Arial" w:eastAsia="Arial" w:hAnsi="Arial"/>
          <w:sz w:val="17"/>
          <w:szCs w:val="17"/>
          <w:u w:val="single" w:color="auto"/>
          <w:color w:val="auto"/>
        </w:rPr>
        <w:t>Renewal Term</w:t>
      </w:r>
      <w:r>
        <w:rPr>
          <w:rFonts w:ascii="Arial" w:cs="Arial" w:eastAsia="Arial" w:hAnsi="Arial"/>
          <w:sz w:val="17"/>
          <w:szCs w:val="17"/>
          <w:color w:val="auto"/>
        </w:rPr>
        <w:t>”) unless either party provides thirty</w:t>
      </w:r>
    </w:p>
    <w:p>
      <w:pPr>
        <w:spacing w:after="0" w:line="7" w:lineRule="exact"/>
        <w:rPr>
          <w:sz w:val="20"/>
          <w:szCs w:val="20"/>
          <w:color w:val="auto"/>
        </w:rPr>
      </w:pPr>
    </w:p>
    <w:p>
      <w:pPr>
        <w:ind w:left="8" w:right="559" w:hanging="8"/>
        <w:spacing w:after="0" w:line="239" w:lineRule="auto"/>
        <w:tabs>
          <w:tab w:leader="none" w:pos="3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days’ advance written notice to the other that the Company or Executive does not wish to renew the Agreement for a subsequent Renewal Term. In the event either party gives notice of nonrenewal pursuant to this Section 3.2, this Agreement will expire at the end of the then current term. The Initial Term and each subsequent Renewal Term are referred to collectively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0" w:lineRule="exact"/>
        <w:rPr>
          <w:sz w:val="20"/>
          <w:szCs w:val="20"/>
          <w:color w:val="auto"/>
        </w:rPr>
      </w:pPr>
    </w:p>
    <w:p>
      <w:pPr>
        <w:spacing w:after="0" w:line="340"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8" w:right="1440" w:bottom="1440" w:gutter="0" w:footer="0" w:header="0"/>
        </w:sectPr>
      </w:pPr>
    </w:p>
    <w:bookmarkStart w:id="37" w:name="page38"/>
    <w:bookmarkEnd w:id="37"/>
    <w:p>
      <w:pPr>
        <w:ind w:left="560" w:hanging="195"/>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5" w:lineRule="exact"/>
        <w:rPr>
          <w:sz w:val="20"/>
          <w:szCs w:val="20"/>
          <w:color w:val="auto"/>
        </w:rPr>
      </w:pPr>
    </w:p>
    <w:p>
      <w:pPr>
        <w:ind w:right="639" w:firstLine="747"/>
        <w:spacing w:after="0" w:line="23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Executive’s performance of Executive’s duties hereunder, the Company shall pay to Executive an initial Base Salary at the rate of Three Hundred Thousand Dollars ($300,000.00) per year payable in accordance with the normal payroll practices of the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 except as otherwise set forth herein. Executive’s Base Salary shall be reviewed annually by the Compensation Committee of the Company’s Board of Directors (the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68" w:lineRule="exact"/>
        <w:rPr>
          <w:sz w:val="20"/>
          <w:szCs w:val="20"/>
          <w:color w:val="auto"/>
        </w:rPr>
      </w:pPr>
    </w:p>
    <w:p>
      <w:pPr>
        <w:ind w:right="559" w:firstLine="747"/>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For the fiscal year of the Company ending December 31, 2009, and provided Executive remains employed with the Company as of such date, Executive will be eligible to receive a pro-rata share of his target bonus as is explained below. Thereafter, Executive will be eligible to earn incentive compensation in the form of an annual bonus for each fiscal year of the Company with a target amount of fifty percent (50%) of Executive’s Base Salary. The Compensation Committee will determine the actual amount of the bonus earned for any year, which will be based upon both the Company’s achievement of overall performance metrics for the year and Executive’s achievement of individual performance metrics as agreed upon by the Compensation Committee and the Executive. The Compensation Committee may, in its sole discretion, increase the Executive’s annual bonus above fifty percent (50%) of Base Salary if it determines that the performance of both the Executive and the Company significantly exceed the predetermined metrics. Bonus amounts, if any, are to be awarded annually and payment shall be made within two and one-half months following the end of the applicable Company fiscal year.</w:t>
      </w:r>
    </w:p>
    <w:p>
      <w:pPr>
        <w:spacing w:after="0" w:line="165" w:lineRule="exact"/>
        <w:rPr>
          <w:sz w:val="20"/>
          <w:szCs w:val="20"/>
          <w:color w:val="auto"/>
        </w:rPr>
      </w:pPr>
    </w:p>
    <w:p>
      <w:pPr>
        <w:ind w:right="559" w:firstLine="747"/>
        <w:spacing w:after="0" w:line="23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Upon approval by the Compensation Committee, Executive will be granted, upon Executive’s commencement of employment hereunder, a nonstatutory stock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75,000 shares of the Company’s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under the Company’s 2008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at an exercise price per share equal to the fair market value of such Common Stock on the date of grant, as provided in the Plan. Subject to Executive’s continued employment, the Option will vest and become exercisable in five equal annual installments (each, an “</w:t>
      </w:r>
      <w:r>
        <w:rPr>
          <w:rFonts w:ascii="Arial" w:cs="Arial" w:eastAsia="Arial" w:hAnsi="Arial"/>
          <w:sz w:val="18"/>
          <w:szCs w:val="18"/>
          <w:u w:val="single" w:color="auto"/>
          <w:color w:val="auto"/>
        </w:rPr>
        <w:t>Annual Installment</w:t>
      </w:r>
      <w:r>
        <w:rPr>
          <w:rFonts w:ascii="Arial" w:cs="Arial" w:eastAsia="Arial" w:hAnsi="Arial"/>
          <w:sz w:val="18"/>
          <w:szCs w:val="18"/>
          <w:color w:val="auto"/>
        </w:rPr>
        <w:t>”) over a five (5) year period beginning on the grant date. The Option will be subject to the terms and conditions of the Plan and a form of stock option agreement specified by the Compensation Committee, which Executive will be required to sign as a condition of retaining the Option. Executive may be eligible for future grants at the sole discretion of the Compensation Committee.</w:t>
      </w:r>
    </w:p>
    <w:p>
      <w:pPr>
        <w:spacing w:after="0" w:line="180" w:lineRule="exact"/>
        <w:rPr>
          <w:sz w:val="20"/>
          <w:szCs w:val="20"/>
          <w:color w:val="auto"/>
        </w:rPr>
      </w:pPr>
    </w:p>
    <w:p>
      <w:pPr>
        <w:ind w:right="919" w:firstLine="747"/>
        <w:spacing w:after="0" w:line="23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Executive will be eligible for all customary and usual fringe benefits generally available to senior management of the Company, subject to the terms and conditions of the Company’s benefit plan documents. The Company reserves the right to change or eliminate fringe benefits on a prospective basis, at any time, effective upon notice to Executive.</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38" w:name="page39"/>
    <w:bookmarkEnd w:id="38"/>
    <w:p>
      <w:pPr>
        <w:ind w:left="8" w:right="559" w:firstLine="365"/>
        <w:spacing w:after="0" w:line="237" w:lineRule="auto"/>
        <w:tabs>
          <w:tab w:leader="none" w:pos="58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Executive will be reimbursed for all reasonable, out-of-pocket business expenses incurred in the performance of Executive’s duties on behalf of the Company. To obtain reimbursement, expenses must be submitted promptly with appropriate supporting documentation and will be reimbursed in accordance with the Company’s policies. Any reimbursement Executive is entitled to receive shall (a) be paid no later than the last day of Executive’s tax year following the tax year in which the expense was incurred, (b) not be affected by any other expenses that are eligible for reimbursement in any tax year, and (c) not be subject to liquidation or exchange for another benefit.</w:t>
      </w:r>
    </w:p>
    <w:p>
      <w:pPr>
        <w:spacing w:after="0" w:line="176" w:lineRule="exact"/>
        <w:rPr>
          <w:rFonts w:ascii="Arial" w:cs="Arial" w:eastAsia="Arial" w:hAnsi="Arial"/>
          <w:sz w:val="18"/>
          <w:szCs w:val="18"/>
          <w:color w:val="auto"/>
        </w:rPr>
      </w:pPr>
    </w:p>
    <w:p>
      <w:pPr>
        <w:ind w:left="568" w:hanging="195"/>
        <w:spacing w:after="0"/>
        <w:tabs>
          <w:tab w:leader="none" w:pos="5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171" w:lineRule="exact"/>
        <w:rPr>
          <w:sz w:val="20"/>
          <w:szCs w:val="20"/>
          <w:color w:val="auto"/>
        </w:rPr>
      </w:pPr>
    </w:p>
    <w:p>
      <w:pPr>
        <w:ind w:left="8" w:right="559" w:firstLine="747"/>
        <w:spacing w:after="0" w:line="24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Termination for Cause by Company</w:t>
      </w:r>
      <w:r>
        <w:rPr>
          <w:rFonts w:ascii="Arial" w:cs="Arial" w:eastAsia="Arial" w:hAnsi="Arial"/>
          <w:sz w:val="17"/>
          <w:szCs w:val="17"/>
          <w:color w:val="auto"/>
        </w:rPr>
        <w:t>. Although the Company anticipates a mutually rewarding employment relationship with Executive, the Company may terminate Executive’s employment immediately at any time for Cause.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is defined as: (a) acts or omissions constituting gross negligence, recklessness or willful misconduct on the part of Executive with respect to Executive’s obligations or otherwise relating to the business of the Company; (b) Executive’s material breach of this Agreement, including, without limitation, any breach of Section 8, Section 9, or Section 10; (c) Executive’s breach of the Company’s Employee Nondisclosure and Assignment Agreement; (d) Executive’s conviction or entry of a plea of nolo contendere for fraud, misappropriation or embezzlement, or any felony or crime of moral turpitude; (e) Executive’s inability to perform the essential functions of Executive’s position, with or without reasonable accommodation, due to a mental or physical disability; (f) Executive’s willful neglect of duties as determined in the sole and exclusive discretion of the Board of Directors, provided that Executive has received written notice of the action or omission giving rise to such determination and has failed to remedy such situation to the satisfaction of the Board of Directors within thirty</w:t>
      </w:r>
    </w:p>
    <w:p>
      <w:pPr>
        <w:spacing w:after="0" w:line="7" w:lineRule="exact"/>
        <w:rPr>
          <w:sz w:val="20"/>
          <w:szCs w:val="20"/>
          <w:color w:val="auto"/>
        </w:rPr>
      </w:pPr>
    </w:p>
    <w:p>
      <w:pPr>
        <w:ind w:left="8" w:right="599" w:hanging="8"/>
        <w:spacing w:after="0" w:line="237" w:lineRule="auto"/>
        <w:tabs>
          <w:tab w:leader="none" w:pos="3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days following receipt of such written notice, unless Executive’s action or omission is not subject to cure, in which case no such notice shall be required, or (g) Executive’s death. In the event Executive’s employment is terminated in accordance with this Section 6.1, Executive shall be entitled to receive only Executive’s Base Salary then in effect, prorated to the date of termination, and all fringe benefits through the date of termination. All other Company obligations to Executive pursuant to this Agreement will be automatically terminated and completely extinguished. Executive will not be entitled to receive the Severance Package described in Section 6.2 below, but will be subject to the surviving provisions of this Agreement set forth in Section 13.8 below.</w:t>
      </w:r>
    </w:p>
    <w:p>
      <w:pPr>
        <w:spacing w:after="0" w:line="163" w:lineRule="exact"/>
        <w:rPr>
          <w:sz w:val="20"/>
          <w:szCs w:val="20"/>
          <w:color w:val="auto"/>
        </w:rPr>
      </w:pPr>
    </w:p>
    <w:p>
      <w:pPr>
        <w:ind w:left="8" w:right="619" w:firstLine="747"/>
        <w:spacing w:after="0" w:line="25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Without Cause by Company/Severance</w:t>
      </w:r>
      <w:r>
        <w:rPr>
          <w:rFonts w:ascii="Arial" w:cs="Arial" w:eastAsia="Arial" w:hAnsi="Arial"/>
          <w:sz w:val="17"/>
          <w:szCs w:val="17"/>
          <w:color w:val="auto"/>
        </w:rPr>
        <w:t>. The Company may terminate Executive’s employment under this Agreement without Cause at any time upon written notice to Executive. In the event of such termination, Executive will receive Executive’s Base Salary then in effect, prorated to the date of termination of employment. In addition, Executive will receive a “</w:t>
      </w:r>
      <w:r>
        <w:rPr>
          <w:rFonts w:ascii="Arial" w:cs="Arial" w:eastAsia="Arial" w:hAnsi="Arial"/>
          <w:sz w:val="17"/>
          <w:szCs w:val="17"/>
          <w:u w:val="single" w:color="auto"/>
          <w:color w:val="auto"/>
        </w:rPr>
        <w:t>Severance Package</w:t>
      </w:r>
      <w:r>
        <w:rPr>
          <w:rFonts w:ascii="Arial" w:cs="Arial" w:eastAsia="Arial" w:hAnsi="Arial"/>
          <w:sz w:val="17"/>
          <w:szCs w:val="17"/>
          <w:color w:val="auto"/>
        </w:rPr>
        <w:t>” that shall include (a) a severance payment equivalent to twelve (12) months of Executive’s Base Salary then in effect on the date of termination, payable in accordance with the Company’s regular payroll cycle commencing with the first payroll date occurring on or after the 60th day following the date of Executive’s termination of employment, (b) payment by the Company of the premiums required to continue Executive’s group health care coverage for a period of twelve (12) months following Executive’s termination, under the applicable provisions of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provided that Executive timely elects to continue and remains eligible for these benefits under COBRA, and does not become eligible for health coverage through another employer during this period, and (c) acceleration of the vesting of the Annual Installment under the Option that would otherwise have vested on the next vesting date following the termination of Executive’s employment. Executive will only receive the Severance Package if Executive: (i) complies with all surviving provisions of this Agreement as specified in Section 13.8 below; and (ii) executes a full general release, releasing all claims, known or unknown, that Executive may have against the Company arising out of or any way related to Executive’s employment or termination of employment with the Company, and such release has become effective in accordance with its terms prior to the 60th day following the termination date. All other Company obligations to Executive will be automatically terminated and completely extinguished.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49" w:right="1440" w:bottom="1440" w:gutter="0" w:footer="0" w:header="0"/>
        </w:sectPr>
      </w:pPr>
    </w:p>
    <w:bookmarkStart w:id="39" w:name="page40"/>
    <w:bookmarkEnd w:id="39"/>
    <w:p>
      <w:pPr>
        <w:ind w:right="559" w:firstLine="747"/>
        <w:spacing w:after="0" w:line="23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Voluntary Resignation by Executive for Good Reason/Severance</w:t>
      </w:r>
      <w:r>
        <w:rPr>
          <w:rFonts w:ascii="Arial" w:cs="Arial" w:eastAsia="Arial" w:hAnsi="Arial"/>
          <w:sz w:val="18"/>
          <w:szCs w:val="18"/>
          <w:color w:val="auto"/>
        </w:rPr>
        <w:t>. Executive may voluntarily resign Executive’s position with the Company for Good Reason at any time on thirty (30) days’ advance written notice to the Company. In the event of Executive’s resignation for Good Reason, Executive will be entitled to receive Executive’s Base Salary then in effect, prorated to the date of termination of employment, and the Severance Package described in Section 6.2 above, provided Executive complies with all of the conditions described in Section 6.2 above. All other Company obligations to Executive pursuant to this Agreement will be automatically terminated and completely extinguished. Executive will be deemed to have resigned for Good Reason if Executive voluntarily terminates his employment with the Company within ninety (90) days following the first occurrence of a condition constituting Good Reason. “</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of any of the following conditions without Executive’s written consent, which condition(s) remain(s) in effect thirty (30) days after Executive provides written notice to the Company of such condition(s): (a) a material reduction in Executive’s Base Salary as then in effect prior to such reduction, other than as part of a salary reduction program among similar management employees, (b) a material diminution in Executive’s authority, duties or responsibilities as an employee of the Company as they existed prior to such change, or (c) a relocation of Executive’s principal place of work which increases Executive’s one-way commute distance by more than fifty (50) miles. Executive will be deemed to have given consent to any condition(s) described in this Section if Executive does not provide written notice to the Company of his intent to exercise his rights pursuant to this Section within thirty (30) days following the first occurrence of such condition(s).</w:t>
      </w:r>
    </w:p>
    <w:p>
      <w:pPr>
        <w:spacing w:after="0" w:line="187" w:lineRule="exact"/>
        <w:rPr>
          <w:sz w:val="20"/>
          <w:szCs w:val="20"/>
          <w:color w:val="auto"/>
        </w:rPr>
      </w:pPr>
    </w:p>
    <w:p>
      <w:pPr>
        <w:ind w:right="559" w:firstLine="747"/>
        <w:spacing w:after="0" w:line="25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Voluntary Resignation by Executive Without Good Reason</w:t>
      </w:r>
      <w:r>
        <w:rPr>
          <w:rFonts w:ascii="Arial" w:cs="Arial" w:eastAsia="Arial" w:hAnsi="Arial"/>
          <w:sz w:val="17"/>
          <w:szCs w:val="17"/>
          <w:color w:val="auto"/>
        </w:rPr>
        <w:t>. Executive may voluntarily resign Executive’s position with the Company without Good Reason at any time on thirty (30) days’ advance written notice to the Company. In the event of Executive’s resignation without Good Reason, Executive will be entitled to receive only Executive’s Base Salary, prorated to the date of termination of employment, and all fringe benefits through the date of termination. All other Company obligations to Executive pursuant to this Agreement will be automatically terminated and completely extinguished. In addition, Executive will not be entitled to receive the Severance Package described in Section 6.2 above, but will be subject to the surviving provisions of this Agreement set forth in Section 13.8 below.</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After a Change in Control</w:t>
      </w:r>
      <w:r>
        <w:rPr>
          <w:rFonts w:ascii="Arial" w:cs="Arial" w:eastAsia="Arial" w:hAnsi="Arial"/>
          <w:sz w:val="18"/>
          <w:szCs w:val="18"/>
          <w:color w:val="auto"/>
        </w:rPr>
        <w:t>.</w:t>
      </w:r>
    </w:p>
    <w:p>
      <w:pPr>
        <w:spacing w:after="0" w:line="171" w:lineRule="exact"/>
        <w:rPr>
          <w:sz w:val="20"/>
          <w:szCs w:val="20"/>
          <w:color w:val="auto"/>
        </w:rPr>
      </w:pPr>
    </w:p>
    <w:p>
      <w:pPr>
        <w:ind w:right="559" w:firstLine="1112"/>
        <w:spacing w:after="0" w:line="236" w:lineRule="auto"/>
        <w:tabs>
          <w:tab w:leader="none" w:pos="139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Severance Payment; Option Vesting Acceleration</w:t>
      </w:r>
      <w:r>
        <w:rPr>
          <w:rFonts w:ascii="Arial" w:cs="Arial" w:eastAsia="Arial" w:hAnsi="Arial"/>
          <w:sz w:val="18"/>
          <w:szCs w:val="18"/>
          <w:color w:val="auto"/>
        </w:rPr>
        <w:t>. If, upon or within twelve (12) months after a Change in Control (as that term is defined below), Executive’s employment is terminated by the Company other than for Cause (as defined in Section 6.1 above) or Executive resigns for Good Reason (as defined in Section 6.3 above), then (i) Executive shall be entitled to receive (A) Executive’s Base Salary, prorated to the date of termination of employment, and (B) the Severance Package described in Section 6.2 above, provided Executive complies with all of the conditions described in Section 6.2 above, and (ii) to the extent not yet vested, the Option and any other stock options granted to Executive by the Company shall vest in full as of the date of such termination of employment, provided Executive complies with the conditions described in Section 6.2 above.</w:t>
      </w:r>
    </w:p>
    <w:p>
      <w:pPr>
        <w:spacing w:after="0" w:line="200" w:lineRule="exact"/>
        <w:rPr>
          <w:sz w:val="20"/>
          <w:szCs w:val="20"/>
          <w:color w:val="auto"/>
        </w:rPr>
      </w:pPr>
    </w:p>
    <w:p>
      <w:pPr>
        <w:spacing w:after="0" w:line="36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40" w:name="page41"/>
    <w:bookmarkEnd w:id="40"/>
    <w:p>
      <w:pPr>
        <w:ind w:right="639" w:firstLine="1112"/>
        <w:spacing w:after="0" w:line="255" w:lineRule="auto"/>
        <w:tabs>
          <w:tab w:leader="none" w:pos="139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Parachute Payments</w:t>
      </w:r>
      <w:r>
        <w:rPr>
          <w:rFonts w:ascii="Arial" w:cs="Arial" w:eastAsia="Arial" w:hAnsi="Arial"/>
          <w:sz w:val="17"/>
          <w:szCs w:val="17"/>
          <w:color w:val="auto"/>
        </w:rPr>
        <w:t>. If, due to the benefits provided under Section 6.5(a) and any other payments or benefits, Executive would be subject to any excise tax pursuant to Section 4999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due to characterization of any such amounts as excess parachute payments pursuant to Section 280G of the Code, the amounts payable under Section 6.5(a) will be reduced (to the least extent possible) in order to avoid any “excess parachute payment” under Section 280G(b)(1) of the Code.</w:t>
      </w:r>
    </w:p>
    <w:p>
      <w:pPr>
        <w:spacing w:after="0" w:line="163" w:lineRule="exact"/>
        <w:rPr>
          <w:rFonts w:ascii="Arial" w:cs="Arial" w:eastAsia="Arial" w:hAnsi="Arial"/>
          <w:sz w:val="17"/>
          <w:szCs w:val="17"/>
          <w:color w:val="auto"/>
        </w:rPr>
      </w:pPr>
    </w:p>
    <w:p>
      <w:pPr>
        <w:ind w:left="1380" w:hanging="268"/>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is defined as any one of the following occurrences:</w:t>
      </w:r>
    </w:p>
    <w:p>
      <w:pPr>
        <w:spacing w:after="0" w:line="171" w:lineRule="exact"/>
        <w:rPr>
          <w:rFonts w:ascii="Arial" w:cs="Arial" w:eastAsia="Arial" w:hAnsi="Arial"/>
          <w:sz w:val="18"/>
          <w:szCs w:val="18"/>
          <w:color w:val="auto"/>
        </w:rPr>
      </w:pPr>
    </w:p>
    <w:p>
      <w:pPr>
        <w:ind w:right="579" w:firstLine="1392"/>
        <w:spacing w:after="0" w:line="236" w:lineRule="auto"/>
        <w:tabs>
          <w:tab w:leader="none" w:pos="1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of securities by any person who on the Effective Date is the beneficial owner of more than fifty percent (50%) of such voting power, (B) any acquisition of securities directly from the Company, including, without limitation, pursuant to or in connection with a public offering of securities, (C) any acquisition of securities by the Company, (D) any acquisition of securities by a trustee or other fiduciary under an employee benefit plan of the Company, or (E) any acquisition of securities by an entity owned directly or indirectly by the stockholders of the Company in substantially the same proportions as their ownership of the voting securities of the Company; or</w:t>
      </w:r>
    </w:p>
    <w:p>
      <w:pPr>
        <w:spacing w:after="0" w:line="164" w:lineRule="exact"/>
        <w:rPr>
          <w:rFonts w:ascii="Arial" w:cs="Arial" w:eastAsia="Arial" w:hAnsi="Arial"/>
          <w:sz w:val="18"/>
          <w:szCs w:val="18"/>
          <w:color w:val="auto"/>
        </w:rPr>
      </w:pPr>
    </w:p>
    <w:p>
      <w:pPr>
        <w:ind w:right="639" w:firstLine="1392"/>
        <w:spacing w:after="0" w:line="275" w:lineRule="auto"/>
        <w:tabs>
          <w:tab w:leader="none" w:pos="165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sale or disposition of all or substantially all of the Company’s assets (other than a sale or disposition to one or more subsidiaries of the Company), or any transaction having similar effect is consummated; or</w:t>
      </w:r>
    </w:p>
    <w:p>
      <w:pPr>
        <w:spacing w:after="0" w:line="146" w:lineRule="exact"/>
        <w:rPr>
          <w:rFonts w:ascii="Arial" w:cs="Arial" w:eastAsia="Arial" w:hAnsi="Arial"/>
          <w:sz w:val="17"/>
          <w:szCs w:val="17"/>
          <w:color w:val="auto"/>
        </w:rPr>
      </w:pPr>
    </w:p>
    <w:p>
      <w:pPr>
        <w:ind w:right="559" w:firstLine="1392"/>
        <w:spacing w:after="0" w:line="238" w:lineRule="auto"/>
        <w:tabs>
          <w:tab w:leader="none" w:pos="16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w:t>
      </w:r>
    </w:p>
    <w:p>
      <w:pPr>
        <w:spacing w:after="0" w:line="162" w:lineRule="exact"/>
        <w:rPr>
          <w:rFonts w:ascii="Arial" w:cs="Arial" w:eastAsia="Arial" w:hAnsi="Arial"/>
          <w:sz w:val="18"/>
          <w:szCs w:val="18"/>
          <w:color w:val="auto"/>
        </w:rPr>
      </w:pPr>
    </w:p>
    <w:p>
      <w:pPr>
        <w:ind w:left="1700" w:hanging="308"/>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71" w:lineRule="exact"/>
        <w:rPr>
          <w:sz w:val="20"/>
          <w:szCs w:val="20"/>
          <w:color w:val="auto"/>
        </w:rPr>
      </w:pPr>
    </w:p>
    <w:p>
      <w:pPr>
        <w:ind w:right="639" w:firstLine="747"/>
        <w:spacing w:after="0" w:line="23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Termination of Employment Upon Nonrenewal</w:t>
      </w:r>
      <w:r>
        <w:rPr>
          <w:rFonts w:ascii="Arial" w:cs="Arial" w:eastAsia="Arial" w:hAnsi="Arial"/>
          <w:sz w:val="18"/>
          <w:szCs w:val="18"/>
          <w:color w:val="auto"/>
        </w:rPr>
        <w:t>. In the event either party decides not to renew this Agreement for a subsequent term in accordance with Section 3.2 above, this Agreement will expire, Executive’s employment with the Company will terminate and Executive will only be entitled to Executive’s Base Salary then in effect paid through the last day of the then current term. All other Company obligations to Executive pursuant to this Agreement will be automatically terminated and completely extinguished. Executive will not be entitled to receive the Severance Package described in Section 6.2 above, but shall be subject to the surviving provisions of this Agreement as set forth in Section 13.8 below.</w:t>
      </w:r>
    </w:p>
    <w:p>
      <w:pPr>
        <w:spacing w:after="0" w:line="200" w:lineRule="exact"/>
        <w:rPr>
          <w:sz w:val="20"/>
          <w:szCs w:val="20"/>
          <w:color w:val="auto"/>
        </w:rPr>
      </w:pPr>
    </w:p>
    <w:p>
      <w:pPr>
        <w:spacing w:after="0" w:line="3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41" w:name="page42"/>
    <w:bookmarkEnd w:id="41"/>
    <w:p>
      <w:pPr>
        <w:jc w:val="both"/>
        <w:ind w:right="1279" w:firstLine="747"/>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Resignation of Board or Other Positions</w:t>
      </w:r>
      <w:r>
        <w:rPr>
          <w:rFonts w:ascii="Arial" w:cs="Arial" w:eastAsia="Arial" w:hAnsi="Arial"/>
          <w:sz w:val="18"/>
          <w:szCs w:val="18"/>
          <w:color w:val="auto"/>
        </w:rPr>
        <w:t>. Executive agrees that should Executive’s employment terminate for any reason, Executive will immediately resign all other positions (including board membership) Executive may hold on behalf of the Company.</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Application of Section 409A</w:t>
      </w:r>
      <w:r>
        <w:rPr>
          <w:rFonts w:ascii="Arial" w:cs="Arial" w:eastAsia="Arial" w:hAnsi="Arial"/>
          <w:sz w:val="18"/>
          <w:szCs w:val="18"/>
          <w:color w:val="auto"/>
        </w:rPr>
        <w:t>.</w:t>
      </w:r>
    </w:p>
    <w:p>
      <w:pPr>
        <w:spacing w:after="0" w:line="171" w:lineRule="exact"/>
        <w:rPr>
          <w:sz w:val="20"/>
          <w:szCs w:val="20"/>
          <w:color w:val="auto"/>
        </w:rPr>
      </w:pPr>
    </w:p>
    <w:p>
      <w:pPr>
        <w:ind w:right="559" w:firstLine="1112"/>
        <w:spacing w:after="0" w:line="236" w:lineRule="auto"/>
        <w:tabs>
          <w:tab w:leader="none" w:pos="13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Notwithstanding anything set forth in this Agreement to the contrary, no amount payable pursuant to this Agreement on account of Executive’s termination of employment with the Company which constitutes a “deferral of compensation” within the meaning of the Treasury Regulations issued pursuant to Section 409A of the Code (the “</w:t>
      </w:r>
      <w:r>
        <w:rPr>
          <w:rFonts w:ascii="Arial" w:cs="Arial" w:eastAsia="Arial" w:hAnsi="Arial"/>
          <w:sz w:val="18"/>
          <w:szCs w:val="18"/>
          <w:u w:val="single" w:color="auto"/>
          <w:color w:val="auto"/>
        </w:rPr>
        <w:t>Section 409A Regulations</w:t>
      </w:r>
      <w:r>
        <w:rPr>
          <w:rFonts w:ascii="Arial" w:cs="Arial" w:eastAsia="Arial" w:hAnsi="Arial"/>
          <w:sz w:val="18"/>
          <w:szCs w:val="18"/>
          <w:color w:val="auto"/>
        </w:rPr>
        <w:t>”) shall be paid unless and until Executive has incurred a “separation from service” within the meaning of the Section 409A Regulations. Furthermore, if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8"/>
          <w:szCs w:val="18"/>
          <w:u w:val="single" w:color="auto"/>
          <w:color w:val="auto"/>
        </w:rPr>
        <w:t>Delayed Payment Date</w:t>
      </w:r>
      <w:r>
        <w:rPr>
          <w:rFonts w:ascii="Arial" w:cs="Arial" w:eastAsia="Arial" w:hAnsi="Arial"/>
          <w:sz w:val="18"/>
          <w:szCs w:val="18"/>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65" w:lineRule="exact"/>
        <w:rPr>
          <w:rFonts w:ascii="Arial" w:cs="Arial" w:eastAsia="Arial" w:hAnsi="Arial"/>
          <w:sz w:val="18"/>
          <w:szCs w:val="18"/>
          <w:color w:val="auto"/>
        </w:rPr>
      </w:pPr>
    </w:p>
    <w:p>
      <w:pPr>
        <w:ind w:right="579" w:firstLine="1112"/>
        <w:spacing w:after="0" w:line="237" w:lineRule="auto"/>
        <w:tabs>
          <w:tab w:leader="none" w:pos="13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However, the Company does not guarantee any particular tax effect for income provided to Executive pursuant to this Agreement. In any event, except for the Company’s responsibility to withhold applicable income and employment taxes from compensation paid or provided to Executive, the Company shall not be responsible for the payment of any applicable taxes incurred by Executive on compensation paid or provided to Executive pursuant to this Agreement.</w:t>
      </w:r>
    </w:p>
    <w:p>
      <w:pPr>
        <w:spacing w:after="0" w:line="176" w:lineRule="exact"/>
        <w:rPr>
          <w:rFonts w:ascii="Arial" w:cs="Arial" w:eastAsia="Arial" w:hAnsi="Arial"/>
          <w:sz w:val="18"/>
          <w:szCs w:val="18"/>
          <w:color w:val="auto"/>
        </w:rPr>
      </w:pPr>
    </w:p>
    <w:p>
      <w:pPr>
        <w:ind w:right="699" w:firstLine="365"/>
        <w:spacing w:after="0" w:line="237" w:lineRule="auto"/>
        <w:tabs>
          <w:tab w:leader="none" w:pos="57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Violation of Rights of Third Parties</w:t>
      </w:r>
      <w:r>
        <w:rPr>
          <w:rFonts w:ascii="Arial" w:cs="Arial" w:eastAsia="Arial" w:hAnsi="Arial"/>
          <w:sz w:val="18"/>
          <w:szCs w:val="18"/>
          <w:color w:val="auto"/>
        </w:rPr>
        <w:t>. Executive represents and warrants to the Company that Executive is not currently a party, and will not become a party, to any other agreement that is in conflict with, or will prevent Executive from complying with, this Agreement. Executive further represents and warrants to the Company that Executive’s performance of all of the terms of this Agreement as an employee of the Company does not and will not breach any agreement to keep in confidence any proprietary information, knowledge, or data acquired by Executive in confidence or trust prior to Executive’s employment with the Company. Executive acknowledges and agrees that the representations and warranties in this Section 8 are a material part of this Agreement.</w:t>
      </w:r>
    </w:p>
    <w:p>
      <w:pPr>
        <w:spacing w:after="0" w:line="162" w:lineRule="exact"/>
        <w:rPr>
          <w:rFonts w:ascii="Arial" w:cs="Arial" w:eastAsia="Arial" w:hAnsi="Arial"/>
          <w:sz w:val="18"/>
          <w:szCs w:val="18"/>
          <w:color w:val="auto"/>
        </w:rPr>
      </w:pPr>
    </w:p>
    <w:p>
      <w:pPr>
        <w:ind w:right="739" w:firstLine="365"/>
        <w:spacing w:after="0" w:line="246" w:lineRule="auto"/>
        <w:tabs>
          <w:tab w:leader="none" w:pos="57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Executive hereby makes the following covenants, each of which Executive acknowledges and agrees are a material part of this Agreement:</w:t>
      </w:r>
    </w:p>
    <w:p>
      <w:pPr>
        <w:spacing w:after="0" w:line="156" w:lineRule="exact"/>
        <w:rPr>
          <w:sz w:val="20"/>
          <w:szCs w:val="20"/>
          <w:color w:val="auto"/>
        </w:rPr>
      </w:pPr>
    </w:p>
    <w:p>
      <w:pPr>
        <w:ind w:right="739" w:firstLine="747"/>
        <w:spacing w:after="0" w:line="237" w:lineRule="auto"/>
        <w:rPr>
          <w:sz w:val="20"/>
          <w:szCs w:val="20"/>
          <w:color w:val="auto"/>
        </w:rPr>
      </w:pPr>
      <w:r>
        <w:rPr>
          <w:rFonts w:ascii="Arial" w:cs="Arial" w:eastAsia="Arial" w:hAnsi="Arial"/>
          <w:sz w:val="18"/>
          <w:szCs w:val="18"/>
          <w:color w:val="auto"/>
        </w:rPr>
        <w:t>8.1 During the Term of Executive’s employment with the Company, Executive will not (a) breach any agreement to keep in confidence any confidential or proprietary information, knowledge or data acquired by Executive prior to Executive’s employment with Company, or (b) disclose to the Company, or use or induce the Company to use, any confidential or proprietary information or material belonging to any previous employer or any other third party. Executive acknowledges that the Company has specifically instructed Executive not to breach any such agreement or make any such disclosures to the Company.</w:t>
      </w:r>
    </w:p>
    <w:p>
      <w:pPr>
        <w:spacing w:after="0" w:line="200" w:lineRule="exact"/>
        <w:rPr>
          <w:sz w:val="20"/>
          <w:szCs w:val="20"/>
          <w:color w:val="auto"/>
        </w:rPr>
      </w:pPr>
    </w:p>
    <w:p>
      <w:pPr>
        <w:spacing w:after="0" w:line="35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42" w:name="page43"/>
    <w:bookmarkEnd w:id="42"/>
    <w:p>
      <w:pPr>
        <w:ind w:left="8" w:right="599" w:firstLine="747"/>
        <w:spacing w:after="0" w:line="236" w:lineRule="auto"/>
        <w:rPr>
          <w:sz w:val="20"/>
          <w:szCs w:val="20"/>
          <w:color w:val="auto"/>
        </w:rPr>
      </w:pPr>
      <w:r>
        <w:rPr>
          <w:rFonts w:ascii="Arial" w:cs="Arial" w:eastAsia="Arial" w:hAnsi="Arial"/>
          <w:sz w:val="18"/>
          <w:szCs w:val="18"/>
          <w:color w:val="auto"/>
        </w:rPr>
        <w:t>8.2 During the Term of Executive’s employment with the Company, Executive will not engage in any work or activity, paid or unpaid, that creates an actual conflict of interest with the Company. Such work shall include, but is not limited to, directly or indirectly competing with the Company in any way, or acting as an officer, director, employee, consultant, stockholder, volunteer, lender, or agent of any business enterprise of the same nature as, or which is in direct competition with, the business in which the Company is now engaged or in which the Company becomes engaged during the term of Executive’s employment with the Company, as may be determined by the Company in its sole discretion. If the Company believes such a conflict exists during the term of this Agreement, the Company may ask Executive to choose to discontinue the other work or activity or resign employment with the Company.</w:t>
      </w:r>
    </w:p>
    <w:p>
      <w:pPr>
        <w:spacing w:after="0" w:line="180" w:lineRule="exact"/>
        <w:rPr>
          <w:sz w:val="20"/>
          <w:szCs w:val="20"/>
          <w:color w:val="auto"/>
        </w:rPr>
      </w:pPr>
    </w:p>
    <w:p>
      <w:pPr>
        <w:ind w:left="8" w:right="619" w:firstLine="747"/>
        <w:spacing w:after="0" w:line="275" w:lineRule="auto"/>
        <w:rPr>
          <w:sz w:val="20"/>
          <w:szCs w:val="20"/>
          <w:color w:val="auto"/>
        </w:rPr>
      </w:pPr>
      <w:r>
        <w:rPr>
          <w:rFonts w:ascii="Arial" w:cs="Arial" w:eastAsia="Arial" w:hAnsi="Arial"/>
          <w:sz w:val="17"/>
          <w:szCs w:val="17"/>
          <w:color w:val="auto"/>
        </w:rPr>
        <w:t>8.3 During the Term of Executive’s employment with the Company and after the termination thereof, neither Executive nor the Company will disparage each other, or the Company’s products, services, agents or employees.</w:t>
      </w:r>
    </w:p>
    <w:p>
      <w:pPr>
        <w:spacing w:after="0" w:line="133" w:lineRule="exact"/>
        <w:rPr>
          <w:sz w:val="20"/>
          <w:szCs w:val="20"/>
          <w:color w:val="auto"/>
        </w:rPr>
      </w:pPr>
    </w:p>
    <w:p>
      <w:pPr>
        <w:ind w:left="8" w:right="579" w:firstLine="747"/>
        <w:spacing w:after="0" w:line="238" w:lineRule="auto"/>
        <w:rPr>
          <w:sz w:val="20"/>
          <w:szCs w:val="20"/>
          <w:color w:val="auto"/>
        </w:rPr>
      </w:pPr>
      <w:r>
        <w:rPr>
          <w:rFonts w:ascii="Arial" w:cs="Arial" w:eastAsia="Arial" w:hAnsi="Arial"/>
          <w:sz w:val="18"/>
          <w:szCs w:val="18"/>
          <w:color w:val="auto"/>
        </w:rPr>
        <w:t>8.4 During the Term of Executive’s employment with the Company and after the termination thereof, at the Company’s expense and upon its reasonable request, Executive will cooperate and assist the Company in its defense or prosecution of any disputes, differences, grievances, claims, charges, or complaints between the Company and any third party, which assistance will include testifying on the Company’s behalf in connection with any such matter or performing any other task reasonably requested by the Company in connection therewith.</w:t>
      </w:r>
    </w:p>
    <w:p>
      <w:pPr>
        <w:spacing w:after="0" w:line="162" w:lineRule="exact"/>
        <w:rPr>
          <w:sz w:val="20"/>
          <w:szCs w:val="20"/>
          <w:color w:val="auto"/>
        </w:rPr>
      </w:pPr>
    </w:p>
    <w:p>
      <w:pPr>
        <w:ind w:left="8" w:right="639" w:firstLine="365"/>
        <w:spacing w:after="0"/>
        <w:tabs>
          <w:tab w:leader="none" w:pos="58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Rights</w:t>
      </w:r>
      <w:r>
        <w:rPr>
          <w:rFonts w:ascii="Arial" w:cs="Arial" w:eastAsia="Arial" w:hAnsi="Arial"/>
          <w:sz w:val="18"/>
          <w:szCs w:val="18"/>
          <w:color w:val="auto"/>
        </w:rPr>
        <w:t>. Executive agrees to read, sign and abide by the Company’s Employee Nondisclosure and Assignment Agreement, which is provided with this Agreement and incorporated herein by reference.</w:t>
      </w:r>
    </w:p>
    <w:p>
      <w:pPr>
        <w:spacing w:after="0" w:line="175" w:lineRule="exact"/>
        <w:rPr>
          <w:rFonts w:ascii="Arial" w:cs="Arial" w:eastAsia="Arial" w:hAnsi="Arial"/>
          <w:sz w:val="18"/>
          <w:szCs w:val="18"/>
          <w:color w:val="auto"/>
        </w:rPr>
      </w:pPr>
    </w:p>
    <w:p>
      <w:pPr>
        <w:ind w:left="8" w:right="559" w:firstLine="365"/>
        <w:spacing w:after="0" w:line="234" w:lineRule="auto"/>
        <w:tabs>
          <w:tab w:leader="none" w:pos="68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of Company’s Employees</w:t>
      </w:r>
      <w:r>
        <w:rPr>
          <w:rFonts w:ascii="Arial" w:cs="Arial" w:eastAsia="Arial" w:hAnsi="Arial"/>
          <w:sz w:val="18"/>
          <w:szCs w:val="18"/>
          <w:color w:val="auto"/>
        </w:rPr>
        <w:t>. Executive acknowledges that in the course of his employment with the Company he will serve as a member of the Company’s senior management and will become familiar with the Company’s trade secrets and with other confidential and proprietary information and that his services will be of special, unique and extraordinary value to the Company. Executive further acknowledges that the Company’s business, a substantial portion of which is conducted online, is national in scope and that the Company, in the course of such business, recruits students and faculty throughout the United States, works with vendors throughout the United States, and competes with other companies located throughout the United States. Therefore, in consideration of the foregoing, Executive agrees that, during the Term, and during the twelve-month (12) month period following the Term, he shall not directly or indirectly anywhere within the United States of America (a) own (except ownership of less than 1% of any class of securities which are listed for trading on any securities exchange or which are traded in the over-the-counter market), manage, control, participate in, consult with, render services for, be employed by, or in any manner engage in the operation of (i) a for-profit, post-secondary education institution, or</w:t>
      </w:r>
    </w:p>
    <w:p>
      <w:pPr>
        <w:spacing w:after="0" w:line="9" w:lineRule="exact"/>
        <w:rPr>
          <w:rFonts w:ascii="Arial" w:cs="Arial" w:eastAsia="Arial" w:hAnsi="Arial"/>
          <w:sz w:val="18"/>
          <w:szCs w:val="18"/>
          <w:color w:val="auto"/>
        </w:rPr>
      </w:pPr>
    </w:p>
    <w:p>
      <w:pPr>
        <w:ind w:left="248" w:hanging="248"/>
        <w:spacing w:after="0"/>
        <w:tabs>
          <w:tab w:leader="none" w:pos="2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business of the Company in which Executive had significant involvement prior to Executive’s separation;</w:t>
      </w:r>
    </w:p>
    <w:p>
      <w:pPr>
        <w:spacing w:after="0" w:line="7" w:lineRule="exact"/>
        <w:rPr>
          <w:rFonts w:ascii="Arial" w:cs="Arial" w:eastAsia="Arial" w:hAnsi="Arial"/>
          <w:sz w:val="17"/>
          <w:szCs w:val="17"/>
          <w:color w:val="auto"/>
        </w:rPr>
      </w:pPr>
    </w:p>
    <w:p>
      <w:pPr>
        <w:ind w:left="8" w:right="559" w:hanging="8"/>
        <w:spacing w:after="0" w:line="236" w:lineRule="auto"/>
        <w:tabs>
          <w:tab w:leader="none" w:pos="2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solicit funds on behalf of, or for the benefit of, any for-profit, post-secondary education institution (other than the Company) or any other entity that competes with the Company; (c) solicit individuals who are current or prospective students of the Company to be students for any other for-profit, post-secondary education institution; (d) induce or attempt to induce any employee of the Company to leave the employ of the Company, or in any way interfere with the relationship between the Company and any employee thereof, or (e) induce or attempt to induce any student, customer, supplier, licensee or other business relation of the Company to cease doing business with, or modify its business relationship with, the Company, or in any way interfere with or hinder the relationship between any such student, customer, supplier, licensee or business relation and the Company.</w:t>
      </w:r>
    </w:p>
    <w:p>
      <w:pPr>
        <w:spacing w:after="0" w:line="200" w:lineRule="exact"/>
        <w:rPr>
          <w:sz w:val="20"/>
          <w:szCs w:val="20"/>
          <w:color w:val="auto"/>
        </w:rPr>
      </w:pPr>
    </w:p>
    <w:p>
      <w:pPr>
        <w:spacing w:after="0" w:line="346"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49" w:right="1440" w:bottom="1440" w:gutter="0" w:footer="0" w:header="0"/>
        </w:sectPr>
      </w:pPr>
    </w:p>
    <w:bookmarkStart w:id="43" w:name="page44"/>
    <w:bookmarkEnd w:id="43"/>
    <w:p>
      <w:pPr>
        <w:ind w:right="679" w:firstLine="365"/>
        <w:spacing w:after="0" w:line="237"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Executive acknowledges that Executive’s breach of the covenants contained in Section 8, Section 9 and Section 10 hereof (collectively “</w:t>
      </w:r>
      <w:r>
        <w:rPr>
          <w:rFonts w:ascii="Arial" w:cs="Arial" w:eastAsia="Arial" w:hAnsi="Arial"/>
          <w:sz w:val="18"/>
          <w:szCs w:val="18"/>
          <w:u w:val="single" w:color="auto"/>
          <w:color w:val="auto"/>
        </w:rPr>
        <w:t>Covenants</w:t>
      </w:r>
      <w:r>
        <w:rPr>
          <w:rFonts w:ascii="Arial" w:cs="Arial" w:eastAsia="Arial" w:hAnsi="Arial"/>
          <w:sz w:val="18"/>
          <w:szCs w:val="18"/>
          <w:color w:val="auto"/>
        </w:rPr>
        <w:t>”) would cause irreparable injury to the Company and agrees that in the event of any such breach, the Company shall be entitled to seek temporary, preliminary and permanent injunctive relief without the necessity of proving actual damages or posting any bond or other security in addition to any other relief to which the Company may be entitled and other remedies Company may exercise under this Agreement or otherwise.</w:t>
      </w:r>
    </w:p>
    <w:p>
      <w:pPr>
        <w:spacing w:after="0" w:line="178" w:lineRule="exact"/>
        <w:rPr>
          <w:rFonts w:ascii="Arial" w:cs="Arial" w:eastAsia="Arial" w:hAnsi="Arial"/>
          <w:sz w:val="18"/>
          <w:szCs w:val="18"/>
          <w:color w:val="auto"/>
        </w:rPr>
      </w:pPr>
    </w:p>
    <w:p>
      <w:pPr>
        <w:ind w:left="660" w:hanging="295"/>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Insurance; Indemnification</w:t>
      </w:r>
      <w:r>
        <w:rPr>
          <w:rFonts w:ascii="Arial" w:cs="Arial" w:eastAsia="Arial" w:hAnsi="Arial"/>
          <w:sz w:val="18"/>
          <w:szCs w:val="18"/>
          <w:color w:val="auto"/>
        </w:rPr>
        <w:t>.</w:t>
      </w:r>
    </w:p>
    <w:p>
      <w:pPr>
        <w:spacing w:after="0" w:line="171" w:lineRule="exact"/>
        <w:rPr>
          <w:sz w:val="20"/>
          <w:szCs w:val="20"/>
          <w:color w:val="auto"/>
        </w:rPr>
      </w:pPr>
    </w:p>
    <w:p>
      <w:pPr>
        <w:ind w:right="799" w:firstLine="747"/>
        <w:spacing w:after="0" w:line="275" w:lineRule="auto"/>
        <w:rPr>
          <w:sz w:val="20"/>
          <w:szCs w:val="20"/>
          <w:color w:val="auto"/>
        </w:rPr>
      </w:pPr>
      <w:r>
        <w:rPr>
          <w:rFonts w:ascii="Arial" w:cs="Arial" w:eastAsia="Arial" w:hAnsi="Arial"/>
          <w:sz w:val="17"/>
          <w:szCs w:val="17"/>
          <w:color w:val="auto"/>
        </w:rPr>
        <w:t>12.1 During the Term of Executive’s employment hereunder, Executive will be covered by the Company’s director and officer insurance policy to the same extent as all other senior executive officers of the Company.</w:t>
      </w:r>
    </w:p>
    <w:p>
      <w:pPr>
        <w:spacing w:after="0" w:line="133" w:lineRule="exact"/>
        <w:rPr>
          <w:sz w:val="20"/>
          <w:szCs w:val="20"/>
          <w:color w:val="auto"/>
        </w:rPr>
      </w:pPr>
    </w:p>
    <w:p>
      <w:pPr>
        <w:ind w:right="619" w:firstLine="747"/>
        <w:spacing w:after="0"/>
        <w:rPr>
          <w:sz w:val="20"/>
          <w:szCs w:val="20"/>
          <w:color w:val="auto"/>
        </w:rPr>
      </w:pPr>
      <w:r>
        <w:rPr>
          <w:rFonts w:ascii="Arial" w:cs="Arial" w:eastAsia="Arial" w:hAnsi="Arial"/>
          <w:sz w:val="18"/>
          <w:szCs w:val="18"/>
          <w:color w:val="auto"/>
        </w:rPr>
        <w:t>12.2 Following the execution of this Agreement, the Company will execute and deliver a director and officer indemnification agreement with Executive in a form approved by the Board of Directors for the senior executive officers of the Company.</w:t>
      </w:r>
    </w:p>
    <w:p>
      <w:pPr>
        <w:spacing w:after="0" w:line="176" w:lineRule="exact"/>
        <w:rPr>
          <w:sz w:val="20"/>
          <w:szCs w:val="20"/>
          <w:color w:val="auto"/>
        </w:rPr>
      </w:pPr>
    </w:p>
    <w:p>
      <w:pPr>
        <w:ind w:left="660" w:hanging="29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71" w:lineRule="exact"/>
        <w:rPr>
          <w:sz w:val="20"/>
          <w:szCs w:val="20"/>
          <w:color w:val="auto"/>
        </w:rPr>
      </w:pPr>
    </w:p>
    <w:p>
      <w:pPr>
        <w:ind w:right="659" w:firstLine="747"/>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62" w:lineRule="exact"/>
        <w:rPr>
          <w:sz w:val="20"/>
          <w:szCs w:val="20"/>
          <w:color w:val="auto"/>
        </w:rPr>
      </w:pPr>
    </w:p>
    <w:p>
      <w:pPr>
        <w:ind w:right="919" w:firstLine="747"/>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76" w:lineRule="exact"/>
        <w:rPr>
          <w:sz w:val="20"/>
          <w:szCs w:val="20"/>
          <w:color w:val="auto"/>
        </w:rPr>
      </w:pPr>
    </w:p>
    <w:p>
      <w:pPr>
        <w:ind w:right="1519" w:firstLine="747"/>
        <w:spacing w:after="0" w:line="24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 dispute involving the interpretation or enforcement of this Agreement, a court shall award attorneys’ fees and costs to the prevailing party.</w:t>
      </w:r>
    </w:p>
    <w:p>
      <w:pPr>
        <w:spacing w:after="0" w:line="156" w:lineRule="exact"/>
        <w:rPr>
          <w:sz w:val="20"/>
          <w:szCs w:val="20"/>
          <w:color w:val="auto"/>
        </w:rPr>
      </w:pPr>
    </w:p>
    <w:p>
      <w:pPr>
        <w:ind w:right="619" w:firstLine="747"/>
        <w:spacing w:after="0" w:line="23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court, the unenforceable provision shall be deemed deleted, and the validity and enforceability of the remaining provisions shall not be affected thereby.</w:t>
      </w:r>
    </w:p>
    <w:p>
      <w:pPr>
        <w:spacing w:after="0" w:line="165" w:lineRule="exact"/>
        <w:rPr>
          <w:sz w:val="20"/>
          <w:szCs w:val="20"/>
          <w:color w:val="auto"/>
        </w:rPr>
      </w:pPr>
    </w:p>
    <w:p>
      <w:pPr>
        <w:ind w:right="659" w:firstLine="747"/>
        <w:spacing w:after="0" w:line="23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200" w:lineRule="exact"/>
        <w:rPr>
          <w:sz w:val="20"/>
          <w:szCs w:val="20"/>
          <w:color w:val="auto"/>
        </w:rPr>
      </w:pPr>
    </w:p>
    <w:p>
      <w:pPr>
        <w:spacing w:after="0" w:line="35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44" w:name="page45"/>
    <w:bookmarkEnd w:id="44"/>
    <w:p>
      <w:pPr>
        <w:ind w:right="679" w:firstLine="747"/>
        <w:spacing w:after="0" w:line="23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and construed in accordance with the laws of the United States and the State of Arizona. Each party consents to the jurisdiction and venue of the state or federal courts in Phoenix, Arizona, if applicable, in any action, suit, or proceeding arising out of or relating to this Agreement, and agrees that the state or federal courts in Phoenix, Arizona shall have exclusive jurisdiction over any dispute arising between the parties related to this Agreement or Executive’s employment with the Company.</w:t>
      </w:r>
    </w:p>
    <w:p>
      <w:pPr>
        <w:spacing w:after="0" w:line="176" w:lineRule="exact"/>
        <w:rPr>
          <w:sz w:val="20"/>
          <w:szCs w:val="20"/>
          <w:color w:val="auto"/>
        </w:rPr>
      </w:pPr>
    </w:p>
    <w:p>
      <w:pPr>
        <w:ind w:right="559" w:firstLine="747"/>
        <w:spacing w:after="0" w:line="23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under the signatures below, or such other address as either party may specify in writing.</w:t>
      </w:r>
    </w:p>
    <w:p>
      <w:pPr>
        <w:spacing w:after="0" w:line="165" w:lineRule="exact"/>
        <w:rPr>
          <w:sz w:val="20"/>
          <w:szCs w:val="20"/>
          <w:color w:val="auto"/>
        </w:rPr>
      </w:pPr>
    </w:p>
    <w:p>
      <w:pPr>
        <w:ind w:right="739" w:firstLine="747"/>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Survival</w:t>
      </w:r>
      <w:r>
        <w:rPr>
          <w:rFonts w:ascii="Arial" w:cs="Arial" w:eastAsia="Arial" w:hAnsi="Arial"/>
          <w:sz w:val="18"/>
          <w:szCs w:val="18"/>
          <w:color w:val="auto"/>
        </w:rPr>
        <w:t>. Sections 8 (“Other Covenants”), 9 (“Confidentiality and Proprietary Rights”), 10 (“Non-Competition; Nonsolicitation”), 11 (“Injunctive Relief”), 13 (“General Provisions”) and 14 (“Entire Agreement”) of this Agreement shall survive termination of Executive’s employment with the Company.</w:t>
      </w:r>
    </w:p>
    <w:p>
      <w:pPr>
        <w:spacing w:after="0" w:line="162" w:lineRule="exact"/>
        <w:rPr>
          <w:sz w:val="20"/>
          <w:szCs w:val="20"/>
          <w:color w:val="auto"/>
        </w:rPr>
      </w:pPr>
    </w:p>
    <w:p>
      <w:pPr>
        <w:ind w:right="619" w:firstLine="365"/>
        <w:spacing w:after="0" w:line="253" w:lineRule="auto"/>
        <w:tabs>
          <w:tab w:leader="none" w:pos="67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Employee Nondisclosure and Assignment Agreement incorporated herein by reference and the Company’s 2008 Equity Incentive Plan and related option documents described in Section 4.3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No oral waiver, amendment or modification will be effective under any circumstances whatsoever.</w:t>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45" w:name="page46"/>
    <w:bookmarkEnd w:id="45"/>
    <w:p>
      <w:pPr>
        <w:ind w:right="639"/>
        <w:spacing w:after="0"/>
        <w:rPr>
          <w:sz w:val="20"/>
          <w:szCs w:val="20"/>
          <w:color w:val="auto"/>
        </w:rPr>
      </w:pPr>
      <w:r>
        <w:rPr>
          <w:rFonts w:ascii="Arial" w:cs="Arial" w:eastAsia="Arial" w:hAnsi="Arial"/>
          <w:sz w:val="18"/>
          <w:szCs w:val="18"/>
          <w:color w:val="auto"/>
        </w:rPr>
        <w:t>THE PARTIES TO THIS AGREEMENT HAVE READ THE FOREGOING AGREEMENT AND FULLY UNDERSTAND EACH AND EVERY PROVISION CONTAINED HEREIN. WHEREFORE, THE PARTIES HAVE EXECUTED THIS AGREEMENT ON THE DATES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5940" w:type="dxa"/>
            <w:vAlign w:val="bottom"/>
            <w:gridSpan w:val="2"/>
          </w:tcPr>
          <w:p>
            <w:pPr>
              <w:ind w:left="1180"/>
              <w:spacing w:after="0"/>
              <w:rPr>
                <w:sz w:val="20"/>
                <w:szCs w:val="20"/>
                <w:color w:val="auto"/>
              </w:rPr>
            </w:pPr>
            <w:r>
              <w:rPr>
                <w:rFonts w:ascii="Arial" w:cs="Arial" w:eastAsia="Arial" w:hAnsi="Arial"/>
                <w:sz w:val="18"/>
                <w:szCs w:val="18"/>
                <w:b w:val="1"/>
                <w:bCs w:val="1"/>
                <w:color w:val="auto"/>
              </w:rPr>
              <w:t>JOSEPH N. MILDENHALL</w:t>
            </w:r>
          </w:p>
        </w:tc>
      </w:tr>
      <w:tr>
        <w:trPr>
          <w:trHeight w:val="392"/>
        </w:trPr>
        <w:tc>
          <w:tcPr>
            <w:tcW w:w="3380" w:type="dxa"/>
            <w:vAlign w:val="bottom"/>
          </w:tcPr>
          <w:p>
            <w:pPr>
              <w:spacing w:after="0"/>
              <w:rPr>
                <w:sz w:val="20"/>
                <w:szCs w:val="20"/>
                <w:color w:val="auto"/>
              </w:rPr>
            </w:pPr>
            <w:r>
              <w:rPr>
                <w:rFonts w:ascii="Arial" w:cs="Arial" w:eastAsia="Arial" w:hAnsi="Arial"/>
                <w:sz w:val="18"/>
                <w:szCs w:val="18"/>
                <w:color w:val="auto"/>
              </w:rPr>
              <w:t>Dated: September 16, 2009</w:t>
            </w:r>
          </w:p>
        </w:tc>
        <w:tc>
          <w:tcPr>
            <w:tcW w:w="1900" w:type="dxa"/>
            <w:vAlign w:val="bottom"/>
          </w:tcPr>
          <w:p>
            <w:pPr>
              <w:ind w:left="11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N. Mildenhall</w:t>
            </w:r>
          </w:p>
        </w:tc>
      </w:tr>
      <w:tr>
        <w:trPr>
          <w:trHeight w:val="209"/>
        </w:trPr>
        <w:tc>
          <w:tcPr>
            <w:tcW w:w="3380" w:type="dxa"/>
            <w:vAlign w:val="bottom"/>
          </w:tcPr>
          <w:p>
            <w:pPr>
              <w:spacing w:after="0"/>
              <w:rPr>
                <w:sz w:val="18"/>
                <w:szCs w:val="18"/>
                <w:color w:val="auto"/>
              </w:rPr>
            </w:pPr>
          </w:p>
        </w:tc>
        <w:tc>
          <w:tcPr>
            <w:tcW w:w="5940" w:type="dxa"/>
            <w:vAlign w:val="bottom"/>
            <w:gridSpan w:val="2"/>
          </w:tcPr>
          <w:p>
            <w:pPr>
              <w:ind w:left="1180"/>
              <w:spacing w:after="0"/>
              <w:rPr>
                <w:sz w:val="20"/>
                <w:szCs w:val="20"/>
                <w:color w:val="auto"/>
              </w:rPr>
            </w:pPr>
            <w:r>
              <w:rPr>
                <w:rFonts w:ascii="Arial" w:cs="Arial" w:eastAsia="Arial" w:hAnsi="Arial"/>
                <w:sz w:val="18"/>
                <w:szCs w:val="18"/>
                <w:color w:val="auto"/>
              </w:rPr>
              <w:t>Address: 3300 West Camelback Road</w:t>
            </w:r>
          </w:p>
        </w:tc>
      </w:tr>
      <w:tr>
        <w:trPr>
          <w:trHeight w:val="21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Phoenix, Arizona 85017</w:t>
            </w:r>
          </w:p>
        </w:tc>
      </w:tr>
      <w:tr>
        <w:trPr>
          <w:trHeight w:val="405"/>
        </w:trPr>
        <w:tc>
          <w:tcPr>
            <w:tcW w:w="3380" w:type="dxa"/>
            <w:vAlign w:val="bottom"/>
          </w:tcPr>
          <w:p>
            <w:pPr>
              <w:spacing w:after="0"/>
              <w:rPr>
                <w:sz w:val="24"/>
                <w:szCs w:val="24"/>
                <w:color w:val="auto"/>
              </w:rPr>
            </w:pPr>
          </w:p>
        </w:tc>
        <w:tc>
          <w:tcPr>
            <w:tcW w:w="5940" w:type="dxa"/>
            <w:vAlign w:val="bottom"/>
            <w:gridSpan w:val="2"/>
          </w:tcPr>
          <w:p>
            <w:pPr>
              <w:ind w:left="1180"/>
              <w:spacing w:after="0"/>
              <w:rPr>
                <w:sz w:val="20"/>
                <w:szCs w:val="20"/>
                <w:color w:val="auto"/>
              </w:rPr>
            </w:pPr>
            <w:r>
              <w:rPr>
                <w:rFonts w:ascii="Arial" w:cs="Arial" w:eastAsia="Arial" w:hAnsi="Arial"/>
                <w:sz w:val="18"/>
                <w:szCs w:val="18"/>
                <w:b w:val="1"/>
                <w:bCs w:val="1"/>
                <w:color w:val="auto"/>
              </w:rPr>
              <w:t>GRAND CANYON EDUCATION, INC.</w:t>
            </w:r>
          </w:p>
        </w:tc>
      </w:tr>
      <w:tr>
        <w:trPr>
          <w:trHeight w:val="392"/>
        </w:trPr>
        <w:tc>
          <w:tcPr>
            <w:tcW w:w="3380" w:type="dxa"/>
            <w:vAlign w:val="bottom"/>
          </w:tcPr>
          <w:p>
            <w:pPr>
              <w:spacing w:after="0"/>
              <w:rPr>
                <w:sz w:val="20"/>
                <w:szCs w:val="20"/>
                <w:color w:val="auto"/>
              </w:rPr>
            </w:pPr>
            <w:r>
              <w:rPr>
                <w:rFonts w:ascii="Arial" w:cs="Arial" w:eastAsia="Arial" w:hAnsi="Arial"/>
                <w:sz w:val="18"/>
                <w:szCs w:val="18"/>
                <w:color w:val="auto"/>
              </w:rPr>
              <w:t>Dated: September 16, 2009</w:t>
            </w:r>
          </w:p>
        </w:tc>
        <w:tc>
          <w:tcPr>
            <w:tcW w:w="1900" w:type="dxa"/>
            <w:vAlign w:val="bottom"/>
          </w:tcPr>
          <w:p>
            <w:pPr>
              <w:ind w:left="11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 Meyer</w:t>
            </w:r>
          </w:p>
        </w:tc>
      </w:tr>
      <w:tr>
        <w:trPr>
          <w:trHeight w:val="209"/>
        </w:trPr>
        <w:tc>
          <w:tcPr>
            <w:tcW w:w="3380" w:type="dxa"/>
            <w:vAlign w:val="bottom"/>
          </w:tcPr>
          <w:p>
            <w:pPr>
              <w:spacing w:after="0"/>
              <w:rPr>
                <w:sz w:val="18"/>
                <w:szCs w:val="18"/>
                <w:color w:val="auto"/>
              </w:rPr>
            </w:pPr>
          </w:p>
        </w:tc>
        <w:tc>
          <w:tcPr>
            <w:tcW w:w="1900" w:type="dxa"/>
            <w:vAlign w:val="bottom"/>
          </w:tcPr>
          <w:p>
            <w:pPr>
              <w:ind w:left="1180"/>
              <w:spacing w:after="0"/>
              <w:rPr>
                <w:sz w:val="20"/>
                <w:szCs w:val="20"/>
                <w:color w:val="auto"/>
              </w:rPr>
            </w:pPr>
            <w:r>
              <w:rPr>
                <w:rFonts w:ascii="Arial" w:cs="Arial" w:eastAsia="Arial" w:hAnsi="Arial"/>
                <w:sz w:val="18"/>
                <w:szCs w:val="18"/>
                <w:color w:val="auto"/>
              </w:rPr>
              <w:t>Name:</w:t>
            </w:r>
          </w:p>
        </w:tc>
        <w:tc>
          <w:tcPr>
            <w:tcW w:w="4040" w:type="dxa"/>
            <w:vAlign w:val="bottom"/>
          </w:tcPr>
          <w:p>
            <w:pPr>
              <w:spacing w:after="0"/>
              <w:rPr>
                <w:sz w:val="20"/>
                <w:szCs w:val="20"/>
                <w:color w:val="auto"/>
              </w:rPr>
            </w:pPr>
            <w:r>
              <w:rPr>
                <w:rFonts w:ascii="Arial" w:cs="Arial" w:eastAsia="Arial" w:hAnsi="Arial"/>
                <w:sz w:val="18"/>
                <w:szCs w:val="18"/>
                <w:color w:val="auto"/>
              </w:rPr>
              <w:t>Stan Meyer</w:t>
            </w:r>
          </w:p>
        </w:tc>
      </w:tr>
      <w:tr>
        <w:trPr>
          <w:trHeight w:val="217"/>
        </w:trPr>
        <w:tc>
          <w:tcPr>
            <w:tcW w:w="3380" w:type="dxa"/>
            <w:vAlign w:val="bottom"/>
          </w:tcPr>
          <w:p>
            <w:pPr>
              <w:spacing w:after="0"/>
              <w:rPr>
                <w:sz w:val="18"/>
                <w:szCs w:val="18"/>
                <w:color w:val="auto"/>
              </w:rPr>
            </w:pPr>
          </w:p>
        </w:tc>
        <w:tc>
          <w:tcPr>
            <w:tcW w:w="1900" w:type="dxa"/>
            <w:vAlign w:val="bottom"/>
          </w:tcPr>
          <w:p>
            <w:pPr>
              <w:ind w:left="118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Address: 3300 West Camelback Road</w:t>
      </w:r>
    </w:p>
    <w:p>
      <w:pPr>
        <w:ind w:left="5260"/>
        <w:spacing w:after="0"/>
        <w:rPr>
          <w:sz w:val="20"/>
          <w:szCs w:val="20"/>
          <w:color w:val="auto"/>
        </w:rPr>
      </w:pPr>
      <w:r>
        <w:rPr>
          <w:rFonts w:ascii="Arial" w:cs="Arial" w:eastAsia="Arial" w:hAnsi="Arial"/>
          <w:sz w:val="18"/>
          <w:szCs w:val="18"/>
          <w:color w:val="auto"/>
        </w:rPr>
        <w:t>Phoenix, Arizona 85017</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879"/>
          </w:cols>
          <w:pgMar w:left="580" w:top="949" w:right="1440" w:bottom="1440" w:gutter="0" w:footer="0" w:header="0"/>
        </w:sectPr>
      </w:pPr>
    </w:p>
    <w:bookmarkStart w:id="46" w:name="page47"/>
    <w:bookmarkEnd w:id="46"/>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right="1139" w:firstLine="365"/>
        <w:spacing w:after="0" w:line="277"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2009 of Grand Canyon Education, Inc.;</w:t>
      </w:r>
    </w:p>
    <w:p>
      <w:pPr>
        <w:spacing w:after="0" w:line="129" w:lineRule="exact"/>
        <w:rPr>
          <w:rFonts w:ascii="Arial" w:cs="Arial" w:eastAsia="Arial" w:hAnsi="Arial"/>
          <w:sz w:val="18"/>
          <w:szCs w:val="18"/>
          <w:color w:val="auto"/>
        </w:rPr>
      </w:pPr>
    </w:p>
    <w:p>
      <w:pPr>
        <w:ind w:right="799" w:firstLine="365"/>
        <w:spacing w:after="0" w:line="264"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November 3,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47" w:name="page48"/>
    <w:bookmarkEnd w:id="47"/>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right="1139" w:firstLine="365"/>
        <w:spacing w:after="0" w:line="277" w:lineRule="auto"/>
        <w:tabs>
          <w:tab w:leader="none" w:pos="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September 30, 2009 of Grand Canyon Education, Inc.;</w:t>
      </w:r>
    </w:p>
    <w:p>
      <w:pPr>
        <w:spacing w:after="0" w:line="143" w:lineRule="exact"/>
        <w:rPr>
          <w:rFonts w:ascii="Arial" w:cs="Arial" w:eastAsia="Arial" w:hAnsi="Arial"/>
          <w:sz w:val="18"/>
          <w:szCs w:val="18"/>
          <w:color w:val="auto"/>
        </w:rPr>
      </w:pPr>
    </w:p>
    <w:p>
      <w:pPr>
        <w:ind w:right="799" w:firstLine="365"/>
        <w:spacing w:after="0" w:line="264" w:lineRule="auto"/>
        <w:tabs>
          <w:tab w:leader="none" w:pos="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3,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3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513" w:right="1440" w:bottom="1440" w:gutter="0" w:footer="0" w:header="0"/>
        </w:sectPr>
      </w:pPr>
    </w:p>
    <w:bookmarkStart w:id="48" w:name="page49"/>
    <w:bookmarkEnd w:id="48"/>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ind w:left="8" w:right="73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2009 as filed with the Securities and Exchange Commission on the date hereof (the “Report”), I, Brian E. Mueller, Chief Executive Officer, of the Company, certify, pursuant to § 906 of the Sarbanes-Oxley Act of 2002,18 U.S.C. § 1350, that to my knowledge:</w:t>
      </w:r>
    </w:p>
    <w:p>
      <w:pPr>
        <w:spacing w:after="0" w:line="146" w:lineRule="exact"/>
        <w:rPr>
          <w:sz w:val="20"/>
          <w:szCs w:val="20"/>
          <w:color w:val="auto"/>
        </w:rPr>
      </w:pPr>
    </w:p>
    <w:p>
      <w:pPr>
        <w:ind w:left="348" w:right="999" w:hanging="348"/>
        <w:spacing w:after="0" w:line="277" w:lineRule="auto"/>
        <w:tabs>
          <w:tab w:leader="none" w:pos="3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3,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04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513" w:right="1440" w:bottom="1440" w:gutter="0" w:footer="0" w:header="0"/>
        </w:sectPr>
      </w:pPr>
    </w:p>
    <w:bookmarkStart w:id="49" w:name="page50"/>
    <w:bookmarkEnd w:id="49"/>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September 30, 2009 as filed with the Securities and Exchange Commission on the date hereof (the “Report”), I, Daniel E. Bachus, Chief Financial Officer, of the Company, certify, pursuant to § 906 of the Sarbanes-Oxley Act of 2002,18 U.S.C. § 1350, that to my knowledge:</w:t>
      </w:r>
    </w:p>
    <w:p>
      <w:pPr>
        <w:spacing w:after="0" w:line="146" w:lineRule="exact"/>
        <w:rPr>
          <w:sz w:val="20"/>
          <w:szCs w:val="20"/>
          <w:color w:val="auto"/>
        </w:rPr>
      </w:pPr>
    </w:p>
    <w:p>
      <w:pPr>
        <w:ind w:left="348" w:right="999" w:hanging="348"/>
        <w:spacing w:after="0" w:line="277" w:lineRule="auto"/>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3,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04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3"/>
    </w:lvl>
  </w:abstractNum>
  <w:abstractNum w:abstractNumId="11">
    <w:nsid w:val="436C6125"/>
    <w:multiLevelType w:val="hybridMultilevel"/>
    <w:lvl w:ilvl="0">
      <w:lvlJc w:val="left"/>
      <w:lvlText w:val="(%1)"/>
      <w:numFmt w:val="decimal"/>
      <w:start w:val="30"/>
    </w:lvl>
  </w:abstractNum>
  <w:abstractNum w:abstractNumId="12">
    <w:nsid w:val="628C895D"/>
    <w:multiLevelType w:val="hybridMultilevel"/>
    <w:lvl w:ilvl="0">
      <w:lvlJc w:val="left"/>
      <w:lvlText w:val="%1."/>
      <w:numFmt w:val="decimal"/>
      <w:start w:val="4"/>
    </w:lvl>
  </w:abstractNum>
  <w:abstractNum w:abstractNumId="13">
    <w:nsid w:val="333AB105"/>
    <w:multiLevelType w:val="hybridMultilevel"/>
    <w:lvl w:ilvl="0">
      <w:lvlJc w:val="left"/>
      <w:lvlText w:val="%1."/>
      <w:numFmt w:val="decimal"/>
      <w:start w:val="5"/>
    </w:lvl>
  </w:abstractNum>
  <w:abstractNum w:abstractNumId="14">
    <w:nsid w:val="721DA317"/>
    <w:multiLevelType w:val="hybridMultilevel"/>
    <w:lvl w:ilvl="0">
      <w:lvlJc w:val="left"/>
      <w:lvlText w:val="(%1)"/>
      <w:numFmt w:val="decimal"/>
      <w:start w:val="30"/>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lvl w:ilvl="1">
      <w:lvlJc w:val="left"/>
      <w:lvlText w:val="(%2)"/>
      <w:numFmt w:val="lowerRoman"/>
      <w:start w:val="1"/>
    </w:lvl>
  </w:abstractNum>
  <w:abstractNum w:abstractNumId="17">
    <w:nsid w:val="6763845E"/>
    <w:multiLevelType w:val="hybridMultilevel"/>
    <w:lvl w:ilvl="0">
      <w:lvlJc w:val="left"/>
      <w:lvlText w:val="%1"/>
      <w:numFmt w:val="decimal"/>
      <w:start w:val="1"/>
    </w:lvl>
    <w:lvl w:ilvl="1">
      <w:lvlJc w:val="left"/>
      <w:lvlText w:val="(%2)"/>
      <w:numFmt w:val="lowerLetter"/>
      <w:start w:val="1"/>
    </w:lvl>
  </w:abstractNum>
  <w:abstractNum w:abstractNumId="18">
    <w:nsid w:val="75A2A8D4"/>
    <w:multiLevelType w:val="hybridMultilevel"/>
    <w:lvl w:ilvl="0">
      <w:lvlJc w:val="left"/>
      <w:lvlText w:val="%1."/>
      <w:numFmt w:val="decimal"/>
      <w:start w:val="7"/>
    </w:lvl>
    <w:lvl w:ilvl="1">
      <w:lvlJc w:val="left"/>
      <w:lvlText w:val="%2"/>
      <w:numFmt w:val="lowerLetter"/>
      <w:start w:val="1"/>
    </w:lvl>
  </w:abstractNum>
  <w:abstractNum w:abstractNumId="19">
    <w:nsid w:val="8EDBDAB"/>
    <w:multiLevelType w:val="hybridMultilevel"/>
    <w:lvl w:ilvl="0">
      <w:lvlJc w:val="left"/>
      <w:lvlText w:val="%1"/>
      <w:numFmt w:val="lowerLetter"/>
      <w:start w:val="1"/>
    </w:lvl>
    <w:lvl w:ilvl="1">
      <w:lvlJc w:val="left"/>
      <w:lvlText w:val="%2."/>
      <w:numFmt w:val="decimal"/>
      <w:start w:val="9"/>
    </w:lvl>
  </w:abstractNum>
  <w:abstractNum w:abstractNumId="20">
    <w:nsid w:val="79838CB2"/>
    <w:multiLevelType w:val="hybridMultilevel"/>
    <w:lvl w:ilvl="0">
      <w:lvlJc w:val="left"/>
      <w:lvlText w:val="(%1)"/>
      <w:numFmt w:val="lowerLetter"/>
      <w:start w:val="35"/>
    </w:lvl>
    <w:lvl w:ilvl="1">
      <w:lvlJc w:val="left"/>
      <w:lvlText w:val="%2"/>
      <w:numFmt w:val="decimal"/>
      <w:start w:val="1"/>
    </w:lvl>
  </w:abstractNum>
  <w:abstractNum w:abstractNumId="21">
    <w:nsid w:val="4353D0CD"/>
    <w:multiLevelType w:val="hybridMultilevel"/>
    <w:lvl w:ilvl="0">
      <w:lvlJc w:val="left"/>
      <w:lvlText w:val="(%1)"/>
      <w:numFmt w:val="lowerLetter"/>
      <w:start w:val="2"/>
    </w:lvl>
    <w:lvl w:ilvl="1">
      <w:lvlJc w:val="left"/>
      <w:lvlText w:val="%2"/>
      <w:numFmt w:val="decimal"/>
      <w:start w:val="1"/>
    </w:lvl>
  </w:abstractNum>
  <w:abstractNum w:abstractNumId="22">
    <w:nsid w:val="B03E0C6"/>
    <w:multiLevelType w:val="hybridMultilevel"/>
    <w:lvl w:ilvl="0">
      <w:lvlJc w:val="left"/>
      <w:lvlText w:val="%1."/>
      <w:numFmt w:val="decimal"/>
      <w:start w:val="11"/>
    </w:lvl>
  </w:abstractNum>
  <w:abstractNum w:abstractNumId="23">
    <w:nsid w:val="189A769B"/>
    <w:multiLevelType w:val="hybridMultilevel"/>
    <w:lvl w:ilvl="0">
      <w:lvlJc w:val="left"/>
      <w:lvlText w:val="%1."/>
      <w:numFmt w:val="decimal"/>
      <w:start w:val="13"/>
    </w:lvl>
  </w:abstractNum>
  <w:abstractNum w:abstractNumId="24">
    <w:nsid w:val="54E49EB4"/>
    <w:multiLevelType w:val="hybridMultilevel"/>
    <w:lvl w:ilvl="0">
      <w:lvlJc w:val="left"/>
      <w:lvlText w:val="%1."/>
      <w:numFmt w:val="decimal"/>
      <w:start w:val="1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2019-12-11T03:32:26Z</dcterms:created>
  <dcterms:modified xsi:type="dcterms:W3CDTF">2019-12-11T03:32:26Z</dcterms:modified>
</cp:coreProperties>
</file>