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MUELLER BRIAN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Grand Canyon Education,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279" w:lineRule="exact"/>
        <w:rPr>
          <w:sz w:val="24"/>
          <w:szCs w:val="24"/>
          <w:color w:val="auto"/>
        </w:rPr>
      </w:pPr>
    </w:p>
    <w:p>
      <w:pPr>
        <w:sectPr>
          <w:pgSz w:w="11900" w:h="16838" w:orient="portrait"/>
          <w:cols w:equalWidth="0" w:num="3">
            <w:col w:w="3200" w:space="720"/>
            <w:col w:w="3320" w:space="495"/>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PHOENIX</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AZ</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85017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11/12/2024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7,700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171.26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300,033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reflected in this report were sold in furtherance of the reporting person's general estate and tax planning activities.</w:t>
      </w:r>
    </w:p>
    <w:p>
      <w:pPr>
        <w:spacing w:after="0" w:line="5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from$171.14 to $171.26,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 set forth in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Brian E. Mueller, by Lyn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11/14/2024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6738"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2024-11-14T15:52:56Z</dcterms:created>
  <dcterms:modified xsi:type="dcterms:W3CDTF">2024-11-14T15:52:56Z</dcterms:modified>
</cp:coreProperties>
</file>