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210185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229870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May 2,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217170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81"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Grand Canyon Education,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210820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50" w:lineRule="exact"/>
        <w:rPr>
          <w:sz w:val="24"/>
          <w:szCs w:val="24"/>
          <w:color w:val="auto"/>
        </w:rPr>
      </w:pPr>
    </w:p>
    <w:tbl>
      <w:tblPr>
        <w:tblLayout w:type="fixed"/>
        <w:tblInd w:w="1040" w:type="dxa"/>
        <w:tblCellMar>
          <w:top w:w="0" w:type="dxa"/>
          <w:left w:w="0" w:type="dxa"/>
          <w:bottom w:w="0" w:type="dxa"/>
          <w:right w:w="0" w:type="dxa"/>
        </w:tblCellMar>
      </w:tblPr>
      <w:tr>
        <w:trPr>
          <w:trHeight w:val="207"/>
        </w:trPr>
        <w:tc>
          <w:tcPr>
            <w:tcW w:w="540" w:type="dxa"/>
            <w:vAlign w:val="bottom"/>
          </w:tcPr>
          <w:p>
            <w:pPr>
              <w:spacing w:after="0"/>
              <w:rPr>
                <w:sz w:val="17"/>
                <w:szCs w:val="17"/>
                <w:color w:val="auto"/>
              </w:rPr>
            </w:pPr>
          </w:p>
        </w:tc>
        <w:tc>
          <w:tcPr>
            <w:tcW w:w="3200" w:type="dxa"/>
            <w:vAlign w:val="bottom"/>
            <w:gridSpan w:val="4"/>
          </w:tcPr>
          <w:p>
            <w:pPr>
              <w:jc w:val="center"/>
              <w:ind w:right="2480"/>
              <w:spacing w:after="0"/>
              <w:rPr>
                <w:sz w:val="20"/>
                <w:szCs w:val="20"/>
                <w:color w:val="auto"/>
              </w:rPr>
            </w:pPr>
            <w:r>
              <w:rPr>
                <w:rFonts w:ascii="Arial" w:cs="Arial" w:eastAsia="Arial" w:hAnsi="Arial"/>
                <w:sz w:val="18"/>
                <w:szCs w:val="18"/>
                <w:b w:val="1"/>
                <w:bCs w:val="1"/>
                <w:color w:val="auto"/>
                <w:w w:val="91"/>
              </w:rPr>
              <w:t>Delaware</w:t>
            </w:r>
          </w:p>
        </w:tc>
        <w:tc>
          <w:tcPr>
            <w:tcW w:w="2500" w:type="dxa"/>
            <w:vAlign w:val="bottom"/>
            <w:gridSpan w:val="3"/>
          </w:tcPr>
          <w:p>
            <w:pPr>
              <w:ind w:left="680"/>
              <w:spacing w:after="0"/>
              <w:rPr>
                <w:sz w:val="20"/>
                <w:szCs w:val="20"/>
                <w:color w:val="auto"/>
              </w:rPr>
            </w:pPr>
            <w:r>
              <w:rPr>
                <w:rFonts w:ascii="Arial" w:cs="Arial" w:eastAsia="Arial" w:hAnsi="Arial"/>
                <w:sz w:val="18"/>
                <w:szCs w:val="18"/>
                <w:b w:val="1"/>
                <w:bCs w:val="1"/>
                <w:color w:val="auto"/>
              </w:rPr>
              <w:t>001-34211</w:t>
            </w:r>
          </w:p>
        </w:tc>
        <w:tc>
          <w:tcPr>
            <w:tcW w:w="2880" w:type="dxa"/>
            <w:vAlign w:val="bottom"/>
            <w:gridSpan w:val="5"/>
          </w:tcPr>
          <w:p>
            <w:pPr>
              <w:jc w:val="center"/>
              <w:ind w:left="1679"/>
              <w:spacing w:after="0"/>
              <w:rPr>
                <w:sz w:val="20"/>
                <w:szCs w:val="20"/>
                <w:color w:val="auto"/>
              </w:rPr>
            </w:pPr>
            <w:r>
              <w:rPr>
                <w:rFonts w:ascii="Arial" w:cs="Arial" w:eastAsia="Arial" w:hAnsi="Arial"/>
                <w:sz w:val="18"/>
                <w:szCs w:val="18"/>
                <w:b w:val="1"/>
                <w:bCs w:val="1"/>
                <w:color w:val="auto"/>
                <w:w w:val="91"/>
              </w:rPr>
              <w:t>20-3356009</w:t>
            </w:r>
          </w:p>
        </w:tc>
      </w:tr>
      <w:tr>
        <w:trPr>
          <w:trHeight w:val="20"/>
        </w:trPr>
        <w:tc>
          <w:tcPr>
            <w:tcW w:w="5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146"/>
        </w:trPr>
        <w:tc>
          <w:tcPr>
            <w:tcW w:w="3740" w:type="dxa"/>
            <w:vAlign w:val="bottom"/>
            <w:gridSpan w:val="5"/>
          </w:tcPr>
          <w:p>
            <w:pPr>
              <w:jc w:val="center"/>
              <w:ind w:right="1920"/>
              <w:spacing w:after="0" w:line="147" w:lineRule="exact"/>
              <w:rPr>
                <w:sz w:val="20"/>
                <w:szCs w:val="20"/>
                <w:color w:val="auto"/>
              </w:rPr>
            </w:pPr>
            <w:r>
              <w:rPr>
                <w:rFonts w:ascii="Arial" w:cs="Arial" w:eastAsia="Arial" w:hAnsi="Arial"/>
                <w:sz w:val="14"/>
                <w:szCs w:val="14"/>
                <w:b w:val="1"/>
                <w:bCs w:val="1"/>
                <w:color w:val="auto"/>
                <w:w w:val="92"/>
              </w:rPr>
              <w:t>(State or other Jurisdiction of</w:t>
            </w:r>
          </w:p>
        </w:tc>
        <w:tc>
          <w:tcPr>
            <w:tcW w:w="2500" w:type="dxa"/>
            <w:vAlign w:val="bottom"/>
            <w:gridSpan w:val="3"/>
          </w:tcPr>
          <w:p>
            <w:pPr>
              <w:ind w:left="660"/>
              <w:spacing w:after="0" w:line="147" w:lineRule="exact"/>
              <w:rPr>
                <w:sz w:val="20"/>
                <w:szCs w:val="20"/>
                <w:color w:val="auto"/>
              </w:rPr>
            </w:pPr>
            <w:r>
              <w:rPr>
                <w:rFonts w:ascii="Arial" w:cs="Arial" w:eastAsia="Arial" w:hAnsi="Arial"/>
                <w:sz w:val="14"/>
                <w:szCs w:val="14"/>
                <w:b w:val="1"/>
                <w:bCs w:val="1"/>
                <w:color w:val="auto"/>
              </w:rPr>
              <w:t>(Commission</w:t>
            </w:r>
          </w:p>
        </w:tc>
        <w:tc>
          <w:tcPr>
            <w:tcW w:w="11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80" w:type="dxa"/>
            <w:vAlign w:val="bottom"/>
            <w:gridSpan w:val="3"/>
          </w:tcPr>
          <w:p>
            <w:pPr>
              <w:jc w:val="center"/>
              <w:ind w:left="88"/>
              <w:spacing w:after="0" w:line="147"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3740" w:type="dxa"/>
            <w:vAlign w:val="bottom"/>
            <w:gridSpan w:val="5"/>
          </w:tcPr>
          <w:p>
            <w:pPr>
              <w:jc w:val="center"/>
              <w:ind w:right="1920"/>
              <w:spacing w:after="0"/>
              <w:rPr>
                <w:sz w:val="20"/>
                <w:szCs w:val="20"/>
                <w:color w:val="auto"/>
              </w:rPr>
            </w:pPr>
            <w:r>
              <w:rPr>
                <w:rFonts w:ascii="Arial" w:cs="Arial" w:eastAsia="Arial" w:hAnsi="Arial"/>
                <w:sz w:val="14"/>
                <w:szCs w:val="14"/>
                <w:b w:val="1"/>
                <w:bCs w:val="1"/>
                <w:color w:val="auto"/>
                <w:w w:val="94"/>
              </w:rPr>
              <w:t>Incorporation)</w:t>
            </w:r>
          </w:p>
        </w:tc>
        <w:tc>
          <w:tcPr>
            <w:tcW w:w="2500" w:type="dxa"/>
            <w:vAlign w:val="bottom"/>
            <w:gridSpan w:val="3"/>
          </w:tcPr>
          <w:p>
            <w:pPr>
              <w:ind w:left="640"/>
              <w:spacing w:after="0"/>
              <w:rPr>
                <w:sz w:val="20"/>
                <w:szCs w:val="20"/>
                <w:color w:val="auto"/>
              </w:rPr>
            </w:pPr>
            <w:r>
              <w:rPr>
                <w:rFonts w:ascii="Arial" w:cs="Arial" w:eastAsia="Arial" w:hAnsi="Arial"/>
                <w:sz w:val="14"/>
                <w:szCs w:val="14"/>
                <w:b w:val="1"/>
                <w:bCs w:val="1"/>
                <w:color w:val="auto"/>
              </w:rPr>
              <w:t>File Number)</w:t>
            </w:r>
          </w:p>
        </w:tc>
        <w:tc>
          <w:tcPr>
            <w:tcW w:w="11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80" w:type="dxa"/>
            <w:vAlign w:val="bottom"/>
            <w:gridSpan w:val="3"/>
          </w:tcPr>
          <w:p>
            <w:pPr>
              <w:jc w:val="center"/>
              <w:ind w:left="88"/>
              <w:spacing w:after="0"/>
              <w:rPr>
                <w:sz w:val="20"/>
                <w:szCs w:val="20"/>
                <w:color w:val="auto"/>
              </w:rPr>
            </w:pPr>
            <w:r>
              <w:rPr>
                <w:rFonts w:ascii="Arial" w:cs="Arial" w:eastAsia="Arial" w:hAnsi="Arial"/>
                <w:sz w:val="14"/>
                <w:szCs w:val="14"/>
                <w:b w:val="1"/>
                <w:bCs w:val="1"/>
                <w:color w:val="auto"/>
                <w:w w:val="94"/>
              </w:rPr>
              <w:t>Identification No.)</w:t>
            </w:r>
          </w:p>
        </w:tc>
      </w:tr>
      <w:tr>
        <w:trPr>
          <w:trHeight w:val="466"/>
        </w:trPr>
        <w:tc>
          <w:tcPr>
            <w:tcW w:w="540" w:type="dxa"/>
            <w:vAlign w:val="bottom"/>
          </w:tcPr>
          <w:p>
            <w:pPr>
              <w:spacing w:after="0"/>
              <w:rPr>
                <w:sz w:val="24"/>
                <w:szCs w:val="24"/>
                <w:color w:val="auto"/>
              </w:rPr>
            </w:pPr>
          </w:p>
        </w:tc>
        <w:tc>
          <w:tcPr>
            <w:tcW w:w="3200" w:type="dxa"/>
            <w:vAlign w:val="bottom"/>
            <w:gridSpan w:val="4"/>
          </w:tcPr>
          <w:p>
            <w:pPr>
              <w:jc w:val="center"/>
              <w:ind w:right="580"/>
              <w:spacing w:after="0"/>
              <w:rPr>
                <w:sz w:val="20"/>
                <w:szCs w:val="20"/>
                <w:color w:val="auto"/>
              </w:rPr>
            </w:pPr>
            <w:r>
              <w:rPr>
                <w:rFonts w:ascii="Arial" w:cs="Arial" w:eastAsia="Arial" w:hAnsi="Arial"/>
                <w:sz w:val="18"/>
                <w:szCs w:val="18"/>
                <w:b w:val="1"/>
                <w:bCs w:val="1"/>
                <w:color w:val="auto"/>
                <w:w w:val="91"/>
              </w:rPr>
              <w:t>3300 W. Camelback Road</w:t>
            </w:r>
          </w:p>
        </w:tc>
        <w:tc>
          <w:tcPr>
            <w:tcW w:w="6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194"/>
        </w:trPr>
        <w:tc>
          <w:tcPr>
            <w:tcW w:w="5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340" w:type="dxa"/>
            <w:vAlign w:val="bottom"/>
            <w:tcBorders>
              <w:bottom w:val="single" w:sz="8" w:color="auto"/>
            </w:tcBorders>
            <w:gridSpan w:val="2"/>
          </w:tcPr>
          <w:p>
            <w:pPr>
              <w:jc w:val="center"/>
              <w:spacing w:after="0" w:line="194" w:lineRule="exact"/>
              <w:rPr>
                <w:sz w:val="20"/>
                <w:szCs w:val="20"/>
                <w:color w:val="auto"/>
              </w:rPr>
            </w:pPr>
            <w:r>
              <w:rPr>
                <w:rFonts w:ascii="Arial" w:cs="Arial" w:eastAsia="Arial" w:hAnsi="Arial"/>
                <w:sz w:val="18"/>
                <w:szCs w:val="18"/>
                <w:b w:val="1"/>
                <w:bCs w:val="1"/>
                <w:color w:val="auto"/>
                <w:w w:val="91"/>
              </w:rPr>
              <w:t>Phoenix, Arizona</w:t>
            </w:r>
          </w:p>
        </w:tc>
        <w:tc>
          <w:tcPr>
            <w:tcW w:w="12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46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8"/>
                <w:szCs w:val="18"/>
                <w:b w:val="1"/>
                <w:bCs w:val="1"/>
                <w:color w:val="auto"/>
                <w:w w:val="87"/>
              </w:rPr>
              <w:t>85017</w:t>
            </w:r>
          </w:p>
        </w:tc>
        <w:tc>
          <w:tcPr>
            <w:tcW w:w="2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98"/>
        </w:trPr>
        <w:tc>
          <w:tcPr>
            <w:tcW w:w="540" w:type="dxa"/>
            <w:vAlign w:val="bottom"/>
          </w:tcPr>
          <w:p>
            <w:pPr>
              <w:spacing w:after="0"/>
              <w:rPr>
                <w:sz w:val="17"/>
                <w:szCs w:val="17"/>
                <w:color w:val="auto"/>
              </w:rPr>
            </w:pPr>
          </w:p>
        </w:tc>
        <w:tc>
          <w:tcPr>
            <w:tcW w:w="3200" w:type="dxa"/>
            <w:vAlign w:val="bottom"/>
            <w:gridSpan w:val="4"/>
          </w:tcPr>
          <w:p>
            <w:pPr>
              <w:jc w:val="center"/>
              <w:ind w:right="580"/>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6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880" w:type="dxa"/>
            <w:vAlign w:val="bottom"/>
            <w:gridSpan w:val="5"/>
          </w:tcPr>
          <w:p>
            <w:pPr>
              <w:jc w:val="center"/>
              <w:ind w:right="140"/>
              <w:spacing w:after="0"/>
              <w:rPr>
                <w:sz w:val="20"/>
                <w:szCs w:val="20"/>
                <w:color w:val="auto"/>
              </w:rPr>
            </w:pPr>
            <w:r>
              <w:rPr>
                <w:rFonts w:ascii="Arial" w:cs="Arial" w:eastAsia="Arial" w:hAnsi="Arial"/>
                <w:sz w:val="14"/>
                <w:szCs w:val="14"/>
                <w:b w:val="1"/>
                <w:bCs w:val="1"/>
                <w:color w:val="auto"/>
                <w:w w:val="95"/>
              </w:rPr>
              <w:t>(Zip Code)</w:t>
            </w:r>
          </w:p>
        </w:tc>
      </w:tr>
    </w:tbl>
    <w:p>
      <w:pPr>
        <w:spacing w:after="0" w:line="142"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(602) 639-7500</w:t>
      </w:r>
    </w:p>
    <w:p>
      <w:pPr>
        <w:spacing w:after="0" w:line="180" w:lineRule="exact"/>
        <w:rPr>
          <w:sz w:val="24"/>
          <w:szCs w:val="24"/>
          <w:color w:val="auto"/>
        </w:rPr>
      </w:pPr>
    </w:p>
    <w:p>
      <w:pPr>
        <w:jc w:val="center"/>
        <w:ind w:right="20"/>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220980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03"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85" w:lineRule="exact"/>
        <w:rPr>
          <w:sz w:val="24"/>
          <w:szCs w:val="24"/>
          <w:color w:val="auto"/>
        </w:rPr>
      </w:pPr>
    </w:p>
    <w:p>
      <w:pPr>
        <w:ind w:right="120" w:firstLine="456"/>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1"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7" w:lineRule="exact"/>
        <w:rPr>
          <w:sz w:val="24"/>
          <w:szCs w:val="24"/>
          <w:color w:val="auto"/>
        </w:rPr>
      </w:pPr>
    </w:p>
    <w:p>
      <w:pPr>
        <w:ind w:right="100" w:firstLine="456"/>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Item 2.02. </w:t>
      </w:r>
      <w:r>
        <w:rPr>
          <w:rFonts w:ascii="Arial" w:cs="Arial" w:eastAsia="Arial" w:hAnsi="Arial"/>
          <w:sz w:val="18"/>
          <w:szCs w:val="18"/>
          <w:b w:val="1"/>
          <w:bCs w:val="1"/>
          <w:u w:val="single" w:color="auto"/>
          <w:color w:val="auto"/>
        </w:rPr>
        <w:t>Results of Operations and Financial Condition</w:t>
      </w:r>
      <w:r>
        <w:rPr>
          <w:rFonts w:ascii="Arial" w:cs="Arial" w:eastAsia="Arial" w:hAnsi="Arial"/>
          <w:sz w:val="18"/>
          <w:szCs w:val="18"/>
          <w:b w:val="1"/>
          <w:bCs w:val="1"/>
          <w:color w:val="auto"/>
        </w:rPr>
        <w:t>.</w:t>
      </w:r>
    </w:p>
    <w:p>
      <w:pPr>
        <w:spacing w:after="0" w:line="12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On May 2, 2018, Grand Canyon Education, Inc. (the “University”) reported its results for the first quarter of 2018. The press release dated May 2, 2018 is furnished as Exhibit 99.1 to this report.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9.01. </w:t>
      </w:r>
      <w:r>
        <w:rPr>
          <w:rFonts w:ascii="Arial" w:cs="Arial" w:eastAsia="Arial" w:hAnsi="Arial"/>
          <w:sz w:val="18"/>
          <w:szCs w:val="18"/>
          <w:b w:val="1"/>
          <w:bCs w:val="1"/>
          <w:u w:val="single" w:color="auto"/>
          <w:color w:val="auto"/>
        </w:rPr>
        <w:t>Consolidated Financial Statements and Exhibits</w:t>
      </w:r>
      <w:r>
        <w:rPr>
          <w:rFonts w:ascii="Arial" w:cs="Arial" w:eastAsia="Arial" w:hAnsi="Arial"/>
          <w:sz w:val="18"/>
          <w:szCs w:val="18"/>
          <w:b w:val="1"/>
          <w:bCs w:val="1"/>
          <w:color w:val="auto"/>
        </w:rPr>
        <w:t>.</w:t>
      </w:r>
    </w:p>
    <w:p>
      <w:pPr>
        <w:spacing w:after="0" w:line="121" w:lineRule="exact"/>
        <w:rPr>
          <w:sz w:val="20"/>
          <w:szCs w:val="20"/>
          <w:color w:val="auto"/>
        </w:rPr>
      </w:pPr>
    </w:p>
    <w:p>
      <w:pPr>
        <w:spacing w:after="0"/>
        <w:tabs>
          <w:tab w:leader="none" w:pos="48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May 2, 2018</w:t>
      </w:r>
    </w:p>
    <w:p>
      <w:pPr>
        <w:sectPr>
          <w:pgSz w:w="11900" w:h="16838" w:orient="portrait"/>
          <w:cols w:equalWidth="0" w:num="1">
            <w:col w:w="11380"/>
          </w:cols>
          <w:pgMar w:left="240" w:top="270" w:right="279" w:bottom="1440" w:gutter="0" w:footer="0" w:header="0"/>
        </w:sectPr>
      </w:pPr>
    </w:p>
    <w:bookmarkStart w:id="2" w:name="page3"/>
    <w:bookmarkEnd w:id="2"/>
    <w:p>
      <w:pPr>
        <w:jc w:val="right"/>
        <w:ind w:right="38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INDEX</w:t>
      </w:r>
    </w:p>
    <w:p>
      <w:pPr>
        <w:spacing w:after="0" w:line="244"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ind w:left="160"/>
        <w:spacing w:after="0"/>
        <w:tabs>
          <w:tab w:leader="none" w:pos="106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u w:val="single" w:color="auto"/>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-3175</wp:posOffset>
            </wp:positionV>
            <wp:extent cx="3175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7500" cy="8890"/>
                    </a:xfrm>
                    <a:prstGeom prst="rect">
                      <a:avLst/>
                    </a:prstGeom>
                    <a:noFill/>
                  </pic:spPr>
                </pic:pic>
              </a:graphicData>
            </a:graphic>
          </wp:anchor>
        </w:drawing>
      </w:r>
    </w:p>
    <w:p>
      <w:pPr>
        <w:spacing w:after="0" w:line="68" w:lineRule="exact"/>
        <w:rPr>
          <w:sz w:val="20"/>
          <w:szCs w:val="20"/>
          <w:color w:val="auto"/>
        </w:rPr>
      </w:pPr>
    </w:p>
    <w:p>
      <w:pPr>
        <w:spacing w:after="0"/>
        <w:tabs>
          <w:tab w:leader="none" w:pos="106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u w:val="single" w:color="auto"/>
          <w:color w:val="0000EE"/>
        </w:rPr>
        <w:t>Press Release dated May 2, 2018</w:t>
      </w:r>
    </w:p>
    <w:p>
      <w:pPr>
        <w:sectPr>
          <w:pgSz w:w="11900" w:h="16838" w:orient="portrait"/>
          <w:cols w:equalWidth="0" w:num="1">
            <w:col w:w="10219"/>
          </w:cols>
          <w:pgMar w:left="240" w:top="274" w:right="1440"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5" w:lineRule="exact"/>
        <w:rPr>
          <w:sz w:val="20"/>
          <w:szCs w:val="20"/>
          <w:color w:val="auto"/>
        </w:rPr>
      </w:pPr>
    </w:p>
    <w:p>
      <w:pPr>
        <w:ind w:right="620"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40" w:type="dxa"/>
            <w:vAlign w:val="bottom"/>
          </w:tcPr>
          <w:p>
            <w:pPr>
              <w:spacing w:after="0"/>
              <w:rPr>
                <w:sz w:val="20"/>
                <w:szCs w:val="20"/>
                <w:color w:val="auto"/>
              </w:rPr>
            </w:pPr>
          </w:p>
        </w:tc>
        <w:tc>
          <w:tcPr>
            <w:tcW w:w="7780" w:type="dxa"/>
            <w:vAlign w:val="bottom"/>
            <w:gridSpan w:val="2"/>
          </w:tcPr>
          <w:p>
            <w:pPr>
              <w:ind w:left="2260"/>
              <w:spacing w:after="0"/>
              <w:rPr>
                <w:sz w:val="20"/>
                <w:szCs w:val="20"/>
                <w:color w:val="auto"/>
              </w:rPr>
            </w:pPr>
            <w:r>
              <w:rPr>
                <w:rFonts w:ascii="Arial" w:cs="Arial" w:eastAsia="Arial" w:hAnsi="Arial"/>
                <w:sz w:val="18"/>
                <w:szCs w:val="18"/>
                <w:color w:val="auto"/>
              </w:rPr>
              <w:t>GRAND CANYON EDUCATION, INC.</w:t>
            </w:r>
          </w:p>
        </w:tc>
      </w:tr>
      <w:tr>
        <w:trPr>
          <w:trHeight w:val="432"/>
        </w:trPr>
        <w:tc>
          <w:tcPr>
            <w:tcW w:w="3640" w:type="dxa"/>
            <w:vAlign w:val="bottom"/>
          </w:tcPr>
          <w:p>
            <w:pPr>
              <w:spacing w:after="0"/>
              <w:rPr>
                <w:sz w:val="20"/>
                <w:szCs w:val="20"/>
                <w:color w:val="auto"/>
              </w:rPr>
            </w:pPr>
            <w:r>
              <w:rPr>
                <w:rFonts w:ascii="Arial" w:cs="Arial" w:eastAsia="Arial" w:hAnsi="Arial"/>
                <w:sz w:val="18"/>
                <w:szCs w:val="18"/>
                <w:color w:val="auto"/>
              </w:rPr>
              <w:t>Date: May 2, 2018</w:t>
            </w:r>
          </w:p>
        </w:tc>
        <w:tc>
          <w:tcPr>
            <w:tcW w:w="7780" w:type="dxa"/>
            <w:vAlign w:val="bottom"/>
            <w:gridSpan w:val="2"/>
          </w:tcPr>
          <w:p>
            <w:pPr>
              <w:ind w:left="2260"/>
              <w:spacing w:after="0"/>
              <w:rPr>
                <w:sz w:val="20"/>
                <w:szCs w:val="20"/>
                <w:color w:val="auto"/>
              </w:rPr>
            </w:pPr>
            <w:r>
              <w:rPr>
                <w:rFonts w:ascii="Arial" w:cs="Arial" w:eastAsia="Arial" w:hAnsi="Arial"/>
                <w:sz w:val="18"/>
                <w:szCs w:val="18"/>
                <w:color w:val="auto"/>
              </w:rPr>
              <w:t>By:  /s/ Daniel E. Bachus</w:t>
            </w:r>
          </w:p>
        </w:tc>
      </w:tr>
      <w:tr>
        <w:trPr>
          <w:trHeight w:val="195"/>
        </w:trPr>
        <w:tc>
          <w:tcPr>
            <w:tcW w:w="3640" w:type="dxa"/>
            <w:vAlign w:val="bottom"/>
          </w:tcPr>
          <w:p>
            <w:pPr>
              <w:spacing w:after="0"/>
              <w:rPr>
                <w:sz w:val="16"/>
                <w:szCs w:val="16"/>
                <w:color w:val="auto"/>
              </w:rPr>
            </w:pPr>
          </w:p>
        </w:tc>
        <w:tc>
          <w:tcPr>
            <w:tcW w:w="2540" w:type="dxa"/>
            <w:vAlign w:val="bottom"/>
          </w:tcPr>
          <w:p>
            <w:pPr>
              <w:spacing w:after="0"/>
              <w:rPr>
                <w:sz w:val="16"/>
                <w:szCs w:val="16"/>
                <w:color w:val="auto"/>
              </w:rPr>
            </w:pPr>
          </w:p>
        </w:tc>
        <w:tc>
          <w:tcPr>
            <w:tcW w:w="5240" w:type="dxa"/>
            <w:vAlign w:val="bottom"/>
            <w:tcBorders>
              <w:top w:val="single" w:sz="8" w:color="auto"/>
            </w:tcBorders>
          </w:tcPr>
          <w:p>
            <w:pPr>
              <w:ind w:left="100"/>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364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5240" w:type="dxa"/>
            <w:vAlign w:val="bottom"/>
          </w:tcPr>
          <w:p>
            <w:pPr>
              <w:ind w:left="100"/>
              <w:spacing w:after="0"/>
              <w:rPr>
                <w:sz w:val="20"/>
                <w:szCs w:val="20"/>
                <w:color w:val="auto"/>
              </w:rPr>
            </w:pPr>
            <w:r>
              <w:rPr>
                <w:rFonts w:ascii="Arial" w:cs="Arial" w:eastAsia="Arial" w:hAnsi="Arial"/>
                <w:sz w:val="18"/>
                <w:szCs w:val="18"/>
                <w:color w:val="auto"/>
              </w:rPr>
              <w:t>Chief Financial Officer</w:t>
            </w:r>
          </w:p>
        </w:tc>
      </w:tr>
      <w:tr>
        <w:trPr>
          <w:trHeight w:val="230"/>
        </w:trPr>
        <w:tc>
          <w:tcPr>
            <w:tcW w:w="364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5240" w:type="dxa"/>
            <w:vAlign w:val="bottom"/>
          </w:tcPr>
          <w:p>
            <w:pPr>
              <w:ind w:left="100"/>
              <w:spacing w:after="0"/>
              <w:rPr>
                <w:sz w:val="20"/>
                <w:szCs w:val="20"/>
                <w:color w:val="auto"/>
              </w:rPr>
            </w:pPr>
            <w:r>
              <w:rPr>
                <w:rFonts w:ascii="Arial" w:cs="Arial" w:eastAsia="Arial" w:hAnsi="Arial"/>
                <w:sz w:val="18"/>
                <w:szCs w:val="18"/>
                <w:color w:val="auto"/>
              </w:rPr>
              <w:t>(Principal Financial and Principal Accounting Officer)</w:t>
            </w:r>
          </w:p>
        </w:tc>
      </w:tr>
    </w:tbl>
    <w:p>
      <w:pPr>
        <w:sectPr>
          <w:pgSz w:w="11900" w:h="16838" w:orient="portrait"/>
          <w:cols w:equalWidth="0" w:num="1">
            <w:col w:w="11420"/>
          </w:cols>
          <w:pgMar w:left="240" w:top="274" w:right="23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color w:val="auto"/>
        </w:rPr>
        <w:t>Exhibit 99.1</w:t>
      </w:r>
    </w:p>
    <w:p>
      <w:pPr>
        <w:spacing w:after="0" w:line="221"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NEWS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IMMEDIATE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Dan Bachus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Grand Canyon Education,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602-639-6648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Dan.bachus@gcu.edu</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Bob Romantic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Grand Canyon Education,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602-639-7611</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Bob.romantic@gcu.edu</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 REPORTS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FIRST QUARTER 2018 RESULTS</w:t>
      </w:r>
    </w:p>
    <w:p>
      <w:pPr>
        <w:spacing w:after="0" w:line="207" w:lineRule="exact"/>
        <w:rPr>
          <w:sz w:val="20"/>
          <w:szCs w:val="20"/>
          <w:color w:val="auto"/>
        </w:rPr>
      </w:pPr>
    </w:p>
    <w:p>
      <w:pPr>
        <w:jc w:val="both"/>
        <w:ind w:right="60"/>
        <w:spacing w:after="0" w:line="266" w:lineRule="auto"/>
        <w:rPr>
          <w:sz w:val="20"/>
          <w:szCs w:val="20"/>
          <w:color w:val="auto"/>
        </w:rPr>
      </w:pPr>
      <w:r>
        <w:rPr>
          <w:rFonts w:ascii="Arial" w:cs="Arial" w:eastAsia="Arial" w:hAnsi="Arial"/>
          <w:sz w:val="18"/>
          <w:szCs w:val="18"/>
          <w:b w:val="1"/>
          <w:bCs w:val="1"/>
          <w:color w:val="auto"/>
        </w:rPr>
        <w:t>PHOENIX, AZ., May 2, 2018</w:t>
      </w:r>
      <w:r>
        <w:rPr>
          <w:rFonts w:ascii="Arial" w:cs="Arial" w:eastAsia="Arial" w:hAnsi="Arial"/>
          <w:sz w:val="18"/>
          <w:szCs w:val="18"/>
          <w:color w:val="auto"/>
        </w:rPr>
        <w:t>—</w:t>
      </w:r>
      <w:r>
        <w:rPr>
          <w:rFonts w:ascii="Arial" w:cs="Arial" w:eastAsia="Arial" w:hAnsi="Arial"/>
          <w:sz w:val="18"/>
          <w:szCs w:val="18"/>
          <w:b w:val="1"/>
          <w:bCs w:val="1"/>
          <w:u w:val="single" w:color="auto"/>
          <w:color w:val="auto"/>
        </w:rPr>
        <w:t>Grand Canyon Education, Inc.</w:t>
      </w:r>
      <w:r>
        <w:rPr>
          <w:rFonts w:ascii="Arial" w:cs="Arial" w:eastAsia="Arial" w:hAnsi="Arial"/>
          <w:sz w:val="18"/>
          <w:szCs w:val="18"/>
          <w:b w:val="1"/>
          <w:bCs w:val="1"/>
          <w:color w:val="auto"/>
        </w:rPr>
        <w:t xml:space="preserve"> </w:t>
      </w:r>
      <w:r>
        <w:rPr>
          <w:rFonts w:ascii="Arial" w:cs="Arial" w:eastAsia="Arial" w:hAnsi="Arial"/>
          <w:sz w:val="18"/>
          <w:szCs w:val="18"/>
          <w:color w:val="auto"/>
        </w:rPr>
        <w:t>(NASDAQ: LOPE), a comprehensive regionally accredited university that offers over 225</w:t>
      </w:r>
      <w:r>
        <w:rPr>
          <w:rFonts w:ascii="Arial" w:cs="Arial" w:eastAsia="Arial" w:hAnsi="Arial"/>
          <w:sz w:val="18"/>
          <w:szCs w:val="18"/>
          <w:b w:val="1"/>
          <w:bCs w:val="1"/>
          <w:color w:val="auto"/>
        </w:rPr>
        <w:t xml:space="preserve"> </w:t>
      </w:r>
      <w:r>
        <w:rPr>
          <w:rFonts w:ascii="Arial" w:cs="Arial" w:eastAsia="Arial" w:hAnsi="Arial"/>
          <w:sz w:val="18"/>
          <w:szCs w:val="18"/>
          <w:color w:val="auto"/>
        </w:rPr>
        <w:t>graduate and undergraduate degree programs and certificates across nine colleges both online and on ground at its over 275 acre campus in Phoenix, Arizona, today announced financial results for the quarter ended March 31, 2018.</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ectPr>
          <w:pgSz w:w="11900" w:h="16838" w:orient="portrait"/>
          <w:cols w:equalWidth="0" w:num="1">
            <w:col w:w="11420"/>
          </w:cols>
          <w:pgMar w:left="240" w:top="125"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First Quarter 2018 Results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For the three months ended March 31, 2018:</w:t>
      </w:r>
    </w:p>
    <w:p>
      <w:pPr>
        <w:spacing w:after="0" w:line="131" w:lineRule="exact"/>
        <w:rPr>
          <w:sz w:val="20"/>
          <w:szCs w:val="20"/>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Net revenue increased 11.1% to $275.7 million for the first quarter of 2018, compared to $248.2 million for the first quarter of 2017.</w:t>
      </w:r>
    </w:p>
    <w:p>
      <w:pPr>
        <w:spacing w:after="0" w:line="130" w:lineRule="exact"/>
        <w:rPr>
          <w:rFonts w:ascii="Arial" w:cs="Arial" w:eastAsia="Arial" w:hAnsi="Arial"/>
          <w:sz w:val="18"/>
          <w:szCs w:val="18"/>
          <w:color w:val="auto"/>
        </w:rPr>
      </w:pPr>
    </w:p>
    <w:p>
      <w:pPr>
        <w:jc w:val="both"/>
        <w:ind w:left="440" w:right="60" w:hanging="324"/>
        <w:spacing w:after="0" w:line="342" w:lineRule="auto"/>
        <w:tabs>
          <w:tab w:leader="none" w:pos="440" w:val="left"/>
        </w:tabs>
        <w:numPr>
          <w:ilvl w:val="0"/>
          <w:numId w:val="2"/>
        </w:numPr>
        <w:rPr>
          <w:rFonts w:ascii="Arial" w:cs="Arial" w:eastAsia="Arial" w:hAnsi="Arial"/>
          <w:sz w:val="16"/>
          <w:szCs w:val="16"/>
          <w:color w:val="auto"/>
        </w:rPr>
      </w:pPr>
      <w:r>
        <w:rPr>
          <w:rFonts w:ascii="Arial" w:cs="Arial" w:eastAsia="Arial" w:hAnsi="Arial"/>
          <w:sz w:val="16"/>
          <w:szCs w:val="16"/>
          <w:color w:val="auto"/>
        </w:rPr>
        <w:t>End-of-period enrollment increased 9.6% to 91,378 at March 31, 2018, from 83,352 at March 31, 2017, as ground enrollment increased 9.6% to 17,386 at March 31, 2018, from 15,857 at March 31, 2017 and online enrollment increased 9.6% to 73,992 at March 31, 2018, from 67,495 at March 31, 2017.</w:t>
      </w:r>
    </w:p>
    <w:p>
      <w:pPr>
        <w:spacing w:after="0" w:line="29" w:lineRule="exact"/>
        <w:rPr>
          <w:rFonts w:ascii="Arial" w:cs="Arial" w:eastAsia="Arial" w:hAnsi="Arial"/>
          <w:sz w:val="16"/>
          <w:szCs w:val="16"/>
          <w:color w:val="auto"/>
        </w:rPr>
      </w:pPr>
    </w:p>
    <w:p>
      <w:pPr>
        <w:ind w:left="440" w:right="500" w:hanging="324"/>
        <w:spacing w:after="0" w:line="342" w:lineRule="auto"/>
        <w:tabs>
          <w:tab w:leader="none" w:pos="440" w:val="left"/>
        </w:tabs>
        <w:numPr>
          <w:ilvl w:val="0"/>
          <w:numId w:val="2"/>
        </w:numPr>
        <w:rPr>
          <w:rFonts w:ascii="Arial" w:cs="Arial" w:eastAsia="Arial" w:hAnsi="Arial"/>
          <w:sz w:val="16"/>
          <w:szCs w:val="16"/>
          <w:color w:val="auto"/>
        </w:rPr>
      </w:pPr>
      <w:r>
        <w:rPr>
          <w:rFonts w:ascii="Arial" w:cs="Arial" w:eastAsia="Arial" w:hAnsi="Arial"/>
          <w:sz w:val="16"/>
          <w:szCs w:val="16"/>
          <w:color w:val="auto"/>
        </w:rPr>
        <w:t>Operating income for the three months ended March 31, 2018 was $90.1 million, an increase of 17.6% as compared to $76.6 million for the same period in 2017. The operating margin for the three months ended March 31, 2018 was 32.7%, compared to 30.9% for the same period in 2017.</w:t>
      </w:r>
    </w:p>
    <w:p>
      <w:pPr>
        <w:spacing w:after="0" w:line="29" w:lineRule="exact"/>
        <w:rPr>
          <w:rFonts w:ascii="Arial" w:cs="Arial" w:eastAsia="Arial" w:hAnsi="Arial"/>
          <w:sz w:val="16"/>
          <w:szCs w:val="16"/>
          <w:color w:val="auto"/>
        </w:rPr>
      </w:pPr>
    </w:p>
    <w:p>
      <w:pPr>
        <w:ind w:left="440" w:hanging="324"/>
        <w:spacing w:after="0" w:line="290" w:lineRule="auto"/>
        <w:tabs>
          <w:tab w:leader="none" w:pos="44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tax rate in the three months ended March 31, 2018 was 18.8% compared to 26.5% in the same period in 2017. The lower effective tax rate year over year is a result of the Tax Cuts and Jobs Act (the “Act”) which was signed into law on December 22, 2017. The Act reduces the corporate federal tax rate from a maximum of 35% to a flat 21% rate effective January 1, 2018. Additionally, the University continues to benefit from the adoption of the share-based compensation standard, which resulted in the recognition of excess tax benefits from share-based compensation awards that vested or settled in the consolidated income statement. Excess tax benefits recorded for the three months ended March 31, 2018 and 2017 were $5.3 million and $8.5 million, respectively.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w:t>
      </w:r>
    </w:p>
    <w:p>
      <w:pPr>
        <w:spacing w:after="0" w:line="71" w:lineRule="exact"/>
        <w:rPr>
          <w:rFonts w:ascii="Arial" w:cs="Arial" w:eastAsia="Arial" w:hAnsi="Arial"/>
          <w:sz w:val="16"/>
          <w:szCs w:val="16"/>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Net income increased 31.8% to $73.7 million for the first quarter of 2018, compared to $55.9 million for the same period in 2017.</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Diluted net income per share was $1.52 for the first quarter of 2018, compared to $1.16 for the same period in 2017.</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Adjusted EBITDA increased 16.2% to $108.0 million for the first quarter of 2018, compared to $92.9 million for the same period in 2017.</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Balance Sheet and Cash Flow</w:t>
      </w:r>
    </w:p>
    <w:p>
      <w:pPr>
        <w:spacing w:after="0" w:line="121" w:lineRule="exact"/>
        <w:rPr>
          <w:sz w:val="20"/>
          <w:szCs w:val="20"/>
          <w:color w:val="auto"/>
        </w:rPr>
      </w:pPr>
    </w:p>
    <w:p>
      <w:pPr>
        <w:ind w:right="120" w:firstLine="456"/>
        <w:spacing w:after="0" w:line="288" w:lineRule="auto"/>
        <w:rPr>
          <w:sz w:val="20"/>
          <w:szCs w:val="20"/>
          <w:color w:val="auto"/>
        </w:rPr>
      </w:pPr>
      <w:r>
        <w:rPr>
          <w:rFonts w:ascii="Arial" w:cs="Arial" w:eastAsia="Arial" w:hAnsi="Arial"/>
          <w:sz w:val="16"/>
          <w:szCs w:val="16"/>
          <w:color w:val="auto"/>
        </w:rPr>
        <w:t>The University financed its operating activities and capital expenditures during the three months ended March 31, 2018 and 2017 primarily through cash provided by operating activities. Our unrestricted cash and cash equivalents and investments were $334.8 million and $242.7 million at March 31, 2018 and December 31, 2017, respectively. Our restricted cash and cash equivalents at March 31, 2018 and December 31, 2017 were $72.8 million and</w:t>
      </w:r>
    </w:p>
    <w:p>
      <w:pPr>
        <w:ind w:right="40"/>
        <w:spacing w:after="0" w:line="261" w:lineRule="auto"/>
        <w:rPr>
          <w:sz w:val="20"/>
          <w:szCs w:val="20"/>
          <w:color w:val="auto"/>
        </w:rPr>
      </w:pPr>
      <w:r>
        <w:rPr>
          <w:rFonts w:ascii="Arial" w:cs="Arial" w:eastAsia="Arial" w:hAnsi="Arial"/>
          <w:sz w:val="18"/>
          <w:szCs w:val="18"/>
          <w:color w:val="auto"/>
        </w:rPr>
        <w:t>$94.5 million, respectively. In December 2012, we entered into a new credit agreement, which increased our term loan to $100 million with a maturity date of December 2019. Indebtedness under the term loan is secured by our assets and is guaranteed by certain of our subsidiaries.</w:t>
      </w:r>
    </w:p>
    <w:p>
      <w:pPr>
        <w:spacing w:after="0" w:line="184"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Net cash provided by operating activities for the three months ended March 31, 2018 was $119.0 million as compared to $109.7 million for the three months ended March 31, 2017. The increase in cash generated from operating activities between the three months ended March 31, 2017 and the three months ended March 31, 2018 is primarily due to increased net income and the timing of income tax and employee related payments as well as changes in other working capital such as accounts payable, accrued liabilities, deferred revenue and student deposits.</w:t>
      </w:r>
    </w:p>
    <w:p>
      <w:pPr>
        <w:spacing w:after="0" w:line="171" w:lineRule="exact"/>
        <w:rPr>
          <w:sz w:val="20"/>
          <w:szCs w:val="20"/>
          <w:color w:val="auto"/>
        </w:rPr>
      </w:pPr>
    </w:p>
    <w:p>
      <w:pPr>
        <w:ind w:right="120" w:firstLine="456"/>
        <w:spacing w:after="0" w:line="269" w:lineRule="auto"/>
        <w:rPr>
          <w:sz w:val="20"/>
          <w:szCs w:val="20"/>
          <w:color w:val="auto"/>
        </w:rPr>
      </w:pPr>
      <w:r>
        <w:rPr>
          <w:rFonts w:ascii="Arial" w:cs="Arial" w:eastAsia="Arial" w:hAnsi="Arial"/>
          <w:sz w:val="17"/>
          <w:szCs w:val="17"/>
          <w:color w:val="auto"/>
        </w:rPr>
        <w:t>Net cash used in investing activities was $38.5 million and $48.6 million for the three months ended March 31, 2018 and 2017, respectively. Our cash used in investing activities was primarily related to the purchase of short-term investments and capital expenditures. Purchases of short-term investments net of proceeds of these investments was $3.2 million and $19.0 million during the three months ended March 31, 2018 and 2017, respectively. Capital expenditures were $35.2 million and $21.7 million for the three months ended March 31, 2018 and 2017, respectively. During the three-month period for 2018, capital expenditures primarily consisted of ground campus building projects such as the construction of two additional residence halls, an additional classroom building and parking garage to support our growing traditional student enrollment, as well as purchases of computer equipment, other internal use software projects and furniture and equipment to support our increasing employee headcount. Included in off-site development for 2018 is $0.2 million we spent on the student services building that is in close proximity to our ground traditional campus. During the three-month period for 2017, capital expenditures primarily consisted of ground campus building projects such as the construction of an additional dormitory to support our growing traditional student enrollment, land acquisitions adjacent to our campus, as well as purchases of computer equipment, other internal use software projects and furniture and equipment to support our</w:t>
      </w:r>
    </w:p>
    <w:p>
      <w:pPr>
        <w:sectPr>
          <w:pgSz w:w="11900" w:h="16838" w:orient="portrait"/>
          <w:cols w:equalWidth="0" w:num="1">
            <w:col w:w="11420"/>
          </w:cols>
          <w:pgMar w:left="240" w:top="270" w:right="239" w:bottom="1440" w:gutter="0" w:footer="0" w:header="0"/>
        </w:sectPr>
      </w:pPr>
    </w:p>
    <w:bookmarkStart w:id="6" w:name="page7"/>
    <w:bookmarkEnd w:id="6"/>
    <w:p>
      <w:pPr>
        <w:ind w:right="18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increasing employee headcount. Included in off-site development for 2017 is $7.9 million we spent on the building and parking garage in close proximity to our ground traditional campus. Employees that work in two leased office buildings in the Phoenix area were relocated to this new building by the end of 2016.</w:t>
      </w:r>
    </w:p>
    <w:p>
      <w:pPr>
        <w:spacing w:after="0" w:line="181"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Net cash used in financing activities was $12.8 million and $33.1 million for the three months ended March 31, 2018 and 2017, respectively. During the three-month period for 2018, $11.5 million was used to purchase common shares withheld in lieu of income taxes resulting from the vesting of restricted share awards and $0.5 million was used to purchase treasury stock in accordance with the University’s share repurchase program, and principal payments on notes payable and capital leases totaled $1.7 million, partially offset by proceeds from the exercise of stock options of $0.9 million. During the three-month period for 2017, $25.0 million was used to repay the revolving line of credit, $9.5 million was used to purchase common shares withheld in lieu of income taxes resulting from restricted share awards and principal payments on notes payable and capital leases totaled $1.7 million, which amounts were partially offset by proceeds from the exercise of stock options of $3.1 million.</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(more)</w:t>
      </w:r>
    </w:p>
    <w:p>
      <w:pPr>
        <w:sectPr>
          <w:pgSz w:w="11900" w:h="16838" w:orient="portrait"/>
          <w:cols w:equalWidth="0" w:num="1">
            <w:col w:w="11420"/>
          </w:cols>
          <w:pgMar w:left="240" w:top="274"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First Quarter 2018 Results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2018 Outlook</w:t>
      </w:r>
    </w:p>
    <w:p>
      <w:pPr>
        <w:spacing w:after="0" w:line="131" w:lineRule="exact"/>
        <w:rPr>
          <w:sz w:val="20"/>
          <w:szCs w:val="20"/>
          <w:color w:val="auto"/>
        </w:rPr>
      </w:pPr>
    </w:p>
    <w:p>
      <w:pPr>
        <w:ind w:left="1500" w:right="200" w:hanging="1485"/>
        <w:spacing w:after="0" w:line="277" w:lineRule="auto"/>
        <w:tabs>
          <w:tab w:leader="none" w:pos="1480" w:val="left"/>
        </w:tabs>
        <w:rPr>
          <w:sz w:val="20"/>
          <w:szCs w:val="20"/>
          <w:color w:val="auto"/>
        </w:rPr>
      </w:pPr>
      <w:r>
        <w:rPr>
          <w:rFonts w:ascii="Arial" w:cs="Arial" w:eastAsia="Arial" w:hAnsi="Arial"/>
          <w:sz w:val="18"/>
          <w:szCs w:val="18"/>
          <w:b w:val="1"/>
          <w:bCs w:val="1"/>
          <w:color w:val="auto"/>
        </w:rPr>
        <w:t>Q2 2018:</w:t>
      </w:r>
      <w:r>
        <w:rPr>
          <w:sz w:val="20"/>
          <w:szCs w:val="20"/>
          <w:color w:val="auto"/>
        </w:rPr>
        <w:tab/>
      </w:r>
      <w:r>
        <w:rPr>
          <w:rFonts w:ascii="Arial" w:cs="Arial" w:eastAsia="Arial" w:hAnsi="Arial"/>
          <w:sz w:val="18"/>
          <w:szCs w:val="18"/>
          <w:color w:val="auto"/>
        </w:rPr>
        <w:t>Net revenue of $235.0 million; Target Operating Margin 23.2%; Diluted EPS of $0.85 using 48.6 million diluted shares; student counts of 80,900</w:t>
      </w:r>
    </w:p>
    <w:p>
      <w:pPr>
        <w:spacing w:after="0" w:line="62" w:lineRule="exact"/>
        <w:rPr>
          <w:sz w:val="20"/>
          <w:szCs w:val="20"/>
          <w:color w:val="auto"/>
        </w:rPr>
      </w:pPr>
    </w:p>
    <w:p>
      <w:pPr>
        <w:ind w:left="1500" w:right="200" w:hanging="1485"/>
        <w:spacing w:after="0" w:line="277" w:lineRule="auto"/>
        <w:tabs>
          <w:tab w:leader="none" w:pos="1480" w:val="left"/>
        </w:tabs>
        <w:rPr>
          <w:sz w:val="20"/>
          <w:szCs w:val="20"/>
          <w:color w:val="auto"/>
        </w:rPr>
      </w:pPr>
      <w:r>
        <w:rPr>
          <w:rFonts w:ascii="Arial" w:cs="Arial" w:eastAsia="Arial" w:hAnsi="Arial"/>
          <w:sz w:val="18"/>
          <w:szCs w:val="18"/>
          <w:b w:val="1"/>
          <w:bCs w:val="1"/>
          <w:color w:val="auto"/>
        </w:rPr>
        <w:t>Q3 2018:</w:t>
      </w:r>
      <w:r>
        <w:rPr>
          <w:sz w:val="20"/>
          <w:szCs w:val="20"/>
          <w:color w:val="auto"/>
        </w:rPr>
        <w:tab/>
      </w:r>
      <w:r>
        <w:rPr>
          <w:rFonts w:ascii="Arial" w:cs="Arial" w:eastAsia="Arial" w:hAnsi="Arial"/>
          <w:sz w:val="18"/>
          <w:szCs w:val="18"/>
          <w:color w:val="auto"/>
        </w:rPr>
        <w:t>Net revenue of $254.0 million; Target Operating Margin 24.9%; Diluted EPS of $0.98 using 48.7 million diluted shares; student counts of 98,400</w:t>
      </w:r>
    </w:p>
    <w:p>
      <w:pPr>
        <w:spacing w:after="0" w:line="62" w:lineRule="exact"/>
        <w:rPr>
          <w:sz w:val="20"/>
          <w:szCs w:val="20"/>
          <w:color w:val="auto"/>
        </w:rPr>
      </w:pPr>
    </w:p>
    <w:p>
      <w:pPr>
        <w:ind w:left="1500" w:right="200" w:hanging="1485"/>
        <w:spacing w:after="0" w:line="277" w:lineRule="auto"/>
        <w:tabs>
          <w:tab w:leader="none" w:pos="1480" w:val="left"/>
        </w:tabs>
        <w:rPr>
          <w:sz w:val="20"/>
          <w:szCs w:val="20"/>
          <w:color w:val="auto"/>
        </w:rPr>
      </w:pPr>
      <w:r>
        <w:rPr>
          <w:rFonts w:ascii="Arial" w:cs="Arial" w:eastAsia="Arial" w:hAnsi="Arial"/>
          <w:sz w:val="18"/>
          <w:szCs w:val="18"/>
          <w:b w:val="1"/>
          <w:bCs w:val="1"/>
          <w:color w:val="auto"/>
        </w:rPr>
        <w:t>Q4 2018:</w:t>
      </w:r>
      <w:r>
        <w:rPr>
          <w:sz w:val="20"/>
          <w:szCs w:val="20"/>
          <w:color w:val="auto"/>
        </w:rPr>
        <w:tab/>
      </w:r>
      <w:r>
        <w:rPr>
          <w:rFonts w:ascii="Arial" w:cs="Arial" w:eastAsia="Arial" w:hAnsi="Arial"/>
          <w:sz w:val="18"/>
          <w:szCs w:val="18"/>
          <w:color w:val="auto"/>
        </w:rPr>
        <w:t>Net revenue of $291.0 million; Target Operating Margin 33.0%; Diluted EPS of $1.47 using 48.9 million diluted shares; student counts of 97,100</w:t>
      </w:r>
    </w:p>
    <w:p>
      <w:pPr>
        <w:spacing w:after="0" w:line="62" w:lineRule="exact"/>
        <w:rPr>
          <w:sz w:val="20"/>
          <w:szCs w:val="20"/>
          <w:color w:val="auto"/>
        </w:rPr>
      </w:pPr>
    </w:p>
    <w:p>
      <w:pPr>
        <w:spacing w:after="0"/>
        <w:tabs>
          <w:tab w:leader="none" w:pos="1480" w:val="left"/>
        </w:tabs>
        <w:rPr>
          <w:sz w:val="20"/>
          <w:szCs w:val="20"/>
          <w:color w:val="auto"/>
        </w:rPr>
      </w:pPr>
      <w:r>
        <w:rPr>
          <w:rFonts w:ascii="Arial" w:cs="Arial" w:eastAsia="Arial" w:hAnsi="Arial"/>
          <w:sz w:val="18"/>
          <w:szCs w:val="18"/>
          <w:b w:val="1"/>
          <w:bCs w:val="1"/>
          <w:color w:val="auto"/>
        </w:rPr>
        <w:t>Full Year 2018:</w:t>
      </w:r>
      <w:r>
        <w:rPr>
          <w:sz w:val="20"/>
          <w:szCs w:val="20"/>
          <w:color w:val="auto"/>
        </w:rPr>
        <w:tab/>
      </w:r>
      <w:r>
        <w:rPr>
          <w:rFonts w:ascii="Arial" w:cs="Arial" w:eastAsia="Arial" w:hAnsi="Arial"/>
          <w:sz w:val="16"/>
          <w:szCs w:val="16"/>
          <w:color w:val="auto"/>
        </w:rPr>
        <w:t>Net revenue of $1,055.7 million; Target Operating Margin 28.8%; Diluted EPS of $4.82 using 48.7 million diluted shares</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This news release contains “forward-looking statements” which include information relating to future events, future financial performance, strategies expectations, competitive environment, regulation, and availability of resources. These forward-looking statements include, without limitation, statements regarding: projections, predictions, expectations, estimates, and forecasts as to our business, financial and operating results, and future economic performance, as well as; and statements of management’s goals and objectives and other similar expressions concerning matters that are not historical facts. Words such as “may,” “should,” “could,” “would,” “predicts,” “potential,” “continue,” “expects,” “anticipates,” “future,” “intends,” “plans,” “believes,” “estimates” and similar expressions, as well as statements in future tense, identify forward-looking statements.</w:t>
      </w:r>
    </w:p>
    <w:p>
      <w:pPr>
        <w:spacing w:after="0" w:line="178" w:lineRule="exact"/>
        <w:rPr>
          <w:sz w:val="20"/>
          <w:szCs w:val="20"/>
          <w:color w:val="auto"/>
        </w:rPr>
      </w:pPr>
    </w:p>
    <w:p>
      <w:pPr>
        <w:ind w:right="20"/>
        <w:spacing w:after="0" w:line="284" w:lineRule="auto"/>
        <w:rPr>
          <w:sz w:val="20"/>
          <w:szCs w:val="20"/>
          <w:color w:val="auto"/>
        </w:rPr>
      </w:pPr>
      <w:r>
        <w:rPr>
          <w:rFonts w:ascii="Arial" w:cs="Arial" w:eastAsia="Arial" w:hAnsi="Arial"/>
          <w:sz w:val="16"/>
          <w:szCs w:val="16"/>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 our announced intention to sell our academic and related operations and assets to a non-profit entity and become a services company; our failure to comply with the extensive regulatory framework applicable to our industry, including Title IV of the Higher Education Act and the regulations thereunder, state laws and regulatory requirements, and accrediting commission requirements; the ability of our students to obtain federal Title IV funds, state financial aid, and private financing; potential damage to our reputation or other adverse effects as a result of negative publicity in the media, in the industry or in connection with governmental reports or investigations or otherwise, affecting us or other companies in the for-profit post-secondary education sector; risks associated with changes in applicable federal and state laws and regulations and accrediting commission standards, including pending rulemaking by the Department of Education; competition from other universities in our geographic region and market sector, including competition for students, qualified executives and other personnel; our ability to properly manage risks and challenges associated with strategic initiatives, including the expansion of our campus, potential acquisitions or divestitures of, or investments in, new businesses, acquisitions of new properties, or the development of new campuses; our expected tax payments and tax rate, including the effect of the Tax Cuts and Jobs Act of 2017; our ability to hire and train new, and develop and train existing, faculty and employees; the pace of growth of our enrollment; our ability to convert prospective students to enrolled students and to retain active students to graduation; our success in updating and expanding the content of existing programs and developing new programs in a cost-effective manner or on a timely basis; industry competition, including competition for qualified executives and other personnel; risks associated with the competitive environment for marketing our programs; failure on our part to keep up with advances in technology that could enhance the online experience for our students; the extent to which obligations under our loan agreement, including the need to comply with restrictive and financial covenants and to pay principal and interest payments, limits our ability to conduct our operations or seek new business opportunities; our ability to manage future growth effectively; general adverse economic conditions or other developments that affect job prospects of our students; and other factors discussed in reports on file with the Securities and Exchange Commission.</w:t>
      </w:r>
    </w:p>
    <w:p>
      <w:pPr>
        <w:spacing w:after="0" w:line="398" w:lineRule="exact"/>
        <w:rPr>
          <w:sz w:val="20"/>
          <w:szCs w:val="20"/>
          <w:color w:val="auto"/>
        </w:rPr>
      </w:pPr>
    </w:p>
    <w:p>
      <w:pPr>
        <w:jc w:val="both"/>
        <w:ind w:right="320"/>
        <w:spacing w:after="0" w:line="256" w:lineRule="auto"/>
        <w:rPr>
          <w:sz w:val="20"/>
          <w:szCs w:val="20"/>
          <w:color w:val="auto"/>
        </w:rPr>
      </w:pPr>
      <w:r>
        <w:rPr>
          <w:rFonts w:ascii="Arial" w:cs="Arial" w:eastAsia="Arial" w:hAnsi="Arial"/>
          <w:sz w:val="18"/>
          <w:szCs w:val="18"/>
          <w:color w:val="auto"/>
        </w:rPr>
        <w:t>Forward-looking statements speak only as of the date the statements are made. You should not put undue reliance on any forward-looking statements. We assume no obligation to update forward-looking statements to reflect actual results, changes in assumptions, or changes in other factors affecting forward-looking information, except to the extent required by applicable securities laws. If we do</w:t>
      </w:r>
    </w:p>
    <w:p>
      <w:pPr>
        <w:ind w:right="260"/>
        <w:spacing w:after="0" w:line="261" w:lineRule="auto"/>
        <w:rPr>
          <w:sz w:val="20"/>
          <w:szCs w:val="20"/>
          <w:color w:val="auto"/>
        </w:rPr>
      </w:pPr>
      <w:r>
        <w:rPr>
          <w:rFonts w:ascii="Arial" w:cs="Arial" w:eastAsia="Arial" w:hAnsi="Arial"/>
          <w:sz w:val="18"/>
          <w:szCs w:val="18"/>
          <w:color w:val="auto"/>
        </w:rPr>
        <w:t>update one or more forward-looking statements, no inference should be drawn that we will make additional updates with respect to those or other forward-looking statements.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ectPr>
          <w:pgSz w:w="11900" w:h="16838" w:orient="portrait"/>
          <w:cols w:equalWidth="0" w:num="1">
            <w:col w:w="11420"/>
          </w:cols>
          <w:pgMar w:left="240" w:top="270"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First Quarter 2018 Results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w:t>
      </w:r>
    </w:p>
    <w:p>
      <w:pPr>
        <w:spacing w:after="0" w:line="121" w:lineRule="exact"/>
        <w:rPr>
          <w:sz w:val="20"/>
          <w:szCs w:val="20"/>
          <w:color w:val="auto"/>
        </w:rPr>
      </w:pPr>
    </w:p>
    <w:p>
      <w:pPr>
        <w:jc w:val="both"/>
        <w:ind w:right="160"/>
        <w:spacing w:after="0" w:line="286" w:lineRule="auto"/>
        <w:rPr>
          <w:sz w:val="20"/>
          <w:szCs w:val="20"/>
          <w:color w:val="auto"/>
        </w:rPr>
      </w:pPr>
      <w:r>
        <w:rPr>
          <w:rFonts w:ascii="Arial" w:cs="Arial" w:eastAsia="Arial" w:hAnsi="Arial"/>
          <w:sz w:val="17"/>
          <w:szCs w:val="17"/>
          <w:color w:val="auto"/>
        </w:rPr>
        <w:t xml:space="preserve">Grand Canyon Education, Inc. will discuss its first quarter 2018 results and 2018 outlook during a conference call scheduled for today, May 2, 2018 at 4:30 p.m. Eastern time (ET). To participate in the live call, investors should dial 877-577-1769 (domestic and Canada) or 706-679-7806 (international), passcode 6287379 at 4:25 p.m. (ET). The Webcast will be available on the Grand Canyon Education, Inc. Web site at </w:t>
      </w:r>
      <w:r>
        <w:rPr>
          <w:rFonts w:ascii="Arial" w:cs="Arial" w:eastAsia="Arial" w:hAnsi="Arial"/>
          <w:sz w:val="17"/>
          <w:szCs w:val="17"/>
          <w:u w:val="single" w:color="auto"/>
          <w:color w:val="auto"/>
        </w:rPr>
        <w:t>www.gcu.edu</w:t>
      </w:r>
      <w:r>
        <w:rPr>
          <w:rFonts w:ascii="Arial" w:cs="Arial" w:eastAsia="Arial" w:hAnsi="Arial"/>
          <w:sz w:val="17"/>
          <w:szCs w:val="17"/>
          <w:color w:val="auto"/>
        </w:rPr>
        <w:t>.</w:t>
      </w:r>
    </w:p>
    <w:p>
      <w:pPr>
        <w:spacing w:after="0" w:line="166" w:lineRule="exact"/>
        <w:rPr>
          <w:sz w:val="20"/>
          <w:szCs w:val="20"/>
          <w:color w:val="auto"/>
        </w:rPr>
      </w:pPr>
    </w:p>
    <w:p>
      <w:pPr>
        <w:ind w:right="960"/>
        <w:spacing w:after="0" w:line="308" w:lineRule="auto"/>
        <w:rPr>
          <w:sz w:val="20"/>
          <w:szCs w:val="20"/>
          <w:color w:val="auto"/>
        </w:rPr>
      </w:pPr>
      <w:r>
        <w:rPr>
          <w:rFonts w:ascii="Arial" w:cs="Arial" w:eastAsia="Arial" w:hAnsi="Arial"/>
          <w:sz w:val="17"/>
          <w:szCs w:val="17"/>
          <w:color w:val="auto"/>
        </w:rPr>
        <w:t xml:space="preserve">A replay of the call will be available approximately two hours following the conclusion of the call, at 855-859-2056 (domestic) or 404-537-3406 (international), passcode 6287379. It will also be archived at </w:t>
      </w:r>
      <w:r>
        <w:rPr>
          <w:rFonts w:ascii="Arial" w:cs="Arial" w:eastAsia="Arial" w:hAnsi="Arial"/>
          <w:sz w:val="17"/>
          <w:szCs w:val="17"/>
          <w:u w:val="single" w:color="auto"/>
          <w:color w:val="auto"/>
        </w:rPr>
        <w:t>www.gcu.edu</w:t>
      </w:r>
      <w:r>
        <w:rPr>
          <w:rFonts w:ascii="Arial" w:cs="Arial" w:eastAsia="Arial" w:hAnsi="Arial"/>
          <w:sz w:val="17"/>
          <w:szCs w:val="17"/>
          <w:color w:val="auto"/>
        </w:rPr>
        <w:t xml:space="preserve"> in the </w:t>
      </w:r>
      <w:r>
        <w:rPr>
          <w:rFonts w:ascii="Arial" w:cs="Arial" w:eastAsia="Arial" w:hAnsi="Arial"/>
          <w:sz w:val="17"/>
          <w:szCs w:val="17"/>
          <w:u w:val="single" w:color="auto"/>
          <w:color w:val="auto"/>
        </w:rPr>
        <w:t>investor relations</w:t>
      </w:r>
      <w:r>
        <w:rPr>
          <w:rFonts w:ascii="Arial" w:cs="Arial" w:eastAsia="Arial" w:hAnsi="Arial"/>
          <w:sz w:val="17"/>
          <w:szCs w:val="17"/>
          <w:color w:val="auto"/>
        </w:rPr>
        <w:t xml:space="preserve"> section for 60 days.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Grand Canyon Education, Inc.</w:t>
      </w:r>
    </w:p>
    <w:p>
      <w:pPr>
        <w:spacing w:after="0" w:line="12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 xml:space="preserve">Grand Canyon Education, Inc. is a comprehensive regionally accredited university that offers over 225 graduate and undergraduate degree programs and certificates across nine colleges both online and on ground at our over 275 acre campus in Phoenix, Arizona, at leased facilities and at facilities owned by third party employers of our students. We are committed to providing an academically rigorous educational experience with a focus on professionally relevant programs that meet the objectives of our students. Our undergraduate programs are designed to be innovative and meet the future needs of employers while providing students with the needed critical thinking and effective communication skills developed through a Christian-oriented, liberal arts foundation. We offer master and doctoral degrees in contemporary fields that are designed to provide students with the capacity for transformational leadership in their chosen industry, emphasizing the immediate relevance of theory, application, and evaluation to promote personal and organizational change. Approximately 91,400 students were enrolled as of March 31, 2018. For more information about Grand Canyon Education, Inc., please visit </w:t>
      </w:r>
      <w:r>
        <w:rPr>
          <w:rFonts w:ascii="Arial" w:cs="Arial" w:eastAsia="Arial" w:hAnsi="Arial"/>
          <w:sz w:val="16"/>
          <w:szCs w:val="16"/>
          <w:u w:val="single" w:color="auto"/>
          <w:color w:val="auto"/>
        </w:rPr>
        <w:t>http://www.gcu.edu</w:t>
      </w:r>
      <w:r>
        <w:rPr>
          <w:rFonts w:ascii="Arial" w:cs="Arial" w:eastAsia="Arial" w:hAnsi="Arial"/>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2898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9" w:lineRule="exact"/>
        <w:rPr>
          <w:sz w:val="20"/>
          <w:szCs w:val="20"/>
          <w:color w:val="auto"/>
        </w:rPr>
      </w:pPr>
    </w:p>
    <w:p>
      <w:pPr>
        <w:ind w:left="460" w:right="320"/>
        <w:spacing w:after="0" w:line="277" w:lineRule="auto"/>
        <w:rPr>
          <w:sz w:val="20"/>
          <w:szCs w:val="20"/>
          <w:color w:val="auto"/>
        </w:rPr>
      </w:pPr>
      <w:r>
        <w:rPr>
          <w:rFonts w:ascii="Arial" w:cs="Arial" w:eastAsia="Arial" w:hAnsi="Arial"/>
          <w:sz w:val="18"/>
          <w:szCs w:val="18"/>
          <w:color w:val="auto"/>
        </w:rPr>
        <w:t xml:space="preserve">Grand Canyon Education, Inc. is regionally accredited by The Higher Learning Commission, Grand Canyon University, 3300 W. Camelback Road, Phoenix, AZ 85017, </w:t>
      </w:r>
      <w:r>
        <w:rPr>
          <w:rFonts w:ascii="Arial" w:cs="Arial" w:eastAsia="Arial" w:hAnsi="Arial"/>
          <w:sz w:val="18"/>
          <w:szCs w:val="18"/>
          <w:b w:val="1"/>
          <w:bCs w:val="1"/>
          <w:u w:val="single" w:color="auto"/>
          <w:color w:val="auto"/>
        </w:rPr>
        <w:t>www.gcu.edu</w:t>
      </w:r>
      <w:r>
        <w:rPr>
          <w:rFonts w:ascii="Arial" w:cs="Arial" w:eastAsia="Arial" w:hAnsi="Arial"/>
          <w:sz w:val="18"/>
          <w:szCs w:val="18"/>
          <w:color w:val="auto"/>
        </w:rPr>
        <w: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t>
      </w:r>
    </w:p>
    <w:p>
      <w:pPr>
        <w:sectPr>
          <w:pgSz w:w="11900" w:h="16838" w:orient="portrait"/>
          <w:cols w:equalWidth="0" w:num="1">
            <w:col w:w="11400"/>
          </w:cols>
          <w:pgMar w:left="240" w:top="270" w:right="25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First Quarter 2018 Results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Income Statements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215" w:lineRule="exact"/>
        <w:rPr>
          <w:sz w:val="20"/>
          <w:szCs w:val="20"/>
          <w:color w:val="auto"/>
        </w:rPr>
      </w:pPr>
    </w:p>
    <w:p>
      <w:pPr>
        <w:jc w:val="center"/>
        <w:ind w:left="9500"/>
        <w:spacing w:after="0"/>
        <w:rPr>
          <w:sz w:val="20"/>
          <w:szCs w:val="20"/>
          <w:color w:val="auto"/>
        </w:rPr>
      </w:pPr>
      <w:r>
        <w:rPr>
          <w:rFonts w:ascii="Arial" w:cs="Arial" w:eastAsia="Arial" w:hAnsi="Arial"/>
          <w:sz w:val="14"/>
          <w:szCs w:val="14"/>
          <w:b w:val="1"/>
          <w:bCs w:val="1"/>
          <w:color w:val="auto"/>
        </w:rPr>
        <w:t>Three Months Ended</w:t>
      </w:r>
    </w:p>
    <w:p>
      <w:pPr>
        <w:jc w:val="center"/>
        <w:ind w:left="950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67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 except per share data)</w:t>
            </w:r>
          </w:p>
        </w:tc>
        <w:tc>
          <w:tcPr>
            <w:tcW w:w="29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2018</w:t>
            </w: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700" w:type="dxa"/>
            <w:vAlign w:val="bottom"/>
            <w:gridSpan w:val="3"/>
            <w:vMerge w:val="continue"/>
          </w:tcPr>
          <w:p>
            <w:pPr>
              <w:spacing w:after="0"/>
              <w:rPr>
                <w:sz w:val="12"/>
                <w:szCs w:val="12"/>
                <w:color w:val="auto"/>
              </w:rPr>
            </w:pPr>
          </w:p>
        </w:tc>
        <w:tc>
          <w:tcPr>
            <w:tcW w:w="2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2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Net revenue</w:t>
            </w:r>
          </w:p>
        </w:tc>
        <w:tc>
          <w:tcPr>
            <w:tcW w:w="4400" w:type="dxa"/>
            <w:vAlign w:val="bottom"/>
            <w:tcBorders>
              <w:top w:val="single" w:sz="8" w:color="CCEEFF"/>
            </w:tcBorders>
            <w:shd w:val="clear" w:color="auto" w:fill="CCEEFF"/>
          </w:tcPr>
          <w:p>
            <w:pPr>
              <w:spacing w:after="0"/>
              <w:rPr>
                <w:sz w:val="17"/>
                <w:szCs w:val="17"/>
                <w:color w:val="auto"/>
              </w:rPr>
            </w:pPr>
          </w:p>
        </w:tc>
        <w:tc>
          <w:tcPr>
            <w:tcW w:w="3000" w:type="dxa"/>
            <w:vAlign w:val="bottom"/>
            <w:tcBorders>
              <w:top w:val="single" w:sz="8" w:color="CCEEFF"/>
            </w:tcBorders>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60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89"/>
              </w:rPr>
              <w:t>275,681</w:t>
            </w:r>
          </w:p>
        </w:tc>
        <w:tc>
          <w:tcPr>
            <w:tcW w:w="3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00" w:type="dxa"/>
            <w:vAlign w:val="bottom"/>
            <w:tcBorders>
              <w:top w:val="single" w:sz="8" w:color="CCEEFF"/>
            </w:tcBorders>
            <w:gridSpan w:val="2"/>
            <w:shd w:val="clear" w:color="auto" w:fill="CCEEFF"/>
          </w:tcPr>
          <w:p>
            <w:pPr>
              <w:jc w:val="right"/>
              <w:ind w:right="100"/>
              <w:spacing w:after="0" w:line="196" w:lineRule="exact"/>
              <w:rPr>
                <w:sz w:val="20"/>
                <w:szCs w:val="20"/>
                <w:color w:val="auto"/>
              </w:rPr>
            </w:pPr>
            <w:r>
              <w:rPr>
                <w:rFonts w:ascii="Arial" w:cs="Arial" w:eastAsia="Arial" w:hAnsi="Arial"/>
                <w:sz w:val="18"/>
                <w:szCs w:val="18"/>
                <w:color w:val="auto"/>
                <w:w w:val="89"/>
              </w:rPr>
              <w:t>248,206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tcPr>
          <w:p>
            <w:pPr>
              <w:spacing w:after="0"/>
              <w:rPr>
                <w:sz w:val="20"/>
                <w:szCs w:val="20"/>
                <w:color w:val="auto"/>
              </w:rPr>
            </w:pPr>
            <w:r>
              <w:rPr>
                <w:rFonts w:ascii="Arial" w:cs="Arial" w:eastAsia="Arial" w:hAnsi="Arial"/>
                <w:sz w:val="18"/>
                <w:szCs w:val="18"/>
                <w:b w:val="1"/>
                <w:bCs w:val="1"/>
                <w:color w:val="auto"/>
              </w:rPr>
              <w:t>Costs and expenses:</w:t>
            </w:r>
          </w:p>
        </w:tc>
        <w:tc>
          <w:tcPr>
            <w:tcW w:w="2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Instructional costs and services</w:t>
            </w:r>
          </w:p>
        </w:tc>
        <w:tc>
          <w:tcPr>
            <w:tcW w:w="2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9"/>
              </w:rPr>
              <w:t>111,027</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102,574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tcPr>
          <w:p>
            <w:pPr>
              <w:ind w:left="340"/>
              <w:spacing w:after="0"/>
              <w:rPr>
                <w:sz w:val="20"/>
                <w:szCs w:val="20"/>
                <w:color w:val="auto"/>
              </w:rPr>
            </w:pPr>
            <w:r>
              <w:rPr>
                <w:rFonts w:ascii="Arial" w:cs="Arial" w:eastAsia="Arial" w:hAnsi="Arial"/>
                <w:sz w:val="18"/>
                <w:szCs w:val="18"/>
                <w:color w:val="auto"/>
              </w:rPr>
              <w:t>Admissions advisory and related</w:t>
            </w:r>
          </w:p>
        </w:tc>
        <w:tc>
          <w:tcPr>
            <w:tcW w:w="2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34,854</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31,972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Advertising</w:t>
            </w:r>
          </w:p>
        </w:tc>
        <w:tc>
          <w:tcPr>
            <w:tcW w:w="2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25,715</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24,631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tcPr>
          <w:p>
            <w:pPr>
              <w:ind w:left="340"/>
              <w:spacing w:after="0"/>
              <w:rPr>
                <w:sz w:val="20"/>
                <w:szCs w:val="20"/>
                <w:color w:val="auto"/>
              </w:rPr>
            </w:pPr>
            <w:r>
              <w:rPr>
                <w:rFonts w:ascii="Arial" w:cs="Arial" w:eastAsia="Arial" w:hAnsi="Arial"/>
                <w:sz w:val="18"/>
                <w:szCs w:val="18"/>
                <w:color w:val="auto"/>
              </w:rPr>
              <w:t>Marketing and promotional</w:t>
            </w:r>
          </w:p>
        </w:tc>
        <w:tc>
          <w:tcPr>
            <w:tcW w:w="2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2,684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2,460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2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11,309</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9,941</w:t>
            </w:r>
          </w:p>
        </w:tc>
        <w:tc>
          <w:tcPr>
            <w:tcW w:w="0" w:type="dxa"/>
            <w:vAlign w:val="bottom"/>
          </w:tcPr>
          <w:p>
            <w:pPr>
              <w:spacing w:after="0"/>
              <w:rPr>
                <w:sz w:val="1"/>
                <w:szCs w:val="1"/>
                <w:color w:val="auto"/>
              </w:rPr>
            </w:pPr>
          </w:p>
        </w:tc>
      </w:tr>
      <w:tr>
        <w:trPr>
          <w:trHeight w:val="230"/>
        </w:trPr>
        <w:tc>
          <w:tcPr>
            <w:tcW w:w="6700" w:type="dxa"/>
            <w:vAlign w:val="bottom"/>
            <w:gridSpan w:val="3"/>
          </w:tcPr>
          <w:p>
            <w:pPr>
              <w:spacing w:after="0"/>
              <w:rPr>
                <w:sz w:val="20"/>
                <w:szCs w:val="20"/>
                <w:color w:val="auto"/>
              </w:rPr>
            </w:pPr>
            <w:r>
              <w:rPr>
                <w:rFonts w:ascii="Arial" w:cs="Arial" w:eastAsia="Arial" w:hAnsi="Arial"/>
                <w:sz w:val="18"/>
                <w:szCs w:val="18"/>
                <w:b w:val="1"/>
                <w:bCs w:val="1"/>
                <w:color w:val="auto"/>
              </w:rPr>
              <w:t>Total costs and expenses</w:t>
            </w:r>
          </w:p>
        </w:tc>
        <w:tc>
          <w:tcPr>
            <w:tcW w:w="29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185,589</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171,578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2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90,092</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76,628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tcPr>
          <w:p>
            <w:pPr>
              <w:ind w:left="340"/>
              <w:spacing w:after="0"/>
              <w:rPr>
                <w:sz w:val="20"/>
                <w:szCs w:val="20"/>
                <w:color w:val="auto"/>
              </w:rPr>
            </w:pPr>
            <w:r>
              <w:rPr>
                <w:rFonts w:ascii="Arial" w:cs="Arial" w:eastAsia="Arial" w:hAnsi="Arial"/>
                <w:sz w:val="18"/>
                <w:szCs w:val="18"/>
                <w:color w:val="auto"/>
              </w:rPr>
              <w:t>Interest expense</w:t>
            </w:r>
          </w:p>
        </w:tc>
        <w:tc>
          <w:tcPr>
            <w:tcW w:w="2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(346)</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(580)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Interest and other income</w:t>
            </w:r>
          </w:p>
        </w:tc>
        <w:tc>
          <w:tcPr>
            <w:tcW w:w="2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981</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23"/>
        </w:trPr>
        <w:tc>
          <w:tcPr>
            <w:tcW w:w="6700" w:type="dxa"/>
            <w:vAlign w:val="bottom"/>
            <w:gridSpan w:val="3"/>
          </w:tcPr>
          <w:p>
            <w:pPr>
              <w:spacing w:after="0"/>
              <w:rPr>
                <w:sz w:val="20"/>
                <w:szCs w:val="20"/>
                <w:color w:val="auto"/>
              </w:rPr>
            </w:pPr>
            <w:r>
              <w:rPr>
                <w:rFonts w:ascii="Arial" w:cs="Arial" w:eastAsia="Arial" w:hAnsi="Arial"/>
                <w:sz w:val="18"/>
                <w:szCs w:val="18"/>
                <w:b w:val="1"/>
                <w:bCs w:val="1"/>
                <w:color w:val="auto"/>
              </w:rPr>
              <w:t>Income before income taxes</w:t>
            </w:r>
          </w:p>
        </w:tc>
        <w:tc>
          <w:tcPr>
            <w:tcW w:w="29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90,727</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76,050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2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17,046</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20,138</w:t>
            </w:r>
          </w:p>
        </w:tc>
        <w:tc>
          <w:tcPr>
            <w:tcW w:w="0" w:type="dxa"/>
            <w:vAlign w:val="bottom"/>
          </w:tcPr>
          <w:p>
            <w:pPr>
              <w:spacing w:after="0"/>
              <w:rPr>
                <w:sz w:val="1"/>
                <w:szCs w:val="1"/>
                <w:color w:val="auto"/>
              </w:rPr>
            </w:pPr>
          </w:p>
        </w:tc>
      </w:tr>
      <w:tr>
        <w:trPr>
          <w:trHeight w:val="223"/>
        </w:trPr>
        <w:tc>
          <w:tcPr>
            <w:tcW w:w="6700" w:type="dxa"/>
            <w:vAlign w:val="bottom"/>
            <w:gridSpan w:val="3"/>
          </w:tcPr>
          <w:p>
            <w:pPr>
              <w:spacing w:after="0"/>
              <w:rPr>
                <w:sz w:val="20"/>
                <w:szCs w:val="20"/>
                <w:color w:val="auto"/>
              </w:rPr>
            </w:pPr>
            <w:r>
              <w:rPr>
                <w:rFonts w:ascii="Arial" w:cs="Arial" w:eastAsia="Arial" w:hAnsi="Arial"/>
                <w:sz w:val="18"/>
                <w:szCs w:val="18"/>
                <w:b w:val="1"/>
                <w:bCs w:val="1"/>
                <w:color w:val="auto"/>
              </w:rPr>
              <w:t>Net income</w:t>
            </w:r>
          </w:p>
        </w:tc>
        <w:tc>
          <w:tcPr>
            <w:tcW w:w="29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73,681</w:t>
            </w: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55,912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Earnings per share:</w:t>
            </w:r>
          </w:p>
        </w:tc>
        <w:tc>
          <w:tcPr>
            <w:tcW w:w="2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gridSpan w:val="2"/>
          </w:tcPr>
          <w:p>
            <w:pPr>
              <w:ind w:left="340"/>
              <w:spacing w:after="0"/>
              <w:rPr>
                <w:sz w:val="20"/>
                <w:szCs w:val="20"/>
                <w:color w:val="auto"/>
              </w:rPr>
            </w:pPr>
            <w:r>
              <w:rPr>
                <w:rFonts w:ascii="Arial" w:cs="Arial" w:eastAsia="Arial" w:hAnsi="Arial"/>
                <w:sz w:val="18"/>
                <w:szCs w:val="18"/>
                <w:b w:val="1"/>
                <w:bCs w:val="1"/>
                <w:color w:val="auto"/>
              </w:rPr>
              <w:t>Basic income per share</w:t>
            </w:r>
          </w:p>
        </w:tc>
        <w:tc>
          <w:tcPr>
            <w:tcW w:w="30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1.55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680" w:type="dxa"/>
            <w:vAlign w:val="bottom"/>
            <w:gridSpan w:val="2"/>
            <w:shd w:val="clear" w:color="auto" w:fill="CCEEFF"/>
          </w:tcPr>
          <w:p>
            <w:pPr>
              <w:ind w:left="340"/>
              <w:spacing w:after="0"/>
              <w:rPr>
                <w:sz w:val="20"/>
                <w:szCs w:val="20"/>
                <w:color w:val="auto"/>
              </w:rPr>
            </w:pPr>
            <w:r>
              <w:rPr>
                <w:rFonts w:ascii="Arial" w:cs="Arial" w:eastAsia="Arial" w:hAnsi="Arial"/>
                <w:sz w:val="18"/>
                <w:szCs w:val="18"/>
                <w:b w:val="1"/>
                <w:bCs w:val="1"/>
                <w:color w:val="auto"/>
              </w:rPr>
              <w:t>Diluted income per share</w:t>
            </w:r>
          </w:p>
        </w:tc>
        <w:tc>
          <w:tcPr>
            <w:tcW w:w="3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1.52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680" w:type="dxa"/>
            <w:vAlign w:val="bottom"/>
            <w:gridSpan w:val="2"/>
            <w:vMerge w:val="restart"/>
          </w:tcPr>
          <w:p>
            <w:pPr>
              <w:ind w:left="340"/>
              <w:spacing w:after="0"/>
              <w:rPr>
                <w:sz w:val="20"/>
                <w:szCs w:val="20"/>
                <w:color w:val="auto"/>
              </w:rPr>
            </w:pPr>
            <w:r>
              <w:rPr>
                <w:rFonts w:ascii="Arial" w:cs="Arial" w:eastAsia="Arial" w:hAnsi="Arial"/>
                <w:sz w:val="18"/>
                <w:szCs w:val="18"/>
                <w:b w:val="1"/>
                <w:bCs w:val="1"/>
                <w:color w:val="auto"/>
              </w:rPr>
              <w:t>Basic weighted average shares outstanding</w:t>
            </w:r>
          </w:p>
        </w:tc>
        <w:tc>
          <w:tcPr>
            <w:tcW w:w="29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680" w:type="dxa"/>
            <w:vAlign w:val="bottom"/>
            <w:gridSpan w:val="2"/>
            <w:vMerge w:val="continue"/>
          </w:tcPr>
          <w:p>
            <w:pPr>
              <w:spacing w:after="0"/>
              <w:rPr>
                <w:sz w:val="18"/>
                <w:szCs w:val="18"/>
                <w:color w:val="auto"/>
              </w:rPr>
            </w:pPr>
          </w:p>
        </w:tc>
        <w:tc>
          <w:tcPr>
            <w:tcW w:w="29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47,432</w:t>
            </w:r>
          </w:p>
        </w:tc>
        <w:tc>
          <w:tcPr>
            <w:tcW w:w="3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46,748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680" w:type="dxa"/>
            <w:vAlign w:val="bottom"/>
            <w:gridSpan w:val="2"/>
            <w:shd w:val="clear" w:color="auto" w:fill="CCEEFF"/>
          </w:tcPr>
          <w:p>
            <w:pPr>
              <w:ind w:left="340"/>
              <w:spacing w:after="0"/>
              <w:rPr>
                <w:sz w:val="20"/>
                <w:szCs w:val="20"/>
                <w:color w:val="auto"/>
              </w:rPr>
            </w:pPr>
            <w:r>
              <w:rPr>
                <w:rFonts w:ascii="Arial" w:cs="Arial" w:eastAsia="Arial" w:hAnsi="Arial"/>
                <w:sz w:val="18"/>
                <w:szCs w:val="18"/>
                <w:b w:val="1"/>
                <w:bCs w:val="1"/>
                <w:color w:val="auto"/>
              </w:rPr>
              <w:t>Diluted weighted average shares outstanding</w:t>
            </w:r>
          </w:p>
        </w:tc>
        <w:tc>
          <w:tcPr>
            <w:tcW w:w="2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48,397</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48,070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270"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First Quarter 2018 Results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Adjusted EBITDA</w:t>
      </w:r>
    </w:p>
    <w:p>
      <w:pPr>
        <w:spacing w:after="0" w:line="121"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Adjusted EBITDA, a non-GAAP financial measure, is defined as net income plus interest expense, less interest income and other gain (loss) recognized on investments, plus income tax expense, and plus depreciation and amortization (EBITDA), as adjusted for (i) the amortization of prepaid royalty payments recorded in conjunction with a settlement of a dispute with our former owner; (ii) contributions to Arizona school tuition organizations in lieu of the payment of state income taxes; (iii) share-based compensation and (iv) one-time, unusual charges or gains, such as litigation and regulatory reserves, impairment charges and asset write-offs, and exit or lease termination costs. We present Adjusted EBITDA, a non-GAAP financial measure, because we consider it to be an important supplemental measure of our operating performance. We also make certain compensation decisions based, in part, on our operating performance, as measured by Adjusted EBITDA, and our loan agreement requires us to comply with covenants that include performance metrics substantially similar to Adjusted EBITDA. All of the adjustments made in our calculation of Adjusted EBITDA are adjustments to items that management does not consider to be reflective of our core operating performance. Management considers our core operating performance to be that which can be affected by our managers in any particular period through their management of the resources that affect our underlying revenue and profit generating operations during that period and does not consider the items for which we make adjustments (as listed above) to be reflective of our core performance.</w:t>
      </w:r>
    </w:p>
    <w:p>
      <w:pPr>
        <w:spacing w:after="0" w:line="173" w:lineRule="exact"/>
        <w:rPr>
          <w:sz w:val="20"/>
          <w:szCs w:val="20"/>
          <w:color w:val="auto"/>
        </w:rPr>
      </w:pPr>
    </w:p>
    <w:p>
      <w:pPr>
        <w:ind w:right="160" w:firstLine="456"/>
        <w:spacing w:after="0" w:line="293" w:lineRule="auto"/>
        <w:rPr>
          <w:sz w:val="20"/>
          <w:szCs w:val="20"/>
          <w:color w:val="auto"/>
        </w:rPr>
      </w:pPr>
      <w:r>
        <w:rPr>
          <w:rFonts w:ascii="Arial" w:cs="Arial" w:eastAsia="Arial" w:hAnsi="Arial"/>
          <w:sz w:val="16"/>
          <w:szCs w:val="16"/>
          <w:color w:val="auto"/>
        </w:rPr>
        <w:t>We believe Adjusted EBITDA allows us to compare our current operating results with corresponding historical periods and with the operational performance of other companies in our industry because it does not give effect to potential differences caused by variations in capital structures (affecting relative interest expense, including the impact of write-offs of deferred financing costs when companies refinance their indebtedness), tax positions (such as the impact on periods or companies of changes in effective tax rates or net operating losses), the book amortization of intangibles (affecting relative amortization expense), and other items that we do not consider reflective of underlying operating performance. We also present Adjusted EBITDA because we believe it is frequently used by securities analysts, investors, and other interested parties as a measure of performance.</w:t>
      </w:r>
    </w:p>
    <w:p>
      <w:pPr>
        <w:spacing w:after="0" w:line="165" w:lineRule="exact"/>
        <w:rPr>
          <w:sz w:val="20"/>
          <w:szCs w:val="20"/>
          <w:color w:val="auto"/>
        </w:rPr>
      </w:pPr>
    </w:p>
    <w:p>
      <w:pPr>
        <w:ind w:right="20" w:firstLine="456"/>
        <w:spacing w:after="0" w:line="286" w:lineRule="auto"/>
        <w:rPr>
          <w:sz w:val="20"/>
          <w:szCs w:val="20"/>
          <w:color w:val="auto"/>
        </w:rPr>
      </w:pPr>
      <w:r>
        <w:rPr>
          <w:rFonts w:ascii="Arial" w:cs="Arial" w:eastAsia="Arial" w:hAnsi="Arial"/>
          <w:sz w:val="17"/>
          <w:szCs w:val="17"/>
          <w:color w:val="auto"/>
        </w:rPr>
        <w:t>In evaluating Adjusted EBITDA, investors should be aware that in the future we may incur expenses similar to the adjustments described above. Our presentation of Adjusted EBITDA should not be construed as an inference that our future results will be unaffected by expenses that are unusual, non-routine, or non-recurring. Adjusted EBITDA has limitations as an analytical tool in that, among other things it does not reflect:</w:t>
      </w:r>
    </w:p>
    <w:p>
      <w:pPr>
        <w:spacing w:after="0" w:line="71" w:lineRule="exact"/>
        <w:rPr>
          <w:sz w:val="20"/>
          <w:szCs w:val="20"/>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cash expenditures for capital expenditures or contractual commitments;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in, or cash requirements for, our working capital requirements;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interest expense, or the cash required to replace assets that are being depreciated or amortized; and</w:t>
      </w:r>
    </w:p>
    <w:p>
      <w:pPr>
        <w:spacing w:after="0" w:line="130" w:lineRule="exact"/>
        <w:rPr>
          <w:rFonts w:ascii="Arial" w:cs="Arial" w:eastAsia="Arial" w:hAnsi="Arial"/>
          <w:sz w:val="18"/>
          <w:szCs w:val="18"/>
          <w:color w:val="auto"/>
        </w:rPr>
      </w:pPr>
    </w:p>
    <w:p>
      <w:pPr>
        <w:ind w:left="900" w:right="180" w:hanging="325"/>
        <w:spacing w:after="0" w:line="277"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impact on our reported results of earnings or charges resulting from the items for which we make adjustments to our EBITDA, as described above and set forth in the table below.</w:t>
      </w:r>
    </w:p>
    <w:p>
      <w:pPr>
        <w:spacing w:after="0" w:line="170"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In addition, other companies, including other companies in our industry, may calculate these measures differently than we do, limiting the usefulness of Adjusted EBITDA as a comparative measure. Because of these limitations, Adjusted EBITDA should not be considered as a substitute for net income, operating income, or any other performance measure derived in accordance with and reported under GAAP, or as an alternative to cash flow from operating activities or as a measure of our liquidity. We compensate for these limitations by relying primarily on our GAAP results and only use Adjusted EBITDA as a supplemental performance measure.</w:t>
      </w:r>
    </w:p>
    <w:p>
      <w:pPr>
        <w:sectPr>
          <w:pgSz w:w="11900" w:h="16838" w:orient="portrait"/>
          <w:cols w:equalWidth="0" w:num="1">
            <w:col w:w="11400"/>
          </w:cols>
          <w:pgMar w:left="240" w:top="270" w:right="259" w:bottom="1440" w:gutter="0" w:footer="0" w:header="0"/>
        </w:sectPr>
      </w:pPr>
    </w:p>
    <w:bookmarkStart w:id="11" w:name="page12"/>
    <w:bookmarkEnd w:id="1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following table provides a reconciliation of net income to Adjusted EBITDA, which is a non-GAAP measure for the periods indicated:</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20" w:type="dxa"/>
            <w:vAlign w:val="bottom"/>
            <w:gridSpan w:val="6"/>
          </w:tcPr>
          <w:p>
            <w:pPr>
              <w:jc w:val="right"/>
              <w:ind w:right="260"/>
              <w:spacing w:after="0"/>
              <w:rPr>
                <w:sz w:val="20"/>
                <w:szCs w:val="20"/>
                <w:color w:val="auto"/>
              </w:rPr>
            </w:pPr>
            <w:r>
              <w:rPr>
                <w:rFonts w:ascii="Arial" w:cs="Arial" w:eastAsia="Arial" w:hAnsi="Arial"/>
                <w:sz w:val="14"/>
                <w:szCs w:val="14"/>
                <w:b w:val="1"/>
                <w:bCs w:val="1"/>
                <w:color w:val="auto"/>
                <w:w w:val="96"/>
              </w:rPr>
              <w:t>Three Months Ended</w:t>
            </w:r>
          </w:p>
        </w:tc>
      </w:tr>
      <w:tr>
        <w:trPr>
          <w:trHeight w:val="171"/>
        </w:trPr>
        <w:tc>
          <w:tcPr>
            <w:tcW w:w="20" w:type="dxa"/>
            <w:vAlign w:val="bottom"/>
          </w:tcPr>
          <w:p>
            <w:pPr>
              <w:spacing w:after="0"/>
              <w:rPr>
                <w:sz w:val="14"/>
                <w:szCs w:val="14"/>
                <w:color w:val="auto"/>
              </w:rPr>
            </w:pPr>
          </w:p>
        </w:tc>
        <w:tc>
          <w:tcPr>
            <w:tcW w:w="9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20" w:type="dxa"/>
            <w:vAlign w:val="bottom"/>
            <w:gridSpan w:val="6"/>
          </w:tcPr>
          <w:p>
            <w:pPr>
              <w:jc w:val="right"/>
              <w:ind w:right="600"/>
              <w:spacing w:after="0"/>
              <w:rPr>
                <w:sz w:val="20"/>
                <w:szCs w:val="20"/>
                <w:color w:val="auto"/>
              </w:rPr>
            </w:pPr>
            <w:r>
              <w:rPr>
                <w:rFonts w:ascii="Arial" w:cs="Arial" w:eastAsia="Arial" w:hAnsi="Arial"/>
                <w:sz w:val="14"/>
                <w:szCs w:val="14"/>
                <w:b w:val="1"/>
                <w:bCs w:val="1"/>
                <w:color w:val="auto"/>
              </w:rPr>
              <w:t>March 31,</w:t>
            </w:r>
          </w:p>
        </w:tc>
      </w:tr>
      <w:tr>
        <w:trPr>
          <w:trHeight w:val="142"/>
        </w:trPr>
        <w:tc>
          <w:tcPr>
            <w:tcW w:w="20" w:type="dxa"/>
            <w:vAlign w:val="bottom"/>
          </w:tcPr>
          <w:p>
            <w:pPr>
              <w:spacing w:after="0"/>
              <w:rPr>
                <w:sz w:val="12"/>
                <w:szCs w:val="12"/>
                <w:color w:val="auto"/>
              </w:rPr>
            </w:pPr>
          </w:p>
        </w:tc>
        <w:tc>
          <w:tcPr>
            <w:tcW w:w="96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2018</w:t>
            </w:r>
          </w:p>
        </w:tc>
        <w:tc>
          <w:tcPr>
            <w:tcW w:w="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gridSpan w:val="2"/>
          </w:tcPr>
          <w:p>
            <w:pPr>
              <w:jc w:val="right"/>
              <w:ind w:right="70"/>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96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w:t>
            </w: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73,681</w:t>
            </w:r>
          </w:p>
        </w:tc>
        <w:tc>
          <w:tcPr>
            <w:tcW w:w="180" w:type="dxa"/>
            <w:vAlign w:val="bottom"/>
            <w:tcBorders>
              <w:top w:val="single" w:sz="8" w:color="CCEEFF"/>
            </w:tcBorders>
            <w:gridSpan w:val="2"/>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$55,912</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680" w:type="dxa"/>
            <w:vAlign w:val="bottom"/>
          </w:tcPr>
          <w:p>
            <w:pPr>
              <w:spacing w:after="0"/>
              <w:rPr>
                <w:sz w:val="20"/>
                <w:szCs w:val="20"/>
                <w:color w:val="auto"/>
              </w:rPr>
            </w:pPr>
            <w:r>
              <w:rPr>
                <w:rFonts w:ascii="Arial" w:cs="Arial" w:eastAsia="Arial" w:hAnsi="Arial"/>
                <w:sz w:val="18"/>
                <w:szCs w:val="18"/>
                <w:color w:val="auto"/>
              </w:rPr>
              <w:t>Plus: interest expense</w:t>
            </w:r>
          </w:p>
        </w:tc>
        <w:tc>
          <w:tcPr>
            <w:tcW w:w="10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346</w:t>
            </w:r>
          </w:p>
        </w:tc>
        <w:tc>
          <w:tcPr>
            <w:tcW w:w="160" w:type="dxa"/>
            <w:vAlign w:val="bottom"/>
          </w:tcPr>
          <w:p>
            <w:pPr>
              <w:spacing w:after="0"/>
              <w:rPr>
                <w:sz w:val="18"/>
                <w:szCs w:val="18"/>
                <w:color w:val="auto"/>
              </w:rPr>
            </w:pPr>
          </w:p>
        </w:tc>
        <w:tc>
          <w:tcPr>
            <w:tcW w:w="840" w:type="dxa"/>
            <w:vAlign w:val="bottom"/>
            <w:gridSpan w:val="3"/>
          </w:tcPr>
          <w:p>
            <w:pPr>
              <w:jc w:val="right"/>
              <w:ind w:right="100"/>
              <w:spacing w:after="0"/>
              <w:rPr>
                <w:sz w:val="20"/>
                <w:szCs w:val="20"/>
                <w:color w:val="auto"/>
              </w:rPr>
            </w:pPr>
            <w:r>
              <w:rPr>
                <w:rFonts w:ascii="Arial" w:cs="Arial" w:eastAsia="Arial" w:hAnsi="Arial"/>
                <w:sz w:val="18"/>
                <w:szCs w:val="18"/>
                <w:color w:val="auto"/>
              </w:rPr>
              <w:t>580</w:t>
            </w:r>
          </w:p>
        </w:tc>
      </w:tr>
      <w:tr>
        <w:trPr>
          <w:trHeight w:val="216"/>
        </w:trPr>
        <w:tc>
          <w:tcPr>
            <w:tcW w:w="20" w:type="dxa"/>
            <w:vAlign w:val="bottom"/>
          </w:tcPr>
          <w:p>
            <w:pPr>
              <w:spacing w:after="0"/>
              <w:rPr>
                <w:sz w:val="18"/>
                <w:szCs w:val="18"/>
                <w:color w:val="auto"/>
              </w:rPr>
            </w:pPr>
          </w:p>
        </w:tc>
        <w:tc>
          <w:tcPr>
            <w:tcW w:w="9680" w:type="dxa"/>
            <w:vAlign w:val="bottom"/>
            <w:shd w:val="clear" w:color="auto" w:fill="CCEEFF"/>
          </w:tcPr>
          <w:p>
            <w:pPr>
              <w:spacing w:after="0"/>
              <w:rPr>
                <w:sz w:val="20"/>
                <w:szCs w:val="20"/>
                <w:color w:val="auto"/>
              </w:rPr>
            </w:pPr>
            <w:r>
              <w:rPr>
                <w:rFonts w:ascii="Arial" w:cs="Arial" w:eastAsia="Arial" w:hAnsi="Arial"/>
                <w:sz w:val="18"/>
                <w:szCs w:val="18"/>
                <w:color w:val="auto"/>
              </w:rPr>
              <w:t>Less: interest income and other</w:t>
            </w:r>
          </w:p>
        </w:tc>
        <w:tc>
          <w:tcPr>
            <w:tcW w:w="10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(981)</w:t>
            </w: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w:t>
            </w:r>
          </w:p>
        </w:tc>
      </w:tr>
      <w:tr>
        <w:trPr>
          <w:trHeight w:val="216"/>
        </w:trPr>
        <w:tc>
          <w:tcPr>
            <w:tcW w:w="20" w:type="dxa"/>
            <w:vAlign w:val="bottom"/>
          </w:tcPr>
          <w:p>
            <w:pPr>
              <w:spacing w:after="0"/>
              <w:rPr>
                <w:sz w:val="18"/>
                <w:szCs w:val="18"/>
                <w:color w:val="auto"/>
              </w:rPr>
            </w:pPr>
          </w:p>
        </w:tc>
        <w:tc>
          <w:tcPr>
            <w:tcW w:w="9680" w:type="dxa"/>
            <w:vAlign w:val="bottom"/>
          </w:tcPr>
          <w:p>
            <w:pPr>
              <w:spacing w:after="0"/>
              <w:rPr>
                <w:sz w:val="20"/>
                <w:szCs w:val="20"/>
                <w:color w:val="auto"/>
              </w:rPr>
            </w:pPr>
            <w:r>
              <w:rPr>
                <w:rFonts w:ascii="Arial" w:cs="Arial" w:eastAsia="Arial" w:hAnsi="Arial"/>
                <w:sz w:val="18"/>
                <w:szCs w:val="18"/>
                <w:color w:val="auto"/>
              </w:rPr>
              <w:t>Plus: income tax expense</w:t>
            </w:r>
          </w:p>
        </w:tc>
        <w:tc>
          <w:tcPr>
            <w:tcW w:w="100" w:type="dxa"/>
            <w:vAlign w:val="bottom"/>
          </w:tcPr>
          <w:p>
            <w:pPr>
              <w:spacing w:after="0"/>
              <w:rPr>
                <w:sz w:val="18"/>
                <w:szCs w:val="18"/>
                <w:color w:val="auto"/>
              </w:rPr>
            </w:pPr>
          </w:p>
        </w:tc>
        <w:tc>
          <w:tcPr>
            <w:tcW w:w="780" w:type="dxa"/>
            <w:vAlign w:val="bottom"/>
            <w:gridSpan w:val="3"/>
          </w:tcPr>
          <w:p>
            <w:pPr>
              <w:jc w:val="right"/>
              <w:ind w:right="180"/>
              <w:spacing w:after="0"/>
              <w:rPr>
                <w:sz w:val="20"/>
                <w:szCs w:val="20"/>
                <w:color w:val="auto"/>
              </w:rPr>
            </w:pPr>
            <w:r>
              <w:rPr>
                <w:rFonts w:ascii="Arial" w:cs="Arial" w:eastAsia="Arial" w:hAnsi="Arial"/>
                <w:sz w:val="18"/>
                <w:szCs w:val="18"/>
                <w:color w:val="auto"/>
              </w:rPr>
              <w:t>17,046</w:t>
            </w:r>
          </w:p>
        </w:tc>
        <w:tc>
          <w:tcPr>
            <w:tcW w:w="840" w:type="dxa"/>
            <w:vAlign w:val="bottom"/>
            <w:gridSpan w:val="3"/>
          </w:tcPr>
          <w:p>
            <w:pPr>
              <w:jc w:val="right"/>
              <w:ind w:right="100"/>
              <w:spacing w:after="0"/>
              <w:rPr>
                <w:sz w:val="20"/>
                <w:szCs w:val="20"/>
                <w:color w:val="auto"/>
              </w:rPr>
            </w:pPr>
            <w:r>
              <w:rPr>
                <w:rFonts w:ascii="Arial" w:cs="Arial" w:eastAsia="Arial" w:hAnsi="Arial"/>
                <w:sz w:val="18"/>
                <w:szCs w:val="18"/>
                <w:color w:val="auto"/>
              </w:rPr>
              <w:t>20,138</w:t>
            </w:r>
          </w:p>
        </w:tc>
      </w:tr>
      <w:tr>
        <w:trPr>
          <w:trHeight w:val="216"/>
        </w:trPr>
        <w:tc>
          <w:tcPr>
            <w:tcW w:w="20" w:type="dxa"/>
            <w:vAlign w:val="bottom"/>
          </w:tcPr>
          <w:p>
            <w:pPr>
              <w:spacing w:after="0"/>
              <w:rPr>
                <w:sz w:val="18"/>
                <w:szCs w:val="18"/>
                <w:color w:val="auto"/>
              </w:rPr>
            </w:pPr>
          </w:p>
        </w:tc>
        <w:tc>
          <w:tcPr>
            <w:tcW w:w="9680" w:type="dxa"/>
            <w:vAlign w:val="bottom"/>
            <w:shd w:val="clear" w:color="auto" w:fill="CCEEFF"/>
          </w:tcPr>
          <w:p>
            <w:pPr>
              <w:spacing w:after="0"/>
              <w:rPr>
                <w:sz w:val="20"/>
                <w:szCs w:val="20"/>
                <w:color w:val="auto"/>
              </w:rPr>
            </w:pPr>
            <w:r>
              <w:rPr>
                <w:rFonts w:ascii="Arial" w:cs="Arial" w:eastAsia="Arial" w:hAnsi="Arial"/>
                <w:sz w:val="18"/>
                <w:szCs w:val="18"/>
                <w:color w:val="auto"/>
              </w:rPr>
              <w:t>Plus: depreciation and amortization</w:t>
            </w:r>
          </w:p>
        </w:tc>
        <w:tc>
          <w:tcPr>
            <w:tcW w:w="10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13,873</w:t>
            </w:r>
          </w:p>
        </w:tc>
        <w:tc>
          <w:tcPr>
            <w:tcW w:w="8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13,193</w:t>
            </w:r>
          </w:p>
        </w:tc>
      </w:tr>
      <w:tr>
        <w:trPr>
          <w:trHeight w:val="230"/>
        </w:trPr>
        <w:tc>
          <w:tcPr>
            <w:tcW w:w="20" w:type="dxa"/>
            <w:vAlign w:val="bottom"/>
          </w:tcPr>
          <w:p>
            <w:pPr>
              <w:spacing w:after="0"/>
              <w:rPr>
                <w:sz w:val="20"/>
                <w:szCs w:val="20"/>
                <w:color w:val="auto"/>
              </w:rPr>
            </w:pPr>
          </w:p>
        </w:tc>
        <w:tc>
          <w:tcPr>
            <w:tcW w:w="9680" w:type="dxa"/>
            <w:vAlign w:val="bottom"/>
          </w:tcPr>
          <w:p>
            <w:pPr>
              <w:ind w:left="340"/>
              <w:spacing w:after="0"/>
              <w:rPr>
                <w:sz w:val="20"/>
                <w:szCs w:val="20"/>
                <w:color w:val="auto"/>
              </w:rPr>
            </w:pPr>
            <w:r>
              <w:rPr>
                <w:rFonts w:ascii="Arial" w:cs="Arial" w:eastAsia="Arial" w:hAnsi="Arial"/>
                <w:sz w:val="18"/>
                <w:szCs w:val="18"/>
                <w:color w:val="auto"/>
              </w:rPr>
              <w:t>EBITDA</w:t>
            </w: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103,965</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89,821</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9680" w:type="dxa"/>
            <w:vAlign w:val="bottom"/>
            <w:shd w:val="clear" w:color="auto" w:fill="CCEEFF"/>
          </w:tcPr>
          <w:p>
            <w:pPr>
              <w:spacing w:after="0"/>
              <w:rPr>
                <w:sz w:val="20"/>
                <w:szCs w:val="20"/>
                <w:color w:val="auto"/>
              </w:rPr>
            </w:pPr>
            <w:r>
              <w:rPr>
                <w:rFonts w:ascii="Arial" w:cs="Arial" w:eastAsia="Arial" w:hAnsi="Arial"/>
                <w:sz w:val="18"/>
                <w:szCs w:val="18"/>
                <w:color w:val="auto"/>
              </w:rPr>
              <w:t>Plus: royalty to former owner</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74</w:t>
            </w:r>
          </w:p>
        </w:tc>
        <w:tc>
          <w:tcPr>
            <w:tcW w:w="16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74</w:t>
            </w:r>
          </w:p>
        </w:tc>
      </w:tr>
      <w:tr>
        <w:trPr>
          <w:trHeight w:val="216"/>
        </w:trPr>
        <w:tc>
          <w:tcPr>
            <w:tcW w:w="20" w:type="dxa"/>
            <w:vAlign w:val="bottom"/>
          </w:tcPr>
          <w:p>
            <w:pPr>
              <w:spacing w:after="0"/>
              <w:rPr>
                <w:sz w:val="18"/>
                <w:szCs w:val="18"/>
                <w:color w:val="auto"/>
              </w:rPr>
            </w:pPr>
          </w:p>
        </w:tc>
        <w:tc>
          <w:tcPr>
            <w:tcW w:w="9680" w:type="dxa"/>
            <w:vAlign w:val="bottom"/>
          </w:tcPr>
          <w:p>
            <w:pPr>
              <w:spacing w:after="0"/>
              <w:rPr>
                <w:sz w:val="20"/>
                <w:szCs w:val="20"/>
                <w:color w:val="auto"/>
              </w:rPr>
            </w:pPr>
            <w:r>
              <w:rPr>
                <w:rFonts w:ascii="Arial" w:cs="Arial" w:eastAsia="Arial" w:hAnsi="Arial"/>
                <w:sz w:val="18"/>
                <w:szCs w:val="18"/>
                <w:color w:val="auto"/>
              </w:rPr>
              <w:t>Plus: fixed asset impairments</w:t>
            </w:r>
          </w:p>
        </w:tc>
        <w:tc>
          <w:tcPr>
            <w:tcW w:w="100" w:type="dxa"/>
            <w:vAlign w:val="bottom"/>
          </w:tcPr>
          <w:p>
            <w:pPr>
              <w:spacing w:after="0"/>
              <w:rPr>
                <w:sz w:val="18"/>
                <w:szCs w:val="18"/>
                <w:color w:val="auto"/>
              </w:rPr>
            </w:pPr>
          </w:p>
        </w:tc>
        <w:tc>
          <w:tcPr>
            <w:tcW w:w="78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c>
          <w:tcPr>
            <w:tcW w:w="840" w:type="dxa"/>
            <w:vAlign w:val="bottom"/>
            <w:gridSpan w:val="3"/>
          </w:tcPr>
          <w:p>
            <w:pPr>
              <w:jc w:val="right"/>
              <w:ind w:right="100"/>
              <w:spacing w:after="0"/>
              <w:rPr>
                <w:sz w:val="20"/>
                <w:szCs w:val="20"/>
                <w:color w:val="auto"/>
              </w:rPr>
            </w:pPr>
            <w:r>
              <w:rPr>
                <w:rFonts w:ascii="Arial" w:cs="Arial" w:eastAsia="Arial" w:hAnsi="Arial"/>
                <w:sz w:val="18"/>
                <w:szCs w:val="18"/>
                <w:color w:val="auto"/>
              </w:rPr>
              <w:t>122</w:t>
            </w:r>
          </w:p>
        </w:tc>
      </w:tr>
      <w:tr>
        <w:trPr>
          <w:trHeight w:val="216"/>
        </w:trPr>
        <w:tc>
          <w:tcPr>
            <w:tcW w:w="20" w:type="dxa"/>
            <w:vAlign w:val="bottom"/>
          </w:tcPr>
          <w:p>
            <w:pPr>
              <w:spacing w:after="0"/>
              <w:rPr>
                <w:sz w:val="18"/>
                <w:szCs w:val="18"/>
                <w:color w:val="auto"/>
              </w:rPr>
            </w:pPr>
          </w:p>
        </w:tc>
        <w:tc>
          <w:tcPr>
            <w:tcW w:w="9680" w:type="dxa"/>
            <w:vAlign w:val="bottom"/>
            <w:shd w:val="clear" w:color="auto" w:fill="CCEEFF"/>
          </w:tcPr>
          <w:p>
            <w:pPr>
              <w:spacing w:after="0"/>
              <w:rPr>
                <w:sz w:val="20"/>
                <w:szCs w:val="20"/>
                <w:color w:val="auto"/>
              </w:rPr>
            </w:pPr>
            <w:r>
              <w:rPr>
                <w:rFonts w:ascii="Arial" w:cs="Arial" w:eastAsia="Arial" w:hAnsi="Arial"/>
                <w:sz w:val="18"/>
                <w:szCs w:val="18"/>
                <w:color w:val="auto"/>
              </w:rPr>
              <w:t>Plus: transaction expenses</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487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9680" w:type="dxa"/>
            <w:vAlign w:val="bottom"/>
          </w:tcPr>
          <w:p>
            <w:pPr>
              <w:spacing w:after="0"/>
              <w:rPr>
                <w:sz w:val="20"/>
                <w:szCs w:val="20"/>
                <w:color w:val="auto"/>
              </w:rPr>
            </w:pPr>
            <w:r>
              <w:rPr>
                <w:rFonts w:ascii="Arial" w:cs="Arial" w:eastAsia="Arial" w:hAnsi="Arial"/>
                <w:sz w:val="18"/>
                <w:szCs w:val="18"/>
                <w:color w:val="auto"/>
              </w:rPr>
              <w:t>Plus: estimated litigation and regulatory reserves</w:t>
            </w:r>
          </w:p>
        </w:tc>
        <w:tc>
          <w:tcPr>
            <w:tcW w:w="10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9680" w:type="dxa"/>
            <w:vAlign w:val="bottom"/>
            <w:shd w:val="clear" w:color="auto" w:fill="CCEEFF"/>
          </w:tcPr>
          <w:p>
            <w:pPr>
              <w:spacing w:after="0"/>
              <w:rPr>
                <w:sz w:val="20"/>
                <w:szCs w:val="20"/>
                <w:color w:val="auto"/>
              </w:rPr>
            </w:pPr>
            <w:r>
              <w:rPr>
                <w:rFonts w:ascii="Arial" w:cs="Arial" w:eastAsia="Arial" w:hAnsi="Arial"/>
                <w:sz w:val="18"/>
                <w:szCs w:val="18"/>
                <w:color w:val="auto"/>
              </w:rPr>
              <w:t>Plus: share-based compensation</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3,469</w:t>
            </w:r>
          </w:p>
        </w:tc>
        <w:tc>
          <w:tcPr>
            <w:tcW w:w="16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2,931</w:t>
            </w:r>
          </w:p>
        </w:tc>
      </w:tr>
      <w:tr>
        <w:trPr>
          <w:trHeight w:val="223"/>
        </w:trPr>
        <w:tc>
          <w:tcPr>
            <w:tcW w:w="9700" w:type="dxa"/>
            <w:vAlign w:val="bottom"/>
            <w:gridSpan w:val="2"/>
          </w:tcPr>
          <w:p>
            <w:pPr>
              <w:spacing w:after="0"/>
              <w:rPr>
                <w:sz w:val="20"/>
                <w:szCs w:val="20"/>
                <w:color w:val="auto"/>
              </w:rPr>
            </w:pPr>
            <w:r>
              <w:rPr>
                <w:rFonts w:ascii="Arial" w:cs="Arial" w:eastAsia="Arial" w:hAnsi="Arial"/>
                <w:sz w:val="18"/>
                <w:szCs w:val="18"/>
                <w:color w:val="auto"/>
              </w:rPr>
              <w:t>Adjusted EBITDA</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107,998</w:t>
            </w:r>
          </w:p>
        </w:tc>
        <w:tc>
          <w:tcPr>
            <w:tcW w:w="2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92,948</w:t>
            </w:r>
          </w:p>
        </w:tc>
        <w:tc>
          <w:tcPr>
            <w:tcW w:w="10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96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ectPr>
          <w:pgSz w:w="11900" w:h="16838" w:orient="portrait"/>
          <w:cols w:equalWidth="0" w:num="1">
            <w:col w:w="11420"/>
          </w:cols>
          <w:pgMar w:left="240" w:top="274" w:right="2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First Quarter 2018 Results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960" w:type="dxa"/>
            <w:vAlign w:val="bottom"/>
          </w:tcPr>
          <w:p>
            <w:pPr>
              <w:spacing w:after="0"/>
              <w:rPr>
                <w:sz w:val="14"/>
                <w:szCs w:val="14"/>
                <w:color w:val="auto"/>
              </w:rPr>
            </w:pPr>
          </w:p>
        </w:tc>
        <w:tc>
          <w:tcPr>
            <w:tcW w:w="7280" w:type="dxa"/>
            <w:vAlign w:val="bottom"/>
            <w:vMerge w:val="restart"/>
          </w:tcPr>
          <w:p>
            <w:pPr>
              <w:ind w:left="2180"/>
              <w:spacing w:after="0"/>
              <w:rPr>
                <w:sz w:val="20"/>
                <w:szCs w:val="20"/>
                <w:color w:val="auto"/>
              </w:rPr>
            </w:pPr>
            <w:r>
              <w:rPr>
                <w:rFonts w:ascii="Arial" w:cs="Arial" w:eastAsia="Arial" w:hAnsi="Arial"/>
                <w:sz w:val="18"/>
                <w:szCs w:val="18"/>
                <w:b w:val="1"/>
                <w:bCs w:val="1"/>
                <w:color w:val="auto"/>
              </w:rPr>
              <w:t>ASSETS:</w:t>
            </w:r>
          </w:p>
        </w:tc>
        <w:tc>
          <w:tcPr>
            <w:tcW w:w="100" w:type="dxa"/>
            <w:vAlign w:val="bottom"/>
          </w:tcPr>
          <w:p>
            <w:pPr>
              <w:spacing w:after="0"/>
              <w:rPr>
                <w:sz w:val="14"/>
                <w:szCs w:val="14"/>
                <w:color w:val="auto"/>
              </w:rPr>
            </w:pPr>
          </w:p>
        </w:tc>
        <w:tc>
          <w:tcPr>
            <w:tcW w:w="920" w:type="dxa"/>
            <w:vAlign w:val="bottom"/>
            <w:gridSpan w:val="4"/>
          </w:tcPr>
          <w:p>
            <w:pPr>
              <w:jc w:val="center"/>
              <w:ind w:right="300"/>
              <w:spacing w:after="0"/>
              <w:rPr>
                <w:sz w:val="20"/>
                <w:szCs w:val="20"/>
                <w:color w:val="auto"/>
              </w:rPr>
            </w:pPr>
            <w:r>
              <w:rPr>
                <w:rFonts w:ascii="Arial" w:cs="Arial" w:eastAsia="Arial" w:hAnsi="Arial"/>
                <w:sz w:val="14"/>
                <w:szCs w:val="14"/>
                <w:b w:val="1"/>
                <w:bCs w:val="1"/>
                <w:color w:val="auto"/>
                <w:w w:val="95"/>
              </w:rPr>
              <w:t>March 31,</w:t>
            </w:r>
          </w:p>
        </w:tc>
        <w:tc>
          <w:tcPr>
            <w:tcW w:w="120" w:type="dxa"/>
            <w:vAlign w:val="bottom"/>
          </w:tcPr>
          <w:p>
            <w:pPr>
              <w:spacing w:after="0"/>
              <w:rPr>
                <w:sz w:val="14"/>
                <w:szCs w:val="14"/>
                <w:color w:val="auto"/>
              </w:rPr>
            </w:pPr>
          </w:p>
        </w:tc>
        <w:tc>
          <w:tcPr>
            <w:tcW w:w="102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60" w:type="dxa"/>
            <w:vAlign w:val="bottom"/>
          </w:tcPr>
          <w:p>
            <w:pPr>
              <w:spacing w:after="0"/>
              <w:rPr>
                <w:sz w:val="12"/>
                <w:szCs w:val="12"/>
                <w:color w:val="auto"/>
              </w:rPr>
            </w:pPr>
          </w:p>
        </w:tc>
        <w:tc>
          <w:tcPr>
            <w:tcW w:w="72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6"/>
              </w:rPr>
              <w:t>2018</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jc w:val="right"/>
              <w:ind w:right="251"/>
              <w:spacing w:after="0" w:line="149"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
        </w:trPr>
        <w:tc>
          <w:tcPr>
            <w:tcW w:w="92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120" w:type="dxa"/>
            <w:vAlign w:val="bottom"/>
            <w:gridSpan w:val="2"/>
            <w:vMerge w:val="restart"/>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20" w:type="dxa"/>
            <w:vAlign w:val="bottom"/>
            <w:gridSpan w:val="2"/>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9"/>
        </w:trPr>
        <w:tc>
          <w:tcPr>
            <w:tcW w:w="9260" w:type="dxa"/>
            <w:vAlign w:val="bottom"/>
            <w:gridSpan w:val="3"/>
            <w:vMerge w:val="continue"/>
          </w:tcPr>
          <w:p>
            <w:pPr>
              <w:spacing w:after="0"/>
              <w:rPr>
                <w:sz w:val="11"/>
                <w:szCs w:val="11"/>
                <w:color w:val="auto"/>
              </w:rPr>
            </w:pPr>
          </w:p>
        </w:tc>
        <w:tc>
          <w:tcPr>
            <w:tcW w:w="120" w:type="dxa"/>
            <w:vAlign w:val="bottom"/>
            <w:gridSpan w:val="2"/>
            <w:vMerge w:val="continue"/>
          </w:tcPr>
          <w:p>
            <w:pPr>
              <w:spacing w:after="0"/>
              <w:rPr>
                <w:sz w:val="11"/>
                <w:szCs w:val="11"/>
                <w:color w:val="auto"/>
              </w:rPr>
            </w:pPr>
          </w:p>
        </w:tc>
        <w:tc>
          <w:tcPr>
            <w:tcW w:w="5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74"/>
              </w:rPr>
              <w:t>(Unaudited)</w:t>
            </w:r>
          </w:p>
        </w:tc>
        <w:tc>
          <w:tcPr>
            <w:tcW w:w="3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9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Current assets</w:t>
            </w:r>
          </w:p>
        </w:tc>
        <w:tc>
          <w:tcPr>
            <w:tcW w:w="72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ind w:left="340"/>
              <w:spacing w:after="0"/>
              <w:rPr>
                <w:sz w:val="20"/>
                <w:szCs w:val="20"/>
                <w:color w:val="auto"/>
              </w:rPr>
            </w:pPr>
            <w:r>
              <w:rPr>
                <w:rFonts w:ascii="Arial" w:cs="Arial" w:eastAsia="Arial" w:hAnsi="Arial"/>
                <w:sz w:val="18"/>
                <w:szCs w:val="18"/>
                <w:color w:val="auto"/>
              </w:rPr>
              <w:t>Cash and cash equivalents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242,846</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153,474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Restricted cash and cash equivalents</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72,816</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94,534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ind w:left="340"/>
              <w:spacing w:after="0"/>
              <w:rPr>
                <w:sz w:val="20"/>
                <w:szCs w:val="20"/>
                <w:color w:val="auto"/>
              </w:rPr>
            </w:pPr>
            <w:r>
              <w:rPr>
                <w:rFonts w:ascii="Arial" w:cs="Arial" w:eastAsia="Arial" w:hAnsi="Arial"/>
                <w:sz w:val="18"/>
                <w:szCs w:val="18"/>
                <w:color w:val="auto"/>
              </w:rPr>
              <w:t>Investments</w:t>
            </w:r>
          </w:p>
        </w:tc>
        <w:tc>
          <w:tcPr>
            <w:tcW w:w="100" w:type="dxa"/>
            <w:vAlign w:val="bottom"/>
          </w:tcPr>
          <w:p>
            <w:pPr>
              <w:spacing w:after="0"/>
              <w:rPr>
                <w:sz w:val="18"/>
                <w:szCs w:val="18"/>
                <w:color w:val="auto"/>
              </w:rPr>
            </w:pP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91,910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89,271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Accounts receivable, net</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9,469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10,908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ind w:left="340"/>
              <w:spacing w:after="0"/>
              <w:rPr>
                <w:sz w:val="20"/>
                <w:szCs w:val="20"/>
                <w:color w:val="auto"/>
              </w:rPr>
            </w:pPr>
            <w:r>
              <w:rPr>
                <w:rFonts w:ascii="Arial" w:cs="Arial" w:eastAsia="Arial" w:hAnsi="Arial"/>
                <w:sz w:val="18"/>
                <w:szCs w:val="18"/>
                <w:color w:val="auto"/>
              </w:rPr>
              <w:t>Income tax receivable</w:t>
            </w:r>
          </w:p>
        </w:tc>
        <w:tc>
          <w:tcPr>
            <w:tcW w:w="100" w:type="dxa"/>
            <w:vAlign w:val="bottom"/>
          </w:tcPr>
          <w:p>
            <w:pPr>
              <w:spacing w:after="0"/>
              <w:rPr>
                <w:sz w:val="18"/>
                <w:szCs w:val="18"/>
                <w:color w:val="auto"/>
              </w:rPr>
            </w:pP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1,329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2,086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Other current assets</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16,994</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24,589</w:t>
            </w:r>
          </w:p>
        </w:tc>
        <w:tc>
          <w:tcPr>
            <w:tcW w:w="0" w:type="dxa"/>
            <w:vAlign w:val="bottom"/>
          </w:tcPr>
          <w:p>
            <w:pPr>
              <w:spacing w:after="0"/>
              <w:rPr>
                <w:sz w:val="1"/>
                <w:szCs w:val="1"/>
                <w:color w:val="auto"/>
              </w:rPr>
            </w:pPr>
          </w:p>
        </w:tc>
      </w:tr>
      <w:tr>
        <w:trPr>
          <w:trHeight w:val="223"/>
        </w:trPr>
        <w:tc>
          <w:tcPr>
            <w:tcW w:w="9260" w:type="dxa"/>
            <w:vAlign w:val="bottom"/>
            <w:gridSpan w:val="3"/>
          </w:tcPr>
          <w:p>
            <w:pPr>
              <w:spacing w:after="0"/>
              <w:rPr>
                <w:sz w:val="20"/>
                <w:szCs w:val="20"/>
                <w:color w:val="auto"/>
              </w:rPr>
            </w:pPr>
            <w:r>
              <w:rPr>
                <w:rFonts w:ascii="Arial" w:cs="Arial" w:eastAsia="Arial" w:hAnsi="Arial"/>
                <w:sz w:val="18"/>
                <w:szCs w:val="18"/>
                <w:b w:val="1"/>
                <w:bCs w:val="1"/>
                <w:color w:val="auto"/>
              </w:rPr>
              <w:t>Total current assets</w:t>
            </w:r>
          </w:p>
        </w:tc>
        <w:tc>
          <w:tcPr>
            <w:tcW w:w="10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435,364</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374,862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950,156</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922,284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spacing w:after="0"/>
              <w:rPr>
                <w:sz w:val="20"/>
                <w:szCs w:val="20"/>
                <w:color w:val="auto"/>
              </w:rPr>
            </w:pPr>
            <w:r>
              <w:rPr>
                <w:rFonts w:ascii="Arial" w:cs="Arial" w:eastAsia="Arial" w:hAnsi="Arial"/>
                <w:sz w:val="18"/>
                <w:szCs w:val="18"/>
                <w:color w:val="auto"/>
              </w:rPr>
              <w:t>Prepaid royalties</w:t>
            </w:r>
          </w:p>
        </w:tc>
        <w:tc>
          <w:tcPr>
            <w:tcW w:w="100" w:type="dxa"/>
            <w:vAlign w:val="bottom"/>
          </w:tcPr>
          <w:p>
            <w:pPr>
              <w:spacing w:after="0"/>
              <w:rPr>
                <w:sz w:val="18"/>
                <w:szCs w:val="18"/>
                <w:color w:val="auto"/>
              </w:rPr>
            </w:pP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2,689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2,763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Goodwill</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2,941</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spacing w:after="0"/>
              <w:rPr>
                <w:sz w:val="20"/>
                <w:szCs w:val="20"/>
                <w:color w:val="auto"/>
              </w:rPr>
            </w:pPr>
            <w:r>
              <w:rPr>
                <w:rFonts w:ascii="Arial" w:cs="Arial" w:eastAsia="Arial" w:hAnsi="Arial"/>
                <w:sz w:val="18"/>
                <w:szCs w:val="18"/>
                <w:color w:val="auto"/>
              </w:rPr>
              <w:t>Other assets</w:t>
            </w:r>
          </w:p>
        </w:tc>
        <w:tc>
          <w:tcPr>
            <w:tcW w:w="100" w:type="dxa"/>
            <w:vAlign w:val="bottom"/>
          </w:tcPr>
          <w:p>
            <w:pPr>
              <w:spacing w:after="0"/>
              <w:rPr>
                <w:sz w:val="18"/>
                <w:szCs w:val="18"/>
                <w:color w:val="auto"/>
              </w:rPr>
            </w:pP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833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723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960" w:type="dxa"/>
            <w:vAlign w:val="bottom"/>
          </w:tcPr>
          <w:p>
            <w:pPr>
              <w:spacing w:after="0"/>
              <w:rPr>
                <w:sz w:val="2"/>
                <w:szCs w:val="2"/>
                <w:color w:val="auto"/>
              </w:rPr>
            </w:pPr>
          </w:p>
        </w:tc>
        <w:tc>
          <w:tcPr>
            <w:tcW w:w="7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w w:val="87"/>
              </w:rPr>
              <w:t>1,391,983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4"/>
              </w:rPr>
              <w:t>1,303,573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7280" w:type="dxa"/>
            <w:vAlign w:val="bottom"/>
            <w:vMerge w:val="restart"/>
          </w:tcPr>
          <w:p>
            <w:pPr>
              <w:ind w:left="1700"/>
              <w:spacing w:after="0"/>
              <w:rPr>
                <w:sz w:val="20"/>
                <w:szCs w:val="20"/>
                <w:color w:val="auto"/>
              </w:rPr>
            </w:pPr>
            <w:r>
              <w:rPr>
                <w:rFonts w:ascii="Arial" w:cs="Arial" w:eastAsia="Arial" w:hAnsi="Arial"/>
                <w:sz w:val="18"/>
                <w:szCs w:val="18"/>
                <w:b w:val="1"/>
                <w:bCs w:val="1"/>
                <w:color w:val="auto"/>
              </w:rPr>
              <w:t>LIABILITIES AND STOCKHOLDERS’ EQUITY:</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42"/>
        </w:trPr>
        <w:tc>
          <w:tcPr>
            <w:tcW w:w="2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728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20" w:type="dxa"/>
            <w:vAlign w:val="bottom"/>
            <w:vMerge w:val="restart"/>
          </w:tcPr>
          <w:p>
            <w:pPr>
              <w:spacing w:after="0"/>
              <w:rPr>
                <w:sz w:val="22"/>
                <w:szCs w:val="22"/>
                <w:color w:val="auto"/>
              </w:rPr>
            </w:pPr>
          </w:p>
        </w:tc>
        <w:tc>
          <w:tcPr>
            <w:tcW w:w="1960" w:type="dxa"/>
            <w:vAlign w:val="bottom"/>
          </w:tcPr>
          <w:p>
            <w:pPr>
              <w:spacing w:after="0"/>
              <w:rPr>
                <w:sz w:val="22"/>
                <w:szCs w:val="22"/>
                <w:color w:val="auto"/>
              </w:rPr>
            </w:pPr>
          </w:p>
        </w:tc>
        <w:tc>
          <w:tcPr>
            <w:tcW w:w="7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Current liabilities</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ind w:left="340"/>
              <w:spacing w:after="0"/>
              <w:rPr>
                <w:sz w:val="20"/>
                <w:szCs w:val="20"/>
                <w:color w:val="auto"/>
              </w:rPr>
            </w:pPr>
            <w:r>
              <w:rPr>
                <w:rFonts w:ascii="Arial" w:cs="Arial" w:eastAsia="Arial" w:hAnsi="Arial"/>
                <w:sz w:val="18"/>
                <w:szCs w:val="18"/>
                <w:color w:val="auto"/>
              </w:rPr>
              <w:t>Accounts payable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36,100</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29,139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Accrued compensation and benefits</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25,013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23,173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ind w:left="340"/>
              <w:spacing w:after="0"/>
              <w:rPr>
                <w:sz w:val="20"/>
                <w:szCs w:val="20"/>
                <w:color w:val="auto"/>
              </w:rPr>
            </w:pPr>
            <w:r>
              <w:rPr>
                <w:rFonts w:ascii="Arial" w:cs="Arial" w:eastAsia="Arial" w:hAnsi="Arial"/>
                <w:sz w:val="18"/>
                <w:szCs w:val="18"/>
                <w:color w:val="auto"/>
              </w:rPr>
              <w:t>Accrued liabilities</w:t>
            </w:r>
          </w:p>
        </w:tc>
        <w:tc>
          <w:tcPr>
            <w:tcW w:w="100" w:type="dxa"/>
            <w:vAlign w:val="bottom"/>
          </w:tcPr>
          <w:p>
            <w:pPr>
              <w:spacing w:after="0"/>
              <w:rPr>
                <w:sz w:val="18"/>
                <w:szCs w:val="18"/>
                <w:color w:val="auto"/>
              </w:rPr>
            </w:pP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26,571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20,757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Income taxes payable</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30,234</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ind w:left="340"/>
              <w:spacing w:after="0"/>
              <w:rPr>
                <w:sz w:val="20"/>
                <w:szCs w:val="20"/>
                <w:color w:val="auto"/>
              </w:rPr>
            </w:pPr>
            <w:r>
              <w:rPr>
                <w:rFonts w:ascii="Arial" w:cs="Arial" w:eastAsia="Arial" w:hAnsi="Arial"/>
                <w:sz w:val="18"/>
                <w:szCs w:val="18"/>
                <w:color w:val="auto"/>
              </w:rPr>
              <w:t>Student deposits</w:t>
            </w:r>
          </w:p>
        </w:tc>
        <w:tc>
          <w:tcPr>
            <w:tcW w:w="100" w:type="dxa"/>
            <w:vAlign w:val="bottom"/>
          </w:tcPr>
          <w:p>
            <w:pPr>
              <w:spacing w:after="0"/>
              <w:rPr>
                <w:sz w:val="18"/>
                <w:szCs w:val="18"/>
                <w:color w:val="auto"/>
              </w:rPr>
            </w:pP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72,948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95,298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Deferred revenue</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64,130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46,895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ind w:left="340"/>
              <w:spacing w:after="0"/>
              <w:rPr>
                <w:sz w:val="20"/>
                <w:szCs w:val="20"/>
                <w:color w:val="auto"/>
              </w:rPr>
            </w:pPr>
            <w:r>
              <w:rPr>
                <w:rFonts w:ascii="Arial" w:cs="Arial" w:eastAsia="Arial" w:hAnsi="Arial"/>
                <w:sz w:val="18"/>
                <w:szCs w:val="18"/>
                <w:color w:val="auto"/>
              </w:rPr>
              <w:t>Current portion of notes payable</w:t>
            </w:r>
          </w:p>
        </w:tc>
        <w:tc>
          <w:tcPr>
            <w:tcW w:w="100" w:type="dxa"/>
            <w:vAlign w:val="bottom"/>
          </w:tcPr>
          <w:p>
            <w:pPr>
              <w:spacing w:after="0"/>
              <w:rPr>
                <w:sz w:val="18"/>
                <w:szCs w:val="18"/>
                <w:color w:val="auto"/>
              </w:rPr>
            </w:pP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6,670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6,691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960" w:type="dxa"/>
            <w:vAlign w:val="bottom"/>
          </w:tcPr>
          <w:p>
            <w:pPr>
              <w:spacing w:after="0"/>
              <w:rPr>
                <w:sz w:val="2"/>
                <w:szCs w:val="2"/>
                <w:color w:val="auto"/>
              </w:rPr>
            </w:pPr>
          </w:p>
        </w:tc>
        <w:tc>
          <w:tcPr>
            <w:tcW w:w="7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current liabilities</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261,666</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238,135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spacing w:after="0"/>
              <w:rPr>
                <w:sz w:val="20"/>
                <w:szCs w:val="20"/>
                <w:color w:val="auto"/>
              </w:rPr>
            </w:pPr>
            <w:r>
              <w:rPr>
                <w:rFonts w:ascii="Arial" w:cs="Arial" w:eastAsia="Arial" w:hAnsi="Arial"/>
                <w:sz w:val="18"/>
                <w:szCs w:val="18"/>
                <w:color w:val="auto"/>
              </w:rPr>
              <w:t>Other noncurrent liabilities</w:t>
            </w:r>
          </w:p>
        </w:tc>
        <w:tc>
          <w:tcPr>
            <w:tcW w:w="100" w:type="dxa"/>
            <w:vAlign w:val="bottom"/>
          </w:tcPr>
          <w:p>
            <w:pPr>
              <w:spacing w:after="0"/>
              <w:rPr>
                <w:sz w:val="18"/>
                <w:szCs w:val="18"/>
                <w:color w:val="auto"/>
              </w:rPr>
            </w:pP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1,131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1,200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income taxes, noncurrent</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19,900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18,362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spacing w:after="0"/>
              <w:rPr>
                <w:sz w:val="20"/>
                <w:szCs w:val="20"/>
                <w:color w:val="auto"/>
              </w:rPr>
            </w:pPr>
            <w:r>
              <w:rPr>
                <w:rFonts w:ascii="Arial" w:cs="Arial" w:eastAsia="Arial" w:hAnsi="Arial"/>
                <w:sz w:val="18"/>
                <w:szCs w:val="18"/>
                <w:color w:val="auto"/>
              </w:rPr>
              <w:t>Notes payable, less current portion</w:t>
            </w:r>
          </w:p>
        </w:tc>
        <w:tc>
          <w:tcPr>
            <w:tcW w:w="100" w:type="dxa"/>
            <w:vAlign w:val="bottom"/>
          </w:tcPr>
          <w:p>
            <w:pPr>
              <w:spacing w:after="0"/>
              <w:rPr>
                <w:sz w:val="18"/>
                <w:szCs w:val="18"/>
                <w:color w:val="auto"/>
              </w:rPr>
            </w:pPr>
          </w:p>
        </w:tc>
        <w:tc>
          <w:tcPr>
            <w:tcW w:w="920" w:type="dxa"/>
            <w:vAlign w:val="bottom"/>
            <w:gridSpan w:val="4"/>
          </w:tcPr>
          <w:p>
            <w:pPr>
              <w:jc w:val="right"/>
              <w:ind w:right="200"/>
              <w:spacing w:after="0"/>
              <w:rPr>
                <w:sz w:val="20"/>
                <w:szCs w:val="20"/>
                <w:color w:val="auto"/>
              </w:rPr>
            </w:pPr>
            <w:r>
              <w:rPr>
                <w:rFonts w:ascii="Arial" w:cs="Arial" w:eastAsia="Arial" w:hAnsi="Arial"/>
                <w:sz w:val="18"/>
                <w:szCs w:val="18"/>
                <w:color w:val="auto"/>
              </w:rPr>
              <w:t>58,274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59,925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960" w:type="dxa"/>
            <w:vAlign w:val="bottom"/>
          </w:tcPr>
          <w:p>
            <w:pPr>
              <w:spacing w:after="0"/>
              <w:rPr>
                <w:sz w:val="2"/>
                <w:szCs w:val="2"/>
                <w:color w:val="auto"/>
              </w:rPr>
            </w:pPr>
          </w:p>
        </w:tc>
        <w:tc>
          <w:tcPr>
            <w:tcW w:w="7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340,971</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317,622</w:t>
            </w:r>
          </w:p>
        </w:tc>
        <w:tc>
          <w:tcPr>
            <w:tcW w:w="0" w:type="dxa"/>
            <w:vAlign w:val="bottom"/>
          </w:tcPr>
          <w:p>
            <w:pPr>
              <w:spacing w:after="0"/>
              <w:rPr>
                <w:sz w:val="1"/>
                <w:szCs w:val="1"/>
                <w:color w:val="auto"/>
              </w:rPr>
            </w:pPr>
          </w:p>
        </w:tc>
      </w:tr>
      <w:tr>
        <w:trPr>
          <w:trHeight w:val="223"/>
        </w:trPr>
        <w:tc>
          <w:tcPr>
            <w:tcW w:w="9260" w:type="dxa"/>
            <w:vAlign w:val="bottom"/>
            <w:gridSpan w:val="3"/>
          </w:tcPr>
          <w:p>
            <w:pPr>
              <w:spacing w:after="0"/>
              <w:rPr>
                <w:sz w:val="20"/>
                <w:szCs w:val="20"/>
                <w:color w:val="auto"/>
              </w:rPr>
            </w:pPr>
            <w:r>
              <w:rPr>
                <w:rFonts w:ascii="Arial" w:cs="Arial" w:eastAsia="Arial" w:hAnsi="Arial"/>
                <w:sz w:val="18"/>
                <w:szCs w:val="18"/>
                <w:color w:val="auto"/>
              </w:rPr>
              <w:t>Commitments and contingencies</w:t>
            </w:r>
          </w:p>
        </w:tc>
        <w:tc>
          <w:tcPr>
            <w:tcW w:w="10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9240" w:type="dxa"/>
            <w:vAlign w:val="bottom"/>
            <w:gridSpan w:val="2"/>
          </w:tcPr>
          <w:p>
            <w:pPr>
              <w:spacing w:after="0" w:line="201" w:lineRule="exact"/>
              <w:rPr>
                <w:sz w:val="20"/>
                <w:szCs w:val="20"/>
                <w:color w:val="auto"/>
              </w:rPr>
            </w:pPr>
            <w:r>
              <w:rPr>
                <w:rFonts w:ascii="Arial" w:cs="Arial" w:eastAsia="Arial" w:hAnsi="Arial"/>
                <w:sz w:val="18"/>
                <w:szCs w:val="18"/>
                <w:color w:val="auto"/>
                <w:w w:val="99"/>
              </w:rPr>
              <w:t>Preferred stock, $0.01 par value, 10,000 shares authorized; 0 shares issued and outstanding at March 31, 2018 and</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240" w:type="dxa"/>
            <w:vAlign w:val="bottom"/>
            <w:gridSpan w:val="2"/>
          </w:tcPr>
          <w:p>
            <w:pPr>
              <w:ind w:left="160"/>
              <w:spacing w:after="0"/>
              <w:rPr>
                <w:sz w:val="20"/>
                <w:szCs w:val="20"/>
                <w:color w:val="auto"/>
              </w:rPr>
            </w:pPr>
            <w:r>
              <w:rPr>
                <w:rFonts w:ascii="Arial" w:cs="Arial" w:eastAsia="Arial" w:hAnsi="Arial"/>
                <w:sz w:val="18"/>
                <w:szCs w:val="18"/>
                <w:color w:val="auto"/>
              </w:rPr>
              <w:t>December 31, 2017</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0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92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1"/>
              </w:rPr>
              <w:t>Common stock, $0.01 par value, 100,000 shares authorized; 52,496 and 52,277 shares issued and 48,217 and 48,125 shares</w:t>
            </w: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2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outstanding at March 31, 2018 and December 31, 2017, respectively</w:t>
            </w:r>
          </w:p>
        </w:tc>
        <w:tc>
          <w:tcPr>
            <w:tcW w:w="100" w:type="dxa"/>
            <w:vAlign w:val="bottom"/>
            <w:shd w:val="clear" w:color="auto" w:fill="CCEEFF"/>
          </w:tcPr>
          <w:p>
            <w:pPr>
              <w:spacing w:after="0"/>
              <w:rPr>
                <w:sz w:val="20"/>
                <w:szCs w:val="20"/>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525</w:t>
            </w: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spacing w:after="0"/>
              <w:rPr>
                <w:sz w:val="20"/>
                <w:szCs w:val="20"/>
                <w:color w:val="auto"/>
              </w:rPr>
            </w:pPr>
            <w:r>
              <w:rPr>
                <w:rFonts w:ascii="Arial" w:cs="Arial" w:eastAsia="Arial" w:hAnsi="Arial"/>
                <w:sz w:val="18"/>
                <w:szCs w:val="18"/>
                <w:color w:val="auto"/>
                <w:w w:val="94"/>
              </w:rPr>
              <w:t>Treasury stock, at cost, 4,279 and 4,152 shares of common stock at March 31, 2018 and December 31, 2017, respectively</w:t>
            </w:r>
          </w:p>
        </w:tc>
        <w:tc>
          <w:tcPr>
            <w:tcW w:w="100" w:type="dxa"/>
            <w:vAlign w:val="bottom"/>
          </w:tcPr>
          <w:p>
            <w:pPr>
              <w:spacing w:after="0"/>
              <w:rPr>
                <w:sz w:val="18"/>
                <w:szCs w:val="18"/>
                <w:color w:val="auto"/>
              </w:rPr>
            </w:pPr>
          </w:p>
        </w:tc>
        <w:tc>
          <w:tcPr>
            <w:tcW w:w="920" w:type="dxa"/>
            <w:vAlign w:val="bottom"/>
            <w:gridSpan w:val="4"/>
          </w:tcPr>
          <w:p>
            <w:pPr>
              <w:jc w:val="right"/>
              <w:ind w:right="140"/>
              <w:spacing w:after="0"/>
              <w:rPr>
                <w:sz w:val="20"/>
                <w:szCs w:val="20"/>
                <w:color w:val="auto"/>
              </w:rPr>
            </w:pPr>
            <w:r>
              <w:rPr>
                <w:rFonts w:ascii="Arial" w:cs="Arial" w:eastAsia="Arial" w:hAnsi="Arial"/>
                <w:sz w:val="18"/>
                <w:szCs w:val="18"/>
                <w:color w:val="auto"/>
                <w:w w:val="98"/>
              </w:rPr>
              <w:t>(112,726)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(100,694)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237,056</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232,670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tcPr>
          <w:p>
            <w:pPr>
              <w:spacing w:after="0"/>
              <w:rPr>
                <w:sz w:val="20"/>
                <w:szCs w:val="20"/>
                <w:color w:val="auto"/>
              </w:rPr>
            </w:pPr>
            <w:r>
              <w:rPr>
                <w:rFonts w:ascii="Arial" w:cs="Arial" w:eastAsia="Arial" w:hAnsi="Arial"/>
                <w:sz w:val="18"/>
                <w:szCs w:val="18"/>
                <w:color w:val="auto"/>
              </w:rPr>
              <w:t>Accumulated other comprehensive loss</w:t>
            </w:r>
          </w:p>
        </w:tc>
        <w:tc>
          <w:tcPr>
            <w:tcW w:w="100" w:type="dxa"/>
            <w:vAlign w:val="bottom"/>
          </w:tcPr>
          <w:p>
            <w:pPr>
              <w:spacing w:after="0"/>
              <w:rPr>
                <w:sz w:val="18"/>
                <w:szCs w:val="18"/>
                <w:color w:val="auto"/>
              </w:rPr>
            </w:pPr>
          </w:p>
        </w:tc>
        <w:tc>
          <w:tcPr>
            <w:tcW w:w="920" w:type="dxa"/>
            <w:vAlign w:val="bottom"/>
            <w:gridSpan w:val="4"/>
          </w:tcPr>
          <w:p>
            <w:pPr>
              <w:jc w:val="right"/>
              <w:ind w:right="140"/>
              <w:spacing w:after="0"/>
              <w:rPr>
                <w:sz w:val="20"/>
                <w:szCs w:val="20"/>
                <w:color w:val="auto"/>
              </w:rPr>
            </w:pPr>
            <w:r>
              <w:rPr>
                <w:rFonts w:ascii="Arial" w:cs="Arial" w:eastAsia="Arial" w:hAnsi="Arial"/>
                <w:sz w:val="18"/>
                <w:szCs w:val="18"/>
                <w:color w:val="auto"/>
              </w:rPr>
              <w:t>(526)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(724)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Retained earnings</w:t>
            </w:r>
          </w:p>
        </w:tc>
        <w:tc>
          <w:tcPr>
            <w:tcW w:w="1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926,683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854,176</w:t>
            </w:r>
          </w:p>
        </w:tc>
        <w:tc>
          <w:tcPr>
            <w:tcW w:w="0" w:type="dxa"/>
            <w:vAlign w:val="bottom"/>
          </w:tcPr>
          <w:p>
            <w:pPr>
              <w:spacing w:after="0"/>
              <w:rPr>
                <w:sz w:val="1"/>
                <w:szCs w:val="1"/>
                <w:color w:val="auto"/>
              </w:rPr>
            </w:pPr>
          </w:p>
        </w:tc>
      </w:tr>
      <w:tr>
        <w:trPr>
          <w:trHeight w:val="230"/>
        </w:trPr>
        <w:tc>
          <w:tcPr>
            <w:tcW w:w="9260" w:type="dxa"/>
            <w:vAlign w:val="bottom"/>
            <w:gridSpan w:val="3"/>
          </w:tcPr>
          <w:p>
            <w:pPr>
              <w:spacing w:after="0"/>
              <w:rPr>
                <w:sz w:val="20"/>
                <w:szCs w:val="20"/>
                <w:color w:val="auto"/>
              </w:rPr>
            </w:pPr>
            <w:r>
              <w:rPr>
                <w:rFonts w:ascii="Arial" w:cs="Arial" w:eastAsia="Arial" w:hAnsi="Arial"/>
                <w:sz w:val="18"/>
                <w:szCs w:val="18"/>
                <w:b w:val="1"/>
                <w:bCs w:val="1"/>
                <w:color w:val="auto"/>
              </w:rPr>
              <w:t>Total stockholders’ equity</w:t>
            </w:r>
          </w:p>
        </w:tc>
        <w:tc>
          <w:tcPr>
            <w:tcW w:w="10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w w:val="87"/>
              </w:rPr>
              <w:t>1,051,012</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985,951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9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w w:val="87"/>
              </w:rPr>
              <w:t>1,391,983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4"/>
              </w:rPr>
              <w:t>1,303,573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7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270"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First Quarter 2018 Results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98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20" w:type="dxa"/>
            <w:vAlign w:val="bottom"/>
            <w:gridSpan w:val="5"/>
          </w:tcPr>
          <w:p>
            <w:pPr>
              <w:jc w:val="right"/>
              <w:ind w:right="300"/>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71"/>
        </w:trPr>
        <w:tc>
          <w:tcPr>
            <w:tcW w:w="78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20" w:type="dxa"/>
            <w:vAlign w:val="bottom"/>
            <w:gridSpan w:val="5"/>
          </w:tcPr>
          <w:p>
            <w:pPr>
              <w:jc w:val="right"/>
              <w:ind w:right="640"/>
              <w:spacing w:after="0"/>
              <w:rPr>
                <w:sz w:val="20"/>
                <w:szCs w:val="20"/>
                <w:color w:val="auto"/>
              </w:rPr>
            </w:pPr>
            <w:r>
              <w:rPr>
                <w:rFonts w:ascii="Arial" w:cs="Arial" w:eastAsia="Arial" w:hAnsi="Arial"/>
                <w:sz w:val="14"/>
                <w:szCs w:val="14"/>
                <w:b w:val="1"/>
                <w:bCs w:val="1"/>
                <w:color w:val="auto"/>
              </w:rPr>
              <w:t>March 31,</w:t>
            </w:r>
          </w:p>
        </w:tc>
        <w:tc>
          <w:tcPr>
            <w:tcW w:w="0" w:type="dxa"/>
            <w:vAlign w:val="bottom"/>
          </w:tcPr>
          <w:p>
            <w:pPr>
              <w:spacing w:after="0"/>
              <w:rPr>
                <w:sz w:val="1"/>
                <w:szCs w:val="1"/>
                <w:color w:val="auto"/>
              </w:rPr>
            </w:pPr>
          </w:p>
        </w:tc>
      </w:tr>
      <w:tr>
        <w:trPr>
          <w:trHeight w:val="142"/>
        </w:trPr>
        <w:tc>
          <w:tcPr>
            <w:tcW w:w="7880" w:type="dxa"/>
            <w:vAlign w:val="bottom"/>
            <w:gridSpan w:val="3"/>
            <w:vMerge w:val="continue"/>
          </w:tcPr>
          <w:p>
            <w:pPr>
              <w:spacing w:after="0"/>
              <w:rPr>
                <w:sz w:val="12"/>
                <w:szCs w:val="12"/>
                <w:color w:val="auto"/>
              </w:rPr>
            </w:pPr>
          </w:p>
        </w:tc>
        <w:tc>
          <w:tcPr>
            <w:tcW w:w="17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2018</w:t>
            </w: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w w:val="90"/>
              </w:rPr>
              <w:t>Cash flows</w:t>
            </w:r>
          </w:p>
        </w:tc>
        <w:tc>
          <w:tcPr>
            <w:tcW w:w="698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provided by operating activities:</w:t>
            </w:r>
          </w:p>
        </w:tc>
        <w:tc>
          <w:tcPr>
            <w:tcW w:w="17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73,681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55,912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340"/>
              <w:spacing w:after="0"/>
              <w:rPr>
                <w:sz w:val="20"/>
                <w:szCs w:val="20"/>
                <w:color w:val="auto"/>
              </w:rPr>
            </w:pPr>
            <w:r>
              <w:rPr>
                <w:rFonts w:ascii="Arial" w:cs="Arial" w:eastAsia="Arial" w:hAnsi="Arial"/>
                <w:sz w:val="18"/>
                <w:szCs w:val="18"/>
                <w:color w:val="auto"/>
              </w:rPr>
              <w:t>Share-based compensation</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3,469</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2,931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Provision for bad debts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4,997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340"/>
              <w:spacing w:after="0"/>
              <w:rPr>
                <w:sz w:val="20"/>
                <w:szCs w:val="20"/>
                <w:color w:val="auto"/>
              </w:rPr>
            </w:pPr>
            <w:r>
              <w:rPr>
                <w:rFonts w:ascii="Arial" w:cs="Arial" w:eastAsia="Arial" w:hAnsi="Arial"/>
                <w:sz w:val="18"/>
                <w:szCs w:val="18"/>
                <w:color w:val="auto"/>
              </w:rPr>
              <w:t>Depreciation and amortization</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13,947</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13,267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Deferred income taxes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1,928</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340"/>
              <w:spacing w:after="0"/>
              <w:rPr>
                <w:sz w:val="20"/>
                <w:szCs w:val="20"/>
                <w:color w:val="auto"/>
              </w:rPr>
            </w:pPr>
            <w:r>
              <w:rPr>
                <w:rFonts w:ascii="Arial" w:cs="Arial" w:eastAsia="Arial" w:hAnsi="Arial"/>
                <w:sz w:val="18"/>
                <w:szCs w:val="18"/>
                <w:color w:val="auto"/>
              </w:rPr>
              <w:t>Other</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539</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Changes in assets and liabilities: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700"/>
              <w:spacing w:after="0"/>
              <w:rPr>
                <w:sz w:val="20"/>
                <w:szCs w:val="20"/>
                <w:color w:val="auto"/>
              </w:rPr>
            </w:pPr>
            <w:r>
              <w:rPr>
                <w:rFonts w:ascii="Arial" w:cs="Arial" w:eastAsia="Arial" w:hAnsi="Arial"/>
                <w:sz w:val="18"/>
                <w:szCs w:val="18"/>
                <w:color w:val="auto"/>
              </w:rPr>
              <w:t>Accounts receivable</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(3,558)</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(3,265)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Prepaid expenses and other</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(1,332)</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700"/>
              <w:spacing w:after="0"/>
              <w:rPr>
                <w:sz w:val="20"/>
                <w:szCs w:val="20"/>
                <w:color w:val="auto"/>
              </w:rPr>
            </w:pPr>
            <w:r>
              <w:rPr>
                <w:rFonts w:ascii="Arial" w:cs="Arial" w:eastAsia="Arial" w:hAnsi="Arial"/>
                <w:sz w:val="18"/>
                <w:szCs w:val="18"/>
                <w:color w:val="auto"/>
              </w:rPr>
              <w:t>Accounts payable</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563</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1,042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Accrued liabilities and employee related liabilities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7,665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700"/>
              <w:spacing w:after="0"/>
              <w:rPr>
                <w:sz w:val="20"/>
                <w:szCs w:val="20"/>
                <w:color w:val="auto"/>
              </w:rPr>
            </w:pPr>
            <w:r>
              <w:rPr>
                <w:rFonts w:ascii="Arial" w:cs="Arial" w:eastAsia="Arial" w:hAnsi="Arial"/>
                <w:sz w:val="18"/>
                <w:szCs w:val="18"/>
                <w:color w:val="auto"/>
              </w:rPr>
              <w:t>Income taxes receivable/payable</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14,809</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16,654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Deferred rent</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(36)</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700"/>
              <w:spacing w:after="0"/>
              <w:rPr>
                <w:sz w:val="20"/>
                <w:szCs w:val="20"/>
                <w:color w:val="auto"/>
              </w:rPr>
            </w:pPr>
            <w:r>
              <w:rPr>
                <w:rFonts w:ascii="Arial" w:cs="Arial" w:eastAsia="Arial" w:hAnsi="Arial"/>
                <w:sz w:val="18"/>
                <w:szCs w:val="18"/>
                <w:color w:val="auto"/>
              </w:rPr>
              <w:t>Deferred revenue</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24,686</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29,020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Student deposits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5"/>
              </w:rPr>
              <w:t>(22,350)</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(15,165)</w:t>
            </w:r>
          </w:p>
        </w:tc>
        <w:tc>
          <w:tcPr>
            <w:tcW w:w="0" w:type="dxa"/>
            <w:vAlign w:val="bottom"/>
          </w:tcPr>
          <w:p>
            <w:pPr>
              <w:spacing w:after="0"/>
              <w:rPr>
                <w:sz w:val="1"/>
                <w:szCs w:val="1"/>
                <w:color w:val="auto"/>
              </w:rPr>
            </w:pPr>
          </w:p>
        </w:tc>
      </w:tr>
      <w:tr>
        <w:trPr>
          <w:trHeight w:val="230"/>
        </w:trPr>
        <w:tc>
          <w:tcPr>
            <w:tcW w:w="7880" w:type="dxa"/>
            <w:vAlign w:val="bottom"/>
            <w:gridSpan w:val="3"/>
          </w:tcPr>
          <w:p>
            <w:pPr>
              <w:spacing w:after="0"/>
              <w:rPr>
                <w:sz w:val="20"/>
                <w:szCs w:val="20"/>
                <w:color w:val="auto"/>
              </w:rPr>
            </w:pPr>
            <w:r>
              <w:rPr>
                <w:rFonts w:ascii="Arial" w:cs="Arial" w:eastAsia="Arial" w:hAnsi="Arial"/>
                <w:sz w:val="18"/>
                <w:szCs w:val="18"/>
                <w:b w:val="1"/>
                <w:bCs w:val="1"/>
                <w:color w:val="auto"/>
              </w:rPr>
              <w:t>Net cash provided by operating activities</w:t>
            </w:r>
          </w:p>
        </w:tc>
        <w:tc>
          <w:tcPr>
            <w:tcW w:w="174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119,008</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109,656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used in investing activities: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340"/>
              <w:spacing w:after="0"/>
              <w:rPr>
                <w:sz w:val="20"/>
                <w:szCs w:val="20"/>
                <w:color w:val="auto"/>
              </w:rPr>
            </w:pPr>
            <w:r>
              <w:rPr>
                <w:rFonts w:ascii="Arial" w:cs="Arial" w:eastAsia="Arial" w:hAnsi="Arial"/>
                <w:sz w:val="18"/>
                <w:szCs w:val="18"/>
                <w:color w:val="auto"/>
              </w:rPr>
              <w:t>Capital expenditures</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w w:val="95"/>
              </w:rPr>
              <w:t>(35,173)</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(21,729)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land and building improvements related to off-site development</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(174)</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(7,898)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340"/>
              <w:spacing w:after="0"/>
              <w:rPr>
                <w:sz w:val="20"/>
                <w:szCs w:val="20"/>
                <w:color w:val="auto"/>
              </w:rPr>
            </w:pPr>
            <w:r>
              <w:rPr>
                <w:rFonts w:ascii="Arial" w:cs="Arial" w:eastAsia="Arial" w:hAnsi="Arial"/>
                <w:sz w:val="18"/>
                <w:szCs w:val="18"/>
                <w:color w:val="auto"/>
              </w:rPr>
              <w:t>Purchases of investments</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w w:val="95"/>
              </w:rPr>
              <w:t>(17,122)</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(26,532)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Proceeds from sale or maturity of investments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13,944</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7,571</w:t>
            </w:r>
          </w:p>
        </w:tc>
        <w:tc>
          <w:tcPr>
            <w:tcW w:w="0" w:type="dxa"/>
            <w:vAlign w:val="bottom"/>
          </w:tcPr>
          <w:p>
            <w:pPr>
              <w:spacing w:after="0"/>
              <w:rPr>
                <w:sz w:val="1"/>
                <w:szCs w:val="1"/>
                <w:color w:val="auto"/>
              </w:rPr>
            </w:pPr>
          </w:p>
        </w:tc>
      </w:tr>
      <w:tr>
        <w:trPr>
          <w:trHeight w:val="230"/>
        </w:trPr>
        <w:tc>
          <w:tcPr>
            <w:tcW w:w="7880" w:type="dxa"/>
            <w:vAlign w:val="bottom"/>
            <w:gridSpan w:val="3"/>
          </w:tcPr>
          <w:p>
            <w:pPr>
              <w:spacing w:after="0"/>
              <w:rPr>
                <w:sz w:val="20"/>
                <w:szCs w:val="20"/>
                <w:color w:val="auto"/>
              </w:rPr>
            </w:pPr>
            <w:r>
              <w:rPr>
                <w:rFonts w:ascii="Arial" w:cs="Arial" w:eastAsia="Arial" w:hAnsi="Arial"/>
                <w:sz w:val="18"/>
                <w:szCs w:val="18"/>
                <w:b w:val="1"/>
                <w:bCs w:val="1"/>
                <w:color w:val="auto"/>
              </w:rPr>
              <w:t>Net cash used in investing activities</w:t>
            </w:r>
          </w:p>
        </w:tc>
        <w:tc>
          <w:tcPr>
            <w:tcW w:w="174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(38,525)</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(48,588)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used in financing activities: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340"/>
              <w:spacing w:after="0"/>
              <w:rPr>
                <w:sz w:val="20"/>
                <w:szCs w:val="20"/>
                <w:color w:val="auto"/>
              </w:rPr>
            </w:pPr>
            <w:r>
              <w:rPr>
                <w:rFonts w:ascii="Arial" w:cs="Arial" w:eastAsia="Arial" w:hAnsi="Arial"/>
                <w:sz w:val="18"/>
                <w:szCs w:val="18"/>
                <w:color w:val="auto"/>
              </w:rPr>
              <w:t>Principal payments on notes payable and capital lease obligations</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(1,716)</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(1,698)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borrowings from revolving line of credit</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(25,000)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340"/>
              <w:spacing w:after="0"/>
              <w:rPr>
                <w:sz w:val="20"/>
                <w:szCs w:val="20"/>
                <w:color w:val="auto"/>
              </w:rPr>
            </w:pPr>
            <w:r>
              <w:rPr>
                <w:rFonts w:ascii="Arial" w:cs="Arial" w:eastAsia="Arial" w:hAnsi="Arial"/>
                <w:sz w:val="18"/>
                <w:szCs w:val="18"/>
                <w:color w:val="auto"/>
              </w:rPr>
              <w:t>Repurchase of common shares including shares withheld in lieu of income taxes</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w w:val="95"/>
              </w:rPr>
              <w:t>(12,032)</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(9,516)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proceeds from exercise of stock options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919</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3,122</w:t>
            </w:r>
          </w:p>
        </w:tc>
        <w:tc>
          <w:tcPr>
            <w:tcW w:w="0" w:type="dxa"/>
            <w:vAlign w:val="bottom"/>
          </w:tcPr>
          <w:p>
            <w:pPr>
              <w:spacing w:after="0"/>
              <w:rPr>
                <w:sz w:val="1"/>
                <w:szCs w:val="1"/>
                <w:color w:val="auto"/>
              </w:rPr>
            </w:pPr>
          </w:p>
        </w:tc>
      </w:tr>
      <w:tr>
        <w:trPr>
          <w:trHeight w:val="230"/>
        </w:trPr>
        <w:tc>
          <w:tcPr>
            <w:tcW w:w="7880" w:type="dxa"/>
            <w:vAlign w:val="bottom"/>
            <w:gridSpan w:val="3"/>
          </w:tcPr>
          <w:p>
            <w:pPr>
              <w:spacing w:after="0"/>
              <w:rPr>
                <w:sz w:val="20"/>
                <w:szCs w:val="20"/>
                <w:color w:val="auto"/>
              </w:rPr>
            </w:pPr>
            <w:r>
              <w:rPr>
                <w:rFonts w:ascii="Arial" w:cs="Arial" w:eastAsia="Arial" w:hAnsi="Arial"/>
                <w:sz w:val="18"/>
                <w:szCs w:val="18"/>
                <w:b w:val="1"/>
                <w:bCs w:val="1"/>
                <w:color w:val="auto"/>
              </w:rPr>
              <w:t>Net cash used in financing activities</w:t>
            </w:r>
          </w:p>
        </w:tc>
        <w:tc>
          <w:tcPr>
            <w:tcW w:w="174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(12,829)</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(33,092)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increase in cash and cash equivalents and restricted cash</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67,654</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27,976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860" w:type="dxa"/>
            <w:vAlign w:val="bottom"/>
            <w:gridSpan w:val="2"/>
          </w:tcPr>
          <w:p>
            <w:pPr>
              <w:spacing w:after="0"/>
              <w:rPr>
                <w:sz w:val="20"/>
                <w:szCs w:val="20"/>
                <w:color w:val="auto"/>
              </w:rPr>
            </w:pPr>
            <w:r>
              <w:rPr>
                <w:rFonts w:ascii="Arial" w:cs="Arial" w:eastAsia="Arial" w:hAnsi="Arial"/>
                <w:sz w:val="18"/>
                <w:szCs w:val="18"/>
                <w:b w:val="1"/>
                <w:bCs w:val="1"/>
                <w:color w:val="auto"/>
              </w:rPr>
              <w:t>Cash and cash equivalents and restricted cash, beginning of period</w:t>
            </w:r>
          </w:p>
        </w:tc>
        <w:tc>
          <w:tcPr>
            <w:tcW w:w="17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248,008</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130,907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and restricted cash, end of period</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315,662</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158,883</w:t>
            </w:r>
          </w:p>
        </w:tc>
        <w:tc>
          <w:tcPr>
            <w:tcW w:w="0" w:type="dxa"/>
            <w:vAlign w:val="bottom"/>
          </w:tcPr>
          <w:p>
            <w:pPr>
              <w:spacing w:after="0"/>
              <w:rPr>
                <w:sz w:val="1"/>
                <w:szCs w:val="1"/>
                <w:color w:val="auto"/>
              </w:rPr>
            </w:pPr>
          </w:p>
        </w:tc>
      </w:tr>
      <w:tr>
        <w:trPr>
          <w:trHeight w:val="20"/>
        </w:trPr>
        <w:tc>
          <w:tcPr>
            <w:tcW w:w="788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17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880" w:type="dxa"/>
            <w:vAlign w:val="bottom"/>
            <w:gridSpan w:val="3"/>
            <w:vMerge w:val="continue"/>
          </w:tcPr>
          <w:p>
            <w:pPr>
              <w:spacing w:after="0"/>
              <w:rPr>
                <w:sz w:val="18"/>
                <w:szCs w:val="18"/>
                <w:color w:val="auto"/>
              </w:rPr>
            </w:pP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paid for interest</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321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340"/>
              <w:spacing w:after="0"/>
              <w:rPr>
                <w:sz w:val="20"/>
                <w:szCs w:val="20"/>
                <w:color w:val="auto"/>
              </w:rPr>
            </w:pPr>
            <w:r>
              <w:rPr>
                <w:rFonts w:ascii="Arial" w:cs="Arial" w:eastAsia="Arial" w:hAnsi="Arial"/>
                <w:sz w:val="18"/>
                <w:szCs w:val="18"/>
                <w:color w:val="auto"/>
              </w:rPr>
              <w:t>Cash paid for income taxes</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375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tcPr>
          <w:p>
            <w:pPr>
              <w:ind w:left="340"/>
              <w:spacing w:after="0"/>
              <w:rPr>
                <w:sz w:val="20"/>
                <w:szCs w:val="20"/>
                <w:color w:val="auto"/>
              </w:rPr>
            </w:pPr>
            <w:r>
              <w:rPr>
                <w:rFonts w:ascii="Arial" w:cs="Arial" w:eastAsia="Arial" w:hAnsi="Arial"/>
                <w:sz w:val="18"/>
                <w:szCs w:val="18"/>
                <w:color w:val="auto"/>
              </w:rPr>
              <w:t>Purchases of property and equipment included in accounts payable</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13,081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5,993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Reclassification of capitalized costs – adoption of ASC 606</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9,015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860" w:type="dxa"/>
            <w:vAlign w:val="bottom"/>
            <w:gridSpan w:val="2"/>
          </w:tcPr>
          <w:p>
            <w:pPr>
              <w:ind w:left="340"/>
              <w:spacing w:after="0"/>
              <w:rPr>
                <w:sz w:val="20"/>
                <w:szCs w:val="20"/>
                <w:color w:val="auto"/>
              </w:rPr>
            </w:pPr>
            <w:r>
              <w:rPr>
                <w:rFonts w:ascii="Arial" w:cs="Arial" w:eastAsia="Arial" w:hAnsi="Arial"/>
                <w:sz w:val="18"/>
                <w:szCs w:val="18"/>
                <w:color w:val="auto"/>
              </w:rPr>
              <w:t>Reclassification of deferred revenue – adoption of ASC 606</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7,451</w:t>
            </w:r>
          </w:p>
        </w:tc>
        <w:tc>
          <w:tcPr>
            <w:tcW w:w="32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ectPr>
          <w:pgSz w:w="11900" w:h="16838" w:orient="portrait"/>
          <w:cols w:equalWidth="0" w:num="1">
            <w:col w:w="11420"/>
          </w:cols>
          <w:pgMar w:left="240" w:top="270" w:right="2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First Quarter 2018 Results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summary of our student enrollment at March 31, 2018 and 2017 by degree type and by instructional delivery method:</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8540" w:type="dxa"/>
            <w:vAlign w:val="bottom"/>
          </w:tcPr>
          <w:p>
            <w:pPr>
              <w:spacing w:after="0"/>
              <w:rPr>
                <w:sz w:val="14"/>
                <w:szCs w:val="14"/>
                <w:color w:val="auto"/>
              </w:rPr>
            </w:pPr>
          </w:p>
        </w:tc>
        <w:tc>
          <w:tcPr>
            <w:tcW w:w="1180" w:type="dxa"/>
            <w:vAlign w:val="bottom"/>
            <w:tcBorders>
              <w:bottom w:val="single" w:sz="8" w:color="auto"/>
            </w:tcBorders>
            <w:gridSpan w:val="3"/>
          </w:tcPr>
          <w:p>
            <w:pPr>
              <w:jc w:val="right"/>
              <w:ind w:right="318"/>
              <w:spacing w:after="0"/>
              <w:rPr>
                <w:sz w:val="20"/>
                <w:szCs w:val="20"/>
                <w:color w:val="auto"/>
              </w:rPr>
            </w:pPr>
            <w:r>
              <w:rPr>
                <w:rFonts w:ascii="Arial" w:cs="Arial" w:eastAsia="Arial" w:hAnsi="Arial"/>
                <w:sz w:val="14"/>
                <w:szCs w:val="14"/>
                <w:b w:val="1"/>
                <w:bCs w:val="1"/>
                <w:color w:val="auto"/>
              </w:rPr>
              <w:t>2018</w:t>
            </w:r>
            <w:r>
              <w:rPr>
                <w:rFonts w:ascii="Arial" w:cs="Arial" w:eastAsia="Arial" w:hAnsi="Arial"/>
                <w:sz w:val="7"/>
                <w:szCs w:val="7"/>
                <w:color w:val="auto"/>
              </w:rPr>
              <w:t>(1)</w:t>
            </w:r>
          </w:p>
        </w:tc>
        <w:tc>
          <w:tcPr>
            <w:tcW w:w="300" w:type="dxa"/>
            <w:vAlign w:val="bottom"/>
          </w:tcPr>
          <w:p>
            <w:pPr>
              <w:spacing w:after="0"/>
              <w:rPr>
                <w:sz w:val="14"/>
                <w:szCs w:val="14"/>
                <w:color w:val="auto"/>
              </w:rPr>
            </w:pPr>
          </w:p>
        </w:tc>
        <w:tc>
          <w:tcPr>
            <w:tcW w:w="1180" w:type="dxa"/>
            <w:vAlign w:val="bottom"/>
            <w:tcBorders>
              <w:bottom w:val="single" w:sz="8" w:color="auto"/>
            </w:tcBorders>
            <w:gridSpan w:val="3"/>
          </w:tcPr>
          <w:p>
            <w:pPr>
              <w:jc w:val="right"/>
              <w:ind w:right="318"/>
              <w:spacing w:after="0"/>
              <w:rPr>
                <w:sz w:val="20"/>
                <w:szCs w:val="20"/>
                <w:color w:val="auto"/>
              </w:rPr>
            </w:pPr>
            <w:r>
              <w:rPr>
                <w:rFonts w:ascii="Arial" w:cs="Arial" w:eastAsia="Arial" w:hAnsi="Arial"/>
                <w:sz w:val="14"/>
                <w:szCs w:val="14"/>
                <w:b w:val="1"/>
                <w:bCs w:val="1"/>
                <w:color w:val="auto"/>
              </w:rPr>
              <w:t>2017</w:t>
            </w:r>
            <w:r>
              <w:rPr>
                <w:rFonts w:ascii="Arial" w:cs="Arial" w:eastAsia="Arial" w:hAnsi="Arial"/>
                <w:sz w:val="7"/>
                <w:szCs w:val="7"/>
                <w:color w:val="auto"/>
              </w:rPr>
              <w:t>(1)</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8540" w:type="dxa"/>
            <w:vAlign w:val="bottom"/>
          </w:tcPr>
          <w:p>
            <w:pPr>
              <w:spacing w:after="0"/>
              <w:rPr>
                <w:sz w:val="10"/>
                <w:szCs w:val="10"/>
                <w:color w:val="auto"/>
              </w:rPr>
            </w:pPr>
          </w:p>
        </w:tc>
        <w:tc>
          <w:tcPr>
            <w:tcW w:w="720" w:type="dxa"/>
            <w:vAlign w:val="bottom"/>
            <w:gridSpan w:val="2"/>
          </w:tcPr>
          <w:p>
            <w:pPr>
              <w:jc w:val="center"/>
              <w:ind w:right="180"/>
              <w:spacing w:after="0" w:line="119" w:lineRule="exact"/>
              <w:rPr>
                <w:sz w:val="20"/>
                <w:szCs w:val="20"/>
                <w:color w:val="auto"/>
              </w:rPr>
            </w:pPr>
            <w:r>
              <w:rPr>
                <w:rFonts w:ascii="Arial" w:cs="Arial" w:eastAsia="Arial" w:hAnsi="Arial"/>
                <w:sz w:val="13"/>
                <w:szCs w:val="13"/>
                <w:b w:val="1"/>
                <w:bCs w:val="1"/>
                <w:color w:val="auto"/>
                <w:w w:val="94"/>
              </w:rPr>
              <w:t># of</w:t>
            </w:r>
          </w:p>
        </w:tc>
        <w:tc>
          <w:tcPr>
            <w:tcW w:w="460" w:type="dxa"/>
            <w:vAlign w:val="bottom"/>
          </w:tcPr>
          <w:p>
            <w:pPr>
              <w:ind w:left="80"/>
              <w:spacing w:after="0" w:line="119" w:lineRule="exact"/>
              <w:rPr>
                <w:sz w:val="20"/>
                <w:szCs w:val="20"/>
                <w:color w:val="auto"/>
              </w:rPr>
            </w:pPr>
            <w:r>
              <w:rPr>
                <w:rFonts w:ascii="Arial" w:cs="Arial" w:eastAsia="Arial" w:hAnsi="Arial"/>
                <w:sz w:val="13"/>
                <w:szCs w:val="13"/>
                <w:b w:val="1"/>
                <w:bCs w:val="1"/>
                <w:color w:val="auto"/>
              </w:rPr>
              <w:t>% of</w:t>
            </w:r>
          </w:p>
        </w:tc>
        <w:tc>
          <w:tcPr>
            <w:tcW w:w="300" w:type="dxa"/>
            <w:vAlign w:val="bottom"/>
          </w:tcPr>
          <w:p>
            <w:pPr>
              <w:spacing w:after="0"/>
              <w:rPr>
                <w:sz w:val="10"/>
                <w:szCs w:val="10"/>
                <w:color w:val="auto"/>
              </w:rPr>
            </w:pPr>
          </w:p>
        </w:tc>
        <w:tc>
          <w:tcPr>
            <w:tcW w:w="720" w:type="dxa"/>
            <w:vAlign w:val="bottom"/>
            <w:gridSpan w:val="2"/>
          </w:tcPr>
          <w:p>
            <w:pPr>
              <w:jc w:val="center"/>
              <w:ind w:right="160"/>
              <w:spacing w:after="0" w:line="119" w:lineRule="exact"/>
              <w:rPr>
                <w:sz w:val="20"/>
                <w:szCs w:val="20"/>
                <w:color w:val="auto"/>
              </w:rPr>
            </w:pPr>
            <w:r>
              <w:rPr>
                <w:rFonts w:ascii="Arial" w:cs="Arial" w:eastAsia="Arial" w:hAnsi="Arial"/>
                <w:sz w:val="13"/>
                <w:szCs w:val="13"/>
                <w:b w:val="1"/>
                <w:bCs w:val="1"/>
                <w:color w:val="auto"/>
              </w:rPr>
              <w:t># of</w:t>
            </w:r>
          </w:p>
        </w:tc>
        <w:tc>
          <w:tcPr>
            <w:tcW w:w="460" w:type="dxa"/>
            <w:vAlign w:val="bottom"/>
          </w:tcPr>
          <w:p>
            <w:pPr>
              <w:ind w:left="80"/>
              <w:spacing w:after="0" w:line="119" w:lineRule="exact"/>
              <w:rPr>
                <w:sz w:val="20"/>
                <w:szCs w:val="20"/>
                <w:color w:val="auto"/>
              </w:rPr>
            </w:pPr>
            <w:r>
              <w:rPr>
                <w:rFonts w:ascii="Arial" w:cs="Arial" w:eastAsia="Arial" w:hAnsi="Arial"/>
                <w:sz w:val="13"/>
                <w:szCs w:val="13"/>
                <w:b w:val="1"/>
                <w:bCs w:val="1"/>
                <w:color w:val="auto"/>
              </w:rPr>
              <w:t>% of</w:t>
            </w: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854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Students</w:t>
            </w:r>
          </w:p>
        </w:tc>
        <w:tc>
          <w:tcPr>
            <w:tcW w:w="160" w:type="dxa"/>
            <w:vAlign w:val="bottom"/>
            <w:tcBorders>
              <w:bottom w:val="single" w:sz="8" w:color="CCEEFF"/>
            </w:tcBorders>
          </w:tcPr>
          <w:p>
            <w:pPr>
              <w:spacing w:after="0"/>
              <w:rPr>
                <w:sz w:val="14"/>
                <w:szCs w:val="14"/>
                <w:color w:val="auto"/>
              </w:rPr>
            </w:pPr>
          </w:p>
        </w:tc>
        <w:tc>
          <w:tcPr>
            <w:tcW w:w="4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Total</w:t>
            </w:r>
          </w:p>
        </w:tc>
        <w:tc>
          <w:tcPr>
            <w:tcW w:w="30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Students</w:t>
            </w:r>
          </w:p>
        </w:tc>
        <w:tc>
          <w:tcPr>
            <w:tcW w:w="160" w:type="dxa"/>
            <w:vAlign w:val="bottom"/>
            <w:tcBorders>
              <w:bottom w:val="single" w:sz="8" w:color="CCEEFF"/>
            </w:tcBorders>
          </w:tcPr>
          <w:p>
            <w:pPr>
              <w:spacing w:after="0"/>
              <w:rPr>
                <w:sz w:val="14"/>
                <w:szCs w:val="14"/>
                <w:color w:val="auto"/>
              </w:rPr>
            </w:pPr>
          </w:p>
        </w:tc>
        <w:tc>
          <w:tcPr>
            <w:tcW w:w="46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Total</w:t>
            </w:r>
          </w:p>
        </w:tc>
        <w:tc>
          <w:tcPr>
            <w:tcW w:w="2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8"/>
                <w:szCs w:val="18"/>
                <w:color w:val="auto"/>
              </w:rPr>
              <w:t>Graduate degrees</w:t>
            </w:r>
            <w:r>
              <w:rPr>
                <w:rFonts w:ascii="Arial" w:cs="Arial" w:eastAsia="Arial" w:hAnsi="Arial"/>
                <w:sz w:val="15"/>
                <w:szCs w:val="15"/>
                <w:color w:val="auto"/>
              </w:rPr>
              <w:t>(2)</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38,569</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42.2%</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34,962</w:t>
            </w:r>
          </w:p>
        </w:tc>
        <w:tc>
          <w:tcPr>
            <w:tcW w:w="16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40" w:type="dxa"/>
            <w:vAlign w:val="bottom"/>
          </w:tcPr>
          <w:p>
            <w:pPr>
              <w:spacing w:after="0"/>
              <w:rPr>
                <w:sz w:val="20"/>
                <w:szCs w:val="20"/>
                <w:color w:val="auto"/>
              </w:rPr>
            </w:pPr>
            <w:r>
              <w:rPr>
                <w:rFonts w:ascii="Arial" w:cs="Arial" w:eastAsia="Arial" w:hAnsi="Arial"/>
                <w:sz w:val="18"/>
                <w:szCs w:val="18"/>
                <w:color w:val="auto"/>
              </w:rPr>
              <w:t>Undergraduate degree</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52,809</w:t>
            </w:r>
          </w:p>
        </w:tc>
        <w:tc>
          <w:tcPr>
            <w:tcW w:w="16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57.8%</w:t>
            </w: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w w:val="98"/>
              </w:rPr>
              <w:t>48,390</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58.1%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54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91,378</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100.0%</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8"/>
              </w:rPr>
              <w:t>83,352</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5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6"/>
        </w:trPr>
        <w:tc>
          <w:tcPr>
            <w:tcW w:w="20" w:type="dxa"/>
            <w:vAlign w:val="bottom"/>
          </w:tcPr>
          <w:p>
            <w:pPr>
              <w:spacing w:after="0"/>
              <w:rPr>
                <w:sz w:val="24"/>
                <w:szCs w:val="24"/>
                <w:color w:val="auto"/>
              </w:rPr>
            </w:pPr>
          </w:p>
        </w:tc>
        <w:tc>
          <w:tcPr>
            <w:tcW w:w="8540" w:type="dxa"/>
            <w:vAlign w:val="bottom"/>
          </w:tcPr>
          <w:p>
            <w:pPr>
              <w:spacing w:after="0"/>
              <w:rPr>
                <w:sz w:val="24"/>
                <w:szCs w:val="24"/>
                <w:color w:val="auto"/>
              </w:rPr>
            </w:pPr>
          </w:p>
        </w:tc>
        <w:tc>
          <w:tcPr>
            <w:tcW w:w="1180" w:type="dxa"/>
            <w:vAlign w:val="bottom"/>
            <w:tcBorders>
              <w:bottom w:val="single" w:sz="8" w:color="auto"/>
            </w:tcBorders>
            <w:gridSpan w:val="3"/>
          </w:tcPr>
          <w:p>
            <w:pPr>
              <w:jc w:val="right"/>
              <w:ind w:right="318"/>
              <w:spacing w:after="0"/>
              <w:rPr>
                <w:sz w:val="20"/>
                <w:szCs w:val="20"/>
                <w:color w:val="auto"/>
              </w:rPr>
            </w:pPr>
            <w:r>
              <w:rPr>
                <w:rFonts w:ascii="Arial" w:cs="Arial" w:eastAsia="Arial" w:hAnsi="Arial"/>
                <w:sz w:val="14"/>
                <w:szCs w:val="14"/>
                <w:b w:val="1"/>
                <w:bCs w:val="1"/>
                <w:color w:val="auto"/>
              </w:rPr>
              <w:t>2018</w:t>
            </w:r>
            <w:r>
              <w:rPr>
                <w:rFonts w:ascii="Arial" w:cs="Arial" w:eastAsia="Arial" w:hAnsi="Arial"/>
                <w:sz w:val="7"/>
                <w:szCs w:val="7"/>
                <w:color w:val="auto"/>
              </w:rPr>
              <w:t>(1)</w:t>
            </w:r>
          </w:p>
        </w:tc>
        <w:tc>
          <w:tcPr>
            <w:tcW w:w="300" w:type="dxa"/>
            <w:vAlign w:val="bottom"/>
          </w:tcPr>
          <w:p>
            <w:pPr>
              <w:spacing w:after="0"/>
              <w:rPr>
                <w:sz w:val="24"/>
                <w:szCs w:val="24"/>
                <w:color w:val="auto"/>
              </w:rPr>
            </w:pPr>
          </w:p>
        </w:tc>
        <w:tc>
          <w:tcPr>
            <w:tcW w:w="1180" w:type="dxa"/>
            <w:vAlign w:val="bottom"/>
            <w:tcBorders>
              <w:bottom w:val="single" w:sz="8" w:color="auto"/>
            </w:tcBorders>
            <w:gridSpan w:val="3"/>
          </w:tcPr>
          <w:p>
            <w:pPr>
              <w:jc w:val="right"/>
              <w:ind w:right="318"/>
              <w:spacing w:after="0"/>
              <w:rPr>
                <w:sz w:val="20"/>
                <w:szCs w:val="20"/>
                <w:color w:val="auto"/>
              </w:rPr>
            </w:pPr>
            <w:r>
              <w:rPr>
                <w:rFonts w:ascii="Arial" w:cs="Arial" w:eastAsia="Arial" w:hAnsi="Arial"/>
                <w:sz w:val="14"/>
                <w:szCs w:val="14"/>
                <w:b w:val="1"/>
                <w:bCs w:val="1"/>
                <w:color w:val="auto"/>
              </w:rPr>
              <w:t>2017</w:t>
            </w:r>
            <w:r>
              <w:rPr>
                <w:rFonts w:ascii="Arial" w:cs="Arial" w:eastAsia="Arial" w:hAnsi="Arial"/>
                <w:sz w:val="7"/>
                <w:szCs w:val="7"/>
                <w:color w:val="auto"/>
              </w:rPr>
              <w:t>(1)</w:t>
            </w: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8540" w:type="dxa"/>
            <w:vAlign w:val="bottom"/>
          </w:tcPr>
          <w:p>
            <w:pPr>
              <w:spacing w:after="0"/>
              <w:rPr>
                <w:sz w:val="10"/>
                <w:szCs w:val="10"/>
                <w:color w:val="auto"/>
              </w:rPr>
            </w:pPr>
          </w:p>
        </w:tc>
        <w:tc>
          <w:tcPr>
            <w:tcW w:w="720" w:type="dxa"/>
            <w:vAlign w:val="bottom"/>
            <w:gridSpan w:val="2"/>
          </w:tcPr>
          <w:p>
            <w:pPr>
              <w:jc w:val="center"/>
              <w:ind w:right="180"/>
              <w:spacing w:after="0" w:line="119" w:lineRule="exact"/>
              <w:rPr>
                <w:sz w:val="20"/>
                <w:szCs w:val="20"/>
                <w:color w:val="auto"/>
              </w:rPr>
            </w:pPr>
            <w:r>
              <w:rPr>
                <w:rFonts w:ascii="Arial" w:cs="Arial" w:eastAsia="Arial" w:hAnsi="Arial"/>
                <w:sz w:val="13"/>
                <w:szCs w:val="13"/>
                <w:b w:val="1"/>
                <w:bCs w:val="1"/>
                <w:color w:val="auto"/>
                <w:w w:val="94"/>
              </w:rPr>
              <w:t># of</w:t>
            </w:r>
          </w:p>
        </w:tc>
        <w:tc>
          <w:tcPr>
            <w:tcW w:w="460" w:type="dxa"/>
            <w:vAlign w:val="bottom"/>
          </w:tcPr>
          <w:p>
            <w:pPr>
              <w:ind w:left="80"/>
              <w:spacing w:after="0" w:line="119" w:lineRule="exact"/>
              <w:rPr>
                <w:sz w:val="20"/>
                <w:szCs w:val="20"/>
                <w:color w:val="auto"/>
              </w:rPr>
            </w:pPr>
            <w:r>
              <w:rPr>
                <w:rFonts w:ascii="Arial" w:cs="Arial" w:eastAsia="Arial" w:hAnsi="Arial"/>
                <w:sz w:val="13"/>
                <w:szCs w:val="13"/>
                <w:b w:val="1"/>
                <w:bCs w:val="1"/>
                <w:color w:val="auto"/>
              </w:rPr>
              <w:t>% of</w:t>
            </w:r>
          </w:p>
        </w:tc>
        <w:tc>
          <w:tcPr>
            <w:tcW w:w="300" w:type="dxa"/>
            <w:vAlign w:val="bottom"/>
          </w:tcPr>
          <w:p>
            <w:pPr>
              <w:spacing w:after="0"/>
              <w:rPr>
                <w:sz w:val="10"/>
                <w:szCs w:val="10"/>
                <w:color w:val="auto"/>
              </w:rPr>
            </w:pPr>
          </w:p>
        </w:tc>
        <w:tc>
          <w:tcPr>
            <w:tcW w:w="720" w:type="dxa"/>
            <w:vAlign w:val="bottom"/>
            <w:gridSpan w:val="2"/>
          </w:tcPr>
          <w:p>
            <w:pPr>
              <w:jc w:val="center"/>
              <w:ind w:right="160"/>
              <w:spacing w:after="0" w:line="119" w:lineRule="exact"/>
              <w:rPr>
                <w:sz w:val="20"/>
                <w:szCs w:val="20"/>
                <w:color w:val="auto"/>
              </w:rPr>
            </w:pPr>
            <w:r>
              <w:rPr>
                <w:rFonts w:ascii="Arial" w:cs="Arial" w:eastAsia="Arial" w:hAnsi="Arial"/>
                <w:sz w:val="13"/>
                <w:szCs w:val="13"/>
                <w:b w:val="1"/>
                <w:bCs w:val="1"/>
                <w:color w:val="auto"/>
              </w:rPr>
              <w:t># of</w:t>
            </w:r>
          </w:p>
        </w:tc>
        <w:tc>
          <w:tcPr>
            <w:tcW w:w="460" w:type="dxa"/>
            <w:vAlign w:val="bottom"/>
          </w:tcPr>
          <w:p>
            <w:pPr>
              <w:ind w:left="80"/>
              <w:spacing w:after="0" w:line="119" w:lineRule="exact"/>
              <w:rPr>
                <w:sz w:val="20"/>
                <w:szCs w:val="20"/>
                <w:color w:val="auto"/>
              </w:rPr>
            </w:pPr>
            <w:r>
              <w:rPr>
                <w:rFonts w:ascii="Arial" w:cs="Arial" w:eastAsia="Arial" w:hAnsi="Arial"/>
                <w:sz w:val="13"/>
                <w:szCs w:val="13"/>
                <w:b w:val="1"/>
                <w:bCs w:val="1"/>
                <w:color w:val="auto"/>
              </w:rPr>
              <w:t>% of</w:t>
            </w: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854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Students</w:t>
            </w:r>
          </w:p>
        </w:tc>
        <w:tc>
          <w:tcPr>
            <w:tcW w:w="160" w:type="dxa"/>
            <w:vAlign w:val="bottom"/>
            <w:tcBorders>
              <w:bottom w:val="single" w:sz="8" w:color="CCEEFF"/>
            </w:tcBorders>
          </w:tcPr>
          <w:p>
            <w:pPr>
              <w:spacing w:after="0"/>
              <w:rPr>
                <w:sz w:val="14"/>
                <w:szCs w:val="14"/>
                <w:color w:val="auto"/>
              </w:rPr>
            </w:pPr>
          </w:p>
        </w:tc>
        <w:tc>
          <w:tcPr>
            <w:tcW w:w="4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Total</w:t>
            </w:r>
          </w:p>
        </w:tc>
        <w:tc>
          <w:tcPr>
            <w:tcW w:w="30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Students</w:t>
            </w:r>
          </w:p>
        </w:tc>
        <w:tc>
          <w:tcPr>
            <w:tcW w:w="160" w:type="dxa"/>
            <w:vAlign w:val="bottom"/>
            <w:tcBorders>
              <w:bottom w:val="single" w:sz="8" w:color="CCEEFF"/>
            </w:tcBorders>
          </w:tcPr>
          <w:p>
            <w:pPr>
              <w:spacing w:after="0"/>
              <w:rPr>
                <w:sz w:val="14"/>
                <w:szCs w:val="14"/>
                <w:color w:val="auto"/>
              </w:rPr>
            </w:pPr>
          </w:p>
        </w:tc>
        <w:tc>
          <w:tcPr>
            <w:tcW w:w="46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Total</w:t>
            </w:r>
          </w:p>
        </w:tc>
        <w:tc>
          <w:tcPr>
            <w:tcW w:w="2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8"/>
                <w:szCs w:val="18"/>
                <w:color w:val="auto"/>
              </w:rPr>
              <w:t>Online</w:t>
            </w:r>
            <w:r>
              <w:rPr>
                <w:rFonts w:ascii="Arial" w:cs="Arial" w:eastAsia="Arial" w:hAnsi="Arial"/>
                <w:sz w:val="15"/>
                <w:szCs w:val="15"/>
                <w:color w:val="auto"/>
              </w:rPr>
              <w:t>(3)</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73,992</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81.0%</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67,495</w:t>
            </w:r>
          </w:p>
        </w:tc>
        <w:tc>
          <w:tcPr>
            <w:tcW w:w="16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40" w:type="dxa"/>
            <w:vAlign w:val="bottom"/>
          </w:tcPr>
          <w:p>
            <w:pPr>
              <w:spacing w:after="0"/>
              <w:rPr>
                <w:sz w:val="20"/>
                <w:szCs w:val="20"/>
                <w:color w:val="auto"/>
              </w:rPr>
            </w:pPr>
            <w:r>
              <w:rPr>
                <w:rFonts w:ascii="Arial" w:cs="Arial" w:eastAsia="Arial" w:hAnsi="Arial"/>
                <w:sz w:val="18"/>
                <w:szCs w:val="18"/>
                <w:color w:val="auto"/>
              </w:rPr>
              <w:t>Ground</w:t>
            </w:r>
            <w:r>
              <w:rPr>
                <w:rFonts w:ascii="Arial" w:cs="Arial" w:eastAsia="Arial" w:hAnsi="Arial"/>
                <w:sz w:val="15"/>
                <w:szCs w:val="15"/>
                <w:color w:val="auto"/>
              </w:rPr>
              <w:t>(4)</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17,386</w:t>
            </w:r>
          </w:p>
        </w:tc>
        <w:tc>
          <w:tcPr>
            <w:tcW w:w="16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19.0%</w:t>
            </w: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w w:val="98"/>
              </w:rPr>
              <w:t>15,857</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19.0%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54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91,378</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100.0%</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8"/>
              </w:rPr>
              <w:t>83,352</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5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right="580" w:hanging="452"/>
        <w:spacing w:after="0" w:line="291" w:lineRule="auto"/>
        <w:tabs>
          <w:tab w:leader="none" w:pos="460" w:val="left"/>
        </w:tabs>
        <w:numPr>
          <w:ilvl w:val="0"/>
          <w:numId w:val="4"/>
        </w:numPr>
        <w:rPr>
          <w:rFonts w:ascii="Arial" w:cs="Arial" w:eastAsia="Arial" w:hAnsi="Arial"/>
          <w:sz w:val="14"/>
          <w:szCs w:val="14"/>
          <w:color w:val="auto"/>
        </w:rPr>
      </w:pPr>
      <w:r>
        <w:rPr>
          <w:rFonts w:ascii="Arial" w:cs="Arial" w:eastAsia="Arial" w:hAnsi="Arial"/>
          <w:sz w:val="16"/>
          <w:szCs w:val="16"/>
          <w:color w:val="auto"/>
        </w:rPr>
        <w:t>Enrollment at March 31, 2018 and 2017 represents individual students who attended a course during the last two months of the calendar quarter. Included in enrollment at March 31, 2018 and 2017 are students pursuing non-degree certificates of 1,495 and 1,086, respectively.</w:t>
      </w:r>
    </w:p>
    <w:p>
      <w:pPr>
        <w:ind w:left="460" w:hanging="452"/>
        <w:spacing w:after="0"/>
        <w:tabs>
          <w:tab w:leader="none" w:pos="460" w:val="left"/>
        </w:tabs>
        <w:numPr>
          <w:ilvl w:val="0"/>
          <w:numId w:val="4"/>
        </w:numPr>
        <w:rPr>
          <w:rFonts w:ascii="Arial" w:cs="Arial" w:eastAsia="Arial" w:hAnsi="Arial"/>
          <w:sz w:val="15"/>
          <w:szCs w:val="15"/>
          <w:color w:val="auto"/>
        </w:rPr>
      </w:pPr>
      <w:r>
        <w:rPr>
          <w:rFonts w:ascii="Arial" w:cs="Arial" w:eastAsia="Arial" w:hAnsi="Arial"/>
          <w:sz w:val="18"/>
          <w:szCs w:val="18"/>
          <w:color w:val="auto"/>
        </w:rPr>
        <w:t>Includes 7,913 and 7,441 students pursuing doctoral degrees at March 31, 2018 and 2017, respectively.</w:t>
      </w:r>
    </w:p>
    <w:p>
      <w:pPr>
        <w:spacing w:after="0" w:line="9" w:lineRule="exact"/>
        <w:rPr>
          <w:rFonts w:ascii="Arial" w:cs="Arial" w:eastAsia="Arial" w:hAnsi="Arial"/>
          <w:sz w:val="15"/>
          <w:szCs w:val="15"/>
          <w:color w:val="auto"/>
        </w:rPr>
      </w:pPr>
    </w:p>
    <w:p>
      <w:pPr>
        <w:ind w:left="460" w:right="40" w:hanging="452"/>
        <w:spacing w:after="0" w:line="250" w:lineRule="auto"/>
        <w:tabs>
          <w:tab w:leader="none" w:pos="460" w:val="left"/>
        </w:tabs>
        <w:numPr>
          <w:ilvl w:val="0"/>
          <w:numId w:val="4"/>
        </w:numPr>
        <w:rPr>
          <w:rFonts w:ascii="Arial" w:cs="Arial" w:eastAsia="Arial" w:hAnsi="Arial"/>
          <w:sz w:val="15"/>
          <w:szCs w:val="15"/>
          <w:color w:val="auto"/>
        </w:rPr>
      </w:pPr>
      <w:r>
        <w:rPr>
          <w:rFonts w:ascii="Arial" w:cs="Arial" w:eastAsia="Arial" w:hAnsi="Arial"/>
          <w:sz w:val="18"/>
          <w:szCs w:val="18"/>
          <w:color w:val="auto"/>
        </w:rPr>
        <w:t>As of March 31, 2018 and 2017, 50.4% and 49.9%, respectively, of our working adult students (online and professional studies students) were pursuing graduate degrees.</w:t>
      </w:r>
    </w:p>
    <w:p>
      <w:pPr>
        <w:ind w:left="460" w:hanging="452"/>
        <w:spacing w:after="0"/>
        <w:tabs>
          <w:tab w:leader="none" w:pos="460" w:val="left"/>
        </w:tabs>
        <w:numPr>
          <w:ilvl w:val="0"/>
          <w:numId w:val="4"/>
        </w:numPr>
        <w:rPr>
          <w:rFonts w:ascii="Arial" w:cs="Arial" w:eastAsia="Arial" w:hAnsi="Arial"/>
          <w:sz w:val="15"/>
          <w:szCs w:val="15"/>
          <w:color w:val="auto"/>
        </w:rPr>
      </w:pPr>
      <w:r>
        <w:rPr>
          <w:rFonts w:ascii="Arial" w:cs="Arial" w:eastAsia="Arial" w:hAnsi="Arial"/>
          <w:sz w:val="18"/>
          <w:szCs w:val="18"/>
          <w:color w:val="auto"/>
        </w:rPr>
        <w:t>Includes both our traditional on-campus ground students, as well as our professional studies students.</w:t>
      </w:r>
    </w:p>
    <w:sectPr>
      <w:pgSz w:w="11900" w:h="16838" w:orient="portrait"/>
      <w:cols w:equalWidth="0" w:num="1">
        <w:col w:w="11420"/>
      </w:cols>
      <w:pgMar w:left="240" w:top="27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2019-12-07T13:01:39Z</dcterms:created>
  <dcterms:modified xsi:type="dcterms:W3CDTF">2019-12-07T13:01:39Z</dcterms:modified>
</cp:coreProperties>
</file>