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59"/>
        <w:spacing w:after="0"/>
        <w:rPr>
          <w:sz w:val="20"/>
          <w:szCs w:val="20"/>
          <w:color w:val="auto"/>
        </w:rPr>
      </w:pPr>
      <w:r>
        <w:rPr>
          <w:rFonts w:ascii="Arial" w:cs="Arial" w:eastAsia="Arial" w:hAnsi="Arial"/>
          <w:sz w:val="32"/>
          <w:szCs w:val="32"/>
          <w:b w:val="1"/>
          <w:bCs w:val="1"/>
          <w:color w:val="auto"/>
        </w:rPr>
        <w:drawing>
          <wp:anchor simplePos="0" relativeHeight="251657728" behindDoc="1" locked="0" layoutInCell="0" allowOverlap="1">
            <wp:simplePos x="0" y="0"/>
            <wp:positionH relativeFrom="page">
              <wp:posOffset>286385</wp:posOffset>
            </wp:positionH>
            <wp:positionV relativeFrom="page">
              <wp:posOffset>166370</wp:posOffset>
            </wp:positionV>
            <wp:extent cx="6997700"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6997700" cy="8890"/>
                    </a:xfrm>
                    <a:prstGeom prst="rect">
                      <a:avLst/>
                    </a:prstGeom>
                    <a:noFill/>
                  </pic:spPr>
                </pic:pic>
              </a:graphicData>
            </a:graphic>
          </wp:anchor>
        </w:drawing>
        <w:drawing>
          <wp:anchor simplePos="0" relativeHeight="251657728" behindDoc="1" locked="0" layoutInCell="0" allowOverlap="1">
            <wp:simplePos x="0" y="0"/>
            <wp:positionH relativeFrom="page">
              <wp:posOffset>286385</wp:posOffset>
            </wp:positionH>
            <wp:positionV relativeFrom="page">
              <wp:posOffset>208915</wp:posOffset>
            </wp:positionV>
            <wp:extent cx="699770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6997700" cy="8890"/>
                    </a:xfrm>
                    <a:prstGeom prst="rect">
                      <a:avLst/>
                    </a:prstGeom>
                    <a:noFill/>
                  </pic:spPr>
                </pic:pic>
              </a:graphicData>
            </a:graphic>
          </wp:anchor>
        </w:drawing>
        <w:t>UNITED STATES</w:t>
      </w:r>
    </w:p>
    <w:p>
      <w:pPr>
        <w:spacing w:after="0" w:line="31" w:lineRule="exact"/>
        <w:rPr>
          <w:sz w:val="24"/>
          <w:szCs w:val="24"/>
          <w:color w:val="auto"/>
        </w:rPr>
      </w:pPr>
    </w:p>
    <w:p>
      <w:pPr>
        <w:jc w:val="center"/>
        <w:ind w:right="-159"/>
        <w:spacing w:after="0"/>
        <w:rPr>
          <w:sz w:val="20"/>
          <w:szCs w:val="20"/>
          <w:color w:val="auto"/>
        </w:rPr>
      </w:pPr>
      <w:r>
        <w:rPr>
          <w:rFonts w:ascii="Arial" w:cs="Arial" w:eastAsia="Arial" w:hAnsi="Arial"/>
          <w:sz w:val="32"/>
          <w:szCs w:val="32"/>
          <w:b w:val="1"/>
          <w:bCs w:val="1"/>
          <w:color w:val="auto"/>
        </w:rPr>
        <w:t>SECURITIES AND EXCHANGE COMMISSION</w:t>
      </w:r>
    </w:p>
    <w:p>
      <w:pPr>
        <w:jc w:val="center"/>
        <w:ind w:right="-159"/>
        <w:spacing w:after="0"/>
        <w:rPr>
          <w:sz w:val="20"/>
          <w:szCs w:val="20"/>
          <w:color w:val="auto"/>
        </w:rPr>
      </w:pPr>
      <w:r>
        <w:rPr>
          <w:rFonts w:ascii="Arial" w:cs="Arial" w:eastAsia="Arial" w:hAnsi="Arial"/>
          <w:sz w:val="22"/>
          <w:szCs w:val="22"/>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2767965</wp:posOffset>
            </wp:positionH>
            <wp:positionV relativeFrom="paragraph">
              <wp:posOffset>227330</wp:posOffset>
            </wp:positionV>
            <wp:extent cx="1466215"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466215" cy="8890"/>
                    </a:xfrm>
                    <a:prstGeom prst="rect">
                      <a:avLst/>
                    </a:prstGeom>
                    <a:noFill/>
                  </pic:spPr>
                </pic:pic>
              </a:graphicData>
            </a:graphic>
          </wp:anchor>
        </w:drawing>
      </w:r>
    </w:p>
    <w:p>
      <w:pPr>
        <w:spacing w:after="0" w:line="200" w:lineRule="exact"/>
        <w:rPr>
          <w:sz w:val="24"/>
          <w:szCs w:val="24"/>
          <w:color w:val="auto"/>
        </w:rPr>
      </w:pPr>
    </w:p>
    <w:p>
      <w:pPr>
        <w:spacing w:after="0" w:line="327" w:lineRule="exact"/>
        <w:rPr>
          <w:sz w:val="24"/>
          <w:szCs w:val="24"/>
          <w:color w:val="auto"/>
        </w:rPr>
      </w:pPr>
    </w:p>
    <w:p>
      <w:pPr>
        <w:jc w:val="center"/>
        <w:ind w:right="-159"/>
        <w:spacing w:after="0"/>
        <w:rPr>
          <w:sz w:val="20"/>
          <w:szCs w:val="20"/>
          <w:color w:val="auto"/>
        </w:rPr>
      </w:pPr>
      <w:r>
        <w:rPr>
          <w:rFonts w:ascii="Arial" w:cs="Arial" w:eastAsia="Arial" w:hAnsi="Arial"/>
          <w:sz w:val="32"/>
          <w:szCs w:val="32"/>
          <w:b w:val="1"/>
          <w:bCs w:val="1"/>
          <w:color w:val="auto"/>
        </w:rPr>
        <w:t>FORM 8-K</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2767965</wp:posOffset>
            </wp:positionH>
            <wp:positionV relativeFrom="paragraph">
              <wp:posOffset>247015</wp:posOffset>
            </wp:positionV>
            <wp:extent cx="1466215"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466215" cy="8890"/>
                    </a:xfrm>
                    <a:prstGeom prst="rect">
                      <a:avLst/>
                    </a:prstGeom>
                    <a:noFill/>
                  </pic:spPr>
                </pic:pic>
              </a:graphicData>
            </a:graphic>
          </wp:anchor>
        </w:drawing>
      </w:r>
    </w:p>
    <w:p>
      <w:pPr>
        <w:spacing w:after="0" w:line="200" w:lineRule="exact"/>
        <w:rPr>
          <w:sz w:val="24"/>
          <w:szCs w:val="24"/>
          <w:color w:val="auto"/>
        </w:rPr>
      </w:pPr>
    </w:p>
    <w:p>
      <w:pPr>
        <w:spacing w:after="0" w:line="371" w:lineRule="exact"/>
        <w:rPr>
          <w:sz w:val="24"/>
          <w:szCs w:val="24"/>
          <w:color w:val="auto"/>
        </w:rPr>
      </w:pPr>
    </w:p>
    <w:p>
      <w:pPr>
        <w:jc w:val="center"/>
        <w:ind w:right="-159"/>
        <w:spacing w:after="0"/>
        <w:rPr>
          <w:sz w:val="20"/>
          <w:szCs w:val="20"/>
          <w:color w:val="auto"/>
        </w:rPr>
      </w:pPr>
      <w:r>
        <w:rPr>
          <w:rFonts w:ascii="Arial" w:cs="Arial" w:eastAsia="Arial" w:hAnsi="Arial"/>
          <w:sz w:val="22"/>
          <w:szCs w:val="22"/>
          <w:b w:val="1"/>
          <w:bCs w:val="1"/>
          <w:color w:val="auto"/>
        </w:rPr>
        <w:t>CURRENT REPORT</w:t>
      </w:r>
    </w:p>
    <w:p>
      <w:pPr>
        <w:spacing w:after="0" w:line="4" w:lineRule="exact"/>
        <w:rPr>
          <w:sz w:val="24"/>
          <w:szCs w:val="24"/>
          <w:color w:val="auto"/>
        </w:rPr>
      </w:pPr>
    </w:p>
    <w:p>
      <w:pPr>
        <w:jc w:val="center"/>
        <w:ind w:right="-159"/>
        <w:spacing w:after="0"/>
        <w:rPr>
          <w:sz w:val="20"/>
          <w:szCs w:val="20"/>
          <w:color w:val="auto"/>
        </w:rPr>
      </w:pPr>
      <w:r>
        <w:rPr>
          <w:rFonts w:ascii="Arial" w:cs="Arial" w:eastAsia="Arial" w:hAnsi="Arial"/>
          <w:sz w:val="22"/>
          <w:szCs w:val="22"/>
          <w:b w:val="1"/>
          <w:bCs w:val="1"/>
          <w:color w:val="auto"/>
        </w:rPr>
        <w:t>Pursuant to Section 13 or 15(d)</w:t>
      </w:r>
    </w:p>
    <w:p>
      <w:pPr>
        <w:jc w:val="center"/>
        <w:ind w:right="-159"/>
        <w:spacing w:after="0"/>
        <w:rPr>
          <w:sz w:val="20"/>
          <w:szCs w:val="20"/>
          <w:color w:val="auto"/>
        </w:rPr>
      </w:pPr>
      <w:r>
        <w:rPr>
          <w:rFonts w:ascii="Arial" w:cs="Arial" w:eastAsia="Arial" w:hAnsi="Arial"/>
          <w:sz w:val="22"/>
          <w:szCs w:val="22"/>
          <w:b w:val="1"/>
          <w:bCs w:val="1"/>
          <w:color w:val="auto"/>
        </w:rPr>
        <w:t>of the Securities Exchange Act of 1934</w:t>
      </w:r>
    </w:p>
    <w:p>
      <w:pPr>
        <w:spacing w:after="0" w:line="182" w:lineRule="exact"/>
        <w:rPr>
          <w:sz w:val="24"/>
          <w:szCs w:val="24"/>
          <w:color w:val="auto"/>
        </w:rPr>
      </w:pPr>
    </w:p>
    <w:p>
      <w:pPr>
        <w:jc w:val="center"/>
        <w:ind w:right="-159"/>
        <w:spacing w:after="0"/>
        <w:rPr>
          <w:sz w:val="20"/>
          <w:szCs w:val="20"/>
          <w:color w:val="auto"/>
        </w:rPr>
      </w:pPr>
      <w:r>
        <w:rPr>
          <w:rFonts w:ascii="Arial" w:cs="Arial" w:eastAsia="Arial" w:hAnsi="Arial"/>
          <w:sz w:val="22"/>
          <w:szCs w:val="22"/>
          <w:b w:val="1"/>
          <w:bCs w:val="1"/>
          <w:color w:val="auto"/>
        </w:rPr>
        <w:t>Date of Report (Date of earliest event reported): August 8, 2018</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2767965</wp:posOffset>
            </wp:positionH>
            <wp:positionV relativeFrom="paragraph">
              <wp:posOffset>234315</wp:posOffset>
            </wp:positionV>
            <wp:extent cx="1466215"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1466215" cy="8890"/>
                    </a:xfrm>
                    <a:prstGeom prst="rect">
                      <a:avLst/>
                    </a:prstGeom>
                    <a:noFill/>
                  </pic:spPr>
                </pic:pic>
              </a:graphicData>
            </a:graphic>
          </wp:anchor>
        </w:drawing>
      </w:r>
    </w:p>
    <w:p>
      <w:pPr>
        <w:spacing w:after="0" w:line="200" w:lineRule="exact"/>
        <w:rPr>
          <w:sz w:val="24"/>
          <w:szCs w:val="24"/>
          <w:color w:val="auto"/>
        </w:rPr>
      </w:pPr>
    </w:p>
    <w:p>
      <w:pPr>
        <w:spacing w:after="0" w:line="335" w:lineRule="exact"/>
        <w:rPr>
          <w:sz w:val="24"/>
          <w:szCs w:val="24"/>
          <w:color w:val="auto"/>
        </w:rPr>
      </w:pPr>
    </w:p>
    <w:p>
      <w:pPr>
        <w:jc w:val="center"/>
        <w:ind w:right="-159"/>
        <w:spacing w:after="0"/>
        <w:rPr>
          <w:sz w:val="20"/>
          <w:szCs w:val="20"/>
          <w:color w:val="auto"/>
        </w:rPr>
      </w:pPr>
      <w:r>
        <w:rPr>
          <w:rFonts w:ascii="Arial" w:cs="Arial" w:eastAsia="Arial" w:hAnsi="Arial"/>
          <w:sz w:val="43"/>
          <w:szCs w:val="43"/>
          <w:b w:val="1"/>
          <w:bCs w:val="1"/>
          <w:color w:val="auto"/>
        </w:rPr>
        <w:t>Grand Canyon Education, Inc.</w:t>
      </w:r>
    </w:p>
    <w:p>
      <w:pPr>
        <w:spacing w:after="0" w:line="50" w:lineRule="exact"/>
        <w:rPr>
          <w:sz w:val="24"/>
          <w:szCs w:val="24"/>
          <w:color w:val="auto"/>
        </w:rPr>
      </w:pPr>
    </w:p>
    <w:p>
      <w:pPr>
        <w:jc w:val="center"/>
        <w:ind w:right="-159"/>
        <w:spacing w:after="0"/>
        <w:rPr>
          <w:sz w:val="20"/>
          <w:szCs w:val="20"/>
          <w:color w:val="auto"/>
        </w:rPr>
      </w:pPr>
      <w:r>
        <w:rPr>
          <w:rFonts w:ascii="Arial" w:cs="Arial" w:eastAsia="Arial" w:hAnsi="Arial"/>
          <w:sz w:val="18"/>
          <w:szCs w:val="18"/>
          <w:b w:val="1"/>
          <w:bCs w:val="1"/>
          <w:color w:val="auto"/>
        </w:rPr>
        <w:t>(Exact name of registrant as specified in its charter)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2767965</wp:posOffset>
            </wp:positionH>
            <wp:positionV relativeFrom="paragraph">
              <wp:posOffset>236220</wp:posOffset>
            </wp:positionV>
            <wp:extent cx="1466215"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1466215" cy="889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17" w:lineRule="exact"/>
        <w:rPr>
          <w:sz w:val="24"/>
          <w:szCs w:val="24"/>
          <w:color w:val="auto"/>
        </w:rPr>
      </w:pPr>
    </w:p>
    <w:tbl>
      <w:tblPr>
        <w:tblLayout w:type="fixed"/>
        <w:tblInd w:w="1040" w:type="dxa"/>
        <w:tblCellMar>
          <w:top w:w="0" w:type="dxa"/>
          <w:left w:w="0" w:type="dxa"/>
          <w:bottom w:w="0" w:type="dxa"/>
          <w:right w:w="0" w:type="dxa"/>
        </w:tblCellMar>
      </w:tblPr>
      <w:tr>
        <w:trPr>
          <w:trHeight w:val="212"/>
        </w:trPr>
        <w:tc>
          <w:tcPr>
            <w:tcW w:w="3580" w:type="dxa"/>
            <w:vAlign w:val="bottom"/>
          </w:tcPr>
          <w:p>
            <w:pPr>
              <w:jc w:val="center"/>
              <w:ind w:right="1819"/>
              <w:spacing w:after="0"/>
              <w:rPr>
                <w:sz w:val="20"/>
                <w:szCs w:val="20"/>
                <w:color w:val="auto"/>
              </w:rPr>
            </w:pPr>
            <w:r>
              <w:rPr>
                <w:rFonts w:ascii="Arial" w:cs="Arial" w:eastAsia="Arial" w:hAnsi="Arial"/>
                <w:sz w:val="18"/>
                <w:szCs w:val="18"/>
                <w:b w:val="1"/>
                <w:bCs w:val="1"/>
                <w:color w:val="auto"/>
                <w:w w:val="91"/>
              </w:rPr>
              <w:t>Delaware</w:t>
            </w:r>
          </w:p>
        </w:tc>
        <w:tc>
          <w:tcPr>
            <w:tcW w:w="2400" w:type="dxa"/>
            <w:vAlign w:val="bottom"/>
          </w:tcPr>
          <w:p>
            <w:pPr>
              <w:ind w:left="620"/>
              <w:spacing w:after="0"/>
              <w:rPr>
                <w:sz w:val="20"/>
                <w:szCs w:val="20"/>
                <w:color w:val="auto"/>
              </w:rPr>
            </w:pPr>
            <w:r>
              <w:rPr>
                <w:rFonts w:ascii="Arial" w:cs="Arial" w:eastAsia="Arial" w:hAnsi="Arial"/>
                <w:sz w:val="18"/>
                <w:szCs w:val="18"/>
                <w:b w:val="1"/>
                <w:bCs w:val="1"/>
                <w:color w:val="auto"/>
              </w:rPr>
              <w:t>001-34211</w:t>
            </w:r>
          </w:p>
        </w:tc>
        <w:tc>
          <w:tcPr>
            <w:tcW w:w="2800" w:type="dxa"/>
            <w:vAlign w:val="bottom"/>
          </w:tcPr>
          <w:p>
            <w:pPr>
              <w:jc w:val="center"/>
              <w:ind w:left="1601"/>
              <w:spacing w:after="0"/>
              <w:rPr>
                <w:sz w:val="20"/>
                <w:szCs w:val="20"/>
                <w:color w:val="auto"/>
              </w:rPr>
            </w:pPr>
            <w:r>
              <w:rPr>
                <w:rFonts w:ascii="Arial" w:cs="Arial" w:eastAsia="Arial" w:hAnsi="Arial"/>
                <w:sz w:val="18"/>
                <w:szCs w:val="18"/>
                <w:b w:val="1"/>
                <w:bCs w:val="1"/>
                <w:color w:val="auto"/>
                <w:w w:val="91"/>
              </w:rPr>
              <w:t>20-3356009</w:t>
            </w:r>
          </w:p>
        </w:tc>
      </w:tr>
      <w:tr>
        <w:trPr>
          <w:trHeight w:val="149"/>
        </w:trPr>
        <w:tc>
          <w:tcPr>
            <w:tcW w:w="3580" w:type="dxa"/>
            <w:vAlign w:val="bottom"/>
          </w:tcPr>
          <w:p>
            <w:pPr>
              <w:jc w:val="center"/>
              <w:ind w:right="1839"/>
              <w:spacing w:after="0" w:line="149" w:lineRule="exact"/>
              <w:rPr>
                <w:sz w:val="20"/>
                <w:szCs w:val="20"/>
                <w:color w:val="auto"/>
              </w:rPr>
            </w:pPr>
            <w:r>
              <w:rPr>
                <w:rFonts w:ascii="Arial" w:cs="Arial" w:eastAsia="Arial" w:hAnsi="Arial"/>
                <w:sz w:val="14"/>
                <w:szCs w:val="14"/>
                <w:b w:val="1"/>
                <w:bCs w:val="1"/>
                <w:color w:val="auto"/>
                <w:w w:val="92"/>
              </w:rPr>
              <w:t>(State or other Jurisdiction</w:t>
            </w:r>
          </w:p>
        </w:tc>
        <w:tc>
          <w:tcPr>
            <w:tcW w:w="2400" w:type="dxa"/>
            <w:vAlign w:val="bottom"/>
          </w:tcPr>
          <w:p>
            <w:pPr>
              <w:ind w:left="600"/>
              <w:spacing w:after="0" w:line="149" w:lineRule="exact"/>
              <w:rPr>
                <w:sz w:val="20"/>
                <w:szCs w:val="20"/>
                <w:color w:val="auto"/>
              </w:rPr>
            </w:pPr>
            <w:r>
              <w:rPr>
                <w:rFonts w:ascii="Arial" w:cs="Arial" w:eastAsia="Arial" w:hAnsi="Arial"/>
                <w:sz w:val="14"/>
                <w:szCs w:val="14"/>
                <w:b w:val="1"/>
                <w:bCs w:val="1"/>
                <w:color w:val="auto"/>
              </w:rPr>
              <w:t>(Commission</w:t>
            </w:r>
          </w:p>
        </w:tc>
        <w:tc>
          <w:tcPr>
            <w:tcW w:w="2800" w:type="dxa"/>
            <w:vAlign w:val="bottom"/>
          </w:tcPr>
          <w:p>
            <w:pPr>
              <w:jc w:val="center"/>
              <w:ind w:left="1601"/>
              <w:spacing w:after="0" w:line="149" w:lineRule="exact"/>
              <w:rPr>
                <w:sz w:val="20"/>
                <w:szCs w:val="20"/>
                <w:color w:val="auto"/>
              </w:rPr>
            </w:pPr>
            <w:r>
              <w:rPr>
                <w:rFonts w:ascii="Arial" w:cs="Arial" w:eastAsia="Arial" w:hAnsi="Arial"/>
                <w:sz w:val="14"/>
                <w:szCs w:val="14"/>
                <w:b w:val="1"/>
                <w:bCs w:val="1"/>
                <w:color w:val="auto"/>
                <w:w w:val="96"/>
              </w:rPr>
              <w:t>(IRS Employer</w:t>
            </w:r>
          </w:p>
        </w:tc>
      </w:tr>
      <w:tr>
        <w:trPr>
          <w:trHeight w:val="186"/>
        </w:trPr>
        <w:tc>
          <w:tcPr>
            <w:tcW w:w="3580" w:type="dxa"/>
            <w:vAlign w:val="bottom"/>
          </w:tcPr>
          <w:p>
            <w:pPr>
              <w:jc w:val="center"/>
              <w:ind w:right="1839"/>
              <w:spacing w:after="0"/>
              <w:rPr>
                <w:sz w:val="20"/>
                <w:szCs w:val="20"/>
                <w:color w:val="auto"/>
              </w:rPr>
            </w:pPr>
            <w:r>
              <w:rPr>
                <w:rFonts w:ascii="Arial" w:cs="Arial" w:eastAsia="Arial" w:hAnsi="Arial"/>
                <w:sz w:val="14"/>
                <w:szCs w:val="14"/>
                <w:b w:val="1"/>
                <w:bCs w:val="1"/>
                <w:color w:val="auto"/>
                <w:w w:val="94"/>
              </w:rPr>
              <w:t>of Incorporation)</w:t>
            </w:r>
          </w:p>
        </w:tc>
        <w:tc>
          <w:tcPr>
            <w:tcW w:w="2400" w:type="dxa"/>
            <w:vAlign w:val="bottom"/>
          </w:tcPr>
          <w:p>
            <w:pPr>
              <w:ind w:left="600"/>
              <w:spacing w:after="0"/>
              <w:rPr>
                <w:sz w:val="20"/>
                <w:szCs w:val="20"/>
                <w:color w:val="auto"/>
              </w:rPr>
            </w:pPr>
            <w:r>
              <w:rPr>
                <w:rFonts w:ascii="Arial" w:cs="Arial" w:eastAsia="Arial" w:hAnsi="Arial"/>
                <w:sz w:val="14"/>
                <w:szCs w:val="14"/>
                <w:b w:val="1"/>
                <w:bCs w:val="1"/>
                <w:color w:val="auto"/>
              </w:rPr>
              <w:t>File Number)</w:t>
            </w:r>
          </w:p>
        </w:tc>
        <w:tc>
          <w:tcPr>
            <w:tcW w:w="2800" w:type="dxa"/>
            <w:vAlign w:val="bottom"/>
          </w:tcPr>
          <w:p>
            <w:pPr>
              <w:jc w:val="center"/>
              <w:ind w:left="1601"/>
              <w:spacing w:after="0"/>
              <w:rPr>
                <w:sz w:val="20"/>
                <w:szCs w:val="20"/>
                <w:color w:val="auto"/>
              </w:rPr>
            </w:pPr>
            <w:r>
              <w:rPr>
                <w:rFonts w:ascii="Arial" w:cs="Arial" w:eastAsia="Arial" w:hAnsi="Arial"/>
                <w:sz w:val="14"/>
                <w:szCs w:val="14"/>
                <w:b w:val="1"/>
                <w:bCs w:val="1"/>
                <w:color w:val="auto"/>
                <w:w w:val="94"/>
              </w:rPr>
              <w:t>Identification No.)</w:t>
            </w:r>
          </w:p>
        </w:tc>
      </w:tr>
      <w:tr>
        <w:trPr>
          <w:trHeight w:val="439"/>
        </w:trPr>
        <w:tc>
          <w:tcPr>
            <w:tcW w:w="3580" w:type="dxa"/>
            <w:vAlign w:val="bottom"/>
          </w:tcPr>
          <w:p>
            <w:pPr>
              <w:jc w:val="center"/>
              <w:spacing w:after="0"/>
              <w:rPr>
                <w:sz w:val="20"/>
                <w:szCs w:val="20"/>
                <w:color w:val="auto"/>
              </w:rPr>
            </w:pPr>
            <w:r>
              <w:rPr>
                <w:rFonts w:ascii="Arial" w:cs="Arial" w:eastAsia="Arial" w:hAnsi="Arial"/>
                <w:sz w:val="18"/>
                <w:szCs w:val="18"/>
                <w:b w:val="1"/>
                <w:bCs w:val="1"/>
                <w:color w:val="auto"/>
                <w:w w:val="91"/>
              </w:rPr>
              <w:t>2600 W. Camelback Road</w:t>
            </w:r>
          </w:p>
        </w:tc>
        <w:tc>
          <w:tcPr>
            <w:tcW w:w="2400" w:type="dxa"/>
            <w:vAlign w:val="bottom"/>
          </w:tcPr>
          <w:p>
            <w:pPr>
              <w:spacing w:after="0"/>
              <w:rPr>
                <w:sz w:val="24"/>
                <w:szCs w:val="24"/>
                <w:color w:val="auto"/>
              </w:rPr>
            </w:pPr>
          </w:p>
        </w:tc>
        <w:tc>
          <w:tcPr>
            <w:tcW w:w="2800" w:type="dxa"/>
            <w:vAlign w:val="bottom"/>
          </w:tcPr>
          <w:p>
            <w:pPr>
              <w:spacing w:after="0"/>
              <w:rPr>
                <w:sz w:val="24"/>
                <w:szCs w:val="24"/>
                <w:color w:val="auto"/>
              </w:rPr>
            </w:pPr>
          </w:p>
        </w:tc>
      </w:tr>
      <w:tr>
        <w:trPr>
          <w:trHeight w:val="225"/>
        </w:trPr>
        <w:tc>
          <w:tcPr>
            <w:tcW w:w="3580" w:type="dxa"/>
            <w:vAlign w:val="bottom"/>
          </w:tcPr>
          <w:p>
            <w:pPr>
              <w:jc w:val="center"/>
              <w:spacing w:after="0"/>
              <w:rPr>
                <w:sz w:val="20"/>
                <w:szCs w:val="20"/>
                <w:color w:val="auto"/>
              </w:rPr>
            </w:pPr>
            <w:r>
              <w:rPr>
                <w:rFonts w:ascii="Arial" w:cs="Arial" w:eastAsia="Arial" w:hAnsi="Arial"/>
                <w:sz w:val="18"/>
                <w:szCs w:val="18"/>
                <w:b w:val="1"/>
                <w:bCs w:val="1"/>
                <w:color w:val="auto"/>
                <w:w w:val="91"/>
              </w:rPr>
              <w:t>Phoenix, Arizona</w:t>
            </w:r>
          </w:p>
        </w:tc>
        <w:tc>
          <w:tcPr>
            <w:tcW w:w="2400" w:type="dxa"/>
            <w:vAlign w:val="bottom"/>
          </w:tcPr>
          <w:p>
            <w:pPr>
              <w:spacing w:after="0"/>
              <w:rPr>
                <w:sz w:val="19"/>
                <w:szCs w:val="19"/>
                <w:color w:val="auto"/>
              </w:rPr>
            </w:pPr>
          </w:p>
        </w:tc>
        <w:tc>
          <w:tcPr>
            <w:tcW w:w="2800" w:type="dxa"/>
            <w:vAlign w:val="bottom"/>
          </w:tcPr>
          <w:p>
            <w:pPr>
              <w:jc w:val="right"/>
              <w:ind w:right="1161"/>
              <w:spacing w:after="0"/>
              <w:rPr>
                <w:sz w:val="20"/>
                <w:szCs w:val="20"/>
                <w:color w:val="auto"/>
              </w:rPr>
            </w:pPr>
            <w:r>
              <w:rPr>
                <w:rFonts w:ascii="Arial" w:cs="Arial" w:eastAsia="Arial" w:hAnsi="Arial"/>
                <w:sz w:val="18"/>
                <w:szCs w:val="18"/>
                <w:b w:val="1"/>
                <w:bCs w:val="1"/>
                <w:color w:val="auto"/>
              </w:rPr>
              <w:t>85017</w:t>
            </w:r>
          </w:p>
        </w:tc>
      </w:tr>
      <w:tr>
        <w:trPr>
          <w:trHeight w:val="186"/>
        </w:trPr>
        <w:tc>
          <w:tcPr>
            <w:tcW w:w="3580" w:type="dxa"/>
            <w:vAlign w:val="bottom"/>
          </w:tcPr>
          <w:p>
            <w:pPr>
              <w:jc w:val="center"/>
              <w:spacing w:after="0"/>
              <w:rPr>
                <w:sz w:val="20"/>
                <w:szCs w:val="20"/>
                <w:color w:val="auto"/>
              </w:rPr>
            </w:pPr>
            <w:r>
              <w:rPr>
                <w:rFonts w:ascii="Arial" w:cs="Arial" w:eastAsia="Arial" w:hAnsi="Arial"/>
                <w:sz w:val="14"/>
                <w:szCs w:val="14"/>
                <w:b w:val="1"/>
                <w:bCs w:val="1"/>
                <w:color w:val="auto"/>
                <w:w w:val="92"/>
              </w:rPr>
              <w:t>(Address of Principal Executive Offices)</w:t>
            </w:r>
          </w:p>
        </w:tc>
        <w:tc>
          <w:tcPr>
            <w:tcW w:w="2400" w:type="dxa"/>
            <w:vAlign w:val="bottom"/>
          </w:tcPr>
          <w:p>
            <w:pPr>
              <w:spacing w:after="0"/>
              <w:rPr>
                <w:sz w:val="16"/>
                <w:szCs w:val="16"/>
                <w:color w:val="auto"/>
              </w:rPr>
            </w:pPr>
          </w:p>
        </w:tc>
        <w:tc>
          <w:tcPr>
            <w:tcW w:w="2800" w:type="dxa"/>
            <w:vAlign w:val="bottom"/>
          </w:tcPr>
          <w:p>
            <w:pPr>
              <w:jc w:val="center"/>
              <w:ind w:right="61"/>
              <w:spacing w:after="0"/>
              <w:rPr>
                <w:sz w:val="20"/>
                <w:szCs w:val="20"/>
                <w:color w:val="auto"/>
              </w:rPr>
            </w:pPr>
            <w:r>
              <w:rPr>
                <w:rFonts w:ascii="Arial" w:cs="Arial" w:eastAsia="Arial" w:hAnsi="Arial"/>
                <w:sz w:val="14"/>
                <w:szCs w:val="14"/>
                <w:b w:val="1"/>
                <w:bCs w:val="1"/>
                <w:color w:val="auto"/>
                <w:w w:val="95"/>
              </w:rPr>
              <w:t>(Zip Code)</w:t>
            </w:r>
          </w:p>
        </w:tc>
      </w:tr>
    </w:tbl>
    <w:p>
      <w:pPr>
        <w:spacing w:after="0" w:line="183" w:lineRule="exact"/>
        <w:rPr>
          <w:sz w:val="24"/>
          <w:szCs w:val="24"/>
          <w:color w:val="auto"/>
        </w:rPr>
      </w:pPr>
    </w:p>
    <w:p>
      <w:pPr>
        <w:jc w:val="center"/>
        <w:ind w:right="-159"/>
        <w:spacing w:after="0"/>
        <w:rPr>
          <w:sz w:val="20"/>
          <w:szCs w:val="20"/>
          <w:color w:val="auto"/>
        </w:rPr>
      </w:pPr>
      <w:r>
        <w:rPr>
          <w:rFonts w:ascii="Arial" w:cs="Arial" w:eastAsia="Arial" w:hAnsi="Arial"/>
          <w:sz w:val="18"/>
          <w:szCs w:val="18"/>
          <w:b w:val="1"/>
          <w:bCs w:val="1"/>
          <w:color w:val="auto"/>
        </w:rPr>
        <w:t>Registrant’s telephone number, including area code: (602) 247-4400</w:t>
      </w:r>
    </w:p>
    <w:p>
      <w:pPr>
        <w:spacing w:after="0" w:line="221" w:lineRule="exact"/>
        <w:rPr>
          <w:sz w:val="24"/>
          <w:szCs w:val="24"/>
          <w:color w:val="auto"/>
        </w:rPr>
      </w:pPr>
    </w:p>
    <w:p>
      <w:pPr>
        <w:jc w:val="center"/>
        <w:ind w:right="-19"/>
        <w:spacing w:after="0"/>
        <w:rPr>
          <w:sz w:val="20"/>
          <w:szCs w:val="20"/>
          <w:color w:val="auto"/>
        </w:rPr>
      </w:pPr>
      <w:r>
        <w:rPr>
          <w:rFonts w:ascii="Arial" w:cs="Arial" w:eastAsia="Arial" w:hAnsi="Arial"/>
          <w:sz w:val="14"/>
          <w:szCs w:val="14"/>
          <w:b w:val="1"/>
          <w:bCs w:val="1"/>
          <w:color w:val="auto"/>
        </w:rPr>
        <w:t>(Former name or former address if changed since last report.)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2767965</wp:posOffset>
            </wp:positionH>
            <wp:positionV relativeFrom="paragraph">
              <wp:posOffset>238125</wp:posOffset>
            </wp:positionV>
            <wp:extent cx="1466215"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1466215" cy="8890"/>
                    </a:xfrm>
                    <a:prstGeom prst="rect">
                      <a:avLst/>
                    </a:prstGeom>
                    <a:noFill/>
                  </pic:spPr>
                </pic:pic>
              </a:graphicData>
            </a:graphic>
          </wp:anchor>
        </w:drawing>
      </w:r>
    </w:p>
    <w:p>
      <w:pPr>
        <w:spacing w:after="0" w:line="200" w:lineRule="exact"/>
        <w:rPr>
          <w:sz w:val="24"/>
          <w:szCs w:val="24"/>
          <w:color w:val="auto"/>
        </w:rPr>
      </w:pPr>
    </w:p>
    <w:p>
      <w:pPr>
        <w:spacing w:after="0" w:line="370" w:lineRule="exact"/>
        <w:rPr>
          <w:sz w:val="24"/>
          <w:szCs w:val="24"/>
          <w:color w:val="auto"/>
        </w:rPr>
      </w:pPr>
    </w:p>
    <w:p>
      <w:pPr>
        <w:ind w:right="300"/>
        <w:spacing w:after="0" w:line="277" w:lineRule="auto"/>
        <w:rPr>
          <w:sz w:val="20"/>
          <w:szCs w:val="20"/>
          <w:color w:val="auto"/>
        </w:rPr>
      </w:pPr>
      <w:r>
        <w:rPr>
          <w:rFonts w:ascii="Arial" w:cs="Arial" w:eastAsia="Arial" w:hAnsi="Arial"/>
          <w:sz w:val="18"/>
          <w:szCs w:val="18"/>
          <w:color w:val="auto"/>
        </w:rPr>
        <w:t>Check the appropriate box below if the Form 8-K filing is intended to simultaneously satisfy the filing obligation of the registrant under any of the following provisions:</w:t>
      </w:r>
    </w:p>
    <w:p>
      <w:pPr>
        <w:spacing w:after="0" w:line="76" w:lineRule="exact"/>
        <w:rPr>
          <w:sz w:val="24"/>
          <w:szCs w:val="24"/>
          <w:color w:val="auto"/>
        </w:rPr>
      </w:pPr>
    </w:p>
    <w:p>
      <w:pPr>
        <w:ind w:left="440" w:hanging="436"/>
        <w:spacing w:after="0"/>
        <w:tabs>
          <w:tab w:leader="none" w:pos="44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Written communications pursuant to Rule 425 under the Securities Act (17 CFR 230.425)</w:t>
      </w:r>
    </w:p>
    <w:p>
      <w:pPr>
        <w:spacing w:after="0" w:line="130" w:lineRule="exact"/>
        <w:rPr>
          <w:rFonts w:ascii="MS PGothic" w:cs="MS PGothic" w:eastAsia="MS PGothic" w:hAnsi="MS PGothic"/>
          <w:sz w:val="18"/>
          <w:szCs w:val="18"/>
          <w:color w:val="auto"/>
        </w:rPr>
      </w:pPr>
    </w:p>
    <w:p>
      <w:pPr>
        <w:ind w:left="440" w:hanging="436"/>
        <w:spacing w:after="0"/>
        <w:tabs>
          <w:tab w:leader="none" w:pos="44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Soliciting material pursuant to Rule 14a-12 under the Exchange Act (17 CFR 240.14a-12)</w:t>
      </w:r>
    </w:p>
    <w:p>
      <w:pPr>
        <w:spacing w:after="0" w:line="130" w:lineRule="exact"/>
        <w:rPr>
          <w:rFonts w:ascii="MS PGothic" w:cs="MS PGothic" w:eastAsia="MS PGothic" w:hAnsi="MS PGothic"/>
          <w:sz w:val="18"/>
          <w:szCs w:val="18"/>
          <w:color w:val="auto"/>
        </w:rPr>
      </w:pPr>
    </w:p>
    <w:p>
      <w:pPr>
        <w:ind w:left="440" w:hanging="436"/>
        <w:spacing w:after="0"/>
        <w:tabs>
          <w:tab w:leader="none" w:pos="44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14d-2(b) under the Exchange Act (17 CFR 240.14d-2(b))</w:t>
      </w:r>
    </w:p>
    <w:p>
      <w:pPr>
        <w:spacing w:after="0" w:line="130" w:lineRule="exact"/>
        <w:rPr>
          <w:rFonts w:ascii="MS PGothic" w:cs="MS PGothic" w:eastAsia="MS PGothic" w:hAnsi="MS PGothic"/>
          <w:sz w:val="18"/>
          <w:szCs w:val="18"/>
          <w:color w:val="auto"/>
        </w:rPr>
      </w:pPr>
    </w:p>
    <w:p>
      <w:pPr>
        <w:ind w:left="440" w:hanging="436"/>
        <w:spacing w:after="0"/>
        <w:tabs>
          <w:tab w:leader="none" w:pos="44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13e-4(c) under the Exchange Act (17 CFR 240.13e-4(c))</w:t>
      </w:r>
    </w:p>
    <w:p>
      <w:pPr>
        <w:spacing w:after="0" w:line="185" w:lineRule="exact"/>
        <w:rPr>
          <w:sz w:val="24"/>
          <w:szCs w:val="24"/>
          <w:color w:val="auto"/>
        </w:rPr>
      </w:pPr>
    </w:p>
    <w:p>
      <w:pPr>
        <w:ind w:firstLine="441"/>
        <w:spacing w:after="0" w:line="277" w:lineRule="auto"/>
        <w:rPr>
          <w:sz w:val="20"/>
          <w:szCs w:val="20"/>
          <w:color w:val="auto"/>
        </w:rPr>
      </w:pPr>
      <w:r>
        <w:rPr>
          <w:rFonts w:ascii="Arial" w:cs="Arial" w:eastAsia="Arial" w:hAnsi="Arial"/>
          <w:sz w:val="18"/>
          <w:szCs w:val="18"/>
          <w:color w:val="auto"/>
        </w:rPr>
        <w:t>Indicate by check mark whether the registrant is an emerging growth company as defined in Rule 405 of the Securities Act of 1933 (§230.405 of this chapter) or Rule 12b-2 of the Securities Exchange Act of 1934 (§240.12b-2 of this chapter).</w:t>
      </w:r>
    </w:p>
    <w:p>
      <w:pPr>
        <w:spacing w:after="0" w:line="97" w:lineRule="exact"/>
        <w:rPr>
          <w:sz w:val="24"/>
          <w:szCs w:val="24"/>
          <w:color w:val="auto"/>
        </w:rPr>
      </w:pPr>
    </w:p>
    <w:p>
      <w:pPr>
        <w:spacing w:after="0" w:line="207" w:lineRule="exact"/>
        <w:rPr>
          <w:sz w:val="20"/>
          <w:szCs w:val="20"/>
          <w:color w:val="auto"/>
        </w:rPr>
      </w:pPr>
      <w:r>
        <w:rPr>
          <w:rFonts w:ascii="Arial" w:cs="Arial" w:eastAsia="Arial" w:hAnsi="Arial"/>
          <w:sz w:val="18"/>
          <w:szCs w:val="18"/>
          <w:color w:val="auto"/>
        </w:rPr>
        <w:t xml:space="preserve">Emerging growth company </w:t>
      </w:r>
      <w:r>
        <w:rPr>
          <w:rFonts w:ascii="MS PGothic" w:cs="MS PGothic" w:eastAsia="MS PGothic" w:hAnsi="MS PGothic"/>
          <w:sz w:val="18"/>
          <w:szCs w:val="18"/>
          <w:color w:val="auto"/>
        </w:rPr>
        <w:t>☐</w:t>
      </w:r>
    </w:p>
    <w:p>
      <w:pPr>
        <w:spacing w:after="0" w:line="231" w:lineRule="exact"/>
        <w:rPr>
          <w:sz w:val="24"/>
          <w:szCs w:val="24"/>
          <w:color w:val="auto"/>
        </w:rPr>
      </w:pPr>
    </w:p>
    <w:p>
      <w:pPr>
        <w:ind w:firstLine="441"/>
        <w:spacing w:after="0" w:line="233" w:lineRule="exact"/>
        <w:rPr>
          <w:sz w:val="20"/>
          <w:szCs w:val="20"/>
          <w:color w:val="auto"/>
        </w:rPr>
      </w:pPr>
      <w:r>
        <w:rPr>
          <w:rFonts w:ascii="Arial" w:cs="Arial" w:eastAsia="Arial" w:hAnsi="Arial"/>
          <w:sz w:val="18"/>
          <w:szCs w:val="18"/>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8"/>
          <w:szCs w:val="18"/>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6985</wp:posOffset>
            </wp:positionH>
            <wp:positionV relativeFrom="paragraph">
              <wp:posOffset>133350</wp:posOffset>
            </wp:positionV>
            <wp:extent cx="6997700"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6997700" cy="8890"/>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176530</wp:posOffset>
            </wp:positionV>
            <wp:extent cx="6997700" cy="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6997700" cy="8890"/>
                    </a:xfrm>
                    <a:prstGeom prst="rect">
                      <a:avLst/>
                    </a:prstGeom>
                    <a:noFill/>
                  </pic:spPr>
                </pic:pic>
              </a:graphicData>
            </a:graphic>
          </wp:anchor>
        </w:drawing>
      </w:r>
    </w:p>
    <w:p>
      <w:pPr>
        <w:sectPr>
          <w:pgSz w:w="11900" w:h="16838" w:orient="portrait"/>
          <w:cols w:equalWidth="0" w:num="1">
            <w:col w:w="10860"/>
          </w:cols>
          <w:pgMar w:left="440" w:top="368" w:right="599" w:bottom="1440" w:gutter="0" w:footer="0" w:header="0"/>
        </w:sectPr>
      </w:pPr>
    </w:p>
    <w:bookmarkStart w:id="1" w:name="page2"/>
    <w:bookmarkEnd w:id="1"/>
    <w:p>
      <w:pPr>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289165" cy="38735"/>
                    </a:xfrm>
                    <a:prstGeom prst="rect">
                      <a:avLst/>
                    </a:prstGeom>
                    <a:noFill/>
                  </pic:spPr>
                </pic:pic>
              </a:graphicData>
            </a:graphic>
          </wp:anchor>
        </w:drawing>
        <w:t xml:space="preserve">Item 2.02. </w:t>
      </w:r>
      <w:r>
        <w:rPr>
          <w:rFonts w:ascii="Arial" w:cs="Arial" w:eastAsia="Arial" w:hAnsi="Arial"/>
          <w:sz w:val="18"/>
          <w:szCs w:val="18"/>
          <w:b w:val="1"/>
          <w:bCs w:val="1"/>
          <w:u w:val="single" w:color="auto"/>
          <w:color w:val="auto"/>
        </w:rPr>
        <w:t>Results of Operations and Financial Condition</w:t>
      </w:r>
      <w:r>
        <w:rPr>
          <w:rFonts w:ascii="Arial" w:cs="Arial" w:eastAsia="Arial" w:hAnsi="Arial"/>
          <w:sz w:val="18"/>
          <w:szCs w:val="18"/>
          <w:b w:val="1"/>
          <w:bCs w:val="1"/>
          <w:color w:val="auto"/>
        </w:rPr>
        <w:t>.</w:t>
      </w:r>
    </w:p>
    <w:p>
      <w:pPr>
        <w:spacing w:after="0" w:line="121" w:lineRule="exact"/>
        <w:rPr>
          <w:sz w:val="20"/>
          <w:szCs w:val="20"/>
          <w:color w:val="auto"/>
        </w:rPr>
      </w:pPr>
    </w:p>
    <w:p>
      <w:pPr>
        <w:ind w:firstLine="441"/>
        <w:spacing w:after="0" w:line="277" w:lineRule="auto"/>
        <w:rPr>
          <w:sz w:val="20"/>
          <w:szCs w:val="20"/>
          <w:color w:val="auto"/>
        </w:rPr>
      </w:pPr>
      <w:r>
        <w:rPr>
          <w:rFonts w:ascii="Arial" w:cs="Arial" w:eastAsia="Arial" w:hAnsi="Arial"/>
          <w:sz w:val="18"/>
          <w:szCs w:val="18"/>
          <w:color w:val="auto"/>
        </w:rPr>
        <w:t>On August 8, 2018, Grand Canyon Education, Inc. (the “Company”) reported its results for the second quarter of 2018. The press release dated August 8, 2018 is furnished as Exhibit 99.1 to this report.</w:t>
      </w:r>
    </w:p>
    <w:p>
      <w:pPr>
        <w:spacing w:after="0" w:line="27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Item 9.01. </w:t>
      </w:r>
      <w:r>
        <w:rPr>
          <w:rFonts w:ascii="Arial" w:cs="Arial" w:eastAsia="Arial" w:hAnsi="Arial"/>
          <w:sz w:val="18"/>
          <w:szCs w:val="18"/>
          <w:b w:val="1"/>
          <w:bCs w:val="1"/>
          <w:u w:val="single" w:color="auto"/>
          <w:color w:val="auto"/>
        </w:rPr>
        <w:t>Consolidated Financial Statements and Exhibits</w:t>
      </w:r>
      <w:r>
        <w:rPr>
          <w:rFonts w:ascii="Arial" w:cs="Arial" w:eastAsia="Arial" w:hAnsi="Arial"/>
          <w:sz w:val="18"/>
          <w:szCs w:val="18"/>
          <w:b w:val="1"/>
          <w:bCs w:val="1"/>
          <w:color w:val="auto"/>
        </w:rPr>
        <w:t>.</w:t>
      </w:r>
    </w:p>
    <w:p>
      <w:pPr>
        <w:spacing w:after="0" w:line="364" w:lineRule="exact"/>
        <w:rPr>
          <w:sz w:val="20"/>
          <w:szCs w:val="20"/>
          <w:color w:val="auto"/>
        </w:rPr>
      </w:pPr>
    </w:p>
    <w:p>
      <w:pPr>
        <w:spacing w:after="0"/>
        <w:tabs>
          <w:tab w:leader="none" w:pos="640" w:val="left"/>
        </w:tabs>
        <w:rPr>
          <w:sz w:val="20"/>
          <w:szCs w:val="20"/>
          <w:color w:val="auto"/>
        </w:rPr>
      </w:pPr>
      <w:r>
        <w:rPr>
          <w:rFonts w:ascii="Arial" w:cs="Arial" w:eastAsia="Arial" w:hAnsi="Arial"/>
          <w:sz w:val="18"/>
          <w:szCs w:val="18"/>
          <w:color w:val="auto"/>
        </w:rPr>
        <w:t>99.1</w:t>
      </w:r>
      <w:r>
        <w:rPr>
          <w:sz w:val="20"/>
          <w:szCs w:val="20"/>
          <w:color w:val="auto"/>
        </w:rPr>
        <w:tab/>
      </w:r>
      <w:r>
        <w:rPr>
          <w:rFonts w:ascii="Arial" w:cs="Arial" w:eastAsia="Arial" w:hAnsi="Arial"/>
          <w:sz w:val="15"/>
          <w:szCs w:val="15"/>
          <w:color w:val="auto"/>
        </w:rPr>
        <w:t>Press Release dated August 8, 2018</w:t>
      </w:r>
    </w:p>
    <w:p>
      <w:pPr>
        <w:sectPr>
          <w:pgSz w:w="11900" w:h="16838" w:orient="portrait"/>
          <w:cols w:equalWidth="0" w:num="1">
            <w:col w:w="10740"/>
          </w:cols>
          <w:pgMar w:left="440" w:top="270" w:right="719" w:bottom="1440" w:gutter="0" w:footer="0" w:header="0"/>
        </w:sectPr>
      </w:pPr>
    </w:p>
    <w:bookmarkStart w:id="2" w:name="page3"/>
    <w:bookmarkEnd w:id="2"/>
    <w:p>
      <w:pPr>
        <w:jc w:val="right"/>
        <w:ind w:right="3839"/>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289165" cy="38735"/>
                    </a:xfrm>
                    <a:prstGeom prst="rect">
                      <a:avLst/>
                    </a:prstGeom>
                    <a:noFill/>
                  </pic:spPr>
                </pic:pic>
              </a:graphicData>
            </a:graphic>
          </wp:anchor>
        </w:drawing>
        <w:t>EXHIBIT INDEX</w:t>
      </w:r>
    </w:p>
    <w:p>
      <w:pPr>
        <w:spacing w:after="0" w:line="234" w:lineRule="exact"/>
        <w:rPr>
          <w:sz w:val="20"/>
          <w:szCs w:val="20"/>
          <w:color w:val="auto"/>
        </w:rPr>
      </w:pPr>
    </w:p>
    <w:p>
      <w:pPr>
        <w:spacing w:after="0"/>
        <w:rPr>
          <w:sz w:val="20"/>
          <w:szCs w:val="20"/>
          <w:color w:val="auto"/>
        </w:rPr>
      </w:pPr>
      <w:r>
        <w:rPr>
          <w:rFonts w:ascii="Arial" w:cs="Arial" w:eastAsia="Arial" w:hAnsi="Arial"/>
          <w:sz w:val="14"/>
          <w:szCs w:val="14"/>
          <w:b w:val="1"/>
          <w:bCs w:val="1"/>
          <w:color w:val="auto"/>
        </w:rPr>
        <w:t>Exhibit</w:t>
      </w:r>
    </w:p>
    <w:p>
      <w:pPr>
        <w:ind w:left="120"/>
        <w:spacing w:after="0"/>
        <w:tabs>
          <w:tab w:leader="none" w:pos="960" w:val="left"/>
        </w:tabs>
        <w:rPr>
          <w:sz w:val="20"/>
          <w:szCs w:val="20"/>
          <w:color w:val="auto"/>
        </w:rPr>
      </w:pPr>
      <w:r>
        <w:rPr>
          <w:rFonts w:ascii="Arial" w:cs="Arial" w:eastAsia="Arial" w:hAnsi="Arial"/>
          <w:sz w:val="14"/>
          <w:szCs w:val="14"/>
          <w:b w:val="1"/>
          <w:bCs w:val="1"/>
          <w:color w:val="auto"/>
        </w:rPr>
        <w:t>No.</w:t>
      </w:r>
      <w:r>
        <w:rPr>
          <w:sz w:val="20"/>
          <w:szCs w:val="20"/>
          <w:color w:val="auto"/>
        </w:rPr>
        <w:tab/>
      </w:r>
      <w:r>
        <w:rPr>
          <w:rFonts w:ascii="Arial" w:cs="Arial" w:eastAsia="Arial" w:hAnsi="Arial"/>
          <w:sz w:val="14"/>
          <w:szCs w:val="14"/>
          <w:b w:val="1"/>
          <w:bCs w:val="1"/>
          <w:u w:val="single" w:color="auto"/>
          <w:color w:val="auto"/>
        </w:rPr>
        <w:t>Description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5080</wp:posOffset>
            </wp:positionV>
            <wp:extent cx="291465" cy="88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291465" cy="8890"/>
                    </a:xfrm>
                    <a:prstGeom prst="rect">
                      <a:avLst/>
                    </a:prstGeom>
                    <a:noFill/>
                  </pic:spPr>
                </pic:pic>
              </a:graphicData>
            </a:graphic>
          </wp:anchor>
        </w:drawing>
      </w:r>
    </w:p>
    <w:p>
      <w:pPr>
        <w:spacing w:after="0" w:line="81" w:lineRule="exact"/>
        <w:rPr>
          <w:sz w:val="20"/>
          <w:szCs w:val="20"/>
          <w:color w:val="auto"/>
        </w:rPr>
      </w:pPr>
    </w:p>
    <w:p>
      <w:pPr>
        <w:spacing w:after="0"/>
        <w:tabs>
          <w:tab w:leader="none" w:pos="960" w:val="left"/>
        </w:tabs>
        <w:rPr>
          <w:rFonts w:ascii="Arial" w:cs="Arial" w:eastAsia="Arial" w:hAnsi="Arial"/>
          <w:sz w:val="15"/>
          <w:szCs w:val="15"/>
          <w:u w:val="single" w:color="auto"/>
          <w:color w:val="0000EE"/>
        </w:rPr>
      </w:pPr>
      <w:r>
        <w:rPr>
          <w:rFonts w:ascii="Arial" w:cs="Arial" w:eastAsia="Arial" w:hAnsi="Arial"/>
          <w:sz w:val="18"/>
          <w:szCs w:val="18"/>
          <w:color w:val="auto"/>
        </w:rPr>
        <w:t>99.1</w:t>
      </w:r>
      <w:r>
        <w:rPr>
          <w:sz w:val="20"/>
          <w:szCs w:val="20"/>
          <w:color w:val="auto"/>
        </w:rPr>
        <w:tab/>
      </w:r>
      <w:hyperlink w:anchor="page5">
        <w:r>
          <w:rPr>
            <w:rFonts w:ascii="Arial" w:cs="Arial" w:eastAsia="Arial" w:hAnsi="Arial"/>
            <w:sz w:val="15"/>
            <w:szCs w:val="15"/>
            <w:u w:val="single" w:color="auto"/>
            <w:color w:val="0000EE"/>
          </w:rPr>
          <w:t>Press Release dated August 8, 2018</w:t>
        </w:r>
      </w:hyperlink>
    </w:p>
    <w:p>
      <w:pPr>
        <w:sectPr>
          <w:pgSz w:w="11900" w:h="16838" w:orient="portrait"/>
          <w:cols w:equalWidth="0" w:num="1">
            <w:col w:w="10019"/>
          </w:cols>
          <w:pgMar w:left="440" w:top="274" w:right="1440" w:bottom="1440" w:gutter="0" w:footer="0" w:header="0"/>
        </w:sectPr>
      </w:pPr>
    </w:p>
    <w:bookmarkStart w:id="3" w:name="page4"/>
    <w:bookmarkEnd w:id="3"/>
    <w:p>
      <w:pPr>
        <w:jc w:val="center"/>
        <w:ind w:right="20"/>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289165" cy="38735"/>
                    </a:xfrm>
                    <a:prstGeom prst="rect">
                      <a:avLst/>
                    </a:prstGeom>
                    <a:noFill/>
                  </pic:spPr>
                </pic:pic>
              </a:graphicData>
            </a:graphic>
          </wp:anchor>
        </w:drawing>
        <w:t>SIGNATURES</w:t>
      </w:r>
    </w:p>
    <w:p>
      <w:pPr>
        <w:spacing w:after="0" w:line="225" w:lineRule="exact"/>
        <w:rPr>
          <w:sz w:val="20"/>
          <w:szCs w:val="20"/>
          <w:color w:val="auto"/>
        </w:rPr>
      </w:pPr>
    </w:p>
    <w:p>
      <w:pPr>
        <w:ind w:right="260" w:firstLine="441"/>
        <w:spacing w:after="0" w:line="277"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thereunto duly authorized.</w:t>
      </w:r>
    </w:p>
    <w:p>
      <w:pPr>
        <w:spacing w:after="0" w:line="197"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3620" w:type="dxa"/>
            <w:vAlign w:val="bottom"/>
          </w:tcPr>
          <w:p>
            <w:pPr>
              <w:spacing w:after="0"/>
              <w:rPr>
                <w:sz w:val="20"/>
                <w:szCs w:val="20"/>
                <w:color w:val="auto"/>
              </w:rPr>
            </w:pPr>
          </w:p>
        </w:tc>
        <w:tc>
          <w:tcPr>
            <w:tcW w:w="7420" w:type="dxa"/>
            <w:vAlign w:val="bottom"/>
            <w:gridSpan w:val="2"/>
          </w:tcPr>
          <w:p>
            <w:pPr>
              <w:ind w:left="2060"/>
              <w:spacing w:after="0"/>
              <w:rPr>
                <w:sz w:val="20"/>
                <w:szCs w:val="20"/>
                <w:color w:val="auto"/>
              </w:rPr>
            </w:pPr>
            <w:r>
              <w:rPr>
                <w:rFonts w:ascii="Arial" w:cs="Arial" w:eastAsia="Arial" w:hAnsi="Arial"/>
                <w:sz w:val="18"/>
                <w:szCs w:val="18"/>
                <w:color w:val="auto"/>
              </w:rPr>
              <w:t>GRAND CANYON EDUCATION, INC.</w:t>
            </w:r>
          </w:p>
        </w:tc>
      </w:tr>
      <w:tr>
        <w:trPr>
          <w:trHeight w:val="432"/>
        </w:trPr>
        <w:tc>
          <w:tcPr>
            <w:tcW w:w="3620" w:type="dxa"/>
            <w:vAlign w:val="bottom"/>
          </w:tcPr>
          <w:p>
            <w:pPr>
              <w:spacing w:after="0"/>
              <w:rPr>
                <w:sz w:val="20"/>
                <w:szCs w:val="20"/>
                <w:color w:val="auto"/>
              </w:rPr>
            </w:pPr>
            <w:r>
              <w:rPr>
                <w:rFonts w:ascii="Arial" w:cs="Arial" w:eastAsia="Arial" w:hAnsi="Arial"/>
                <w:sz w:val="18"/>
                <w:szCs w:val="18"/>
                <w:color w:val="auto"/>
              </w:rPr>
              <w:t>Date: August 8, 2018</w:t>
            </w:r>
          </w:p>
        </w:tc>
        <w:tc>
          <w:tcPr>
            <w:tcW w:w="7420" w:type="dxa"/>
            <w:vAlign w:val="bottom"/>
            <w:gridSpan w:val="2"/>
          </w:tcPr>
          <w:p>
            <w:pPr>
              <w:ind w:left="2060"/>
              <w:spacing w:after="0"/>
              <w:rPr>
                <w:sz w:val="20"/>
                <w:szCs w:val="20"/>
                <w:color w:val="auto"/>
              </w:rPr>
            </w:pPr>
            <w:r>
              <w:rPr>
                <w:rFonts w:ascii="Arial" w:cs="Arial" w:eastAsia="Arial" w:hAnsi="Arial"/>
                <w:sz w:val="18"/>
                <w:szCs w:val="18"/>
                <w:color w:val="auto"/>
              </w:rPr>
              <w:t>By:  /s/ Daniel E. Bachus</w:t>
            </w:r>
          </w:p>
        </w:tc>
      </w:tr>
      <w:tr>
        <w:trPr>
          <w:trHeight w:val="195"/>
        </w:trPr>
        <w:tc>
          <w:tcPr>
            <w:tcW w:w="3620" w:type="dxa"/>
            <w:vAlign w:val="bottom"/>
          </w:tcPr>
          <w:p>
            <w:pPr>
              <w:spacing w:after="0"/>
              <w:rPr>
                <w:sz w:val="16"/>
                <w:szCs w:val="16"/>
                <w:color w:val="auto"/>
              </w:rPr>
            </w:pPr>
          </w:p>
        </w:tc>
        <w:tc>
          <w:tcPr>
            <w:tcW w:w="2340" w:type="dxa"/>
            <w:vAlign w:val="bottom"/>
          </w:tcPr>
          <w:p>
            <w:pPr>
              <w:spacing w:after="0"/>
              <w:rPr>
                <w:sz w:val="16"/>
                <w:szCs w:val="16"/>
                <w:color w:val="auto"/>
              </w:rPr>
            </w:pPr>
          </w:p>
        </w:tc>
        <w:tc>
          <w:tcPr>
            <w:tcW w:w="5080" w:type="dxa"/>
            <w:vAlign w:val="bottom"/>
            <w:tcBorders>
              <w:top w:val="single" w:sz="8" w:color="auto"/>
            </w:tcBorders>
          </w:tcPr>
          <w:p>
            <w:pPr>
              <w:ind w:left="100"/>
              <w:spacing w:after="0" w:line="195" w:lineRule="exact"/>
              <w:rPr>
                <w:sz w:val="20"/>
                <w:szCs w:val="20"/>
                <w:color w:val="auto"/>
              </w:rPr>
            </w:pPr>
            <w:r>
              <w:rPr>
                <w:rFonts w:ascii="Arial" w:cs="Arial" w:eastAsia="Arial" w:hAnsi="Arial"/>
                <w:sz w:val="18"/>
                <w:szCs w:val="18"/>
                <w:color w:val="auto"/>
              </w:rPr>
              <w:t>Daniel E. Bachus</w:t>
            </w:r>
          </w:p>
        </w:tc>
      </w:tr>
      <w:tr>
        <w:trPr>
          <w:trHeight w:val="216"/>
        </w:trPr>
        <w:tc>
          <w:tcPr>
            <w:tcW w:w="3620" w:type="dxa"/>
            <w:vAlign w:val="bottom"/>
          </w:tcPr>
          <w:p>
            <w:pPr>
              <w:spacing w:after="0"/>
              <w:rPr>
                <w:sz w:val="18"/>
                <w:szCs w:val="18"/>
                <w:color w:val="auto"/>
              </w:rPr>
            </w:pPr>
          </w:p>
        </w:tc>
        <w:tc>
          <w:tcPr>
            <w:tcW w:w="2340" w:type="dxa"/>
            <w:vAlign w:val="bottom"/>
          </w:tcPr>
          <w:p>
            <w:pPr>
              <w:spacing w:after="0"/>
              <w:rPr>
                <w:sz w:val="18"/>
                <w:szCs w:val="18"/>
                <w:color w:val="auto"/>
              </w:rPr>
            </w:pPr>
          </w:p>
        </w:tc>
        <w:tc>
          <w:tcPr>
            <w:tcW w:w="5080" w:type="dxa"/>
            <w:vAlign w:val="bottom"/>
          </w:tcPr>
          <w:p>
            <w:pPr>
              <w:ind w:left="100"/>
              <w:spacing w:after="0"/>
              <w:rPr>
                <w:sz w:val="20"/>
                <w:szCs w:val="20"/>
                <w:color w:val="auto"/>
              </w:rPr>
            </w:pPr>
            <w:r>
              <w:rPr>
                <w:rFonts w:ascii="Arial" w:cs="Arial" w:eastAsia="Arial" w:hAnsi="Arial"/>
                <w:sz w:val="18"/>
                <w:szCs w:val="18"/>
                <w:color w:val="auto"/>
              </w:rPr>
              <w:t>Chief Financial Officer</w:t>
            </w:r>
          </w:p>
        </w:tc>
      </w:tr>
      <w:tr>
        <w:trPr>
          <w:trHeight w:val="230"/>
        </w:trPr>
        <w:tc>
          <w:tcPr>
            <w:tcW w:w="3620" w:type="dxa"/>
            <w:vAlign w:val="bottom"/>
          </w:tcPr>
          <w:p>
            <w:pPr>
              <w:spacing w:after="0"/>
              <w:rPr>
                <w:sz w:val="20"/>
                <w:szCs w:val="20"/>
                <w:color w:val="auto"/>
              </w:rPr>
            </w:pPr>
          </w:p>
        </w:tc>
        <w:tc>
          <w:tcPr>
            <w:tcW w:w="2340" w:type="dxa"/>
            <w:vAlign w:val="bottom"/>
          </w:tcPr>
          <w:p>
            <w:pPr>
              <w:spacing w:after="0"/>
              <w:rPr>
                <w:sz w:val="20"/>
                <w:szCs w:val="20"/>
                <w:color w:val="auto"/>
              </w:rPr>
            </w:pPr>
          </w:p>
        </w:tc>
        <w:tc>
          <w:tcPr>
            <w:tcW w:w="5080" w:type="dxa"/>
            <w:vAlign w:val="bottom"/>
          </w:tcPr>
          <w:p>
            <w:pPr>
              <w:ind w:left="100"/>
              <w:spacing w:after="0"/>
              <w:rPr>
                <w:sz w:val="20"/>
                <w:szCs w:val="20"/>
                <w:color w:val="auto"/>
              </w:rPr>
            </w:pPr>
            <w:r>
              <w:rPr>
                <w:rFonts w:ascii="Arial" w:cs="Arial" w:eastAsia="Arial" w:hAnsi="Arial"/>
                <w:sz w:val="18"/>
                <w:szCs w:val="18"/>
                <w:color w:val="auto"/>
              </w:rPr>
              <w:t>(Principal Financial and Principal Accounting Officer)</w:t>
            </w:r>
          </w:p>
        </w:tc>
      </w:tr>
    </w:tbl>
    <w:p>
      <w:pPr>
        <w:sectPr>
          <w:pgSz w:w="11900" w:h="16838" w:orient="portrait"/>
          <w:cols w:equalWidth="0" w:num="1">
            <w:col w:w="11040"/>
          </w:cols>
          <w:pgMar w:left="440" w:top="274" w:right="419" w:bottom="1440" w:gutter="0" w:footer="0" w:header="0"/>
        </w:sectPr>
      </w:pPr>
    </w:p>
    <w:bookmarkStart w:id="4" w:name="page5"/>
    <w:bookmarkEnd w:id="4"/>
    <w:p>
      <w:pPr>
        <w:jc w:val="right"/>
        <w:spacing w:after="0"/>
        <w:rPr>
          <w:sz w:val="20"/>
          <w:szCs w:val="20"/>
          <w:color w:val="auto"/>
        </w:rPr>
      </w:pPr>
      <w:r>
        <w:rPr>
          <w:rFonts w:ascii="Arial" w:cs="Arial" w:eastAsia="Arial" w:hAnsi="Arial"/>
          <w:sz w:val="18"/>
          <w:szCs w:val="18"/>
          <w:b w:val="1"/>
          <w:bCs w:val="1"/>
          <w:color w:val="auto"/>
        </w:rPr>
        <w:t>Exhibit 99.1</w:t>
      </w:r>
    </w:p>
    <w:p>
      <w:pPr>
        <w:spacing w:after="0" w:line="225" w:lineRule="exact"/>
        <w:rPr>
          <w:sz w:val="20"/>
          <w:szCs w:val="20"/>
          <w:color w:val="auto"/>
        </w:rPr>
      </w:pPr>
    </w:p>
    <w:p>
      <w:pPr>
        <w:jc w:val="right"/>
        <w:spacing w:after="0"/>
        <w:rPr>
          <w:sz w:val="20"/>
          <w:szCs w:val="20"/>
          <w:color w:val="auto"/>
        </w:rPr>
      </w:pPr>
      <w:r>
        <w:rPr>
          <w:rFonts w:ascii="Arial" w:cs="Arial" w:eastAsia="Arial" w:hAnsi="Arial"/>
          <w:sz w:val="18"/>
          <w:szCs w:val="18"/>
          <w:b w:val="1"/>
          <w:bCs w:val="1"/>
          <w:color w:val="auto"/>
        </w:rPr>
        <w:t>NEWS RELEASE</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FOR IMMEDIATE RELEASE</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Investor Relations Contact:</w:t>
      </w:r>
    </w:p>
    <w:p>
      <w:pPr>
        <w:spacing w:after="0" w:line="27" w:lineRule="exact"/>
        <w:rPr>
          <w:sz w:val="20"/>
          <w:szCs w:val="20"/>
          <w:color w:val="auto"/>
        </w:rPr>
      </w:pPr>
    </w:p>
    <w:p>
      <w:pPr>
        <w:spacing w:after="0"/>
        <w:rPr>
          <w:sz w:val="20"/>
          <w:szCs w:val="20"/>
          <w:color w:val="auto"/>
        </w:rPr>
      </w:pPr>
      <w:r>
        <w:rPr>
          <w:rFonts w:ascii="Arial" w:cs="Arial" w:eastAsia="Arial" w:hAnsi="Arial"/>
          <w:sz w:val="18"/>
          <w:szCs w:val="18"/>
          <w:color w:val="auto"/>
        </w:rPr>
        <w:t>Dan Bachus</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Chief Financial Officer</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Grand Canyon Education, Inc.</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602-639-6648</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Dan.bachus@gce.com</w:t>
      </w:r>
    </w:p>
    <w:p>
      <w:pPr>
        <w:spacing w:after="0" w:line="200" w:lineRule="exact"/>
        <w:rPr>
          <w:sz w:val="20"/>
          <w:szCs w:val="20"/>
          <w:color w:val="auto"/>
        </w:rPr>
      </w:pPr>
    </w:p>
    <w:p>
      <w:pPr>
        <w:spacing w:after="0" w:line="223"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GRAND CANYON EDUCATION, INC. REPORTS</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SECOND QUARTER 2018 RESULTS</w:t>
      </w:r>
    </w:p>
    <w:p>
      <w:pPr>
        <w:spacing w:after="0" w:line="207" w:lineRule="exact"/>
        <w:rPr>
          <w:sz w:val="20"/>
          <w:szCs w:val="20"/>
          <w:color w:val="auto"/>
        </w:rPr>
      </w:pPr>
    </w:p>
    <w:p>
      <w:pPr>
        <w:spacing w:after="0" w:line="255" w:lineRule="auto"/>
        <w:rPr>
          <w:sz w:val="20"/>
          <w:szCs w:val="20"/>
          <w:color w:val="auto"/>
        </w:rPr>
      </w:pPr>
      <w:r>
        <w:rPr>
          <w:rFonts w:ascii="Arial" w:cs="Arial" w:eastAsia="Arial" w:hAnsi="Arial"/>
          <w:sz w:val="18"/>
          <w:szCs w:val="18"/>
          <w:b w:val="1"/>
          <w:bCs w:val="1"/>
          <w:color w:val="auto"/>
        </w:rPr>
        <w:t>PHOENIX, AZ., August 8, 2018</w:t>
      </w:r>
      <w:r>
        <w:rPr>
          <w:rFonts w:ascii="Arial" w:cs="Arial" w:eastAsia="Arial" w:hAnsi="Arial"/>
          <w:sz w:val="18"/>
          <w:szCs w:val="18"/>
          <w:color w:val="auto"/>
        </w:rPr>
        <w:t>—</w:t>
      </w:r>
      <w:r>
        <w:rPr>
          <w:rFonts w:ascii="Arial" w:cs="Arial" w:eastAsia="Arial" w:hAnsi="Arial"/>
          <w:sz w:val="18"/>
          <w:szCs w:val="18"/>
          <w:b w:val="1"/>
          <w:bCs w:val="1"/>
          <w:u w:val="single" w:color="auto"/>
          <w:color w:val="auto"/>
        </w:rPr>
        <w:t>Grand Canyon Education, Inc.</w:t>
      </w:r>
      <w:r>
        <w:rPr>
          <w:rFonts w:ascii="Arial" w:cs="Arial" w:eastAsia="Arial" w:hAnsi="Arial"/>
          <w:sz w:val="18"/>
          <w:szCs w:val="18"/>
          <w:b w:val="1"/>
          <w:bCs w:val="1"/>
          <w:color w:val="auto"/>
        </w:rPr>
        <w:t xml:space="preserve"> </w:t>
      </w:r>
      <w:r>
        <w:rPr>
          <w:rFonts w:ascii="Arial" w:cs="Arial" w:eastAsia="Arial" w:hAnsi="Arial"/>
          <w:sz w:val="18"/>
          <w:szCs w:val="18"/>
          <w:color w:val="auto"/>
        </w:rPr>
        <w:t>(NASDAQ: LOPE), (“GCE” or the “Company”), is a publicly traded education</w:t>
      </w:r>
      <w:r>
        <w:rPr>
          <w:rFonts w:ascii="Arial" w:cs="Arial" w:eastAsia="Arial" w:hAnsi="Arial"/>
          <w:sz w:val="18"/>
          <w:szCs w:val="18"/>
          <w:b w:val="1"/>
          <w:bCs w:val="1"/>
          <w:color w:val="auto"/>
        </w:rPr>
        <w:t xml:space="preserve"> </w:t>
      </w:r>
      <w:r>
        <w:rPr>
          <w:rFonts w:ascii="Arial" w:cs="Arial" w:eastAsia="Arial" w:hAnsi="Arial"/>
          <w:sz w:val="18"/>
          <w:szCs w:val="18"/>
          <w:color w:val="auto"/>
        </w:rPr>
        <w:t>services company. GCE is uniquely positioned in the education services industry in that its leadership has 30 years of proven expertise in providing a full array of support services in the post-secondary education sector and has developed significant technological solutions, infrastructure and operational processes to provide superior service in these areas on a large scale. GCE provides services that support students, faculty and staff of partner institutions such as marketing, strategic enrollment management, counseling services, financial services, technology, technical support, compliance, human resources, classroom operations, curriculum development, faculty recruitment and training, among others. GCE today announced financial results for the quarter ended June 30, 2018.</w:t>
      </w:r>
    </w:p>
    <w:p>
      <w:pPr>
        <w:spacing w:after="0" w:line="19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(more)</w:t>
      </w:r>
    </w:p>
    <w:p>
      <w:pPr>
        <w:sectPr>
          <w:pgSz w:w="11900" w:h="16838" w:orient="portrait"/>
          <w:cols w:equalWidth="0" w:num="1">
            <w:col w:w="11020"/>
          </w:cols>
          <w:pgMar w:left="440" w:top="121" w:right="439" w:bottom="1440" w:gutter="0" w:footer="0" w:header="0"/>
        </w:sectPr>
      </w:pPr>
    </w:p>
    <w:bookmarkStart w:id="5" w:name="page6"/>
    <w:bookmarkEnd w:id="5"/>
    <w:p>
      <w:pPr>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289165" cy="38735"/>
                    </a:xfrm>
                    <a:prstGeom prst="rect">
                      <a:avLst/>
                    </a:prstGeom>
                    <a:noFill/>
                  </pic:spPr>
                </pic:pic>
              </a:graphicData>
            </a:graphic>
          </wp:anchor>
        </w:drawing>
        <w:t>Grand Canyon Education, Inc. Reports Second Quarter 2018 Results</w:t>
      </w:r>
    </w:p>
    <w:p>
      <w:pPr>
        <w:spacing w:after="0" w:line="11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Explanatory Note</w:t>
      </w:r>
    </w:p>
    <w:p>
      <w:pPr>
        <w:spacing w:after="0" w:line="121" w:lineRule="exact"/>
        <w:rPr>
          <w:sz w:val="20"/>
          <w:szCs w:val="20"/>
          <w:color w:val="auto"/>
        </w:rPr>
      </w:pPr>
    </w:p>
    <w:p>
      <w:pPr>
        <w:ind w:right="60" w:firstLine="441"/>
        <w:spacing w:after="0" w:line="297" w:lineRule="auto"/>
        <w:rPr>
          <w:sz w:val="20"/>
          <w:szCs w:val="20"/>
          <w:color w:val="auto"/>
        </w:rPr>
      </w:pPr>
      <w:r>
        <w:rPr>
          <w:rFonts w:ascii="Arial" w:cs="Arial" w:eastAsia="Arial" w:hAnsi="Arial"/>
          <w:sz w:val="16"/>
          <w:szCs w:val="16"/>
          <w:color w:val="auto"/>
        </w:rPr>
        <w:t>On July 1, 2018, the Company consummated an Asset Purchase Agreement (the “Asset Purchase Agreement”) with Gazelle University, an Arizona nonprofit corporation. Prior to the consummation of the transactions contemplated by the Asset Purchase Agreement, the Company owned and operated Grand Canyon University (“GCU”) a comprehensive university, regionally accredited by The Higher Learning Commission (the “HLC”), that offers over 230 graduate and undergraduate degree programs, emphases and certificates across nine colleges both online and on ground at its over 275 acre campus in Phoenix, Arizona. Upon the closing of the transaction, Gazelle University changed its name to Grand Canyon University (“New GCU”).</w:t>
      </w:r>
    </w:p>
    <w:p>
      <w:pPr>
        <w:spacing w:after="0" w:line="158" w:lineRule="exact"/>
        <w:rPr>
          <w:sz w:val="20"/>
          <w:szCs w:val="20"/>
          <w:color w:val="auto"/>
        </w:rPr>
      </w:pPr>
    </w:p>
    <w:p>
      <w:pPr>
        <w:ind w:left="440"/>
        <w:spacing w:after="0"/>
        <w:rPr>
          <w:sz w:val="20"/>
          <w:szCs w:val="20"/>
          <w:color w:val="auto"/>
        </w:rPr>
      </w:pPr>
      <w:r>
        <w:rPr>
          <w:rFonts w:ascii="Arial" w:cs="Arial" w:eastAsia="Arial" w:hAnsi="Arial"/>
          <w:sz w:val="18"/>
          <w:szCs w:val="18"/>
          <w:color w:val="auto"/>
        </w:rPr>
        <w:t>Pursuant to the Asset Purchase Agreement, among other things:</w:t>
      </w:r>
    </w:p>
    <w:p>
      <w:pPr>
        <w:spacing w:after="0" w:line="131" w:lineRule="exact"/>
        <w:rPr>
          <w:sz w:val="20"/>
          <w:szCs w:val="20"/>
          <w:color w:val="auto"/>
        </w:rPr>
      </w:pPr>
    </w:p>
    <w:p>
      <w:pPr>
        <w:ind w:left="860" w:right="120" w:hanging="316"/>
        <w:spacing w:after="0" w:line="264" w:lineRule="auto"/>
        <w:tabs>
          <w:tab w:leader="none" w:pos="860" w:val="left"/>
        </w:tabs>
        <w:numPr>
          <w:ilvl w:val="0"/>
          <w:numId w:val="2"/>
        </w:numPr>
        <w:rPr>
          <w:rFonts w:ascii="Arial" w:cs="Arial" w:eastAsia="Arial" w:hAnsi="Arial"/>
          <w:sz w:val="18"/>
          <w:szCs w:val="18"/>
          <w:color w:val="auto"/>
        </w:rPr>
      </w:pPr>
      <w:r>
        <w:rPr>
          <w:rFonts w:ascii="Arial" w:cs="Arial" w:eastAsia="Arial" w:hAnsi="Arial"/>
          <w:sz w:val="18"/>
          <w:szCs w:val="18"/>
          <w:color w:val="auto"/>
        </w:rPr>
        <w:t>The Company transferred to New GCU the real property and improvements comprising the GCU campus as well as tangible and intangible academic and related operations and assets related to GCU (the “Transferred Assets”), and New GCU assumed liabilities related to the Transferred Assets. Accordingly, GCU is now owned and operated by New GCU; and</w:t>
      </w:r>
    </w:p>
    <w:p>
      <w:pPr>
        <w:spacing w:after="0" w:line="86" w:lineRule="exact"/>
        <w:rPr>
          <w:rFonts w:ascii="Arial" w:cs="Arial" w:eastAsia="Arial" w:hAnsi="Arial"/>
          <w:sz w:val="18"/>
          <w:szCs w:val="18"/>
          <w:color w:val="auto"/>
        </w:rPr>
      </w:pPr>
    </w:p>
    <w:p>
      <w:pPr>
        <w:ind w:left="860" w:right="60" w:hanging="316"/>
        <w:spacing w:after="0" w:line="312" w:lineRule="auto"/>
        <w:tabs>
          <w:tab w:leader="none" w:pos="860" w:val="left"/>
        </w:tabs>
        <w:numPr>
          <w:ilvl w:val="0"/>
          <w:numId w:val="2"/>
        </w:numPr>
        <w:rPr>
          <w:rFonts w:ascii="Arial" w:cs="Arial" w:eastAsia="Arial" w:hAnsi="Arial"/>
          <w:sz w:val="16"/>
          <w:szCs w:val="16"/>
          <w:color w:val="auto"/>
        </w:rPr>
      </w:pPr>
      <w:r>
        <w:rPr>
          <w:rFonts w:ascii="Arial" w:cs="Arial" w:eastAsia="Arial" w:hAnsi="Arial"/>
          <w:sz w:val="16"/>
          <w:szCs w:val="16"/>
          <w:color w:val="auto"/>
        </w:rPr>
        <w:t>In connection with the closing of the Asset Purchase Agreement, the Company and New GCU entered into a long-term master services agreement (the “Master Services Agreement”) pursuant to which the Company will provide identified technological, counseling, marketing, financial aid processing and other support services to New GCU in return for 60% of New GCU’s tuition and fee revenue.</w:t>
      </w:r>
    </w:p>
    <w:p>
      <w:pPr>
        <w:spacing w:after="0" w:line="147" w:lineRule="exact"/>
        <w:rPr>
          <w:sz w:val="20"/>
          <w:szCs w:val="20"/>
          <w:color w:val="auto"/>
        </w:rPr>
      </w:pPr>
    </w:p>
    <w:p>
      <w:pPr>
        <w:ind w:right="340" w:firstLine="441"/>
        <w:spacing w:after="0" w:line="277" w:lineRule="auto"/>
        <w:rPr>
          <w:sz w:val="20"/>
          <w:szCs w:val="20"/>
          <w:color w:val="auto"/>
        </w:rPr>
      </w:pPr>
      <w:r>
        <w:rPr>
          <w:rFonts w:ascii="Arial" w:cs="Arial" w:eastAsia="Arial" w:hAnsi="Arial"/>
          <w:sz w:val="18"/>
          <w:szCs w:val="18"/>
          <w:color w:val="auto"/>
        </w:rPr>
        <w:t>See Note 3 to Consolidated Financial Statements in our Quarterly Report on Form 10Q for the quarterly period ended June 30, 2018, for a full description of this transaction (the “Transaction”).</w:t>
      </w:r>
    </w:p>
    <w:p>
      <w:pPr>
        <w:spacing w:after="0" w:line="170" w:lineRule="exact"/>
        <w:rPr>
          <w:sz w:val="20"/>
          <w:szCs w:val="20"/>
          <w:color w:val="auto"/>
        </w:rPr>
      </w:pPr>
    </w:p>
    <w:p>
      <w:pPr>
        <w:ind w:right="120"/>
        <w:spacing w:after="0" w:line="277" w:lineRule="auto"/>
        <w:rPr>
          <w:sz w:val="20"/>
          <w:szCs w:val="20"/>
          <w:color w:val="auto"/>
        </w:rPr>
      </w:pPr>
      <w:r>
        <w:rPr>
          <w:rFonts w:ascii="Arial" w:cs="Arial" w:eastAsia="Arial" w:hAnsi="Arial"/>
          <w:sz w:val="18"/>
          <w:szCs w:val="18"/>
          <w:color w:val="auto"/>
        </w:rPr>
        <w:t>Prior to July 1, 2018, the Company owned and operated GCU. Accordingly, the results of operations discussed herein reflect the Company’s operations prior to July 1, 2018 which were made up exclusively of the operations of GCU.</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color w:val="auto"/>
        </w:rPr>
        <w:t>For the three months ended June 30, 2018:</w:t>
      </w:r>
    </w:p>
    <w:p>
      <w:pPr>
        <w:spacing w:after="0" w:line="131" w:lineRule="exact"/>
        <w:rPr>
          <w:sz w:val="20"/>
          <w:szCs w:val="20"/>
          <w:color w:val="auto"/>
        </w:rPr>
      </w:pPr>
    </w:p>
    <w:p>
      <w:pPr>
        <w:ind w:left="440" w:hanging="436"/>
        <w:spacing w:after="0"/>
        <w:tabs>
          <w:tab w:leader="none" w:pos="440" w:val="left"/>
        </w:tabs>
        <w:numPr>
          <w:ilvl w:val="0"/>
          <w:numId w:val="3"/>
        </w:numPr>
        <w:rPr>
          <w:rFonts w:ascii="Arial" w:cs="Arial" w:eastAsia="Arial" w:hAnsi="Arial"/>
          <w:sz w:val="17"/>
          <w:szCs w:val="17"/>
          <w:color w:val="auto"/>
        </w:rPr>
      </w:pPr>
      <w:r>
        <w:rPr>
          <w:rFonts w:ascii="Arial" w:cs="Arial" w:eastAsia="Arial" w:hAnsi="Arial"/>
          <w:sz w:val="17"/>
          <w:szCs w:val="17"/>
          <w:color w:val="auto"/>
        </w:rPr>
        <w:t>Net revenue increased 8.5% to $236.8 million for the second quarter of 2018, compared to $218.3 million for the second quarter of 2017.</w:t>
      </w:r>
    </w:p>
    <w:p>
      <w:pPr>
        <w:spacing w:after="0" w:line="142" w:lineRule="exact"/>
        <w:rPr>
          <w:rFonts w:ascii="Arial" w:cs="Arial" w:eastAsia="Arial" w:hAnsi="Arial"/>
          <w:sz w:val="17"/>
          <w:szCs w:val="17"/>
          <w:color w:val="auto"/>
        </w:rPr>
      </w:pPr>
    </w:p>
    <w:p>
      <w:pPr>
        <w:ind w:left="440" w:hanging="436"/>
        <w:spacing w:after="0" w:line="297" w:lineRule="auto"/>
        <w:tabs>
          <w:tab w:leader="none" w:pos="440" w:val="left"/>
        </w:tabs>
        <w:numPr>
          <w:ilvl w:val="0"/>
          <w:numId w:val="3"/>
        </w:numPr>
        <w:rPr>
          <w:rFonts w:ascii="Arial" w:cs="Arial" w:eastAsia="Arial" w:hAnsi="Arial"/>
          <w:sz w:val="16"/>
          <w:szCs w:val="16"/>
          <w:color w:val="auto"/>
        </w:rPr>
      </w:pPr>
      <w:r>
        <w:rPr>
          <w:rFonts w:ascii="Arial" w:cs="Arial" w:eastAsia="Arial" w:hAnsi="Arial"/>
          <w:sz w:val="16"/>
          <w:szCs w:val="16"/>
          <w:color w:val="auto"/>
        </w:rPr>
        <w:t>End-of-period enrollment increased 9.6% between June 30, 2018 and June 30, 2017, as online enrollment increased 10.1% and ground enrollment increased 3.9% over the prior year. Ground enrollment at June 30, 2018 only includes traditional-aged students that are taking Summer school classes, which is a small percentage of GCU’s traditional-aged student body and professional studies students. As of March 31, 2018 ground enrollment had increased 9.6% year over year to 17,386 students and the majority of that increase between years was residential students at GCU’s ground traditional campus in Phoenix, Arizona. The Spring semester for GCU’s traditional-aged student body ends near the end of April each year.</w:t>
      </w:r>
    </w:p>
    <w:p>
      <w:pPr>
        <w:spacing w:after="0" w:line="63" w:lineRule="exact"/>
        <w:rPr>
          <w:rFonts w:ascii="Arial" w:cs="Arial" w:eastAsia="Arial" w:hAnsi="Arial"/>
          <w:sz w:val="16"/>
          <w:szCs w:val="16"/>
          <w:color w:val="auto"/>
        </w:rPr>
      </w:pPr>
    </w:p>
    <w:p>
      <w:pPr>
        <w:ind w:left="440" w:right="140" w:hanging="436"/>
        <w:spacing w:after="0" w:line="276" w:lineRule="auto"/>
        <w:tabs>
          <w:tab w:leader="none" w:pos="440" w:val="left"/>
        </w:tabs>
        <w:numPr>
          <w:ilvl w:val="0"/>
          <w:numId w:val="3"/>
        </w:numPr>
        <w:rPr>
          <w:rFonts w:ascii="Arial" w:cs="Arial" w:eastAsia="Arial" w:hAnsi="Arial"/>
          <w:sz w:val="17"/>
          <w:szCs w:val="17"/>
          <w:color w:val="auto"/>
        </w:rPr>
      </w:pPr>
      <w:r>
        <w:rPr>
          <w:rFonts w:ascii="Arial" w:cs="Arial" w:eastAsia="Arial" w:hAnsi="Arial"/>
          <w:sz w:val="17"/>
          <w:szCs w:val="17"/>
          <w:color w:val="auto"/>
        </w:rPr>
        <w:t>Operating income for the three months ended June 30, 2018 was $58.5 million, an increase of 6.2% as compared to $55.1 million for the same period in 2017. The operating margin for the three months ended June 30, 2018 was 24.7%, compared to 25.2% for the same period in 2017. The majority of our traditional ground students do not attend courses during the summer months (May through August), which affects our results for our second and third fiscal quarters. Since a significant amount of our campus costs are fixed, the lower revenue resulting from the decreased ground student enrollment has historically contributed to lower operating margins during those periods.</w:t>
      </w:r>
    </w:p>
    <w:p>
      <w:pPr>
        <w:spacing w:after="0" w:line="77" w:lineRule="exact"/>
        <w:rPr>
          <w:rFonts w:ascii="Arial" w:cs="Arial" w:eastAsia="Arial" w:hAnsi="Arial"/>
          <w:sz w:val="17"/>
          <w:szCs w:val="17"/>
          <w:color w:val="auto"/>
        </w:rPr>
      </w:pPr>
    </w:p>
    <w:p>
      <w:pPr>
        <w:ind w:left="440" w:right="100" w:hanging="436"/>
        <w:spacing w:after="0" w:line="270" w:lineRule="auto"/>
        <w:tabs>
          <w:tab w:leader="none" w:pos="440" w:val="left"/>
        </w:tabs>
        <w:numPr>
          <w:ilvl w:val="0"/>
          <w:numId w:val="3"/>
        </w:numPr>
        <w:rPr>
          <w:rFonts w:ascii="Arial" w:cs="Arial" w:eastAsia="Arial" w:hAnsi="Arial"/>
          <w:sz w:val="17"/>
          <w:szCs w:val="17"/>
          <w:color w:val="auto"/>
        </w:rPr>
      </w:pPr>
      <w:r>
        <w:rPr>
          <w:rFonts w:ascii="Arial" w:cs="Arial" w:eastAsia="Arial" w:hAnsi="Arial"/>
          <w:sz w:val="17"/>
          <w:szCs w:val="17"/>
          <w:color w:val="auto"/>
        </w:rPr>
        <w:t>The tax rate in the three months ended June 30, 2018 was 23.3% compared to 28.0% in the same period in 2017. The lower effective tax rate year over year is a result of the Tax Cuts and Jobs Act (the “Act”) which was signed into law on December 22, 2017. The Act reduces the corporate federal tax rate from a maximum of 35% to a flat 21% rate effective January 1, 2018. Additionally, the Company continues to receive the benefit of our adoption of the share-based compensation standard. This standard requires us to recognize excess tax benefits from share-based compensation awards that vested or settled in the consolidated income statement. The favorable impact from excess tax benefits was $1.2 million and $5.2 million in the three months ended June 30, 2018 and 2017, respectively. The inclusion of excess tax benefits and deficiencies as a component of our income tax expense will increase volatility within our provision for income taxes as the amount of excess tax benefits or deficiencies from share-based compensation awards are dependent on our stock price at the date the restricted awards vest, our stock price on the date an option is exercised, and the quantity of options exercised.</w:t>
      </w:r>
    </w:p>
    <w:p>
      <w:pPr>
        <w:sectPr>
          <w:pgSz w:w="11900" w:h="16838" w:orient="portrait"/>
          <w:cols w:equalWidth="0" w:num="1">
            <w:col w:w="11020"/>
          </w:cols>
          <w:pgMar w:left="440" w:top="270" w:right="439" w:bottom="1440" w:gutter="0" w:footer="0" w:header="0"/>
        </w:sectPr>
      </w:pPr>
    </w:p>
    <w:bookmarkStart w:id="6" w:name="page7"/>
    <w:bookmarkEnd w:id="6"/>
    <w:p>
      <w:pPr>
        <w:ind w:left="440" w:hanging="436"/>
        <w:spacing w:after="0"/>
        <w:tabs>
          <w:tab w:leader="none" w:pos="440" w:val="left"/>
        </w:tabs>
        <w:numPr>
          <w:ilvl w:val="0"/>
          <w:numId w:val="4"/>
        </w:numPr>
        <w:rPr>
          <w:rFonts w:ascii="Arial" w:cs="Arial" w:eastAsia="Arial" w:hAnsi="Arial"/>
          <w:sz w:val="18"/>
          <w:szCs w:val="18"/>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289165" cy="38735"/>
                    </a:xfrm>
                    <a:prstGeom prst="rect">
                      <a:avLst/>
                    </a:prstGeom>
                    <a:noFill/>
                  </pic:spPr>
                </pic:pic>
              </a:graphicData>
            </a:graphic>
          </wp:anchor>
        </w:drawing>
        <w:t>Net income increased 15.5% to $46.0 million for the second quarter of 2018, compared to $39.8 million for the same period in 2017.</w:t>
      </w:r>
    </w:p>
    <w:p>
      <w:pPr>
        <w:spacing w:after="0" w:line="130" w:lineRule="exact"/>
        <w:rPr>
          <w:rFonts w:ascii="Arial" w:cs="Arial" w:eastAsia="Arial" w:hAnsi="Arial"/>
          <w:sz w:val="18"/>
          <w:szCs w:val="18"/>
          <w:color w:val="auto"/>
        </w:rPr>
      </w:pPr>
    </w:p>
    <w:p>
      <w:pPr>
        <w:ind w:left="440" w:hanging="436"/>
        <w:spacing w:after="0"/>
        <w:tabs>
          <w:tab w:leader="none" w:pos="440" w:val="left"/>
        </w:tabs>
        <w:numPr>
          <w:ilvl w:val="0"/>
          <w:numId w:val="4"/>
        </w:numPr>
        <w:rPr>
          <w:rFonts w:ascii="Arial" w:cs="Arial" w:eastAsia="Arial" w:hAnsi="Arial"/>
          <w:sz w:val="18"/>
          <w:szCs w:val="18"/>
          <w:color w:val="auto"/>
        </w:rPr>
      </w:pPr>
      <w:r>
        <w:rPr>
          <w:rFonts w:ascii="Arial" w:cs="Arial" w:eastAsia="Arial" w:hAnsi="Arial"/>
          <w:sz w:val="18"/>
          <w:szCs w:val="18"/>
          <w:color w:val="auto"/>
        </w:rPr>
        <w:t>Diluted net income per share was $0.95 for the second quarter of 2018, compared to $0.83 for the same period in 2017.</w:t>
      </w:r>
    </w:p>
    <w:p>
      <w:pPr>
        <w:spacing w:after="0" w:line="130" w:lineRule="exact"/>
        <w:rPr>
          <w:rFonts w:ascii="Arial" w:cs="Arial" w:eastAsia="Arial" w:hAnsi="Arial"/>
          <w:sz w:val="18"/>
          <w:szCs w:val="18"/>
          <w:color w:val="auto"/>
        </w:rPr>
      </w:pPr>
    </w:p>
    <w:p>
      <w:pPr>
        <w:ind w:left="440" w:hanging="436"/>
        <w:spacing w:after="0"/>
        <w:tabs>
          <w:tab w:leader="none" w:pos="440" w:val="left"/>
        </w:tabs>
        <w:numPr>
          <w:ilvl w:val="0"/>
          <w:numId w:val="4"/>
        </w:numPr>
        <w:rPr>
          <w:rFonts w:ascii="Arial" w:cs="Arial" w:eastAsia="Arial" w:hAnsi="Arial"/>
          <w:sz w:val="17"/>
          <w:szCs w:val="17"/>
          <w:color w:val="auto"/>
        </w:rPr>
      </w:pPr>
      <w:r>
        <w:rPr>
          <w:rFonts w:ascii="Arial" w:cs="Arial" w:eastAsia="Arial" w:hAnsi="Arial"/>
          <w:sz w:val="17"/>
          <w:szCs w:val="17"/>
          <w:color w:val="auto"/>
        </w:rPr>
        <w:t>Adjusted EBITDA increased 7.2% to $77.3 million for the second quarter of 2018, compared to $72.1 million for the same period in 2017.</w:t>
      </w:r>
    </w:p>
    <w:p>
      <w:pPr>
        <w:spacing w:after="0" w:line="237" w:lineRule="exact"/>
        <w:rPr>
          <w:sz w:val="20"/>
          <w:szCs w:val="20"/>
          <w:color w:val="auto"/>
        </w:rPr>
      </w:pPr>
    </w:p>
    <w:p>
      <w:pPr>
        <w:spacing w:after="0"/>
        <w:rPr>
          <w:sz w:val="20"/>
          <w:szCs w:val="20"/>
          <w:color w:val="auto"/>
        </w:rPr>
      </w:pPr>
      <w:r>
        <w:rPr>
          <w:rFonts w:ascii="Arial" w:cs="Arial" w:eastAsia="Arial" w:hAnsi="Arial"/>
          <w:sz w:val="18"/>
          <w:szCs w:val="18"/>
          <w:color w:val="auto"/>
        </w:rPr>
        <w:t>For the six months ended June 30, 2018:</w:t>
      </w:r>
    </w:p>
    <w:p>
      <w:pPr>
        <w:spacing w:after="0" w:line="131" w:lineRule="exact"/>
        <w:rPr>
          <w:sz w:val="20"/>
          <w:szCs w:val="20"/>
          <w:color w:val="auto"/>
        </w:rPr>
      </w:pPr>
    </w:p>
    <w:p>
      <w:pPr>
        <w:ind w:left="440" w:hanging="436"/>
        <w:spacing w:after="0"/>
        <w:tabs>
          <w:tab w:leader="none" w:pos="440" w:val="left"/>
        </w:tabs>
        <w:numPr>
          <w:ilvl w:val="0"/>
          <w:numId w:val="5"/>
        </w:numPr>
        <w:rPr>
          <w:rFonts w:ascii="Arial" w:cs="Arial" w:eastAsia="Arial" w:hAnsi="Arial"/>
          <w:sz w:val="16"/>
          <w:szCs w:val="16"/>
          <w:color w:val="auto"/>
        </w:rPr>
      </w:pPr>
      <w:r>
        <w:rPr>
          <w:rFonts w:ascii="Arial" w:cs="Arial" w:eastAsia="Arial" w:hAnsi="Arial"/>
          <w:sz w:val="16"/>
          <w:szCs w:val="16"/>
          <w:color w:val="auto"/>
        </w:rPr>
        <w:t>Net revenue increased 9.9% to $512.5 million for the six months ended June 30, 2018, compared to $466.5 million for the same period in 2017.</w:t>
      </w:r>
    </w:p>
    <w:p>
      <w:pPr>
        <w:spacing w:after="0" w:line="153" w:lineRule="exact"/>
        <w:rPr>
          <w:rFonts w:ascii="Arial" w:cs="Arial" w:eastAsia="Arial" w:hAnsi="Arial"/>
          <w:sz w:val="16"/>
          <w:szCs w:val="16"/>
          <w:color w:val="auto"/>
        </w:rPr>
      </w:pPr>
    </w:p>
    <w:p>
      <w:pPr>
        <w:ind w:left="440" w:right="200" w:hanging="436"/>
        <w:spacing w:after="0" w:line="342" w:lineRule="auto"/>
        <w:tabs>
          <w:tab w:leader="none" w:pos="440" w:val="left"/>
        </w:tabs>
        <w:numPr>
          <w:ilvl w:val="0"/>
          <w:numId w:val="5"/>
        </w:numPr>
        <w:rPr>
          <w:rFonts w:ascii="Arial" w:cs="Arial" w:eastAsia="Arial" w:hAnsi="Arial"/>
          <w:sz w:val="16"/>
          <w:szCs w:val="16"/>
          <w:color w:val="auto"/>
        </w:rPr>
      </w:pPr>
      <w:r>
        <w:rPr>
          <w:rFonts w:ascii="Arial" w:cs="Arial" w:eastAsia="Arial" w:hAnsi="Arial"/>
          <w:sz w:val="16"/>
          <w:szCs w:val="16"/>
          <w:color w:val="auto"/>
        </w:rPr>
        <w:t>Operating income for the six months ended June 30, 2018 was $148.6 million, an increase of 12.8% as compared to $131.7 million for the same period in 2017. The operating margin for the six months ended June 30, 2018 was 29.0%, compared to 28.2% for the same period in 2017.</w:t>
      </w:r>
    </w:p>
    <w:p>
      <w:pPr>
        <w:spacing w:after="0" w:line="29" w:lineRule="exact"/>
        <w:rPr>
          <w:rFonts w:ascii="Arial" w:cs="Arial" w:eastAsia="Arial" w:hAnsi="Arial"/>
          <w:sz w:val="16"/>
          <w:szCs w:val="16"/>
          <w:color w:val="auto"/>
        </w:rPr>
      </w:pPr>
    </w:p>
    <w:p>
      <w:pPr>
        <w:ind w:left="440" w:right="60" w:hanging="436"/>
        <w:spacing w:after="0" w:line="270" w:lineRule="auto"/>
        <w:tabs>
          <w:tab w:leader="none" w:pos="440" w:val="left"/>
        </w:tabs>
        <w:numPr>
          <w:ilvl w:val="0"/>
          <w:numId w:val="5"/>
        </w:numPr>
        <w:rPr>
          <w:rFonts w:ascii="Arial" w:cs="Arial" w:eastAsia="Arial" w:hAnsi="Arial"/>
          <w:sz w:val="17"/>
          <w:szCs w:val="17"/>
          <w:color w:val="auto"/>
        </w:rPr>
      </w:pPr>
      <w:r>
        <w:rPr>
          <w:rFonts w:ascii="Arial" w:cs="Arial" w:eastAsia="Arial" w:hAnsi="Arial"/>
          <w:sz w:val="17"/>
          <w:szCs w:val="17"/>
          <w:color w:val="auto"/>
        </w:rPr>
        <w:t>The tax rate for the six months ended June 30, 2018 was 20.6% compared to 27.1% in the same period in 2017. The lower effective tax rate year over year is a result of the Act which was signed into law on December 22, 2017. The Act reduces the corporate federal tax rate from a maximum of 35% to a flat 21% rate effective January 1, 2018. Additionally, the Company continues to receive the benefit of our adoption of the share-based compensation standard. This standard requires us to recognize excess tax benefits from share-based compensation awards that vested or settled in the consolidated income statement. The favorable impact from excess tax benefits was $6.5 million and $13.8 million in the six months ended June 30, 2018 and 2017, respectively. The inclusion of excess tax benefits and deficiencies as a component of our income tax expense will increase volatility within our provision for income taxes as the amount of excess tax benefits or deficiencies from share-based compensation awards are dependent on our stock price at the date the restricted awards vest, our stock price on the date an option is exercised, and the quantity of options exercised.</w:t>
      </w:r>
    </w:p>
    <w:p>
      <w:pPr>
        <w:spacing w:after="0" w:line="87" w:lineRule="exact"/>
        <w:rPr>
          <w:rFonts w:ascii="Arial" w:cs="Arial" w:eastAsia="Arial" w:hAnsi="Arial"/>
          <w:sz w:val="17"/>
          <w:szCs w:val="17"/>
          <w:color w:val="auto"/>
        </w:rPr>
      </w:pPr>
    </w:p>
    <w:p>
      <w:pPr>
        <w:ind w:left="440" w:hanging="436"/>
        <w:spacing w:after="0"/>
        <w:tabs>
          <w:tab w:leader="none" w:pos="440" w:val="left"/>
        </w:tabs>
        <w:numPr>
          <w:ilvl w:val="0"/>
          <w:numId w:val="5"/>
        </w:numPr>
        <w:rPr>
          <w:rFonts w:ascii="Arial" w:cs="Arial" w:eastAsia="Arial" w:hAnsi="Arial"/>
          <w:sz w:val="16"/>
          <w:szCs w:val="16"/>
          <w:color w:val="auto"/>
        </w:rPr>
      </w:pPr>
      <w:r>
        <w:rPr>
          <w:rFonts w:ascii="Arial" w:cs="Arial" w:eastAsia="Arial" w:hAnsi="Arial"/>
          <w:sz w:val="16"/>
          <w:szCs w:val="16"/>
          <w:color w:val="auto"/>
        </w:rPr>
        <w:t>Net income increased 25.0% to $119.7 million for the six months ended June 30, 2018, compared to $95.8 million for the same period in 2017.</w:t>
      </w:r>
    </w:p>
    <w:p>
      <w:pPr>
        <w:spacing w:after="0" w:line="153" w:lineRule="exact"/>
        <w:rPr>
          <w:rFonts w:ascii="Arial" w:cs="Arial" w:eastAsia="Arial" w:hAnsi="Arial"/>
          <w:sz w:val="16"/>
          <w:szCs w:val="16"/>
          <w:color w:val="auto"/>
        </w:rPr>
      </w:pPr>
    </w:p>
    <w:p>
      <w:pPr>
        <w:ind w:left="440" w:hanging="436"/>
        <w:spacing w:after="0"/>
        <w:tabs>
          <w:tab w:leader="none" w:pos="440" w:val="left"/>
        </w:tabs>
        <w:numPr>
          <w:ilvl w:val="0"/>
          <w:numId w:val="5"/>
        </w:numPr>
        <w:rPr>
          <w:rFonts w:ascii="Arial" w:cs="Arial" w:eastAsia="Arial" w:hAnsi="Arial"/>
          <w:sz w:val="18"/>
          <w:szCs w:val="18"/>
          <w:color w:val="auto"/>
        </w:rPr>
      </w:pPr>
      <w:r>
        <w:rPr>
          <w:rFonts w:ascii="Arial" w:cs="Arial" w:eastAsia="Arial" w:hAnsi="Arial"/>
          <w:sz w:val="18"/>
          <w:szCs w:val="18"/>
          <w:color w:val="auto"/>
        </w:rPr>
        <w:t>Diluted net income per share was $2.47 for the six months ended June 30, 2018, compared to $1.99 for the same period in 2017.</w:t>
      </w:r>
    </w:p>
    <w:p>
      <w:pPr>
        <w:spacing w:after="0" w:line="130" w:lineRule="exact"/>
        <w:rPr>
          <w:rFonts w:ascii="Arial" w:cs="Arial" w:eastAsia="Arial" w:hAnsi="Arial"/>
          <w:sz w:val="18"/>
          <w:szCs w:val="18"/>
          <w:color w:val="auto"/>
        </w:rPr>
      </w:pPr>
    </w:p>
    <w:p>
      <w:pPr>
        <w:ind w:left="440" w:right="100" w:hanging="436"/>
        <w:spacing w:after="0" w:line="277" w:lineRule="auto"/>
        <w:tabs>
          <w:tab w:leader="none" w:pos="440" w:val="left"/>
        </w:tabs>
        <w:numPr>
          <w:ilvl w:val="0"/>
          <w:numId w:val="5"/>
        </w:numPr>
        <w:rPr>
          <w:rFonts w:ascii="Arial" w:cs="Arial" w:eastAsia="Arial" w:hAnsi="Arial"/>
          <w:sz w:val="18"/>
          <w:szCs w:val="18"/>
          <w:color w:val="auto"/>
        </w:rPr>
      </w:pPr>
      <w:r>
        <w:rPr>
          <w:rFonts w:ascii="Arial" w:cs="Arial" w:eastAsia="Arial" w:hAnsi="Arial"/>
          <w:sz w:val="18"/>
          <w:szCs w:val="18"/>
          <w:color w:val="auto"/>
        </w:rPr>
        <w:t>Adjusted EBITDA increased 12.3% to $185.3 million for the six months ended June 30, 2018, compared to $165.0 million for the same period in 2017.</w:t>
      </w:r>
    </w:p>
    <w:p>
      <w:pPr>
        <w:spacing w:after="0" w:line="27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Balance Sheet and Cash Flow</w:t>
      </w:r>
    </w:p>
    <w:p>
      <w:pPr>
        <w:spacing w:after="0" w:line="121" w:lineRule="exact"/>
        <w:rPr>
          <w:sz w:val="20"/>
          <w:szCs w:val="20"/>
          <w:color w:val="auto"/>
        </w:rPr>
      </w:pPr>
    </w:p>
    <w:p>
      <w:pPr>
        <w:ind w:right="240" w:firstLine="441"/>
        <w:spacing w:after="0" w:line="290" w:lineRule="auto"/>
        <w:rPr>
          <w:sz w:val="20"/>
          <w:szCs w:val="20"/>
          <w:color w:val="auto"/>
        </w:rPr>
      </w:pPr>
      <w:r>
        <w:rPr>
          <w:rFonts w:ascii="Arial" w:cs="Arial" w:eastAsia="Arial" w:hAnsi="Arial"/>
          <w:sz w:val="16"/>
          <w:szCs w:val="16"/>
          <w:color w:val="auto"/>
        </w:rPr>
        <w:t>The Company financed its operating activities and capital expenditures during the six months ended June 30, 2018 and 2017 primarily through cash provided by operating activities. Our unrestricted cash and cash equivalents and investments were $298.2 million and $242.7 million at June 30, 2018 and December 31, 2017, respectively. Our restricted cash and cash equivalents at June 30, 2018 and December 31, 2017 were $87.9 million and $94.5 million, respectively. At June 30, 2018 the restricted cash is included in assets held for sale as the restricted cash was transferred as part of the transaction. On July 1, 2018, we amended our credit agreement, which resulted in no change to our term loan or maturity date of December 2019. Indebtedness under the term loan is now secured by collateral securing our remaining obligations under the credit agreement and we agreed to collaterally assign our rights under the Asset Purchase Agreement, the Secured Note and the Master Services Agreement. Our lenders released the collateral previously securing our obligations under the credit agreement in order to enable us to consummate the transaction.</w:t>
      </w:r>
    </w:p>
    <w:p>
      <w:pPr>
        <w:spacing w:after="0" w:line="166" w:lineRule="exact"/>
        <w:rPr>
          <w:sz w:val="20"/>
          <w:szCs w:val="20"/>
          <w:color w:val="auto"/>
        </w:rPr>
      </w:pPr>
    </w:p>
    <w:p>
      <w:pPr>
        <w:ind w:firstLine="441"/>
        <w:spacing w:after="0" w:line="272" w:lineRule="auto"/>
        <w:rPr>
          <w:sz w:val="20"/>
          <w:szCs w:val="20"/>
          <w:color w:val="auto"/>
        </w:rPr>
      </w:pPr>
      <w:r>
        <w:rPr>
          <w:rFonts w:ascii="Arial" w:cs="Arial" w:eastAsia="Arial" w:hAnsi="Arial"/>
          <w:sz w:val="17"/>
          <w:szCs w:val="17"/>
          <w:color w:val="auto"/>
        </w:rPr>
        <w:t>On July 1, 2018, in conjunction with the Asset Purchase Agreement, the Company received a senior secured note (the “Secured Note”) from New GCU for the purchase of the Transferred Assets for $869.1 million. The Secured Note contains customary commercial credit terms, including affirmative and negative covenants applicable to New GCU, and provides that the Secured Note bears interest at an annual rate of 6.0%, has a maturity date of June 30, 2025, and is secured by all of the assets of New GCU. The Secured Note provides for New GCU to make interest only payments during the term, with all principal and accrued and unpaid interest due at maturity and also provides that we will loan additional amounts to New GCU to fund approved capital expenditures during the first three years of the term. Funding expectations for future capital expenditures for New GCU are $65 million for the six months ended December 31, 2018, and $100 million for the year ended December 31, 2019.</w:t>
      </w:r>
    </w:p>
    <w:p>
      <w:pPr>
        <w:spacing w:after="0" w:line="178" w:lineRule="exact"/>
        <w:rPr>
          <w:sz w:val="20"/>
          <w:szCs w:val="20"/>
          <w:color w:val="auto"/>
        </w:rPr>
      </w:pPr>
    </w:p>
    <w:p>
      <w:pPr>
        <w:ind w:right="160" w:firstLine="441"/>
        <w:spacing w:after="0" w:line="279" w:lineRule="auto"/>
        <w:rPr>
          <w:sz w:val="20"/>
          <w:szCs w:val="20"/>
          <w:color w:val="auto"/>
        </w:rPr>
      </w:pPr>
      <w:r>
        <w:rPr>
          <w:rFonts w:ascii="Arial" w:cs="Arial" w:eastAsia="Arial" w:hAnsi="Arial"/>
          <w:sz w:val="17"/>
          <w:szCs w:val="17"/>
          <w:color w:val="auto"/>
        </w:rPr>
        <w:t>Net cash provided by operating activities for the six months ended June 30, 2018 was $143.7 million as compared to $133.7 million for the six months ended June 30, 2017. The increase in cash generated from operating activities between the six months ended June 30, 2017 and the six months ended June 30, 2018 is primarily due to increased net income and the timing of employee related payments partially offset by the timing of income tax related payments as well as changes in other working capital such as deferred revenue.</w:t>
      </w:r>
    </w:p>
    <w:p>
      <w:pPr>
        <w:spacing w:after="0" w:line="171" w:lineRule="exact"/>
        <w:rPr>
          <w:sz w:val="20"/>
          <w:szCs w:val="20"/>
          <w:color w:val="auto"/>
        </w:rPr>
      </w:pPr>
    </w:p>
    <w:p>
      <w:pPr>
        <w:ind w:right="40" w:firstLine="441"/>
        <w:spacing w:after="0" w:line="290" w:lineRule="auto"/>
        <w:rPr>
          <w:sz w:val="20"/>
          <w:szCs w:val="20"/>
          <w:color w:val="auto"/>
        </w:rPr>
      </w:pPr>
      <w:r>
        <w:rPr>
          <w:rFonts w:ascii="Arial" w:cs="Arial" w:eastAsia="Arial" w:hAnsi="Arial"/>
          <w:sz w:val="16"/>
          <w:szCs w:val="16"/>
          <w:color w:val="auto"/>
        </w:rPr>
        <w:t>Net cash used in investing activities was $67.4 million and $86.7 million for the six months ended June 30, 2018 and 2017, respectively. Our cash used in investing activities was primarily related to the purchase of short-term investments and capital expenditures. Proceeds from investment, net of purchases of short term investments was $11.7 million for the six months ended June 30, 2018. Purchases of short-term investments net of proceeds of these investments was $26.8 million during the six months ended June 30, 2017. Capital expenditures were $78.8 million and $50.5 million for the six months ended June 30, 2018 and 2017, respectively. During the six-month period for 2018, capital expenditures primarily consisted of ground campus building projects such as the construction of two additional residence halls, an additional classroom building and parking garage to support our growing traditional student enrollment, as well as purchases of computer equipment, other internal use software projects and furniture and equipment to support our increasing employee headcount. Included in off-site development for 2018 is $0.3 million we spent on the student services</w:t>
      </w:r>
    </w:p>
    <w:p>
      <w:pPr>
        <w:sectPr>
          <w:pgSz w:w="11900" w:h="16838" w:orient="portrait"/>
          <w:cols w:equalWidth="0" w:num="1">
            <w:col w:w="11000"/>
          </w:cols>
          <w:pgMar w:left="440" w:top="274" w:right="459" w:bottom="1440" w:gutter="0" w:footer="0" w:header="0"/>
        </w:sectPr>
      </w:pPr>
    </w:p>
    <w:bookmarkStart w:id="7" w:name="page8"/>
    <w:bookmarkEnd w:id="7"/>
    <w:p>
      <w:pPr>
        <w:spacing w:after="0" w:line="257"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289165" cy="38735"/>
                    </a:xfrm>
                    <a:prstGeom prst="rect">
                      <a:avLst/>
                    </a:prstGeom>
                    <a:noFill/>
                  </pic:spPr>
                </pic:pic>
              </a:graphicData>
            </a:graphic>
          </wp:anchor>
        </w:drawing>
        <w:t>building that is in close proximity to our ground traditional campus. During the six-month period for 2017, capital expenditures primarily consisted of ground campus building projects such as the construction of an additional dormitory to support our growing traditional student enrollment, land acquisitions adjacent to our campus, as well as purchases of computer equipment, other internal use software projects and furniture and equipment to support our increasing employee headcount. Included in off-site development for 2017 is $9.4 million we spent to finish the building and parking garage in close proximity to our ground traditional campus.</w:t>
      </w:r>
    </w:p>
    <w:p>
      <w:pPr>
        <w:spacing w:after="0" w:line="188" w:lineRule="exact"/>
        <w:rPr>
          <w:sz w:val="20"/>
          <w:szCs w:val="20"/>
          <w:color w:val="auto"/>
        </w:rPr>
      </w:pPr>
    </w:p>
    <w:p>
      <w:pPr>
        <w:ind w:right="140" w:firstLine="441"/>
        <w:spacing w:after="0" w:line="286" w:lineRule="auto"/>
        <w:rPr>
          <w:sz w:val="20"/>
          <w:szCs w:val="20"/>
          <w:color w:val="auto"/>
        </w:rPr>
      </w:pPr>
      <w:r>
        <w:rPr>
          <w:rFonts w:ascii="Arial" w:cs="Arial" w:eastAsia="Arial" w:hAnsi="Arial"/>
          <w:sz w:val="16"/>
          <w:szCs w:val="16"/>
          <w:color w:val="auto"/>
        </w:rPr>
        <w:t>Net cash used in financing activities was $14.7 million and $32.2 million for the six months ended June 30, 2018 and 2017, respectively. During the six-month period for 2018, $11.5 million was used to purchase common shares withheld in lieu of income taxes resulting from the vesting of restricted share awards and $1.6 million was used to purchase treasury stock in accordance with the University’s share repurchase program, and principal payments on notes payable and capital leases totaled $3.4 million, partially offset by proceeds from the exercise of stock options of</w:t>
      </w:r>
    </w:p>
    <w:p>
      <w:pPr>
        <w:spacing w:after="0" w:line="2" w:lineRule="exact"/>
        <w:rPr>
          <w:sz w:val="20"/>
          <w:szCs w:val="20"/>
          <w:color w:val="auto"/>
        </w:rPr>
      </w:pPr>
    </w:p>
    <w:p>
      <w:pPr>
        <w:ind w:right="440"/>
        <w:spacing w:after="0" w:line="277" w:lineRule="auto"/>
        <w:rPr>
          <w:sz w:val="20"/>
          <w:szCs w:val="20"/>
          <w:color w:val="auto"/>
        </w:rPr>
      </w:pPr>
      <w:r>
        <w:rPr>
          <w:rFonts w:ascii="Arial" w:cs="Arial" w:eastAsia="Arial" w:hAnsi="Arial"/>
          <w:sz w:val="17"/>
          <w:szCs w:val="17"/>
          <w:color w:val="auto"/>
        </w:rPr>
        <w:t>$1.8 million. During the six-month period for 2017, $25.0 million was used to repay a revolving line of credit, $9.7 million was used to purchase common shares withheld in lieu of income taxes resulting from restricted share awards and principal payments on notes payable and capital leases totaled $3.4 million, which amounts were partially offset by proceeds from the exercise of stock options of $5.9 million.</w:t>
      </w:r>
    </w:p>
    <w:p>
      <w:pPr>
        <w:spacing w:after="0" w:line="173"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(more)</w:t>
      </w:r>
    </w:p>
    <w:p>
      <w:pPr>
        <w:sectPr>
          <w:pgSz w:w="11900" w:h="16838" w:orient="portrait"/>
          <w:cols w:equalWidth="0" w:num="1">
            <w:col w:w="10980"/>
          </w:cols>
          <w:pgMar w:left="440" w:top="274" w:right="479" w:bottom="1440" w:gutter="0" w:footer="0" w:header="0"/>
        </w:sectPr>
      </w:pPr>
    </w:p>
    <w:bookmarkStart w:id="8" w:name="page9"/>
    <w:bookmarkEnd w:id="8"/>
    <w:p>
      <w:pPr>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289165" cy="38735"/>
                    </a:xfrm>
                    <a:prstGeom prst="rect">
                      <a:avLst/>
                    </a:prstGeom>
                    <a:noFill/>
                  </pic:spPr>
                </pic:pic>
              </a:graphicData>
            </a:graphic>
          </wp:anchor>
        </w:drawing>
        <w:t>Grand Canyon Education, Inc. Reports Second Quarter 2018 Results</w:t>
      </w:r>
    </w:p>
    <w:p>
      <w:pPr>
        <w:spacing w:after="0" w:line="11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2018 Outlook by Quarter</w:t>
      </w:r>
    </w:p>
    <w:p>
      <w:pPr>
        <w:spacing w:after="0" w:line="252" w:lineRule="exact"/>
        <w:rPr>
          <w:sz w:val="20"/>
          <w:szCs w:val="20"/>
          <w:color w:val="auto"/>
        </w:rPr>
      </w:pPr>
    </w:p>
    <w:p>
      <w:pPr>
        <w:spacing w:after="0"/>
        <w:tabs>
          <w:tab w:leader="none" w:pos="1420" w:val="left"/>
        </w:tabs>
        <w:rPr>
          <w:sz w:val="20"/>
          <w:szCs w:val="20"/>
          <w:color w:val="auto"/>
        </w:rPr>
      </w:pPr>
      <w:r>
        <w:rPr>
          <w:rFonts w:ascii="Arial" w:cs="Arial" w:eastAsia="Arial" w:hAnsi="Arial"/>
          <w:sz w:val="18"/>
          <w:szCs w:val="18"/>
          <w:b w:val="1"/>
          <w:bCs w:val="1"/>
          <w:color w:val="auto"/>
        </w:rPr>
        <w:t>Q3 2018:</w:t>
      </w:r>
      <w:r>
        <w:rPr>
          <w:sz w:val="20"/>
          <w:szCs w:val="20"/>
          <w:color w:val="auto"/>
        </w:rPr>
        <w:tab/>
      </w:r>
      <w:r>
        <w:rPr>
          <w:rFonts w:ascii="Arial" w:cs="Arial" w:eastAsia="Arial" w:hAnsi="Arial"/>
          <w:sz w:val="16"/>
          <w:szCs w:val="16"/>
          <w:color w:val="auto"/>
        </w:rPr>
        <w:t>Net revenue of $153.0 million; Target Operating Margin 30.8%; Diluted EPS of $0.98 using 48.6 million diluted shares</w:t>
      </w:r>
    </w:p>
    <w:p>
      <w:pPr>
        <w:spacing w:after="0" w:line="27" w:lineRule="exact"/>
        <w:rPr>
          <w:sz w:val="20"/>
          <w:szCs w:val="20"/>
          <w:color w:val="auto"/>
        </w:rPr>
      </w:pPr>
    </w:p>
    <w:p>
      <w:pPr>
        <w:spacing w:after="0"/>
        <w:tabs>
          <w:tab w:leader="none" w:pos="1420" w:val="left"/>
        </w:tabs>
        <w:rPr>
          <w:sz w:val="20"/>
          <w:szCs w:val="20"/>
          <w:color w:val="auto"/>
        </w:rPr>
      </w:pPr>
      <w:r>
        <w:rPr>
          <w:rFonts w:ascii="Arial" w:cs="Arial" w:eastAsia="Arial" w:hAnsi="Arial"/>
          <w:sz w:val="18"/>
          <w:szCs w:val="18"/>
          <w:b w:val="1"/>
          <w:bCs w:val="1"/>
          <w:color w:val="auto"/>
        </w:rPr>
        <w:t>Q4 2018:</w:t>
      </w:r>
      <w:r>
        <w:rPr>
          <w:sz w:val="20"/>
          <w:szCs w:val="20"/>
          <w:color w:val="auto"/>
        </w:rPr>
        <w:tab/>
      </w:r>
      <w:r>
        <w:rPr>
          <w:rFonts w:ascii="Arial" w:cs="Arial" w:eastAsia="Arial" w:hAnsi="Arial"/>
          <w:sz w:val="16"/>
          <w:szCs w:val="16"/>
          <w:color w:val="auto"/>
        </w:rPr>
        <w:t>Net revenue of $175.0 million; Target Operating Margin 43.0%; Diluted EPS of $1.40 using 48.7 million diluted shares</w:t>
      </w:r>
    </w:p>
    <w:p>
      <w:pPr>
        <w:spacing w:after="0" w:line="9" w:lineRule="exact"/>
        <w:rPr>
          <w:sz w:val="20"/>
          <w:szCs w:val="20"/>
          <w:color w:val="auto"/>
        </w:rPr>
      </w:pPr>
    </w:p>
    <w:p>
      <w:pPr>
        <w:spacing w:after="0"/>
        <w:tabs>
          <w:tab w:leader="none" w:pos="1420" w:val="left"/>
        </w:tabs>
        <w:rPr>
          <w:sz w:val="20"/>
          <w:szCs w:val="20"/>
          <w:color w:val="auto"/>
        </w:rPr>
      </w:pPr>
      <w:r>
        <w:rPr>
          <w:rFonts w:ascii="Arial" w:cs="Arial" w:eastAsia="Arial" w:hAnsi="Arial"/>
          <w:sz w:val="18"/>
          <w:szCs w:val="18"/>
          <w:b w:val="1"/>
          <w:bCs w:val="1"/>
          <w:color w:val="auto"/>
        </w:rPr>
        <w:t>Full Year 2018:</w:t>
      </w:r>
      <w:r>
        <w:rPr>
          <w:sz w:val="20"/>
          <w:szCs w:val="20"/>
          <w:color w:val="auto"/>
        </w:rPr>
        <w:tab/>
      </w:r>
      <w:r>
        <w:rPr>
          <w:rFonts w:ascii="Arial" w:cs="Arial" w:eastAsia="Arial" w:hAnsi="Arial"/>
          <w:sz w:val="16"/>
          <w:szCs w:val="16"/>
          <w:color w:val="auto"/>
        </w:rPr>
        <w:t>Net revenue of $840.5 million; Target Operating Margin 32.2%; Diluted EPS of $4.86 using 48.5 million diluted shares</w:t>
      </w:r>
    </w:p>
    <w:p>
      <w:pPr>
        <w:spacing w:after="0" w:line="31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Forward-Looking Statements</w:t>
      </w:r>
    </w:p>
    <w:p>
      <w:pPr>
        <w:spacing w:after="0" w:line="121" w:lineRule="exact"/>
        <w:rPr>
          <w:sz w:val="20"/>
          <w:szCs w:val="20"/>
          <w:color w:val="auto"/>
        </w:rPr>
      </w:pPr>
    </w:p>
    <w:p>
      <w:pPr>
        <w:ind w:right="60"/>
        <w:spacing w:after="0" w:line="271" w:lineRule="auto"/>
        <w:rPr>
          <w:sz w:val="20"/>
          <w:szCs w:val="20"/>
          <w:color w:val="auto"/>
        </w:rPr>
      </w:pPr>
      <w:r>
        <w:rPr>
          <w:rFonts w:ascii="Arial" w:cs="Arial" w:eastAsia="Arial" w:hAnsi="Arial"/>
          <w:sz w:val="17"/>
          <w:szCs w:val="17"/>
          <w:color w:val="auto"/>
        </w:rPr>
        <w:t>This news release contains “forward-looking statements” which include information relating to future events, future financial performance, strategies expectations, competitive environment, regulation, and availability of resources. These forward-looking statements include, without limitation, statements regarding: the Transaction; proposed new programs; statements as to whether regulatory developments or other matters may or may not have a material adverse effect on our financial position, results of operations, or liquidity; statements concerning projections, predictions, expectations, estimates, and forecasts as to our business, financial and operating results, and future economic performance, as well as; and statements of management’s goals and objectives and other similar expressions concerning matters that are not historical facts. Words such as “may,” “should,” “could,” “would,” “predicts,” “potential,” “continue,” “expects,” “anticipates,” “future,” “intends,” “plans,” “believes,” “estimates” and similar expressions, as well as statements in future tense, identify forward-looking statements.</w:t>
      </w:r>
    </w:p>
    <w:p>
      <w:pPr>
        <w:spacing w:after="0" w:line="179" w:lineRule="exact"/>
        <w:rPr>
          <w:sz w:val="20"/>
          <w:szCs w:val="20"/>
          <w:color w:val="auto"/>
        </w:rPr>
      </w:pPr>
    </w:p>
    <w:p>
      <w:pPr>
        <w:spacing w:after="0" w:line="267" w:lineRule="auto"/>
        <w:rPr>
          <w:sz w:val="20"/>
          <w:szCs w:val="20"/>
          <w:color w:val="auto"/>
        </w:rPr>
      </w:pPr>
      <w:r>
        <w:rPr>
          <w:rFonts w:ascii="Arial" w:cs="Arial" w:eastAsia="Arial" w:hAnsi="Arial"/>
          <w:sz w:val="17"/>
          <w:szCs w:val="17"/>
          <w:color w:val="auto"/>
        </w:rPr>
        <w:t>Forward-looking statements should not be read as a guarantee of future performance or results, and will not necessarily be accurate indications of the times at, or by, which such performance or results will be achieved. Forward-looking statements are based on information available at the time those statements are made or management’s good faith belief as of that time with respect to future events, and are subject to risks and uncertainties that could cause actual performance or results to differ materially from those expressed in or suggested by the forward-looking statements. Important factors that could cause such differences include, but are not limited to: the failure of the Company to operate successfully as a third party service provider to New GCU, and New GCU’s failure to operate GCU as a university as successfully as it was previously operated by the Company; the occurrence of any event, change or other circumstance that could give rise to the termination of any of the key Transaction agreements; the effect of the announcement of the Transaction on the Company’s ability to retain and hire key personnel, or on its operating results and business generally; our failure to comply with the extensive regulatory framework applicable to us either directly as a third party service provider or indirectly through our university client, including Title IV of the Higher Education Act and the regulations thereunder, state laws and regulatory requirements, and accrediting commission requirements; competition from other education service companies in our geographic region and market sector, including competition for students, qualified executives and other personnel; our ability to properly manage risks and challenges associated with strategic initiatives, including potential acquisitions or divestitures of, or investments in, new businesses, acquisitions of new properties and new university clients, and expansion of services provided to our existing university client; the pace of growth of our university client’s enrollment and its effect on the pace of our own growth; our ability to, on behalf of our university client, convert prospective students to enrolled students and to retain active students to graduation; our success in updating and expanding the content of existing programs and developing new programs in a cost-effective manner or on a timely basis for our university client; and other factors discussed in reports on file with the Securities and Exchange Commission, including as set forth in Part II, Item 1A of this Quarterly Report on Form 10-Q.</w:t>
      </w:r>
    </w:p>
    <w:p>
      <w:pPr>
        <w:spacing w:after="0" w:line="191" w:lineRule="exact"/>
        <w:rPr>
          <w:sz w:val="20"/>
          <w:szCs w:val="20"/>
          <w:color w:val="auto"/>
        </w:rPr>
      </w:pPr>
    </w:p>
    <w:p>
      <w:pPr>
        <w:jc w:val="both"/>
        <w:ind w:right="240"/>
        <w:spacing w:after="0" w:line="302" w:lineRule="auto"/>
        <w:rPr>
          <w:sz w:val="20"/>
          <w:szCs w:val="20"/>
          <w:color w:val="auto"/>
        </w:rPr>
      </w:pPr>
      <w:r>
        <w:rPr>
          <w:rFonts w:ascii="Arial" w:cs="Arial" w:eastAsia="Arial" w:hAnsi="Arial"/>
          <w:sz w:val="16"/>
          <w:szCs w:val="16"/>
          <w:color w:val="auto"/>
        </w:rPr>
        <w:t>Forward-looking statements speak only as of the date the statements are made. You should not put undue reliance on any forward-looking statements. We assume no obligation to update forward-looking statements to reflect actual results, changes in assumptions, or changes in other factors affecting forward-looking information, except to the extent required by applicable securities laws. If we do update one or more forward-looking statements, no inference should be drawn that we will make additional updates with respect to those or other forward-looking statements.</w:t>
      </w:r>
    </w:p>
    <w:p>
      <w:pPr>
        <w:spacing w:after="0" w:line="15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(more)</w:t>
      </w:r>
    </w:p>
    <w:p>
      <w:pPr>
        <w:sectPr>
          <w:pgSz w:w="11900" w:h="16838" w:orient="portrait"/>
          <w:cols w:equalWidth="0" w:num="1">
            <w:col w:w="11020"/>
          </w:cols>
          <w:pgMar w:left="440" w:top="270" w:right="439" w:bottom="1440" w:gutter="0" w:footer="0" w:header="0"/>
        </w:sectPr>
      </w:pPr>
    </w:p>
    <w:bookmarkStart w:id="9" w:name="page10"/>
    <w:bookmarkEnd w:id="9"/>
    <w:p>
      <w:pPr>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289165" cy="38735"/>
                    </a:xfrm>
                    <a:prstGeom prst="rect">
                      <a:avLst/>
                    </a:prstGeom>
                    <a:noFill/>
                  </pic:spPr>
                </pic:pic>
              </a:graphicData>
            </a:graphic>
          </wp:anchor>
        </w:drawing>
        <w:t>Grand Canyon Education, Inc. Reports Second Quarter 2018 Results</w:t>
      </w:r>
    </w:p>
    <w:p>
      <w:pPr>
        <w:spacing w:after="0" w:line="11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Conference Call</w:t>
      </w:r>
    </w:p>
    <w:p>
      <w:pPr>
        <w:spacing w:after="0" w:line="121" w:lineRule="exact"/>
        <w:rPr>
          <w:sz w:val="20"/>
          <w:szCs w:val="20"/>
          <w:color w:val="auto"/>
        </w:rPr>
      </w:pPr>
    </w:p>
    <w:p>
      <w:pPr>
        <w:ind w:right="360"/>
        <w:spacing w:after="0" w:line="312" w:lineRule="auto"/>
        <w:rPr>
          <w:sz w:val="20"/>
          <w:szCs w:val="20"/>
          <w:color w:val="auto"/>
        </w:rPr>
      </w:pPr>
      <w:r>
        <w:rPr>
          <w:rFonts w:ascii="Arial" w:cs="Arial" w:eastAsia="Arial" w:hAnsi="Arial"/>
          <w:sz w:val="16"/>
          <w:szCs w:val="16"/>
          <w:color w:val="auto"/>
        </w:rPr>
        <w:t xml:space="preserve">Grand Canyon Education, Inc. will discuss its second quarter 2018 results and 2018 outlook during a conference call scheduled for today, August 8, 2018 at 4:30 p.m. Eastern time (ET). To participate in the live call, investors should dial 877-577-1769 (domestic and Canada) or 706-679-7806 (international), passcode 5065869 at 4:25 p.m. (ET). The Webcast will be available on the Grand Canyon Education, Inc. web site at </w:t>
      </w:r>
      <w:r>
        <w:rPr>
          <w:rFonts w:ascii="Arial" w:cs="Arial" w:eastAsia="Arial" w:hAnsi="Arial"/>
          <w:sz w:val="16"/>
          <w:szCs w:val="16"/>
          <w:u w:val="single" w:color="auto"/>
          <w:color w:val="auto"/>
        </w:rPr>
        <w:t>www.gce.com</w:t>
      </w:r>
      <w:r>
        <w:rPr>
          <w:rFonts w:ascii="Arial" w:cs="Arial" w:eastAsia="Arial" w:hAnsi="Arial"/>
          <w:sz w:val="16"/>
          <w:szCs w:val="16"/>
          <w:color w:val="auto"/>
        </w:rPr>
        <w:t>.</w:t>
      </w:r>
    </w:p>
    <w:p>
      <w:pPr>
        <w:spacing w:after="0" w:line="147" w:lineRule="exact"/>
        <w:rPr>
          <w:sz w:val="20"/>
          <w:szCs w:val="20"/>
          <w:color w:val="auto"/>
        </w:rPr>
      </w:pPr>
    </w:p>
    <w:p>
      <w:pPr>
        <w:ind w:right="580"/>
        <w:spacing w:after="0" w:line="308" w:lineRule="auto"/>
        <w:rPr>
          <w:sz w:val="20"/>
          <w:szCs w:val="20"/>
          <w:color w:val="auto"/>
        </w:rPr>
      </w:pPr>
      <w:r>
        <w:rPr>
          <w:rFonts w:ascii="Arial" w:cs="Arial" w:eastAsia="Arial" w:hAnsi="Arial"/>
          <w:sz w:val="17"/>
          <w:szCs w:val="17"/>
          <w:color w:val="auto"/>
        </w:rPr>
        <w:t xml:space="preserve">A replay of the call will be available approximately two hours following the conclusion of the call, at 855-859-2056 (domestic) or 404-537-3406 (international), passcode 5065869. It will also be archived at </w:t>
      </w:r>
      <w:r>
        <w:rPr>
          <w:rFonts w:ascii="Arial" w:cs="Arial" w:eastAsia="Arial" w:hAnsi="Arial"/>
          <w:sz w:val="17"/>
          <w:szCs w:val="17"/>
          <w:u w:val="single" w:color="auto"/>
          <w:color w:val="auto"/>
        </w:rPr>
        <w:t>www.gce.com</w:t>
      </w:r>
      <w:r>
        <w:rPr>
          <w:rFonts w:ascii="Arial" w:cs="Arial" w:eastAsia="Arial" w:hAnsi="Arial"/>
          <w:sz w:val="17"/>
          <w:szCs w:val="17"/>
          <w:color w:val="auto"/>
        </w:rPr>
        <w:t xml:space="preserve"> in the </w:t>
      </w:r>
      <w:r>
        <w:rPr>
          <w:rFonts w:ascii="Arial" w:cs="Arial" w:eastAsia="Arial" w:hAnsi="Arial"/>
          <w:sz w:val="17"/>
          <w:szCs w:val="17"/>
          <w:u w:val="single" w:color="auto"/>
          <w:color w:val="auto"/>
        </w:rPr>
        <w:t>investor relations</w:t>
      </w:r>
      <w:r>
        <w:rPr>
          <w:rFonts w:ascii="Arial" w:cs="Arial" w:eastAsia="Arial" w:hAnsi="Arial"/>
          <w:sz w:val="17"/>
          <w:szCs w:val="17"/>
          <w:color w:val="auto"/>
        </w:rPr>
        <w:t xml:space="preserve"> section for 60 days.</w:t>
      </w:r>
    </w:p>
    <w:p>
      <w:pPr>
        <w:spacing w:after="0" w:line="25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About Grand Canyon Education, Inc.</w:t>
      </w:r>
    </w:p>
    <w:p>
      <w:pPr>
        <w:spacing w:after="0" w:line="121" w:lineRule="exact"/>
        <w:rPr>
          <w:sz w:val="20"/>
          <w:szCs w:val="20"/>
          <w:color w:val="auto"/>
        </w:rPr>
      </w:pPr>
    </w:p>
    <w:p>
      <w:pPr>
        <w:spacing w:after="0" w:line="255" w:lineRule="auto"/>
        <w:rPr>
          <w:sz w:val="20"/>
          <w:szCs w:val="20"/>
          <w:color w:val="auto"/>
        </w:rPr>
      </w:pPr>
      <w:r>
        <w:rPr>
          <w:rFonts w:ascii="Arial" w:cs="Arial" w:eastAsia="Arial" w:hAnsi="Arial"/>
          <w:sz w:val="18"/>
          <w:szCs w:val="18"/>
          <w:color w:val="auto"/>
        </w:rPr>
        <w:t>Grand Canyon Education (GCE), incorporated in 2008, is a publicly traded education services company. GCE is uniquely positioned in the education services industry in that its leadership has 30 years of proven expertise in providing a full array of support services in the post-secondary education sector and has developed significant technological solutions, infrastructure and operational processes to provide superior service in these areas on a large scale. GCE provides services that support students, faculty and staff of partner institutions such as marketing, strategic enrollment management, counseling services, financial services, technology, technical support, compliance, human resources, classroom operations, curriculum development, faculty recruitment and training, among others. For more information about Grand Canyon Education, Inc. visit the Company’s website at www.gce.com.</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78105</wp:posOffset>
            </wp:positionV>
            <wp:extent cx="694690" cy="889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694690" cy="8890"/>
                    </a:xfrm>
                    <a:prstGeom prst="rect">
                      <a:avLst/>
                    </a:prstGeom>
                    <a:noFill/>
                  </pic:spPr>
                </pic:pic>
              </a:graphicData>
            </a:graphic>
          </wp:anchor>
        </w:drawing>
      </w:r>
    </w:p>
    <w:p>
      <w:pPr>
        <w:spacing w:after="0" w:line="206" w:lineRule="exact"/>
        <w:rPr>
          <w:sz w:val="20"/>
          <w:szCs w:val="20"/>
          <w:color w:val="auto"/>
        </w:rPr>
      </w:pPr>
    </w:p>
    <w:p>
      <w:pPr>
        <w:ind w:left="860"/>
        <w:spacing w:after="0"/>
        <w:rPr>
          <w:sz w:val="20"/>
          <w:szCs w:val="20"/>
          <w:color w:val="auto"/>
        </w:rPr>
      </w:pPr>
      <w:r>
        <w:rPr>
          <w:rFonts w:ascii="Arial" w:cs="Arial" w:eastAsia="Arial" w:hAnsi="Arial"/>
          <w:sz w:val="18"/>
          <w:szCs w:val="18"/>
          <w:color w:val="auto"/>
        </w:rPr>
        <w:t xml:space="preserve">Grand Canyon Education, Inc., 2600 W. Camelback Road, Phoenix, AZ 85017, </w:t>
      </w:r>
      <w:r>
        <w:rPr>
          <w:rFonts w:ascii="Arial" w:cs="Arial" w:eastAsia="Arial" w:hAnsi="Arial"/>
          <w:sz w:val="18"/>
          <w:szCs w:val="18"/>
          <w:b w:val="1"/>
          <w:bCs w:val="1"/>
          <w:u w:val="single" w:color="auto"/>
          <w:color w:val="auto"/>
        </w:rPr>
        <w:t>www.gce.com</w:t>
      </w:r>
      <w:r>
        <w:rPr>
          <w:rFonts w:ascii="Arial" w:cs="Arial" w:eastAsia="Arial" w:hAnsi="Arial"/>
          <w:sz w:val="18"/>
          <w:szCs w:val="18"/>
          <w:color w:val="auto"/>
        </w:rPr>
        <w:t>.</w:t>
      </w:r>
    </w:p>
    <w:p>
      <w:pPr>
        <w:spacing w:after="0" w:line="22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w:t>
      </w:r>
    </w:p>
    <w:p>
      <w:pPr>
        <w:sectPr>
          <w:pgSz w:w="11900" w:h="16838" w:orient="portrait"/>
          <w:cols w:equalWidth="0" w:num="1">
            <w:col w:w="11020"/>
          </w:cols>
          <w:pgMar w:left="440" w:top="270" w:right="439" w:bottom="1440" w:gutter="0" w:footer="0" w:header="0"/>
        </w:sectPr>
      </w:pPr>
    </w:p>
    <w:bookmarkStart w:id="10" w:name="page11"/>
    <w:bookmarkEnd w:id="10"/>
    <w:p>
      <w:pPr>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7289165" cy="38735"/>
                    </a:xfrm>
                    <a:prstGeom prst="rect">
                      <a:avLst/>
                    </a:prstGeom>
                    <a:noFill/>
                  </pic:spPr>
                </pic:pic>
              </a:graphicData>
            </a:graphic>
          </wp:anchor>
        </w:drawing>
        <w:t>Grand Canyon Education, Inc. Reports Second Quarter 2018 Results</w:t>
      </w:r>
    </w:p>
    <w:p>
      <w:pPr>
        <w:spacing w:after="0" w:line="200" w:lineRule="exact"/>
        <w:rPr>
          <w:sz w:val="20"/>
          <w:szCs w:val="20"/>
          <w:color w:val="auto"/>
        </w:rPr>
      </w:pPr>
    </w:p>
    <w:p>
      <w:pPr>
        <w:spacing w:after="0" w:line="241"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GRAND CANYON EDUCATION, INC.</w:t>
      </w:r>
    </w:p>
    <w:p>
      <w:pPr>
        <w:spacing w:after="0" w:line="27"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Consolidated Income Statements</w:t>
      </w:r>
    </w:p>
    <w:p>
      <w:pPr>
        <w:spacing w:after="0" w:line="9"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(Unaudited)</w:t>
      </w:r>
    </w:p>
    <w:p>
      <w:pPr>
        <w:spacing w:after="0" w:line="217"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2280" w:type="dxa"/>
            <w:vAlign w:val="bottom"/>
          </w:tcPr>
          <w:p>
            <w:pPr>
              <w:spacing w:after="0"/>
              <w:rPr>
                <w:sz w:val="14"/>
                <w:szCs w:val="14"/>
                <w:color w:val="auto"/>
              </w:rPr>
            </w:pPr>
          </w:p>
        </w:tc>
        <w:tc>
          <w:tcPr>
            <w:tcW w:w="3220" w:type="dxa"/>
            <w:vAlign w:val="bottom"/>
          </w:tcPr>
          <w:p>
            <w:pPr>
              <w:spacing w:after="0"/>
              <w:rPr>
                <w:sz w:val="14"/>
                <w:szCs w:val="14"/>
                <w:color w:val="auto"/>
              </w:rPr>
            </w:pPr>
          </w:p>
        </w:tc>
        <w:tc>
          <w:tcPr>
            <w:tcW w:w="17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780" w:type="dxa"/>
            <w:vAlign w:val="bottom"/>
            <w:gridSpan w:val="6"/>
          </w:tcPr>
          <w:p>
            <w:pPr>
              <w:jc w:val="right"/>
              <w:ind w:right="380"/>
              <w:spacing w:after="0"/>
              <w:rPr>
                <w:sz w:val="20"/>
                <w:szCs w:val="20"/>
                <w:color w:val="auto"/>
              </w:rPr>
            </w:pPr>
            <w:r>
              <w:rPr>
                <w:rFonts w:ascii="Arial" w:cs="Arial" w:eastAsia="Arial" w:hAnsi="Arial"/>
                <w:sz w:val="14"/>
                <w:szCs w:val="14"/>
                <w:b w:val="1"/>
                <w:bCs w:val="1"/>
                <w:color w:val="auto"/>
                <w:w w:val="99"/>
              </w:rPr>
              <w:t>Three Months Ended</w:t>
            </w:r>
          </w:p>
        </w:tc>
        <w:tc>
          <w:tcPr>
            <w:tcW w:w="1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720" w:type="dxa"/>
            <w:vAlign w:val="bottom"/>
            <w:gridSpan w:val="6"/>
          </w:tcPr>
          <w:p>
            <w:pPr>
              <w:jc w:val="right"/>
              <w:ind w:right="400"/>
              <w:spacing w:after="0"/>
              <w:rPr>
                <w:sz w:val="20"/>
                <w:szCs w:val="20"/>
                <w:color w:val="auto"/>
              </w:rPr>
            </w:pPr>
            <w:r>
              <w:rPr>
                <w:rFonts w:ascii="Arial" w:cs="Arial" w:eastAsia="Arial" w:hAnsi="Arial"/>
                <w:sz w:val="14"/>
                <w:szCs w:val="14"/>
                <w:b w:val="1"/>
                <w:bCs w:val="1"/>
                <w:color w:val="auto"/>
              </w:rPr>
              <w:t>Six Months Ended</w:t>
            </w: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2280" w:type="dxa"/>
            <w:vAlign w:val="bottom"/>
          </w:tcPr>
          <w:p>
            <w:pPr>
              <w:spacing w:after="0"/>
              <w:rPr>
                <w:sz w:val="14"/>
                <w:szCs w:val="14"/>
                <w:color w:val="auto"/>
              </w:rPr>
            </w:pPr>
          </w:p>
        </w:tc>
        <w:tc>
          <w:tcPr>
            <w:tcW w:w="3220" w:type="dxa"/>
            <w:vAlign w:val="bottom"/>
          </w:tcPr>
          <w:p>
            <w:pPr>
              <w:spacing w:after="0"/>
              <w:rPr>
                <w:sz w:val="14"/>
                <w:szCs w:val="14"/>
                <w:color w:val="auto"/>
              </w:rPr>
            </w:pPr>
          </w:p>
        </w:tc>
        <w:tc>
          <w:tcPr>
            <w:tcW w:w="172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1020" w:type="dxa"/>
            <w:vAlign w:val="bottom"/>
            <w:tcBorders>
              <w:bottom w:val="single" w:sz="8" w:color="auto"/>
            </w:tcBorders>
            <w:gridSpan w:val="4"/>
          </w:tcPr>
          <w:p>
            <w:pPr>
              <w:jc w:val="right"/>
              <w:spacing w:after="0"/>
              <w:rPr>
                <w:sz w:val="20"/>
                <w:szCs w:val="20"/>
                <w:color w:val="auto"/>
              </w:rPr>
            </w:pPr>
            <w:r>
              <w:rPr>
                <w:rFonts w:ascii="Arial" w:cs="Arial" w:eastAsia="Arial" w:hAnsi="Arial"/>
                <w:sz w:val="14"/>
                <w:szCs w:val="14"/>
                <w:b w:val="1"/>
                <w:bCs w:val="1"/>
                <w:color w:val="auto"/>
              </w:rPr>
              <w:t>June 30,</w:t>
            </w:r>
          </w:p>
        </w:tc>
        <w:tc>
          <w:tcPr>
            <w:tcW w:w="580" w:type="dxa"/>
            <w:vAlign w:val="bottom"/>
            <w:tcBorders>
              <w:bottom w:val="single" w:sz="8" w:color="auto"/>
            </w:tcBorders>
          </w:tcPr>
          <w:p>
            <w:pPr>
              <w:spacing w:after="0"/>
              <w:rPr>
                <w:sz w:val="14"/>
                <w:szCs w:val="14"/>
                <w:color w:val="auto"/>
              </w:rPr>
            </w:pPr>
          </w:p>
        </w:tc>
        <w:tc>
          <w:tcPr>
            <w:tcW w:w="1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1000" w:type="dxa"/>
            <w:vAlign w:val="bottom"/>
            <w:tcBorders>
              <w:bottom w:val="single" w:sz="8" w:color="auto"/>
            </w:tcBorders>
            <w:gridSpan w:val="4"/>
          </w:tcPr>
          <w:p>
            <w:pPr>
              <w:jc w:val="right"/>
              <w:spacing w:after="0"/>
              <w:rPr>
                <w:sz w:val="20"/>
                <w:szCs w:val="20"/>
                <w:color w:val="auto"/>
              </w:rPr>
            </w:pPr>
            <w:r>
              <w:rPr>
                <w:rFonts w:ascii="Arial" w:cs="Arial" w:eastAsia="Arial" w:hAnsi="Arial"/>
                <w:sz w:val="14"/>
                <w:szCs w:val="14"/>
                <w:b w:val="1"/>
                <w:bCs w:val="1"/>
                <w:color w:val="auto"/>
              </w:rPr>
              <w:t>June 30,</w:t>
            </w:r>
          </w:p>
        </w:tc>
        <w:tc>
          <w:tcPr>
            <w:tcW w:w="600" w:type="dxa"/>
            <w:vAlign w:val="bottom"/>
            <w:tcBorders>
              <w:bottom w:val="single" w:sz="8" w:color="auto"/>
            </w:tcBorders>
          </w:tcPr>
          <w:p>
            <w:pPr>
              <w:spacing w:after="0"/>
              <w:rPr>
                <w:sz w:val="14"/>
                <w:szCs w:val="14"/>
                <w:color w:val="auto"/>
              </w:rPr>
            </w:pPr>
          </w:p>
        </w:tc>
        <w:tc>
          <w:tcPr>
            <w:tcW w:w="1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5520" w:type="dxa"/>
            <w:vAlign w:val="bottom"/>
            <w:gridSpan w:val="3"/>
            <w:vMerge w:val="restart"/>
          </w:tcPr>
          <w:p>
            <w:pPr>
              <w:spacing w:after="0"/>
              <w:rPr>
                <w:sz w:val="20"/>
                <w:szCs w:val="20"/>
                <w:color w:val="auto"/>
              </w:rPr>
            </w:pPr>
            <w:r>
              <w:rPr>
                <w:rFonts w:ascii="Arial" w:cs="Arial" w:eastAsia="Arial" w:hAnsi="Arial"/>
                <w:sz w:val="14"/>
                <w:szCs w:val="14"/>
                <w:b w:val="1"/>
                <w:bCs w:val="1"/>
                <w:color w:val="auto"/>
              </w:rPr>
              <w:t>(In thousands, except per share data)</w:t>
            </w:r>
          </w:p>
        </w:tc>
        <w:tc>
          <w:tcPr>
            <w:tcW w:w="1720" w:type="dxa"/>
            <w:vAlign w:val="bottom"/>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600" w:type="dxa"/>
            <w:vAlign w:val="bottom"/>
            <w:tcBorders>
              <w:bottom w:val="single" w:sz="8" w:color="auto"/>
            </w:tcBorders>
          </w:tcPr>
          <w:p>
            <w:pPr>
              <w:jc w:val="right"/>
              <w:ind w:right="113"/>
              <w:spacing w:after="0" w:line="142" w:lineRule="exact"/>
              <w:rPr>
                <w:sz w:val="20"/>
                <w:szCs w:val="20"/>
                <w:color w:val="auto"/>
              </w:rPr>
            </w:pPr>
            <w:r>
              <w:rPr>
                <w:rFonts w:ascii="Arial" w:cs="Arial" w:eastAsia="Arial" w:hAnsi="Arial"/>
                <w:sz w:val="14"/>
                <w:szCs w:val="14"/>
                <w:b w:val="1"/>
                <w:bCs w:val="1"/>
                <w:color w:val="auto"/>
              </w:rPr>
              <w:t>2018</w:t>
            </w:r>
          </w:p>
        </w:tc>
        <w:tc>
          <w:tcPr>
            <w:tcW w:w="1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580" w:type="dxa"/>
            <w:vAlign w:val="bottom"/>
            <w:tcBorders>
              <w:bottom w:val="single" w:sz="8" w:color="auto"/>
            </w:tcBorders>
          </w:tcPr>
          <w:p>
            <w:pPr>
              <w:jc w:val="right"/>
              <w:ind w:right="111"/>
              <w:spacing w:after="0" w:line="142" w:lineRule="exact"/>
              <w:rPr>
                <w:sz w:val="20"/>
                <w:szCs w:val="20"/>
                <w:color w:val="auto"/>
              </w:rPr>
            </w:pPr>
            <w:r>
              <w:rPr>
                <w:rFonts w:ascii="Arial" w:cs="Arial" w:eastAsia="Arial" w:hAnsi="Arial"/>
                <w:sz w:val="14"/>
                <w:szCs w:val="14"/>
                <w:b w:val="1"/>
                <w:bCs w:val="1"/>
                <w:color w:val="auto"/>
              </w:rPr>
              <w:t>2017</w:t>
            </w:r>
          </w:p>
        </w:tc>
        <w:tc>
          <w:tcPr>
            <w:tcW w:w="1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600" w:type="dxa"/>
            <w:vAlign w:val="bottom"/>
            <w:tcBorders>
              <w:bottom w:val="single" w:sz="8" w:color="auto"/>
            </w:tcBorders>
          </w:tcPr>
          <w:p>
            <w:pPr>
              <w:jc w:val="right"/>
              <w:ind w:right="113"/>
              <w:spacing w:after="0" w:line="142" w:lineRule="exact"/>
              <w:rPr>
                <w:sz w:val="20"/>
                <w:szCs w:val="20"/>
                <w:color w:val="auto"/>
              </w:rPr>
            </w:pPr>
            <w:r>
              <w:rPr>
                <w:rFonts w:ascii="Arial" w:cs="Arial" w:eastAsia="Arial" w:hAnsi="Arial"/>
                <w:sz w:val="14"/>
                <w:szCs w:val="14"/>
                <w:b w:val="1"/>
                <w:bCs w:val="1"/>
                <w:color w:val="auto"/>
              </w:rPr>
              <w:t>2018</w:t>
            </w:r>
          </w:p>
        </w:tc>
        <w:tc>
          <w:tcPr>
            <w:tcW w:w="1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600" w:type="dxa"/>
            <w:vAlign w:val="bottom"/>
            <w:tcBorders>
              <w:bottom w:val="single" w:sz="8" w:color="auto"/>
            </w:tcBorders>
          </w:tcPr>
          <w:p>
            <w:pPr>
              <w:jc w:val="right"/>
              <w:ind w:right="111"/>
              <w:spacing w:after="0" w:line="142" w:lineRule="exact"/>
              <w:rPr>
                <w:sz w:val="20"/>
                <w:szCs w:val="20"/>
                <w:color w:val="auto"/>
              </w:rPr>
            </w:pPr>
            <w:r>
              <w:rPr>
                <w:rFonts w:ascii="Arial" w:cs="Arial" w:eastAsia="Arial" w:hAnsi="Arial"/>
                <w:sz w:val="14"/>
                <w:szCs w:val="14"/>
                <w:b w:val="1"/>
                <w:bCs w:val="1"/>
                <w:color w:val="auto"/>
              </w:rPr>
              <w:t>2017</w:t>
            </w:r>
          </w:p>
        </w:tc>
        <w:tc>
          <w:tcPr>
            <w:tcW w:w="1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29"/>
        </w:trPr>
        <w:tc>
          <w:tcPr>
            <w:tcW w:w="5520" w:type="dxa"/>
            <w:vAlign w:val="bottom"/>
            <w:gridSpan w:val="3"/>
            <w:vMerge w:val="continue"/>
          </w:tcPr>
          <w:p>
            <w:pPr>
              <w:spacing w:after="0"/>
              <w:rPr>
                <w:sz w:val="11"/>
                <w:szCs w:val="11"/>
                <w:color w:val="auto"/>
              </w:rPr>
            </w:pPr>
          </w:p>
        </w:tc>
        <w:tc>
          <w:tcPr>
            <w:tcW w:w="17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228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b w:val="1"/>
                <w:bCs w:val="1"/>
                <w:color w:val="auto"/>
              </w:rPr>
              <w:t>Net revenue</w:t>
            </w:r>
          </w:p>
        </w:tc>
        <w:tc>
          <w:tcPr>
            <w:tcW w:w="3220" w:type="dxa"/>
            <w:vAlign w:val="bottom"/>
            <w:shd w:val="clear" w:color="auto" w:fill="CCEEFF"/>
          </w:tcPr>
          <w:p>
            <w:pPr>
              <w:spacing w:after="0"/>
              <w:rPr>
                <w:sz w:val="18"/>
                <w:szCs w:val="18"/>
                <w:color w:val="auto"/>
              </w:rPr>
            </w:pPr>
          </w:p>
        </w:tc>
        <w:tc>
          <w:tcPr>
            <w:tcW w:w="18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9"/>
              </w:rPr>
              <w:t>236,818</w:t>
            </w:r>
          </w:p>
        </w:tc>
        <w:tc>
          <w:tcPr>
            <w:tcW w:w="180" w:type="dxa"/>
            <w:vAlign w:val="bottom"/>
            <w:shd w:val="clear" w:color="auto" w:fill="CCEEFF"/>
          </w:tcPr>
          <w:p>
            <w:pPr>
              <w:spacing w:after="0"/>
              <w:rPr>
                <w:sz w:val="18"/>
                <w:szCs w:val="18"/>
                <w:color w:val="auto"/>
              </w:rPr>
            </w:pPr>
          </w:p>
        </w:tc>
        <w:tc>
          <w:tcPr>
            <w:tcW w:w="2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6"/>
              </w:rPr>
              <w:t>218,301</w:t>
            </w:r>
          </w:p>
        </w:tc>
        <w:tc>
          <w:tcPr>
            <w:tcW w:w="180" w:type="dxa"/>
            <w:vAlign w:val="bottom"/>
            <w:shd w:val="clear" w:color="auto" w:fill="CCEEFF"/>
          </w:tcPr>
          <w:p>
            <w:pPr>
              <w:spacing w:after="0"/>
              <w:rPr>
                <w:sz w:val="18"/>
                <w:szCs w:val="18"/>
                <w:color w:val="auto"/>
              </w:rPr>
            </w:pPr>
          </w:p>
        </w:tc>
        <w:tc>
          <w:tcPr>
            <w:tcW w:w="2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9"/>
              </w:rPr>
              <w:t>512,499</w:t>
            </w:r>
          </w:p>
        </w:tc>
        <w:tc>
          <w:tcPr>
            <w:tcW w:w="180" w:type="dxa"/>
            <w:vAlign w:val="bottom"/>
            <w:shd w:val="clear" w:color="auto" w:fill="CCEEFF"/>
          </w:tcPr>
          <w:p>
            <w:pPr>
              <w:spacing w:after="0"/>
              <w:rPr>
                <w:sz w:val="18"/>
                <w:szCs w:val="18"/>
                <w:color w:val="auto"/>
              </w:rPr>
            </w:pPr>
          </w:p>
        </w:tc>
        <w:tc>
          <w:tcPr>
            <w:tcW w:w="2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9"/>
              </w:rPr>
              <w:t>466,507</w:t>
            </w:r>
          </w:p>
        </w:tc>
        <w:tc>
          <w:tcPr>
            <w:tcW w:w="1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500" w:type="dxa"/>
            <w:vAlign w:val="bottom"/>
            <w:gridSpan w:val="2"/>
          </w:tcPr>
          <w:p>
            <w:pPr>
              <w:spacing w:after="0"/>
              <w:rPr>
                <w:sz w:val="20"/>
                <w:szCs w:val="20"/>
                <w:color w:val="auto"/>
              </w:rPr>
            </w:pPr>
            <w:r>
              <w:rPr>
                <w:rFonts w:ascii="Arial" w:cs="Arial" w:eastAsia="Arial" w:hAnsi="Arial"/>
                <w:sz w:val="18"/>
                <w:szCs w:val="18"/>
                <w:b w:val="1"/>
                <w:bCs w:val="1"/>
                <w:color w:val="auto"/>
              </w:rPr>
              <w:t>Costs and expenses:</w:t>
            </w:r>
          </w:p>
        </w:tc>
        <w:tc>
          <w:tcPr>
            <w:tcW w:w="17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50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rPr>
              <w:t>Instructional costs and services</w:t>
            </w:r>
          </w:p>
        </w:tc>
        <w:tc>
          <w:tcPr>
            <w:tcW w:w="17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9"/>
              </w:rPr>
              <w:t>102,237</w:t>
            </w:r>
          </w:p>
        </w:tc>
        <w:tc>
          <w:tcPr>
            <w:tcW w:w="1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95,030</w:t>
            </w:r>
          </w:p>
        </w:tc>
        <w:tc>
          <w:tcPr>
            <w:tcW w:w="1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9"/>
              </w:rPr>
              <w:t>213,264</w:t>
            </w:r>
          </w:p>
        </w:tc>
        <w:tc>
          <w:tcPr>
            <w:tcW w:w="1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9"/>
              </w:rPr>
              <w:t>197,604</w:t>
            </w:r>
          </w:p>
        </w:tc>
        <w:tc>
          <w:tcPr>
            <w:tcW w:w="1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500" w:type="dxa"/>
            <w:vAlign w:val="bottom"/>
            <w:gridSpan w:val="2"/>
          </w:tcPr>
          <w:p>
            <w:pPr>
              <w:ind w:left="340"/>
              <w:spacing w:after="0"/>
              <w:rPr>
                <w:sz w:val="20"/>
                <w:szCs w:val="20"/>
                <w:color w:val="auto"/>
              </w:rPr>
            </w:pPr>
            <w:r>
              <w:rPr>
                <w:rFonts w:ascii="Arial" w:cs="Arial" w:eastAsia="Arial" w:hAnsi="Arial"/>
                <w:sz w:val="18"/>
                <w:szCs w:val="18"/>
                <w:color w:val="auto"/>
              </w:rPr>
              <w:t>Admissions advisory and related</w:t>
            </w:r>
          </w:p>
        </w:tc>
        <w:tc>
          <w:tcPr>
            <w:tcW w:w="17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34,254</w:t>
            </w:r>
          </w:p>
        </w:tc>
        <w:tc>
          <w:tcPr>
            <w:tcW w:w="1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31,085</w:t>
            </w:r>
          </w:p>
        </w:tc>
        <w:tc>
          <w:tcPr>
            <w:tcW w:w="1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69,108</w:t>
            </w:r>
          </w:p>
        </w:tc>
        <w:tc>
          <w:tcPr>
            <w:tcW w:w="1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63,057</w:t>
            </w: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50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rPr>
              <w:t>Advertising</w:t>
            </w:r>
          </w:p>
        </w:tc>
        <w:tc>
          <w:tcPr>
            <w:tcW w:w="17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27,602</w:t>
            </w:r>
          </w:p>
        </w:tc>
        <w:tc>
          <w:tcPr>
            <w:tcW w:w="1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24,776</w:t>
            </w:r>
          </w:p>
        </w:tc>
        <w:tc>
          <w:tcPr>
            <w:tcW w:w="1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53,317</w:t>
            </w:r>
          </w:p>
        </w:tc>
        <w:tc>
          <w:tcPr>
            <w:tcW w:w="1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49,407</w:t>
            </w:r>
          </w:p>
        </w:tc>
        <w:tc>
          <w:tcPr>
            <w:tcW w:w="1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500" w:type="dxa"/>
            <w:vAlign w:val="bottom"/>
            <w:gridSpan w:val="2"/>
          </w:tcPr>
          <w:p>
            <w:pPr>
              <w:ind w:left="340"/>
              <w:spacing w:after="0"/>
              <w:rPr>
                <w:sz w:val="20"/>
                <w:szCs w:val="20"/>
                <w:color w:val="auto"/>
              </w:rPr>
            </w:pPr>
            <w:r>
              <w:rPr>
                <w:rFonts w:ascii="Arial" w:cs="Arial" w:eastAsia="Arial" w:hAnsi="Arial"/>
                <w:sz w:val="18"/>
                <w:szCs w:val="18"/>
                <w:color w:val="auto"/>
              </w:rPr>
              <w:t>Marketing and promotional</w:t>
            </w:r>
          </w:p>
        </w:tc>
        <w:tc>
          <w:tcPr>
            <w:tcW w:w="17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2,268</w:t>
            </w:r>
          </w:p>
        </w:tc>
        <w:tc>
          <w:tcPr>
            <w:tcW w:w="1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2,264</w:t>
            </w:r>
          </w:p>
        </w:tc>
        <w:tc>
          <w:tcPr>
            <w:tcW w:w="1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4,952</w:t>
            </w:r>
          </w:p>
        </w:tc>
        <w:tc>
          <w:tcPr>
            <w:tcW w:w="1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4,724</w:t>
            </w: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50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rPr>
              <w:t>General and administrative</w:t>
            </w:r>
          </w:p>
        </w:tc>
        <w:tc>
          <w:tcPr>
            <w:tcW w:w="1720" w:type="dxa"/>
            <w:vAlign w:val="bottom"/>
            <w:shd w:val="clear" w:color="auto" w:fill="CCEEFF"/>
          </w:tcPr>
          <w:p>
            <w:pPr>
              <w:spacing w:after="0"/>
              <w:rPr>
                <w:sz w:val="18"/>
                <w:szCs w:val="18"/>
                <w:color w:val="auto"/>
              </w:rPr>
            </w:pPr>
          </w:p>
        </w:tc>
        <w:tc>
          <w:tcPr>
            <w:tcW w:w="80" w:type="dxa"/>
            <w:vAlign w:val="bottom"/>
            <w:tcBorders>
              <w:bottom w:val="single" w:sz="8" w:color="auto"/>
            </w:tcBorders>
            <w:shd w:val="clear" w:color="auto" w:fill="CCEEFF"/>
          </w:tcPr>
          <w:p>
            <w:pPr>
              <w:spacing w:after="0"/>
              <w:rPr>
                <w:sz w:val="18"/>
                <w:szCs w:val="18"/>
                <w:color w:val="auto"/>
              </w:rPr>
            </w:pPr>
          </w:p>
        </w:tc>
        <w:tc>
          <w:tcPr>
            <w:tcW w:w="6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11,969</w:t>
            </w:r>
          </w:p>
        </w:tc>
        <w:tc>
          <w:tcPr>
            <w:tcW w:w="1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5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10,058</w:t>
            </w:r>
          </w:p>
        </w:tc>
        <w:tc>
          <w:tcPr>
            <w:tcW w:w="1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 w:type="dxa"/>
            <w:vAlign w:val="bottom"/>
            <w:tcBorders>
              <w:bottom w:val="single" w:sz="8" w:color="auto"/>
            </w:tcBorders>
            <w:shd w:val="clear" w:color="auto" w:fill="CCEEFF"/>
          </w:tcPr>
          <w:p>
            <w:pPr>
              <w:spacing w:after="0"/>
              <w:rPr>
                <w:sz w:val="18"/>
                <w:szCs w:val="18"/>
                <w:color w:val="auto"/>
              </w:rPr>
            </w:pPr>
          </w:p>
        </w:tc>
        <w:tc>
          <w:tcPr>
            <w:tcW w:w="6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23,278</w:t>
            </w:r>
          </w:p>
        </w:tc>
        <w:tc>
          <w:tcPr>
            <w:tcW w:w="1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 w:type="dxa"/>
            <w:vAlign w:val="bottom"/>
            <w:tcBorders>
              <w:bottom w:val="single" w:sz="8" w:color="auto"/>
            </w:tcBorders>
            <w:shd w:val="clear" w:color="auto" w:fill="CCEEFF"/>
          </w:tcPr>
          <w:p>
            <w:pPr>
              <w:spacing w:after="0"/>
              <w:rPr>
                <w:sz w:val="18"/>
                <w:szCs w:val="18"/>
                <w:color w:val="auto"/>
              </w:rPr>
            </w:pPr>
          </w:p>
        </w:tc>
        <w:tc>
          <w:tcPr>
            <w:tcW w:w="6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19,999</w:t>
            </w:r>
          </w:p>
        </w:tc>
        <w:tc>
          <w:tcPr>
            <w:tcW w:w="1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5520" w:type="dxa"/>
            <w:vAlign w:val="bottom"/>
            <w:gridSpan w:val="3"/>
          </w:tcPr>
          <w:p>
            <w:pPr>
              <w:spacing w:after="0"/>
              <w:rPr>
                <w:sz w:val="20"/>
                <w:szCs w:val="20"/>
                <w:color w:val="auto"/>
              </w:rPr>
            </w:pPr>
            <w:r>
              <w:rPr>
                <w:rFonts w:ascii="Arial" w:cs="Arial" w:eastAsia="Arial" w:hAnsi="Arial"/>
                <w:sz w:val="18"/>
                <w:szCs w:val="18"/>
                <w:b w:val="1"/>
                <w:bCs w:val="1"/>
                <w:color w:val="auto"/>
              </w:rPr>
              <w:t>Total costs and expenses</w:t>
            </w:r>
          </w:p>
        </w:tc>
        <w:tc>
          <w:tcPr>
            <w:tcW w:w="1720" w:type="dxa"/>
            <w:vAlign w:val="bottom"/>
          </w:tcPr>
          <w:p>
            <w:pPr>
              <w:spacing w:after="0"/>
              <w:rPr>
                <w:sz w:val="20"/>
                <w:szCs w:val="20"/>
                <w:color w:val="auto"/>
              </w:rPr>
            </w:pPr>
          </w:p>
        </w:tc>
        <w:tc>
          <w:tcPr>
            <w:tcW w:w="80" w:type="dxa"/>
            <w:vAlign w:val="bottom"/>
            <w:tcBorders>
              <w:bottom w:val="single" w:sz="8" w:color="auto"/>
            </w:tcBorders>
          </w:tcPr>
          <w:p>
            <w:pPr>
              <w:spacing w:after="0"/>
              <w:rPr>
                <w:sz w:val="20"/>
                <w:szCs w:val="20"/>
                <w:color w:val="auto"/>
              </w:rPr>
            </w:pPr>
          </w:p>
        </w:tc>
        <w:tc>
          <w:tcPr>
            <w:tcW w:w="6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89"/>
              </w:rPr>
              <w:t>178,330</w:t>
            </w:r>
          </w:p>
        </w:tc>
        <w:tc>
          <w:tcPr>
            <w:tcW w:w="18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5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86"/>
              </w:rPr>
              <w:t>163,213</w:t>
            </w:r>
          </w:p>
        </w:tc>
        <w:tc>
          <w:tcPr>
            <w:tcW w:w="18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80" w:type="dxa"/>
            <w:vAlign w:val="bottom"/>
            <w:tcBorders>
              <w:bottom w:val="single" w:sz="8" w:color="auto"/>
            </w:tcBorders>
          </w:tcPr>
          <w:p>
            <w:pPr>
              <w:spacing w:after="0"/>
              <w:rPr>
                <w:sz w:val="20"/>
                <w:szCs w:val="20"/>
                <w:color w:val="auto"/>
              </w:rPr>
            </w:pPr>
          </w:p>
        </w:tc>
        <w:tc>
          <w:tcPr>
            <w:tcW w:w="6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89"/>
              </w:rPr>
              <w:t>363,919</w:t>
            </w:r>
          </w:p>
        </w:tc>
        <w:tc>
          <w:tcPr>
            <w:tcW w:w="18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80" w:type="dxa"/>
            <w:vAlign w:val="bottom"/>
            <w:tcBorders>
              <w:bottom w:val="single" w:sz="8" w:color="auto"/>
            </w:tcBorders>
          </w:tcPr>
          <w:p>
            <w:pPr>
              <w:spacing w:after="0"/>
              <w:rPr>
                <w:sz w:val="20"/>
                <w:szCs w:val="20"/>
                <w:color w:val="auto"/>
              </w:rPr>
            </w:pPr>
          </w:p>
        </w:tc>
        <w:tc>
          <w:tcPr>
            <w:tcW w:w="6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89"/>
              </w:rPr>
              <w:t>334,791</w:t>
            </w:r>
          </w:p>
        </w:tc>
        <w:tc>
          <w:tcPr>
            <w:tcW w:w="1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50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Operating income</w:t>
            </w:r>
          </w:p>
        </w:tc>
        <w:tc>
          <w:tcPr>
            <w:tcW w:w="17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58,488</w:t>
            </w:r>
          </w:p>
        </w:tc>
        <w:tc>
          <w:tcPr>
            <w:tcW w:w="1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55,088</w:t>
            </w:r>
          </w:p>
        </w:tc>
        <w:tc>
          <w:tcPr>
            <w:tcW w:w="1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9"/>
              </w:rPr>
              <w:t>148,580</w:t>
            </w:r>
          </w:p>
        </w:tc>
        <w:tc>
          <w:tcPr>
            <w:tcW w:w="1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9"/>
              </w:rPr>
              <w:t>131,716</w:t>
            </w:r>
          </w:p>
        </w:tc>
        <w:tc>
          <w:tcPr>
            <w:tcW w:w="1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500" w:type="dxa"/>
            <w:vAlign w:val="bottom"/>
            <w:gridSpan w:val="2"/>
          </w:tcPr>
          <w:p>
            <w:pPr>
              <w:ind w:left="340"/>
              <w:spacing w:after="0"/>
              <w:rPr>
                <w:sz w:val="20"/>
                <w:szCs w:val="20"/>
                <w:color w:val="auto"/>
              </w:rPr>
            </w:pPr>
            <w:r>
              <w:rPr>
                <w:rFonts w:ascii="Arial" w:cs="Arial" w:eastAsia="Arial" w:hAnsi="Arial"/>
                <w:sz w:val="18"/>
                <w:szCs w:val="18"/>
                <w:color w:val="auto"/>
              </w:rPr>
              <w:t>Interest expense</w:t>
            </w:r>
          </w:p>
        </w:tc>
        <w:tc>
          <w:tcPr>
            <w:tcW w:w="17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80" w:type="dxa"/>
            <w:vAlign w:val="bottom"/>
            <w:gridSpan w:val="2"/>
          </w:tcPr>
          <w:p>
            <w:pPr>
              <w:jc w:val="right"/>
              <w:ind w:right="120"/>
              <w:spacing w:after="0"/>
              <w:rPr>
                <w:sz w:val="20"/>
                <w:szCs w:val="20"/>
                <w:color w:val="auto"/>
              </w:rPr>
            </w:pPr>
            <w:r>
              <w:rPr>
                <w:rFonts w:ascii="Arial" w:cs="Arial" w:eastAsia="Arial" w:hAnsi="Arial"/>
                <w:sz w:val="18"/>
                <w:szCs w:val="18"/>
                <w:color w:val="auto"/>
              </w:rPr>
              <w:t>(57)</w:t>
            </w: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60" w:type="dxa"/>
            <w:vAlign w:val="bottom"/>
            <w:gridSpan w:val="2"/>
          </w:tcPr>
          <w:p>
            <w:pPr>
              <w:jc w:val="right"/>
              <w:ind w:right="120"/>
              <w:spacing w:after="0"/>
              <w:rPr>
                <w:sz w:val="20"/>
                <w:szCs w:val="20"/>
                <w:color w:val="auto"/>
              </w:rPr>
            </w:pPr>
            <w:r>
              <w:rPr>
                <w:rFonts w:ascii="Arial" w:cs="Arial" w:eastAsia="Arial" w:hAnsi="Arial"/>
                <w:sz w:val="18"/>
                <w:szCs w:val="18"/>
                <w:color w:val="auto"/>
              </w:rPr>
              <w:t>(495)</w:t>
            </w: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80" w:type="dxa"/>
            <w:vAlign w:val="bottom"/>
            <w:gridSpan w:val="2"/>
          </w:tcPr>
          <w:p>
            <w:pPr>
              <w:jc w:val="right"/>
              <w:ind w:right="120"/>
              <w:spacing w:after="0"/>
              <w:rPr>
                <w:sz w:val="20"/>
                <w:szCs w:val="20"/>
                <w:color w:val="auto"/>
              </w:rPr>
            </w:pPr>
            <w:r>
              <w:rPr>
                <w:rFonts w:ascii="Arial" w:cs="Arial" w:eastAsia="Arial" w:hAnsi="Arial"/>
                <w:sz w:val="18"/>
                <w:szCs w:val="18"/>
                <w:color w:val="auto"/>
              </w:rPr>
              <w:t>(403)</w:t>
            </w: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20" w:type="dxa"/>
            <w:vAlign w:val="bottom"/>
            <w:gridSpan w:val="2"/>
          </w:tcPr>
          <w:p>
            <w:pPr>
              <w:jc w:val="right"/>
              <w:ind w:right="60"/>
              <w:spacing w:after="0"/>
              <w:rPr>
                <w:sz w:val="20"/>
                <w:szCs w:val="20"/>
                <w:color w:val="auto"/>
              </w:rPr>
            </w:pPr>
            <w:r>
              <w:rPr>
                <w:rFonts w:ascii="Arial" w:cs="Arial" w:eastAsia="Arial" w:hAnsi="Arial"/>
                <w:sz w:val="18"/>
                <w:szCs w:val="18"/>
                <w:color w:val="auto"/>
              </w:rPr>
              <w:t>(1,075)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50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rPr>
              <w:t>Interest and other income</w:t>
            </w:r>
          </w:p>
        </w:tc>
        <w:tc>
          <w:tcPr>
            <w:tcW w:w="1720" w:type="dxa"/>
            <w:vAlign w:val="bottom"/>
            <w:shd w:val="clear" w:color="auto" w:fill="CCEEFF"/>
          </w:tcPr>
          <w:p>
            <w:pPr>
              <w:spacing w:after="0"/>
              <w:rPr>
                <w:sz w:val="18"/>
                <w:szCs w:val="18"/>
                <w:color w:val="auto"/>
              </w:rPr>
            </w:pPr>
          </w:p>
        </w:tc>
        <w:tc>
          <w:tcPr>
            <w:tcW w:w="80" w:type="dxa"/>
            <w:vAlign w:val="bottom"/>
            <w:tcBorders>
              <w:bottom w:val="single" w:sz="8" w:color="auto"/>
            </w:tcBorders>
            <w:shd w:val="clear" w:color="auto" w:fill="CCEEFF"/>
          </w:tcPr>
          <w:p>
            <w:pPr>
              <w:spacing w:after="0"/>
              <w:rPr>
                <w:sz w:val="18"/>
                <w:szCs w:val="18"/>
                <w:color w:val="auto"/>
              </w:rPr>
            </w:pPr>
          </w:p>
        </w:tc>
        <w:tc>
          <w:tcPr>
            <w:tcW w:w="6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1,567</w:t>
            </w:r>
          </w:p>
        </w:tc>
        <w:tc>
          <w:tcPr>
            <w:tcW w:w="1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5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739</w:t>
            </w:r>
          </w:p>
        </w:tc>
        <w:tc>
          <w:tcPr>
            <w:tcW w:w="1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 w:type="dxa"/>
            <w:vAlign w:val="bottom"/>
            <w:tcBorders>
              <w:bottom w:val="single" w:sz="8" w:color="auto"/>
            </w:tcBorders>
            <w:shd w:val="clear" w:color="auto" w:fill="CCEEFF"/>
          </w:tcPr>
          <w:p>
            <w:pPr>
              <w:spacing w:after="0"/>
              <w:rPr>
                <w:sz w:val="18"/>
                <w:szCs w:val="18"/>
                <w:color w:val="auto"/>
              </w:rPr>
            </w:pPr>
          </w:p>
        </w:tc>
        <w:tc>
          <w:tcPr>
            <w:tcW w:w="6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2,548</w:t>
            </w:r>
          </w:p>
        </w:tc>
        <w:tc>
          <w:tcPr>
            <w:tcW w:w="1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 w:type="dxa"/>
            <w:vAlign w:val="bottom"/>
            <w:tcBorders>
              <w:bottom w:val="single" w:sz="8" w:color="auto"/>
            </w:tcBorders>
            <w:shd w:val="clear" w:color="auto" w:fill="CCEEFF"/>
          </w:tcPr>
          <w:p>
            <w:pPr>
              <w:spacing w:after="0"/>
              <w:rPr>
                <w:sz w:val="18"/>
                <w:szCs w:val="18"/>
                <w:color w:val="auto"/>
              </w:rPr>
            </w:pPr>
          </w:p>
        </w:tc>
        <w:tc>
          <w:tcPr>
            <w:tcW w:w="6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741</w:t>
            </w:r>
          </w:p>
        </w:tc>
        <w:tc>
          <w:tcPr>
            <w:tcW w:w="1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5520" w:type="dxa"/>
            <w:vAlign w:val="bottom"/>
            <w:gridSpan w:val="3"/>
          </w:tcPr>
          <w:p>
            <w:pPr>
              <w:spacing w:after="0"/>
              <w:rPr>
                <w:sz w:val="20"/>
                <w:szCs w:val="20"/>
                <w:color w:val="auto"/>
              </w:rPr>
            </w:pPr>
            <w:r>
              <w:rPr>
                <w:rFonts w:ascii="Arial" w:cs="Arial" w:eastAsia="Arial" w:hAnsi="Arial"/>
                <w:sz w:val="18"/>
                <w:szCs w:val="18"/>
                <w:b w:val="1"/>
                <w:bCs w:val="1"/>
                <w:color w:val="auto"/>
              </w:rPr>
              <w:t>Income before income taxes</w:t>
            </w:r>
          </w:p>
        </w:tc>
        <w:tc>
          <w:tcPr>
            <w:tcW w:w="17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59,998</w:t>
            </w:r>
          </w:p>
        </w:tc>
        <w:tc>
          <w:tcPr>
            <w:tcW w:w="18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55,332</w:t>
            </w:r>
          </w:p>
        </w:tc>
        <w:tc>
          <w:tcPr>
            <w:tcW w:w="18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w w:val="89"/>
              </w:rPr>
              <w:t>150,725</w:t>
            </w:r>
          </w:p>
        </w:tc>
        <w:tc>
          <w:tcPr>
            <w:tcW w:w="18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w w:val="89"/>
              </w:rPr>
              <w:t>131,382</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5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Income tax expense</w:t>
            </w:r>
          </w:p>
        </w:tc>
        <w:tc>
          <w:tcPr>
            <w:tcW w:w="1720" w:type="dxa"/>
            <w:vAlign w:val="bottom"/>
            <w:shd w:val="clear" w:color="auto" w:fill="CCEEFF"/>
          </w:tcPr>
          <w:p>
            <w:pPr>
              <w:spacing w:after="0"/>
              <w:rPr>
                <w:sz w:val="18"/>
                <w:szCs w:val="18"/>
                <w:color w:val="auto"/>
              </w:rPr>
            </w:pPr>
          </w:p>
        </w:tc>
        <w:tc>
          <w:tcPr>
            <w:tcW w:w="80" w:type="dxa"/>
            <w:vAlign w:val="bottom"/>
            <w:tcBorders>
              <w:bottom w:val="single" w:sz="8" w:color="auto"/>
            </w:tcBorders>
            <w:shd w:val="clear" w:color="auto" w:fill="CCEEFF"/>
          </w:tcPr>
          <w:p>
            <w:pPr>
              <w:spacing w:after="0"/>
              <w:rPr>
                <w:sz w:val="18"/>
                <w:szCs w:val="18"/>
                <w:color w:val="auto"/>
              </w:rPr>
            </w:pPr>
          </w:p>
        </w:tc>
        <w:tc>
          <w:tcPr>
            <w:tcW w:w="6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13,960</w:t>
            </w:r>
          </w:p>
        </w:tc>
        <w:tc>
          <w:tcPr>
            <w:tcW w:w="1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5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15,485</w:t>
            </w:r>
          </w:p>
        </w:tc>
        <w:tc>
          <w:tcPr>
            <w:tcW w:w="1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 w:type="dxa"/>
            <w:vAlign w:val="bottom"/>
            <w:tcBorders>
              <w:bottom w:val="single" w:sz="8" w:color="auto"/>
            </w:tcBorders>
            <w:shd w:val="clear" w:color="auto" w:fill="CCEEFF"/>
          </w:tcPr>
          <w:p>
            <w:pPr>
              <w:spacing w:after="0"/>
              <w:rPr>
                <w:sz w:val="18"/>
                <w:szCs w:val="18"/>
                <w:color w:val="auto"/>
              </w:rPr>
            </w:pPr>
          </w:p>
        </w:tc>
        <w:tc>
          <w:tcPr>
            <w:tcW w:w="6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31,006</w:t>
            </w:r>
          </w:p>
        </w:tc>
        <w:tc>
          <w:tcPr>
            <w:tcW w:w="1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 w:type="dxa"/>
            <w:vAlign w:val="bottom"/>
            <w:tcBorders>
              <w:bottom w:val="single" w:sz="8" w:color="auto"/>
            </w:tcBorders>
            <w:shd w:val="clear" w:color="auto" w:fill="CCEEFF"/>
          </w:tcPr>
          <w:p>
            <w:pPr>
              <w:spacing w:after="0"/>
              <w:rPr>
                <w:sz w:val="18"/>
                <w:szCs w:val="18"/>
                <w:color w:val="auto"/>
              </w:rPr>
            </w:pPr>
          </w:p>
        </w:tc>
        <w:tc>
          <w:tcPr>
            <w:tcW w:w="6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35,623</w:t>
            </w:r>
          </w:p>
        </w:tc>
        <w:tc>
          <w:tcPr>
            <w:tcW w:w="1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5520" w:type="dxa"/>
            <w:vAlign w:val="bottom"/>
            <w:gridSpan w:val="3"/>
          </w:tcPr>
          <w:p>
            <w:pPr>
              <w:spacing w:after="0"/>
              <w:rPr>
                <w:sz w:val="20"/>
                <w:szCs w:val="20"/>
                <w:color w:val="auto"/>
              </w:rPr>
            </w:pPr>
            <w:r>
              <w:rPr>
                <w:rFonts w:ascii="Arial" w:cs="Arial" w:eastAsia="Arial" w:hAnsi="Arial"/>
                <w:sz w:val="18"/>
                <w:szCs w:val="18"/>
                <w:b w:val="1"/>
                <w:bCs w:val="1"/>
                <w:color w:val="auto"/>
              </w:rPr>
              <w:t>Net income</w:t>
            </w:r>
          </w:p>
        </w:tc>
        <w:tc>
          <w:tcPr>
            <w:tcW w:w="1720" w:type="dxa"/>
            <w:vAlign w:val="bottom"/>
          </w:tcPr>
          <w:p>
            <w:pPr>
              <w:spacing w:after="0"/>
              <w:rPr>
                <w:sz w:val="19"/>
                <w:szCs w:val="19"/>
                <w:color w:val="auto"/>
              </w:rPr>
            </w:pPr>
          </w:p>
        </w:tc>
        <w:tc>
          <w:tcPr>
            <w:tcW w:w="8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6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46,038</w:t>
            </w:r>
          </w:p>
        </w:tc>
        <w:tc>
          <w:tcPr>
            <w:tcW w:w="18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0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5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39,847</w:t>
            </w:r>
          </w:p>
        </w:tc>
        <w:tc>
          <w:tcPr>
            <w:tcW w:w="18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80" w:type="dxa"/>
            <w:vAlign w:val="bottom"/>
            <w:tcBorders>
              <w:bottom w:val="single" w:sz="8" w:color="auto"/>
            </w:tcBorders>
          </w:tcPr>
          <w:p>
            <w:pPr>
              <w:jc w:val="right"/>
              <w:spacing w:after="0"/>
              <w:rPr>
                <w:sz w:val="20"/>
                <w:szCs w:val="20"/>
                <w:color w:val="auto"/>
              </w:rPr>
            </w:pPr>
            <w:r>
              <w:rPr>
                <w:rFonts w:ascii="Arial" w:cs="Arial" w:eastAsia="Arial" w:hAnsi="Arial"/>
                <w:sz w:val="15"/>
                <w:szCs w:val="15"/>
                <w:u w:val="single" w:color="auto"/>
                <w:color w:val="auto"/>
                <w:w w:val="71"/>
              </w:rPr>
              <w:t>$</w:t>
            </w:r>
          </w:p>
        </w:tc>
        <w:tc>
          <w:tcPr>
            <w:tcW w:w="6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89"/>
              </w:rPr>
              <w:t>119,719</w:t>
            </w:r>
          </w:p>
        </w:tc>
        <w:tc>
          <w:tcPr>
            <w:tcW w:w="18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8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6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95,759</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2280" w:type="dxa"/>
            <w:vAlign w:val="bottom"/>
          </w:tcPr>
          <w:p>
            <w:pPr>
              <w:spacing w:after="0" w:line="20" w:lineRule="exact"/>
              <w:rPr>
                <w:sz w:val="1"/>
                <w:szCs w:val="1"/>
                <w:color w:val="auto"/>
              </w:rPr>
            </w:pPr>
          </w:p>
        </w:tc>
        <w:tc>
          <w:tcPr>
            <w:tcW w:w="3220" w:type="dxa"/>
            <w:vAlign w:val="bottom"/>
          </w:tcPr>
          <w:p>
            <w:pPr>
              <w:spacing w:after="0" w:line="20" w:lineRule="exact"/>
              <w:rPr>
                <w:sz w:val="1"/>
                <w:szCs w:val="1"/>
                <w:color w:val="auto"/>
              </w:rPr>
            </w:pPr>
          </w:p>
        </w:tc>
        <w:tc>
          <w:tcPr>
            <w:tcW w:w="172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tcPr>
          <w:p>
            <w:pPr>
              <w:spacing w:after="0"/>
              <w:rPr>
                <w:sz w:val="18"/>
                <w:szCs w:val="18"/>
                <w:color w:val="auto"/>
              </w:rPr>
            </w:pPr>
          </w:p>
        </w:tc>
        <w:tc>
          <w:tcPr>
            <w:tcW w:w="550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Earnings per share:</w:t>
            </w:r>
          </w:p>
        </w:tc>
        <w:tc>
          <w:tcPr>
            <w:tcW w:w="17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500" w:type="dxa"/>
            <w:vAlign w:val="bottom"/>
            <w:gridSpan w:val="2"/>
          </w:tcPr>
          <w:p>
            <w:pPr>
              <w:ind w:left="340"/>
              <w:spacing w:after="0"/>
              <w:rPr>
                <w:sz w:val="20"/>
                <w:szCs w:val="20"/>
                <w:color w:val="auto"/>
              </w:rPr>
            </w:pPr>
            <w:r>
              <w:rPr>
                <w:rFonts w:ascii="Arial" w:cs="Arial" w:eastAsia="Arial" w:hAnsi="Arial"/>
                <w:sz w:val="18"/>
                <w:szCs w:val="18"/>
                <w:b w:val="1"/>
                <w:bCs w:val="1"/>
                <w:color w:val="auto"/>
              </w:rPr>
              <w:t>Basic income per share</w:t>
            </w:r>
          </w:p>
        </w:tc>
        <w:tc>
          <w:tcPr>
            <w:tcW w:w="180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600" w:type="dxa"/>
            <w:vAlign w:val="bottom"/>
          </w:tcPr>
          <w:p>
            <w:pPr>
              <w:jc w:val="right"/>
              <w:spacing w:after="0"/>
              <w:rPr>
                <w:sz w:val="20"/>
                <w:szCs w:val="20"/>
                <w:color w:val="auto"/>
              </w:rPr>
            </w:pPr>
            <w:r>
              <w:rPr>
                <w:rFonts w:ascii="Arial" w:cs="Arial" w:eastAsia="Arial" w:hAnsi="Arial"/>
                <w:sz w:val="18"/>
                <w:szCs w:val="18"/>
                <w:color w:val="auto"/>
              </w:rPr>
              <w:t>0.97</w:t>
            </w:r>
          </w:p>
        </w:tc>
        <w:tc>
          <w:tcPr>
            <w:tcW w:w="180" w:type="dxa"/>
            <w:vAlign w:val="bottom"/>
          </w:tcPr>
          <w:p>
            <w:pPr>
              <w:spacing w:after="0"/>
              <w:rPr>
                <w:sz w:val="18"/>
                <w:szCs w:val="18"/>
                <w:color w:val="auto"/>
              </w:rPr>
            </w:pPr>
          </w:p>
        </w:tc>
        <w:tc>
          <w:tcPr>
            <w:tcW w:w="24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580" w:type="dxa"/>
            <w:vAlign w:val="bottom"/>
          </w:tcPr>
          <w:p>
            <w:pPr>
              <w:jc w:val="right"/>
              <w:spacing w:after="0"/>
              <w:rPr>
                <w:sz w:val="20"/>
                <w:szCs w:val="20"/>
                <w:color w:val="auto"/>
              </w:rPr>
            </w:pPr>
            <w:r>
              <w:rPr>
                <w:rFonts w:ascii="Arial" w:cs="Arial" w:eastAsia="Arial" w:hAnsi="Arial"/>
                <w:sz w:val="18"/>
                <w:szCs w:val="18"/>
                <w:color w:val="auto"/>
              </w:rPr>
              <w:t>0.85</w:t>
            </w:r>
          </w:p>
        </w:tc>
        <w:tc>
          <w:tcPr>
            <w:tcW w:w="180" w:type="dxa"/>
            <w:vAlign w:val="bottom"/>
          </w:tcPr>
          <w:p>
            <w:pPr>
              <w:spacing w:after="0"/>
              <w:rPr>
                <w:sz w:val="18"/>
                <w:szCs w:val="18"/>
                <w:color w:val="auto"/>
              </w:rPr>
            </w:pPr>
          </w:p>
        </w:tc>
        <w:tc>
          <w:tcPr>
            <w:tcW w:w="2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600" w:type="dxa"/>
            <w:vAlign w:val="bottom"/>
          </w:tcPr>
          <w:p>
            <w:pPr>
              <w:jc w:val="right"/>
              <w:spacing w:after="0"/>
              <w:rPr>
                <w:sz w:val="20"/>
                <w:szCs w:val="20"/>
                <w:color w:val="auto"/>
              </w:rPr>
            </w:pPr>
            <w:r>
              <w:rPr>
                <w:rFonts w:ascii="Arial" w:cs="Arial" w:eastAsia="Arial" w:hAnsi="Arial"/>
                <w:sz w:val="18"/>
                <w:szCs w:val="18"/>
                <w:color w:val="auto"/>
              </w:rPr>
              <w:t>2.52</w:t>
            </w:r>
          </w:p>
        </w:tc>
        <w:tc>
          <w:tcPr>
            <w:tcW w:w="180" w:type="dxa"/>
            <w:vAlign w:val="bottom"/>
          </w:tcPr>
          <w:p>
            <w:pPr>
              <w:spacing w:after="0"/>
              <w:rPr>
                <w:sz w:val="18"/>
                <w:szCs w:val="18"/>
                <w:color w:val="auto"/>
              </w:rPr>
            </w:pPr>
          </w:p>
        </w:tc>
        <w:tc>
          <w:tcPr>
            <w:tcW w:w="2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600" w:type="dxa"/>
            <w:vAlign w:val="bottom"/>
          </w:tcPr>
          <w:p>
            <w:pPr>
              <w:jc w:val="right"/>
              <w:spacing w:after="0"/>
              <w:rPr>
                <w:sz w:val="20"/>
                <w:szCs w:val="20"/>
                <w:color w:val="auto"/>
              </w:rPr>
            </w:pPr>
            <w:r>
              <w:rPr>
                <w:rFonts w:ascii="Arial" w:cs="Arial" w:eastAsia="Arial" w:hAnsi="Arial"/>
                <w:sz w:val="18"/>
                <w:szCs w:val="18"/>
                <w:color w:val="auto"/>
              </w:rPr>
              <w:t>2.04</w:t>
            </w: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2280" w:type="dxa"/>
            <w:vAlign w:val="bottom"/>
          </w:tcPr>
          <w:p>
            <w:pPr>
              <w:spacing w:after="0" w:line="20" w:lineRule="exact"/>
              <w:rPr>
                <w:sz w:val="1"/>
                <w:szCs w:val="1"/>
                <w:color w:val="auto"/>
              </w:rPr>
            </w:pPr>
          </w:p>
        </w:tc>
        <w:tc>
          <w:tcPr>
            <w:tcW w:w="3220" w:type="dxa"/>
            <w:vAlign w:val="bottom"/>
          </w:tcPr>
          <w:p>
            <w:pPr>
              <w:spacing w:after="0" w:line="20" w:lineRule="exact"/>
              <w:rPr>
                <w:sz w:val="1"/>
                <w:szCs w:val="1"/>
                <w:color w:val="auto"/>
              </w:rPr>
            </w:pPr>
          </w:p>
        </w:tc>
        <w:tc>
          <w:tcPr>
            <w:tcW w:w="172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tcPr>
          <w:p>
            <w:pPr>
              <w:spacing w:after="0"/>
              <w:rPr>
                <w:sz w:val="18"/>
                <w:szCs w:val="18"/>
                <w:color w:val="auto"/>
              </w:rPr>
            </w:pPr>
          </w:p>
        </w:tc>
        <w:tc>
          <w:tcPr>
            <w:tcW w:w="5500" w:type="dxa"/>
            <w:vAlign w:val="bottom"/>
            <w:gridSpan w:val="2"/>
            <w:shd w:val="clear" w:color="auto" w:fill="CCEEFF"/>
          </w:tcPr>
          <w:p>
            <w:pPr>
              <w:ind w:left="340"/>
              <w:spacing w:after="0"/>
              <w:rPr>
                <w:sz w:val="20"/>
                <w:szCs w:val="20"/>
                <w:color w:val="auto"/>
              </w:rPr>
            </w:pPr>
            <w:r>
              <w:rPr>
                <w:rFonts w:ascii="Arial" w:cs="Arial" w:eastAsia="Arial" w:hAnsi="Arial"/>
                <w:sz w:val="18"/>
                <w:szCs w:val="18"/>
                <w:b w:val="1"/>
                <w:bCs w:val="1"/>
                <w:color w:val="auto"/>
              </w:rPr>
              <w:t>Diluted income per share</w:t>
            </w:r>
          </w:p>
        </w:tc>
        <w:tc>
          <w:tcPr>
            <w:tcW w:w="18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0.95</w:t>
            </w:r>
          </w:p>
        </w:tc>
        <w:tc>
          <w:tcPr>
            <w:tcW w:w="180" w:type="dxa"/>
            <w:vAlign w:val="bottom"/>
            <w:shd w:val="clear" w:color="auto" w:fill="CCEEFF"/>
          </w:tcPr>
          <w:p>
            <w:pPr>
              <w:spacing w:after="0"/>
              <w:rPr>
                <w:sz w:val="18"/>
                <w:szCs w:val="18"/>
                <w:color w:val="auto"/>
              </w:rPr>
            </w:pPr>
          </w:p>
        </w:tc>
        <w:tc>
          <w:tcPr>
            <w:tcW w:w="2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0.83</w:t>
            </w:r>
          </w:p>
        </w:tc>
        <w:tc>
          <w:tcPr>
            <w:tcW w:w="180" w:type="dxa"/>
            <w:vAlign w:val="bottom"/>
            <w:shd w:val="clear" w:color="auto" w:fill="CCEEFF"/>
          </w:tcPr>
          <w:p>
            <w:pPr>
              <w:spacing w:after="0"/>
              <w:rPr>
                <w:sz w:val="18"/>
                <w:szCs w:val="18"/>
                <w:color w:val="auto"/>
              </w:rPr>
            </w:pPr>
          </w:p>
        </w:tc>
        <w:tc>
          <w:tcPr>
            <w:tcW w:w="2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2.47</w:t>
            </w:r>
          </w:p>
        </w:tc>
        <w:tc>
          <w:tcPr>
            <w:tcW w:w="180" w:type="dxa"/>
            <w:vAlign w:val="bottom"/>
            <w:shd w:val="clear" w:color="auto" w:fill="CCEEFF"/>
          </w:tcPr>
          <w:p>
            <w:pPr>
              <w:spacing w:after="0"/>
              <w:rPr>
                <w:sz w:val="18"/>
                <w:szCs w:val="18"/>
                <w:color w:val="auto"/>
              </w:rPr>
            </w:pPr>
          </w:p>
        </w:tc>
        <w:tc>
          <w:tcPr>
            <w:tcW w:w="2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1.99</w:t>
            </w:r>
          </w:p>
        </w:tc>
        <w:tc>
          <w:tcPr>
            <w:tcW w:w="1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5500" w:type="dxa"/>
            <w:vAlign w:val="bottom"/>
            <w:gridSpan w:val="2"/>
            <w:vMerge w:val="restart"/>
          </w:tcPr>
          <w:p>
            <w:pPr>
              <w:ind w:left="340"/>
              <w:spacing w:after="0"/>
              <w:rPr>
                <w:sz w:val="20"/>
                <w:szCs w:val="20"/>
                <w:color w:val="auto"/>
              </w:rPr>
            </w:pPr>
            <w:r>
              <w:rPr>
                <w:rFonts w:ascii="Arial" w:cs="Arial" w:eastAsia="Arial" w:hAnsi="Arial"/>
                <w:sz w:val="18"/>
                <w:szCs w:val="18"/>
                <w:b w:val="1"/>
                <w:bCs w:val="1"/>
                <w:color w:val="auto"/>
              </w:rPr>
              <w:t>Basic weighted average shares outstanding</w:t>
            </w:r>
          </w:p>
        </w:tc>
        <w:tc>
          <w:tcPr>
            <w:tcW w:w="172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tcPr>
          <w:p>
            <w:pPr>
              <w:spacing w:after="0"/>
              <w:rPr>
                <w:sz w:val="18"/>
                <w:szCs w:val="18"/>
                <w:color w:val="auto"/>
              </w:rPr>
            </w:pPr>
          </w:p>
        </w:tc>
        <w:tc>
          <w:tcPr>
            <w:tcW w:w="5500" w:type="dxa"/>
            <w:vAlign w:val="bottom"/>
            <w:gridSpan w:val="2"/>
            <w:vMerge w:val="continue"/>
          </w:tcPr>
          <w:p>
            <w:pPr>
              <w:spacing w:after="0"/>
              <w:rPr>
                <w:sz w:val="18"/>
                <w:szCs w:val="18"/>
                <w:color w:val="auto"/>
              </w:rPr>
            </w:pPr>
          </w:p>
        </w:tc>
        <w:tc>
          <w:tcPr>
            <w:tcW w:w="1720" w:type="dxa"/>
            <w:vAlign w:val="bottom"/>
          </w:tcPr>
          <w:p>
            <w:pPr>
              <w:spacing w:after="0"/>
              <w:rPr>
                <w:sz w:val="18"/>
                <w:szCs w:val="18"/>
                <w:color w:val="auto"/>
              </w:rPr>
            </w:pPr>
          </w:p>
        </w:tc>
        <w:tc>
          <w:tcPr>
            <w:tcW w:w="80" w:type="dxa"/>
            <w:vAlign w:val="bottom"/>
            <w:tcBorders>
              <w:bottom w:val="single" w:sz="8" w:color="auto"/>
            </w:tcBorders>
          </w:tcPr>
          <w:p>
            <w:pPr>
              <w:spacing w:after="0"/>
              <w:rPr>
                <w:sz w:val="18"/>
                <w:szCs w:val="18"/>
                <w:color w:val="auto"/>
              </w:rPr>
            </w:pPr>
          </w:p>
        </w:tc>
        <w:tc>
          <w:tcPr>
            <w:tcW w:w="6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47,604</w:t>
            </w:r>
          </w:p>
        </w:tc>
        <w:tc>
          <w:tcPr>
            <w:tcW w:w="1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 w:type="dxa"/>
            <w:vAlign w:val="bottom"/>
            <w:tcBorders>
              <w:bottom w:val="single" w:sz="8" w:color="auto"/>
            </w:tcBorders>
          </w:tcPr>
          <w:p>
            <w:pPr>
              <w:spacing w:after="0"/>
              <w:rPr>
                <w:sz w:val="18"/>
                <w:szCs w:val="18"/>
                <w:color w:val="auto"/>
              </w:rPr>
            </w:pPr>
          </w:p>
        </w:tc>
        <w:tc>
          <w:tcPr>
            <w:tcW w:w="5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47,151</w:t>
            </w:r>
          </w:p>
        </w:tc>
        <w:tc>
          <w:tcPr>
            <w:tcW w:w="1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Borders>
              <w:bottom w:val="single" w:sz="8" w:color="auto"/>
            </w:tcBorders>
          </w:tcPr>
          <w:p>
            <w:pPr>
              <w:spacing w:after="0"/>
              <w:rPr>
                <w:sz w:val="18"/>
                <w:szCs w:val="18"/>
                <w:color w:val="auto"/>
              </w:rPr>
            </w:pPr>
          </w:p>
        </w:tc>
        <w:tc>
          <w:tcPr>
            <w:tcW w:w="6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47,537</w:t>
            </w:r>
          </w:p>
        </w:tc>
        <w:tc>
          <w:tcPr>
            <w:tcW w:w="1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Borders>
              <w:bottom w:val="single" w:sz="8" w:color="auto"/>
            </w:tcBorders>
          </w:tcPr>
          <w:p>
            <w:pPr>
              <w:spacing w:after="0"/>
              <w:rPr>
                <w:sz w:val="18"/>
                <w:szCs w:val="18"/>
                <w:color w:val="auto"/>
              </w:rPr>
            </w:pPr>
          </w:p>
        </w:tc>
        <w:tc>
          <w:tcPr>
            <w:tcW w:w="6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46,949</w:t>
            </w: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2280" w:type="dxa"/>
            <w:vAlign w:val="bottom"/>
          </w:tcPr>
          <w:p>
            <w:pPr>
              <w:spacing w:after="0" w:line="20" w:lineRule="exact"/>
              <w:rPr>
                <w:sz w:val="1"/>
                <w:szCs w:val="1"/>
                <w:color w:val="auto"/>
              </w:rPr>
            </w:pPr>
          </w:p>
        </w:tc>
        <w:tc>
          <w:tcPr>
            <w:tcW w:w="3220" w:type="dxa"/>
            <w:vAlign w:val="bottom"/>
          </w:tcPr>
          <w:p>
            <w:pPr>
              <w:spacing w:after="0" w:line="20" w:lineRule="exact"/>
              <w:rPr>
                <w:sz w:val="1"/>
                <w:szCs w:val="1"/>
                <w:color w:val="auto"/>
              </w:rPr>
            </w:pPr>
          </w:p>
        </w:tc>
        <w:tc>
          <w:tcPr>
            <w:tcW w:w="172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tcPr>
          <w:p>
            <w:pPr>
              <w:spacing w:after="0"/>
              <w:rPr>
                <w:sz w:val="18"/>
                <w:szCs w:val="18"/>
                <w:color w:val="auto"/>
              </w:rPr>
            </w:pPr>
          </w:p>
        </w:tc>
        <w:tc>
          <w:tcPr>
            <w:tcW w:w="5500" w:type="dxa"/>
            <w:vAlign w:val="bottom"/>
            <w:gridSpan w:val="2"/>
            <w:shd w:val="clear" w:color="auto" w:fill="CCEEFF"/>
          </w:tcPr>
          <w:p>
            <w:pPr>
              <w:ind w:left="340"/>
              <w:spacing w:after="0"/>
              <w:rPr>
                <w:sz w:val="20"/>
                <w:szCs w:val="20"/>
                <w:color w:val="auto"/>
              </w:rPr>
            </w:pPr>
            <w:r>
              <w:rPr>
                <w:rFonts w:ascii="Arial" w:cs="Arial" w:eastAsia="Arial" w:hAnsi="Arial"/>
                <w:sz w:val="18"/>
                <w:szCs w:val="18"/>
                <w:b w:val="1"/>
                <w:bCs w:val="1"/>
                <w:color w:val="auto"/>
              </w:rPr>
              <w:t>Diluted weighted average shares outstanding</w:t>
            </w:r>
          </w:p>
        </w:tc>
        <w:tc>
          <w:tcPr>
            <w:tcW w:w="1720" w:type="dxa"/>
            <w:vAlign w:val="bottom"/>
            <w:shd w:val="clear" w:color="auto" w:fill="CCEEFF"/>
          </w:tcPr>
          <w:p>
            <w:pPr>
              <w:spacing w:after="0"/>
              <w:rPr>
                <w:sz w:val="18"/>
                <w:szCs w:val="18"/>
                <w:color w:val="auto"/>
              </w:rPr>
            </w:pPr>
          </w:p>
        </w:tc>
        <w:tc>
          <w:tcPr>
            <w:tcW w:w="80" w:type="dxa"/>
            <w:vAlign w:val="bottom"/>
            <w:tcBorders>
              <w:bottom w:val="single" w:sz="8" w:color="auto"/>
            </w:tcBorders>
            <w:shd w:val="clear" w:color="auto" w:fill="CCEEFF"/>
          </w:tcPr>
          <w:p>
            <w:pPr>
              <w:spacing w:after="0"/>
              <w:rPr>
                <w:sz w:val="18"/>
                <w:szCs w:val="18"/>
                <w:color w:val="auto"/>
              </w:rPr>
            </w:pPr>
          </w:p>
        </w:tc>
        <w:tc>
          <w:tcPr>
            <w:tcW w:w="6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48,411</w:t>
            </w:r>
          </w:p>
        </w:tc>
        <w:tc>
          <w:tcPr>
            <w:tcW w:w="1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5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48,192</w:t>
            </w:r>
          </w:p>
        </w:tc>
        <w:tc>
          <w:tcPr>
            <w:tcW w:w="1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 w:type="dxa"/>
            <w:vAlign w:val="bottom"/>
            <w:tcBorders>
              <w:bottom w:val="single" w:sz="8" w:color="auto"/>
            </w:tcBorders>
            <w:shd w:val="clear" w:color="auto" w:fill="CCEEFF"/>
          </w:tcPr>
          <w:p>
            <w:pPr>
              <w:spacing w:after="0"/>
              <w:rPr>
                <w:sz w:val="18"/>
                <w:szCs w:val="18"/>
                <w:color w:val="auto"/>
              </w:rPr>
            </w:pPr>
          </w:p>
        </w:tc>
        <w:tc>
          <w:tcPr>
            <w:tcW w:w="6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48,422</w:t>
            </w:r>
          </w:p>
        </w:tc>
        <w:tc>
          <w:tcPr>
            <w:tcW w:w="1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 w:type="dxa"/>
            <w:vAlign w:val="bottom"/>
            <w:tcBorders>
              <w:bottom w:val="single" w:sz="8" w:color="auto"/>
            </w:tcBorders>
            <w:shd w:val="clear" w:color="auto" w:fill="CCEEFF"/>
          </w:tcPr>
          <w:p>
            <w:pPr>
              <w:spacing w:after="0"/>
              <w:rPr>
                <w:sz w:val="18"/>
                <w:szCs w:val="18"/>
                <w:color w:val="auto"/>
              </w:rPr>
            </w:pPr>
          </w:p>
        </w:tc>
        <w:tc>
          <w:tcPr>
            <w:tcW w:w="6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48,131</w:t>
            </w:r>
          </w:p>
        </w:tc>
        <w:tc>
          <w:tcPr>
            <w:tcW w:w="1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2280" w:type="dxa"/>
            <w:vAlign w:val="bottom"/>
          </w:tcPr>
          <w:p>
            <w:pPr>
              <w:spacing w:after="0" w:line="20" w:lineRule="exact"/>
              <w:rPr>
                <w:sz w:val="1"/>
                <w:szCs w:val="1"/>
                <w:color w:val="auto"/>
              </w:rPr>
            </w:pPr>
          </w:p>
        </w:tc>
        <w:tc>
          <w:tcPr>
            <w:tcW w:w="3220" w:type="dxa"/>
            <w:vAlign w:val="bottom"/>
          </w:tcPr>
          <w:p>
            <w:pPr>
              <w:spacing w:after="0" w:line="20" w:lineRule="exact"/>
              <w:rPr>
                <w:sz w:val="1"/>
                <w:szCs w:val="1"/>
                <w:color w:val="auto"/>
              </w:rPr>
            </w:pPr>
          </w:p>
        </w:tc>
        <w:tc>
          <w:tcPr>
            <w:tcW w:w="172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ectPr>
          <w:pgSz w:w="11900" w:h="16838" w:orient="portrait"/>
          <w:cols w:equalWidth="0" w:num="1">
            <w:col w:w="11040"/>
          </w:cols>
          <w:pgMar w:left="440" w:top="270" w:right="419" w:bottom="1440" w:gutter="0" w:footer="0" w:header="0"/>
        </w:sectPr>
      </w:pPr>
    </w:p>
    <w:bookmarkStart w:id="11" w:name="page12"/>
    <w:bookmarkEnd w:id="11"/>
    <w:p>
      <w:pPr>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7289165" cy="38735"/>
                    </a:xfrm>
                    <a:prstGeom prst="rect">
                      <a:avLst/>
                    </a:prstGeom>
                    <a:noFill/>
                  </pic:spPr>
                </pic:pic>
              </a:graphicData>
            </a:graphic>
          </wp:anchor>
        </w:drawing>
        <w:t>Grand Canyon Education, Inc. Reports Second Quarter 2018 Results</w:t>
      </w:r>
    </w:p>
    <w:p>
      <w:pPr>
        <w:spacing w:after="0" w:line="200" w:lineRule="exact"/>
        <w:rPr>
          <w:sz w:val="20"/>
          <w:szCs w:val="20"/>
          <w:color w:val="auto"/>
        </w:rPr>
      </w:pPr>
    </w:p>
    <w:p>
      <w:pPr>
        <w:spacing w:after="0" w:line="241"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GRAND CANYON EDUCATION, INC.</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Adjusted EBITDA</w:t>
      </w:r>
    </w:p>
    <w:p>
      <w:pPr>
        <w:spacing w:after="0" w:line="121" w:lineRule="exact"/>
        <w:rPr>
          <w:sz w:val="20"/>
          <w:szCs w:val="20"/>
          <w:color w:val="auto"/>
        </w:rPr>
      </w:pPr>
    </w:p>
    <w:p>
      <w:pPr>
        <w:spacing w:after="0" w:line="287" w:lineRule="auto"/>
        <w:rPr>
          <w:sz w:val="20"/>
          <w:szCs w:val="20"/>
          <w:color w:val="auto"/>
        </w:rPr>
      </w:pPr>
      <w:r>
        <w:rPr>
          <w:rFonts w:ascii="Arial" w:cs="Arial" w:eastAsia="Arial" w:hAnsi="Arial"/>
          <w:sz w:val="16"/>
          <w:szCs w:val="16"/>
          <w:color w:val="auto"/>
        </w:rPr>
        <w:t>Adjusted EBITDA is defined as net income plus interest expense, less interest income and other gain (loss) recognized on investments, plus income tax expense, and plus depreciation and amortization (EBITDA), as adjusted for (i) the amortization of prepaid royalty payments recorded in conjunction with a settlement of a dispute with our former owner; (ii) contributions to Arizona school tuition organizations in lieu of the payment of state income taxes; (iii) share-based compensation and (iv) one-time, unusual charges or gains, such as litigation and regulatory reserves, impairment charges and asset write-offs, and exit or lease termination costs. We present Adjusted EBITDA because we consider it to be an important supplemental measure of our operating performance. We also make certain compensation decisions based, in part, on our operating performance, as measured by Adjusted EBITDA, and our loan agreement requires us to comply with covenants that include performance metrics substantially similar to Adjusted EBITDA. All of the adjustments made in our calculation of Adjusted EBITDA are adjustments to items that management does not consider to be reflective of our core operating performance. Management considers our core operating performance to be that which can be affected by our managers in any particular period through their management of the resources that affect our underlying revenue and profit generating operations during that period and does not consider the items for which we make adjustments (as listed above) to be reflective of our core performance.</w:t>
      </w:r>
    </w:p>
    <w:p>
      <w:pPr>
        <w:spacing w:after="0" w:line="173" w:lineRule="exact"/>
        <w:rPr>
          <w:sz w:val="20"/>
          <w:szCs w:val="20"/>
          <w:color w:val="auto"/>
        </w:rPr>
      </w:pPr>
    </w:p>
    <w:p>
      <w:pPr>
        <w:ind w:right="200" w:firstLine="441"/>
        <w:spacing w:after="0" w:line="293" w:lineRule="auto"/>
        <w:rPr>
          <w:sz w:val="20"/>
          <w:szCs w:val="20"/>
          <w:color w:val="auto"/>
        </w:rPr>
      </w:pPr>
      <w:r>
        <w:rPr>
          <w:rFonts w:ascii="Arial" w:cs="Arial" w:eastAsia="Arial" w:hAnsi="Arial"/>
          <w:sz w:val="16"/>
          <w:szCs w:val="16"/>
          <w:color w:val="auto"/>
        </w:rPr>
        <w:t>We believe Adjusted EBITDA allows us to compare our current operating results with corresponding historical periods and with the operational performance of other companies in our industry because it does not give effect to potential differences caused by variations in capital structures (affecting relative interest expense, including the impact of write-offs of deferred financing costs when companies refinance their indebtedness), tax positions (such as the impact on periods or companies of changes in effective tax rates or net operating losses), the book amortization of intangibles (affecting relative amortization expense), and other items that we do not consider reflective of underlying operating performance. We also present Adjusted EBITDA because we believe it is frequently used by securities analysts, investors, and other interested parties as a measure of performance.</w:t>
      </w:r>
    </w:p>
    <w:p>
      <w:pPr>
        <w:spacing w:after="0" w:line="165" w:lineRule="exact"/>
        <w:rPr>
          <w:sz w:val="20"/>
          <w:szCs w:val="20"/>
          <w:color w:val="auto"/>
        </w:rPr>
      </w:pPr>
    </w:p>
    <w:p>
      <w:pPr>
        <w:jc w:val="both"/>
        <w:ind w:right="160" w:firstLine="441"/>
        <w:spacing w:after="0" w:line="286" w:lineRule="auto"/>
        <w:rPr>
          <w:sz w:val="20"/>
          <w:szCs w:val="20"/>
          <w:color w:val="auto"/>
        </w:rPr>
      </w:pPr>
      <w:r>
        <w:rPr>
          <w:rFonts w:ascii="Arial" w:cs="Arial" w:eastAsia="Arial" w:hAnsi="Arial"/>
          <w:sz w:val="17"/>
          <w:szCs w:val="17"/>
          <w:color w:val="auto"/>
        </w:rPr>
        <w:t>In evaluating Adjusted EBITDA, investors should be aware that in the future we may incur expenses similar to the adjustments described above. Our presentation of Adjusted EBITDA should not be construed as an inference that our future results will be unaffected by expenses that are unusual, non-routine, or non-recurring. Adjusted EBITDA has limitations as an analytical tool in that, among other things it does not reflect:</w:t>
      </w:r>
    </w:p>
    <w:p>
      <w:pPr>
        <w:spacing w:after="0" w:line="71" w:lineRule="exact"/>
        <w:rPr>
          <w:sz w:val="20"/>
          <w:szCs w:val="20"/>
          <w:color w:val="auto"/>
        </w:rPr>
      </w:pPr>
    </w:p>
    <w:p>
      <w:pPr>
        <w:ind w:left="860" w:hanging="316"/>
        <w:spacing w:after="0"/>
        <w:tabs>
          <w:tab w:leader="none" w:pos="860" w:val="left"/>
        </w:tabs>
        <w:numPr>
          <w:ilvl w:val="0"/>
          <w:numId w:val="6"/>
        </w:numPr>
        <w:rPr>
          <w:rFonts w:ascii="Arial" w:cs="Arial" w:eastAsia="Arial" w:hAnsi="Arial"/>
          <w:sz w:val="18"/>
          <w:szCs w:val="18"/>
          <w:color w:val="auto"/>
        </w:rPr>
      </w:pPr>
      <w:r>
        <w:rPr>
          <w:rFonts w:ascii="Arial" w:cs="Arial" w:eastAsia="Arial" w:hAnsi="Arial"/>
          <w:sz w:val="18"/>
          <w:szCs w:val="18"/>
          <w:color w:val="auto"/>
        </w:rPr>
        <w:t>cash expenditures for capital expenditures or contractual commitments;</w:t>
      </w:r>
    </w:p>
    <w:p>
      <w:pPr>
        <w:spacing w:after="0" w:line="130" w:lineRule="exact"/>
        <w:rPr>
          <w:rFonts w:ascii="Arial" w:cs="Arial" w:eastAsia="Arial" w:hAnsi="Arial"/>
          <w:sz w:val="18"/>
          <w:szCs w:val="18"/>
          <w:color w:val="auto"/>
        </w:rPr>
      </w:pPr>
    </w:p>
    <w:p>
      <w:pPr>
        <w:ind w:left="860" w:hanging="316"/>
        <w:spacing w:after="0"/>
        <w:tabs>
          <w:tab w:leader="none" w:pos="860" w:val="left"/>
        </w:tabs>
        <w:numPr>
          <w:ilvl w:val="0"/>
          <w:numId w:val="6"/>
        </w:numPr>
        <w:rPr>
          <w:rFonts w:ascii="Arial" w:cs="Arial" w:eastAsia="Arial" w:hAnsi="Arial"/>
          <w:sz w:val="18"/>
          <w:szCs w:val="18"/>
          <w:color w:val="auto"/>
        </w:rPr>
      </w:pPr>
      <w:r>
        <w:rPr>
          <w:rFonts w:ascii="Arial" w:cs="Arial" w:eastAsia="Arial" w:hAnsi="Arial"/>
          <w:sz w:val="18"/>
          <w:szCs w:val="18"/>
          <w:color w:val="auto"/>
        </w:rPr>
        <w:t>changes in, or cash requirements for, our working capital requirements;</w:t>
      </w:r>
    </w:p>
    <w:p>
      <w:pPr>
        <w:spacing w:after="0" w:line="130" w:lineRule="exact"/>
        <w:rPr>
          <w:rFonts w:ascii="Arial" w:cs="Arial" w:eastAsia="Arial" w:hAnsi="Arial"/>
          <w:sz w:val="18"/>
          <w:szCs w:val="18"/>
          <w:color w:val="auto"/>
        </w:rPr>
      </w:pPr>
    </w:p>
    <w:p>
      <w:pPr>
        <w:ind w:left="860" w:hanging="316"/>
        <w:spacing w:after="0"/>
        <w:tabs>
          <w:tab w:leader="none" w:pos="860" w:val="left"/>
        </w:tabs>
        <w:numPr>
          <w:ilvl w:val="0"/>
          <w:numId w:val="6"/>
        </w:numPr>
        <w:rPr>
          <w:rFonts w:ascii="Arial" w:cs="Arial" w:eastAsia="Arial" w:hAnsi="Arial"/>
          <w:sz w:val="18"/>
          <w:szCs w:val="18"/>
          <w:color w:val="auto"/>
        </w:rPr>
      </w:pPr>
      <w:r>
        <w:rPr>
          <w:rFonts w:ascii="Arial" w:cs="Arial" w:eastAsia="Arial" w:hAnsi="Arial"/>
          <w:sz w:val="18"/>
          <w:szCs w:val="18"/>
          <w:color w:val="auto"/>
        </w:rPr>
        <w:t>interest expense, or the cash required to replace assets that are being depreciated or amortized; and</w:t>
      </w:r>
    </w:p>
    <w:p>
      <w:pPr>
        <w:spacing w:after="0" w:line="130" w:lineRule="exact"/>
        <w:rPr>
          <w:rFonts w:ascii="Arial" w:cs="Arial" w:eastAsia="Arial" w:hAnsi="Arial"/>
          <w:sz w:val="18"/>
          <w:szCs w:val="18"/>
          <w:color w:val="auto"/>
        </w:rPr>
      </w:pPr>
    </w:p>
    <w:p>
      <w:pPr>
        <w:ind w:left="860" w:right="580" w:hanging="316"/>
        <w:spacing w:after="0" w:line="277" w:lineRule="auto"/>
        <w:tabs>
          <w:tab w:leader="none" w:pos="860" w:val="left"/>
        </w:tabs>
        <w:numPr>
          <w:ilvl w:val="0"/>
          <w:numId w:val="6"/>
        </w:numPr>
        <w:rPr>
          <w:rFonts w:ascii="Arial" w:cs="Arial" w:eastAsia="Arial" w:hAnsi="Arial"/>
          <w:sz w:val="18"/>
          <w:szCs w:val="18"/>
          <w:color w:val="auto"/>
        </w:rPr>
      </w:pPr>
      <w:r>
        <w:rPr>
          <w:rFonts w:ascii="Arial" w:cs="Arial" w:eastAsia="Arial" w:hAnsi="Arial"/>
          <w:sz w:val="18"/>
          <w:szCs w:val="18"/>
          <w:color w:val="auto"/>
        </w:rPr>
        <w:t>the impact on our reported results of earnings or charges resulting from the items for which we make adjustments to our EBITDA, as described above and set forth in the table below.</w:t>
      </w:r>
    </w:p>
    <w:p>
      <w:pPr>
        <w:spacing w:after="0" w:line="170" w:lineRule="exact"/>
        <w:rPr>
          <w:sz w:val="20"/>
          <w:szCs w:val="20"/>
          <w:color w:val="auto"/>
        </w:rPr>
      </w:pPr>
    </w:p>
    <w:p>
      <w:pPr>
        <w:ind w:right="40" w:firstLine="441"/>
        <w:spacing w:after="0" w:line="257" w:lineRule="auto"/>
        <w:rPr>
          <w:sz w:val="20"/>
          <w:szCs w:val="20"/>
          <w:color w:val="auto"/>
        </w:rPr>
      </w:pPr>
      <w:r>
        <w:rPr>
          <w:rFonts w:ascii="Arial" w:cs="Arial" w:eastAsia="Arial" w:hAnsi="Arial"/>
          <w:sz w:val="18"/>
          <w:szCs w:val="18"/>
          <w:color w:val="auto"/>
        </w:rPr>
        <w:t>In addition, other companies, including other companies in our industry, may calculate these measures differently than we do, limiting the usefulness of Adjusted EBITDA as a comparative measure. Because of these limitations, Adjusted EBITDA should not be considered as a substitute for net income, operating income, or any other performance measure derived in accordance with and reported under GAAP, or as an alternative to cash flow from operating activities or as a measure of our liquidity. We compensate for these limitations by relying primarily on our GAAP results and only use Adjusted EBITDA as a supplemental performance measure.</w:t>
      </w:r>
    </w:p>
    <w:p>
      <w:pPr>
        <w:sectPr>
          <w:pgSz w:w="11900" w:h="16838" w:orient="portrait"/>
          <w:cols w:equalWidth="0" w:num="1">
            <w:col w:w="11020"/>
          </w:cols>
          <w:pgMar w:left="440" w:top="270" w:right="439" w:bottom="1440" w:gutter="0" w:footer="0" w:header="0"/>
        </w:sectPr>
      </w:pPr>
    </w:p>
    <w:bookmarkStart w:id="12" w:name="page13"/>
    <w:bookmarkEnd w:id="12"/>
    <w:p>
      <w:pPr>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7289165" cy="38735"/>
                    </a:xfrm>
                    <a:prstGeom prst="rect">
                      <a:avLst/>
                    </a:prstGeom>
                    <a:noFill/>
                  </pic:spPr>
                </pic:pic>
              </a:graphicData>
            </a:graphic>
          </wp:anchor>
        </w:drawing>
        <w:t>The following table provides a reconciliation of net income to Adjusted EBITDA, which is a non-GAAP measure for the periods indicated:</w:t>
      </w:r>
    </w:p>
    <w:p>
      <w:pPr>
        <w:spacing w:after="0" w:line="231"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73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680" w:type="dxa"/>
            <w:vAlign w:val="bottom"/>
            <w:gridSpan w:val="5"/>
          </w:tcPr>
          <w:p>
            <w:pPr>
              <w:jc w:val="right"/>
              <w:ind w:right="300"/>
              <w:spacing w:after="0"/>
              <w:rPr>
                <w:sz w:val="20"/>
                <w:szCs w:val="20"/>
                <w:color w:val="auto"/>
              </w:rPr>
            </w:pPr>
            <w:r>
              <w:rPr>
                <w:rFonts w:ascii="Arial" w:cs="Arial" w:eastAsia="Arial" w:hAnsi="Arial"/>
                <w:sz w:val="14"/>
                <w:szCs w:val="14"/>
                <w:b w:val="1"/>
                <w:bCs w:val="1"/>
                <w:color w:val="auto"/>
                <w:w w:val="98"/>
              </w:rPr>
              <w:t>Three Months Ended</w:t>
            </w:r>
          </w:p>
        </w:tc>
        <w:tc>
          <w:tcPr>
            <w:tcW w:w="140" w:type="dxa"/>
            <w:vAlign w:val="bottom"/>
          </w:tcPr>
          <w:p>
            <w:pPr>
              <w:spacing w:after="0"/>
              <w:rPr>
                <w:sz w:val="14"/>
                <w:szCs w:val="14"/>
                <w:color w:val="auto"/>
              </w:rPr>
            </w:pPr>
          </w:p>
        </w:tc>
        <w:tc>
          <w:tcPr>
            <w:tcW w:w="1820" w:type="dxa"/>
            <w:vAlign w:val="bottom"/>
            <w:gridSpan w:val="6"/>
          </w:tcPr>
          <w:p>
            <w:pPr>
              <w:jc w:val="right"/>
              <w:ind w:right="400"/>
              <w:spacing w:after="0"/>
              <w:rPr>
                <w:sz w:val="20"/>
                <w:szCs w:val="20"/>
                <w:color w:val="auto"/>
              </w:rPr>
            </w:pPr>
            <w:r>
              <w:rPr>
                <w:rFonts w:ascii="Arial" w:cs="Arial" w:eastAsia="Arial" w:hAnsi="Arial"/>
                <w:sz w:val="14"/>
                <w:szCs w:val="14"/>
                <w:b w:val="1"/>
                <w:bCs w:val="1"/>
                <w:color w:val="auto"/>
              </w:rPr>
              <w:t>Six Months Ended</w:t>
            </w:r>
          </w:p>
        </w:tc>
      </w:tr>
      <w:tr>
        <w:trPr>
          <w:trHeight w:val="171"/>
        </w:trPr>
        <w:tc>
          <w:tcPr>
            <w:tcW w:w="20" w:type="dxa"/>
            <w:vAlign w:val="bottom"/>
          </w:tcPr>
          <w:p>
            <w:pPr>
              <w:spacing w:after="0"/>
              <w:rPr>
                <w:sz w:val="14"/>
                <w:szCs w:val="14"/>
                <w:color w:val="auto"/>
              </w:rPr>
            </w:pPr>
          </w:p>
        </w:tc>
        <w:tc>
          <w:tcPr>
            <w:tcW w:w="73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680" w:type="dxa"/>
            <w:vAlign w:val="bottom"/>
            <w:gridSpan w:val="5"/>
          </w:tcPr>
          <w:p>
            <w:pPr>
              <w:jc w:val="right"/>
              <w:ind w:right="700"/>
              <w:spacing w:after="0"/>
              <w:rPr>
                <w:sz w:val="20"/>
                <w:szCs w:val="20"/>
                <w:color w:val="auto"/>
              </w:rPr>
            </w:pPr>
            <w:r>
              <w:rPr>
                <w:rFonts w:ascii="Arial" w:cs="Arial" w:eastAsia="Arial" w:hAnsi="Arial"/>
                <w:sz w:val="14"/>
                <w:szCs w:val="14"/>
                <w:b w:val="1"/>
                <w:bCs w:val="1"/>
                <w:color w:val="auto"/>
              </w:rPr>
              <w:t>June 30,</w:t>
            </w:r>
          </w:p>
        </w:tc>
        <w:tc>
          <w:tcPr>
            <w:tcW w:w="140" w:type="dxa"/>
            <w:vAlign w:val="bottom"/>
          </w:tcPr>
          <w:p>
            <w:pPr>
              <w:spacing w:after="0"/>
              <w:rPr>
                <w:sz w:val="14"/>
                <w:szCs w:val="14"/>
                <w:color w:val="auto"/>
              </w:rPr>
            </w:pPr>
          </w:p>
        </w:tc>
        <w:tc>
          <w:tcPr>
            <w:tcW w:w="1100" w:type="dxa"/>
            <w:vAlign w:val="bottom"/>
            <w:gridSpan w:val="4"/>
          </w:tcPr>
          <w:p>
            <w:pPr>
              <w:jc w:val="right"/>
              <w:spacing w:after="0"/>
              <w:rPr>
                <w:sz w:val="20"/>
                <w:szCs w:val="20"/>
                <w:color w:val="auto"/>
              </w:rPr>
            </w:pPr>
            <w:r>
              <w:rPr>
                <w:rFonts w:ascii="Arial" w:cs="Arial" w:eastAsia="Arial" w:hAnsi="Arial"/>
                <w:sz w:val="14"/>
                <w:szCs w:val="14"/>
                <w:b w:val="1"/>
                <w:bCs w:val="1"/>
                <w:color w:val="auto"/>
              </w:rPr>
              <w:t>June 30,</w:t>
            </w:r>
          </w:p>
        </w:tc>
        <w:tc>
          <w:tcPr>
            <w:tcW w:w="600" w:type="dxa"/>
            <w:vAlign w:val="bottom"/>
          </w:tcPr>
          <w:p>
            <w:pPr>
              <w:spacing w:after="0"/>
              <w:rPr>
                <w:sz w:val="14"/>
                <w:szCs w:val="14"/>
                <w:color w:val="auto"/>
              </w:rPr>
            </w:pPr>
          </w:p>
        </w:tc>
        <w:tc>
          <w:tcPr>
            <w:tcW w:w="120" w:type="dxa"/>
            <w:vAlign w:val="bottom"/>
          </w:tcPr>
          <w:p>
            <w:pPr>
              <w:spacing w:after="0"/>
              <w:rPr>
                <w:sz w:val="14"/>
                <w:szCs w:val="14"/>
                <w:color w:val="auto"/>
              </w:rPr>
            </w:pPr>
          </w:p>
        </w:tc>
      </w:tr>
      <w:tr>
        <w:trPr>
          <w:trHeight w:val="142"/>
        </w:trPr>
        <w:tc>
          <w:tcPr>
            <w:tcW w:w="20" w:type="dxa"/>
            <w:vAlign w:val="bottom"/>
          </w:tcPr>
          <w:p>
            <w:pPr>
              <w:spacing w:after="0"/>
              <w:rPr>
                <w:sz w:val="12"/>
                <w:szCs w:val="12"/>
                <w:color w:val="auto"/>
              </w:rPr>
            </w:pPr>
          </w:p>
        </w:tc>
        <w:tc>
          <w:tcPr>
            <w:tcW w:w="73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580" w:type="dxa"/>
            <w:vAlign w:val="bottom"/>
            <w:tcBorders>
              <w:top w:val="single" w:sz="8" w:color="auto"/>
              <w:bottom w:val="single" w:sz="8" w:color="auto"/>
            </w:tcBorders>
          </w:tcPr>
          <w:p>
            <w:pPr>
              <w:jc w:val="right"/>
              <w:ind w:right="79"/>
              <w:spacing w:after="0" w:line="142" w:lineRule="exact"/>
              <w:rPr>
                <w:sz w:val="20"/>
                <w:szCs w:val="20"/>
                <w:color w:val="auto"/>
              </w:rPr>
            </w:pPr>
            <w:r>
              <w:rPr>
                <w:rFonts w:ascii="Arial" w:cs="Arial" w:eastAsia="Arial" w:hAnsi="Arial"/>
                <w:sz w:val="14"/>
                <w:szCs w:val="14"/>
                <w:b w:val="1"/>
                <w:bCs w:val="1"/>
                <w:color w:val="auto"/>
              </w:rPr>
              <w:t>2018</w:t>
            </w:r>
          </w:p>
        </w:tc>
        <w:tc>
          <w:tcPr>
            <w:tcW w:w="180" w:type="dxa"/>
            <w:vAlign w:val="bottom"/>
            <w:tcBorders>
              <w:top w:val="single" w:sz="8" w:color="auto"/>
              <w:bottom w:val="single" w:sz="8" w:color="auto"/>
            </w:tcBorders>
          </w:tcPr>
          <w:p>
            <w:pPr>
              <w:spacing w:after="0"/>
              <w:rPr>
                <w:sz w:val="12"/>
                <w:szCs w:val="12"/>
                <w:color w:val="auto"/>
              </w:rPr>
            </w:pPr>
          </w:p>
        </w:tc>
        <w:tc>
          <w:tcPr>
            <w:tcW w:w="740" w:type="dxa"/>
            <w:vAlign w:val="bottom"/>
            <w:tcBorders>
              <w:top w:val="single" w:sz="8" w:color="auto"/>
              <w:bottom w:val="single" w:sz="8" w:color="auto"/>
            </w:tcBorders>
            <w:gridSpan w:val="2"/>
          </w:tcPr>
          <w:p>
            <w:pPr>
              <w:jc w:val="right"/>
              <w:ind w:right="74"/>
              <w:spacing w:after="0" w:line="142" w:lineRule="exact"/>
              <w:rPr>
                <w:sz w:val="20"/>
                <w:szCs w:val="20"/>
                <w:color w:val="auto"/>
              </w:rPr>
            </w:pPr>
            <w:r>
              <w:rPr>
                <w:rFonts w:ascii="Arial" w:cs="Arial" w:eastAsia="Arial" w:hAnsi="Arial"/>
                <w:sz w:val="14"/>
                <w:szCs w:val="14"/>
                <w:b w:val="1"/>
                <w:bCs w:val="1"/>
                <w:color w:val="auto"/>
              </w:rPr>
              <w:t>2017</w:t>
            </w:r>
          </w:p>
        </w:tc>
        <w:tc>
          <w:tcPr>
            <w:tcW w:w="180" w:type="dxa"/>
            <w:vAlign w:val="bottom"/>
            <w:tcBorders>
              <w:bottom w:val="single" w:sz="8" w:color="auto"/>
            </w:tcBorders>
          </w:tcPr>
          <w:p>
            <w:pPr>
              <w:spacing w:after="0"/>
              <w:rPr>
                <w:sz w:val="12"/>
                <w:szCs w:val="12"/>
                <w:color w:val="auto"/>
              </w:rPr>
            </w:pPr>
          </w:p>
        </w:tc>
        <w:tc>
          <w:tcPr>
            <w:tcW w:w="140" w:type="dxa"/>
            <w:vAlign w:val="bottom"/>
            <w:tcBorders>
              <w:bottom w:val="single" w:sz="8" w:color="auto"/>
            </w:tcBorders>
          </w:tcPr>
          <w:p>
            <w:pPr>
              <w:spacing w:after="0"/>
              <w:rPr>
                <w:sz w:val="12"/>
                <w:szCs w:val="12"/>
                <w:color w:val="auto"/>
              </w:rPr>
            </w:pPr>
          </w:p>
        </w:tc>
        <w:tc>
          <w:tcPr>
            <w:tcW w:w="680" w:type="dxa"/>
            <w:vAlign w:val="bottom"/>
            <w:tcBorders>
              <w:top w:val="single" w:sz="8" w:color="auto"/>
              <w:bottom w:val="single" w:sz="8" w:color="auto"/>
            </w:tcBorders>
          </w:tcPr>
          <w:p>
            <w:pPr>
              <w:jc w:val="right"/>
              <w:ind w:right="121"/>
              <w:spacing w:after="0" w:line="142" w:lineRule="exact"/>
              <w:rPr>
                <w:sz w:val="20"/>
                <w:szCs w:val="20"/>
                <w:color w:val="auto"/>
              </w:rPr>
            </w:pPr>
            <w:r>
              <w:rPr>
                <w:rFonts w:ascii="Arial" w:cs="Arial" w:eastAsia="Arial" w:hAnsi="Arial"/>
                <w:sz w:val="14"/>
                <w:szCs w:val="14"/>
                <w:b w:val="1"/>
                <w:bCs w:val="1"/>
                <w:color w:val="auto"/>
              </w:rPr>
              <w:t>2018</w:t>
            </w:r>
          </w:p>
        </w:tc>
        <w:tc>
          <w:tcPr>
            <w:tcW w:w="200" w:type="dxa"/>
            <w:vAlign w:val="bottom"/>
            <w:tcBorders>
              <w:top w:val="single" w:sz="8" w:color="auto"/>
              <w:bottom w:val="single" w:sz="8" w:color="auto"/>
            </w:tcBorders>
          </w:tcPr>
          <w:p>
            <w:pPr>
              <w:spacing w:after="0"/>
              <w:rPr>
                <w:sz w:val="12"/>
                <w:szCs w:val="12"/>
                <w:color w:val="auto"/>
              </w:rPr>
            </w:pPr>
          </w:p>
        </w:tc>
        <w:tc>
          <w:tcPr>
            <w:tcW w:w="140" w:type="dxa"/>
            <w:vAlign w:val="bottom"/>
            <w:tcBorders>
              <w:top w:val="single" w:sz="8" w:color="auto"/>
              <w:bottom w:val="single" w:sz="8" w:color="auto"/>
            </w:tcBorders>
          </w:tcPr>
          <w:p>
            <w:pPr>
              <w:spacing w:after="0"/>
              <w:rPr>
                <w:sz w:val="12"/>
                <w:szCs w:val="12"/>
                <w:color w:val="auto"/>
              </w:rPr>
            </w:pPr>
          </w:p>
        </w:tc>
        <w:tc>
          <w:tcPr>
            <w:tcW w:w="80" w:type="dxa"/>
            <w:vAlign w:val="bottom"/>
            <w:tcBorders>
              <w:top w:val="single" w:sz="8" w:color="auto"/>
              <w:bottom w:val="single" w:sz="8" w:color="auto"/>
            </w:tcBorders>
          </w:tcPr>
          <w:p>
            <w:pPr>
              <w:spacing w:after="0"/>
              <w:rPr>
                <w:sz w:val="12"/>
                <w:szCs w:val="12"/>
                <w:color w:val="auto"/>
              </w:rPr>
            </w:pPr>
          </w:p>
        </w:tc>
        <w:tc>
          <w:tcPr>
            <w:tcW w:w="600" w:type="dxa"/>
            <w:vAlign w:val="bottom"/>
            <w:tcBorders>
              <w:top w:val="single" w:sz="8" w:color="auto"/>
              <w:bottom w:val="single" w:sz="8" w:color="auto"/>
            </w:tcBorders>
          </w:tcPr>
          <w:p>
            <w:pPr>
              <w:jc w:val="right"/>
              <w:ind w:right="111"/>
              <w:spacing w:after="0" w:line="142" w:lineRule="exact"/>
              <w:rPr>
                <w:sz w:val="20"/>
                <w:szCs w:val="20"/>
                <w:color w:val="auto"/>
              </w:rPr>
            </w:pPr>
            <w:r>
              <w:rPr>
                <w:rFonts w:ascii="Arial" w:cs="Arial" w:eastAsia="Arial" w:hAnsi="Arial"/>
                <w:sz w:val="14"/>
                <w:szCs w:val="14"/>
                <w:b w:val="1"/>
                <w:bCs w:val="1"/>
                <w:color w:val="auto"/>
              </w:rPr>
              <w:t>2017</w:t>
            </w:r>
          </w:p>
        </w:tc>
        <w:tc>
          <w:tcPr>
            <w:tcW w:w="120" w:type="dxa"/>
            <w:vAlign w:val="bottom"/>
          </w:tcPr>
          <w:p>
            <w:pPr>
              <w:spacing w:after="0"/>
              <w:rPr>
                <w:sz w:val="12"/>
                <w:szCs w:val="12"/>
                <w:color w:val="auto"/>
              </w:rPr>
            </w:pPr>
          </w:p>
        </w:tc>
      </w:tr>
      <w:tr>
        <w:trPr>
          <w:trHeight w:val="142"/>
        </w:trPr>
        <w:tc>
          <w:tcPr>
            <w:tcW w:w="20" w:type="dxa"/>
            <w:vAlign w:val="bottom"/>
          </w:tcPr>
          <w:p>
            <w:pPr>
              <w:spacing w:after="0"/>
              <w:rPr>
                <w:sz w:val="12"/>
                <w:szCs w:val="12"/>
                <w:color w:val="auto"/>
              </w:rPr>
            </w:pPr>
          </w:p>
        </w:tc>
        <w:tc>
          <w:tcPr>
            <w:tcW w:w="73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800" w:type="dxa"/>
            <w:vAlign w:val="bottom"/>
            <w:gridSpan w:val="5"/>
          </w:tcPr>
          <w:p>
            <w:pPr>
              <w:jc w:val="right"/>
              <w:ind w:right="160"/>
              <w:spacing w:after="0" w:line="142" w:lineRule="exact"/>
              <w:rPr>
                <w:sz w:val="20"/>
                <w:szCs w:val="20"/>
                <w:color w:val="auto"/>
              </w:rPr>
            </w:pPr>
            <w:r>
              <w:rPr>
                <w:rFonts w:ascii="Arial" w:cs="Arial" w:eastAsia="Arial" w:hAnsi="Arial"/>
                <w:sz w:val="14"/>
                <w:szCs w:val="14"/>
                <w:b w:val="1"/>
                <w:bCs w:val="1"/>
                <w:color w:val="auto"/>
                <w:w w:val="93"/>
              </w:rPr>
              <w:t>(Unaudited, in thousands)</w:t>
            </w:r>
          </w:p>
        </w:tc>
        <w:tc>
          <w:tcPr>
            <w:tcW w:w="1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120" w:type="dxa"/>
            <w:vAlign w:val="bottom"/>
          </w:tcPr>
          <w:p>
            <w:pPr>
              <w:spacing w:after="0"/>
              <w:rPr>
                <w:sz w:val="12"/>
                <w:szCs w:val="12"/>
                <w:color w:val="auto"/>
              </w:rPr>
            </w:pPr>
          </w:p>
        </w:tc>
      </w:tr>
      <w:tr>
        <w:trPr>
          <w:trHeight w:val="216"/>
        </w:trPr>
        <w:tc>
          <w:tcPr>
            <w:tcW w:w="20" w:type="dxa"/>
            <w:vAlign w:val="bottom"/>
          </w:tcPr>
          <w:p>
            <w:pPr>
              <w:spacing w:after="0"/>
              <w:rPr>
                <w:sz w:val="18"/>
                <w:szCs w:val="18"/>
                <w:color w:val="auto"/>
              </w:rPr>
            </w:pPr>
          </w:p>
        </w:tc>
        <w:tc>
          <w:tcPr>
            <w:tcW w:w="7360" w:type="dxa"/>
            <w:vAlign w:val="bottom"/>
            <w:shd w:val="clear" w:color="auto" w:fill="CCEEFF"/>
          </w:tcPr>
          <w:p>
            <w:pPr>
              <w:spacing w:after="0"/>
              <w:rPr>
                <w:sz w:val="20"/>
                <w:szCs w:val="20"/>
                <w:color w:val="auto"/>
              </w:rPr>
            </w:pPr>
            <w:r>
              <w:rPr>
                <w:rFonts w:ascii="Arial" w:cs="Arial" w:eastAsia="Arial" w:hAnsi="Arial"/>
                <w:sz w:val="18"/>
                <w:szCs w:val="18"/>
                <w:color w:val="auto"/>
              </w:rPr>
              <w:t>Net income</w:t>
            </w:r>
          </w:p>
        </w:tc>
        <w:tc>
          <w:tcPr>
            <w:tcW w:w="6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w w:val="89"/>
              </w:rPr>
              <w:t>$46,038</w:t>
            </w:r>
          </w:p>
        </w:tc>
        <w:tc>
          <w:tcPr>
            <w:tcW w:w="180" w:type="dxa"/>
            <w:vAlign w:val="bottom"/>
            <w:shd w:val="clear" w:color="auto" w:fill="CCEEFF"/>
          </w:tcPr>
          <w:p>
            <w:pPr>
              <w:spacing w:after="0"/>
              <w:rPr>
                <w:sz w:val="18"/>
                <w:szCs w:val="18"/>
                <w:color w:val="auto"/>
              </w:rPr>
            </w:pPr>
          </w:p>
        </w:tc>
        <w:tc>
          <w:tcPr>
            <w:tcW w:w="7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$39,847</w:t>
            </w:r>
          </w:p>
        </w:tc>
        <w:tc>
          <w:tcPr>
            <w:tcW w:w="18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w w:val="99"/>
              </w:rPr>
              <w:t>$ 119,719</w:t>
            </w:r>
          </w:p>
        </w:tc>
        <w:tc>
          <w:tcPr>
            <w:tcW w:w="200" w:type="dxa"/>
            <w:vAlign w:val="bottom"/>
            <w:shd w:val="clear" w:color="auto" w:fill="CCEEFF"/>
          </w:tcPr>
          <w:p>
            <w:pPr>
              <w:spacing w:after="0"/>
              <w:rPr>
                <w:sz w:val="18"/>
                <w:szCs w:val="18"/>
                <w:color w:val="auto"/>
              </w:rPr>
            </w:pPr>
          </w:p>
        </w:tc>
        <w:tc>
          <w:tcPr>
            <w:tcW w:w="2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95,759</w:t>
            </w:r>
          </w:p>
        </w:tc>
        <w:tc>
          <w:tcPr>
            <w:tcW w:w="120" w:type="dxa"/>
            <w:vAlign w:val="bottom"/>
            <w:shd w:val="clear" w:color="auto" w:fill="CCEEFF"/>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7360" w:type="dxa"/>
            <w:vAlign w:val="bottom"/>
          </w:tcPr>
          <w:p>
            <w:pPr>
              <w:spacing w:after="0"/>
              <w:rPr>
                <w:sz w:val="20"/>
                <w:szCs w:val="20"/>
                <w:color w:val="auto"/>
              </w:rPr>
            </w:pPr>
            <w:r>
              <w:rPr>
                <w:rFonts w:ascii="Arial" w:cs="Arial" w:eastAsia="Arial" w:hAnsi="Arial"/>
                <w:sz w:val="18"/>
                <w:szCs w:val="18"/>
                <w:color w:val="auto"/>
              </w:rPr>
              <w:t>Plus: interest expense</w:t>
            </w:r>
          </w:p>
        </w:tc>
        <w:tc>
          <w:tcPr>
            <w:tcW w:w="600" w:type="dxa"/>
            <w:vAlign w:val="bottom"/>
            <w:gridSpan w:val="2"/>
          </w:tcPr>
          <w:p>
            <w:pPr>
              <w:jc w:val="right"/>
              <w:spacing w:after="0"/>
              <w:rPr>
                <w:sz w:val="20"/>
                <w:szCs w:val="20"/>
                <w:color w:val="auto"/>
              </w:rPr>
            </w:pPr>
            <w:r>
              <w:rPr>
                <w:rFonts w:ascii="Arial" w:cs="Arial" w:eastAsia="Arial" w:hAnsi="Arial"/>
                <w:sz w:val="18"/>
                <w:szCs w:val="18"/>
                <w:color w:val="auto"/>
              </w:rPr>
              <w:t>57</w:t>
            </w:r>
          </w:p>
        </w:tc>
        <w:tc>
          <w:tcPr>
            <w:tcW w:w="180" w:type="dxa"/>
            <w:vAlign w:val="bottom"/>
          </w:tcPr>
          <w:p>
            <w:pPr>
              <w:spacing w:after="0"/>
              <w:rPr>
                <w:sz w:val="18"/>
                <w:szCs w:val="18"/>
                <w:color w:val="auto"/>
              </w:rPr>
            </w:pPr>
          </w:p>
        </w:tc>
        <w:tc>
          <w:tcPr>
            <w:tcW w:w="740" w:type="dxa"/>
            <w:vAlign w:val="bottom"/>
            <w:gridSpan w:val="2"/>
          </w:tcPr>
          <w:p>
            <w:pPr>
              <w:jc w:val="right"/>
              <w:spacing w:after="0"/>
              <w:rPr>
                <w:sz w:val="20"/>
                <w:szCs w:val="20"/>
                <w:color w:val="auto"/>
              </w:rPr>
            </w:pPr>
            <w:r>
              <w:rPr>
                <w:rFonts w:ascii="Arial" w:cs="Arial" w:eastAsia="Arial" w:hAnsi="Arial"/>
                <w:sz w:val="18"/>
                <w:szCs w:val="18"/>
                <w:color w:val="auto"/>
              </w:rPr>
              <w:t>495</w:t>
            </w:r>
          </w:p>
        </w:tc>
        <w:tc>
          <w:tcPr>
            <w:tcW w:w="180" w:type="dxa"/>
            <w:vAlign w:val="bottom"/>
          </w:tcPr>
          <w:p>
            <w:pPr>
              <w:spacing w:after="0"/>
              <w:rPr>
                <w:sz w:val="18"/>
                <w:szCs w:val="18"/>
                <w:color w:val="auto"/>
              </w:rPr>
            </w:pPr>
          </w:p>
        </w:tc>
        <w:tc>
          <w:tcPr>
            <w:tcW w:w="820" w:type="dxa"/>
            <w:vAlign w:val="bottom"/>
            <w:gridSpan w:val="2"/>
          </w:tcPr>
          <w:p>
            <w:pPr>
              <w:jc w:val="right"/>
              <w:spacing w:after="0"/>
              <w:rPr>
                <w:sz w:val="20"/>
                <w:szCs w:val="20"/>
                <w:color w:val="auto"/>
              </w:rPr>
            </w:pPr>
            <w:r>
              <w:rPr>
                <w:rFonts w:ascii="Arial" w:cs="Arial" w:eastAsia="Arial" w:hAnsi="Arial"/>
                <w:sz w:val="18"/>
                <w:szCs w:val="18"/>
                <w:color w:val="auto"/>
              </w:rPr>
              <w:t>403</w:t>
            </w:r>
          </w:p>
        </w:tc>
        <w:tc>
          <w:tcPr>
            <w:tcW w:w="2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1,075</w:t>
            </w:r>
          </w:p>
        </w:tc>
        <w:tc>
          <w:tcPr>
            <w:tcW w:w="12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7360" w:type="dxa"/>
            <w:vAlign w:val="bottom"/>
            <w:shd w:val="clear" w:color="auto" w:fill="CCEEFF"/>
          </w:tcPr>
          <w:p>
            <w:pPr>
              <w:spacing w:after="0"/>
              <w:rPr>
                <w:sz w:val="20"/>
                <w:szCs w:val="20"/>
                <w:color w:val="auto"/>
              </w:rPr>
            </w:pPr>
            <w:r>
              <w:rPr>
                <w:rFonts w:ascii="Arial" w:cs="Arial" w:eastAsia="Arial" w:hAnsi="Arial"/>
                <w:sz w:val="18"/>
                <w:szCs w:val="18"/>
                <w:color w:val="auto"/>
              </w:rPr>
              <w:t>Less: interest income and other</w:t>
            </w:r>
          </w:p>
        </w:tc>
        <w:tc>
          <w:tcPr>
            <w:tcW w:w="780" w:type="dxa"/>
            <w:vAlign w:val="bottom"/>
            <w:gridSpan w:val="3"/>
            <w:shd w:val="clear" w:color="auto" w:fill="CCEEFF"/>
          </w:tcPr>
          <w:p>
            <w:pPr>
              <w:jc w:val="right"/>
              <w:ind w:right="120"/>
              <w:spacing w:after="0"/>
              <w:rPr>
                <w:sz w:val="20"/>
                <w:szCs w:val="20"/>
                <w:color w:val="auto"/>
              </w:rPr>
            </w:pPr>
            <w:r>
              <w:rPr>
                <w:rFonts w:ascii="Arial" w:cs="Arial" w:eastAsia="Arial" w:hAnsi="Arial"/>
                <w:sz w:val="18"/>
                <w:szCs w:val="18"/>
                <w:color w:val="auto"/>
              </w:rPr>
              <w:t>(1,567)</w:t>
            </w:r>
          </w:p>
        </w:tc>
        <w:tc>
          <w:tcPr>
            <w:tcW w:w="920" w:type="dxa"/>
            <w:vAlign w:val="bottom"/>
            <w:gridSpan w:val="3"/>
            <w:shd w:val="clear" w:color="auto" w:fill="CCEEFF"/>
          </w:tcPr>
          <w:p>
            <w:pPr>
              <w:jc w:val="right"/>
              <w:ind w:right="120"/>
              <w:spacing w:after="0"/>
              <w:rPr>
                <w:sz w:val="20"/>
                <w:szCs w:val="20"/>
                <w:color w:val="auto"/>
              </w:rPr>
            </w:pPr>
            <w:r>
              <w:rPr>
                <w:rFonts w:ascii="Arial" w:cs="Arial" w:eastAsia="Arial" w:hAnsi="Arial"/>
                <w:sz w:val="18"/>
                <w:szCs w:val="18"/>
                <w:color w:val="auto"/>
              </w:rPr>
              <w:t>(739)</w:t>
            </w:r>
          </w:p>
        </w:tc>
        <w:tc>
          <w:tcPr>
            <w:tcW w:w="1020" w:type="dxa"/>
            <w:vAlign w:val="bottom"/>
            <w:gridSpan w:val="3"/>
            <w:shd w:val="clear" w:color="auto" w:fill="CCEEFF"/>
          </w:tcPr>
          <w:p>
            <w:pPr>
              <w:jc w:val="right"/>
              <w:ind w:right="140"/>
              <w:spacing w:after="0"/>
              <w:rPr>
                <w:sz w:val="20"/>
                <w:szCs w:val="20"/>
                <w:color w:val="auto"/>
              </w:rPr>
            </w:pPr>
            <w:r>
              <w:rPr>
                <w:rFonts w:ascii="Arial" w:cs="Arial" w:eastAsia="Arial" w:hAnsi="Arial"/>
                <w:sz w:val="18"/>
                <w:szCs w:val="18"/>
                <w:color w:val="auto"/>
              </w:rPr>
              <w:t>(2,548)</w:t>
            </w: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(741)</w:t>
            </w:r>
          </w:p>
        </w:tc>
      </w:tr>
      <w:tr>
        <w:trPr>
          <w:trHeight w:val="216"/>
        </w:trPr>
        <w:tc>
          <w:tcPr>
            <w:tcW w:w="20" w:type="dxa"/>
            <w:vAlign w:val="bottom"/>
          </w:tcPr>
          <w:p>
            <w:pPr>
              <w:spacing w:after="0"/>
              <w:rPr>
                <w:sz w:val="18"/>
                <w:szCs w:val="18"/>
                <w:color w:val="auto"/>
              </w:rPr>
            </w:pPr>
          </w:p>
        </w:tc>
        <w:tc>
          <w:tcPr>
            <w:tcW w:w="7360" w:type="dxa"/>
            <w:vAlign w:val="bottom"/>
          </w:tcPr>
          <w:p>
            <w:pPr>
              <w:spacing w:after="0"/>
              <w:rPr>
                <w:sz w:val="20"/>
                <w:szCs w:val="20"/>
                <w:color w:val="auto"/>
              </w:rPr>
            </w:pPr>
            <w:r>
              <w:rPr>
                <w:rFonts w:ascii="Arial" w:cs="Arial" w:eastAsia="Arial" w:hAnsi="Arial"/>
                <w:sz w:val="18"/>
                <w:szCs w:val="18"/>
                <w:color w:val="auto"/>
              </w:rPr>
              <w:t>Plus: income tax expense</w:t>
            </w:r>
          </w:p>
        </w:tc>
        <w:tc>
          <w:tcPr>
            <w:tcW w:w="600" w:type="dxa"/>
            <w:vAlign w:val="bottom"/>
            <w:gridSpan w:val="2"/>
          </w:tcPr>
          <w:p>
            <w:pPr>
              <w:jc w:val="right"/>
              <w:spacing w:after="0"/>
              <w:rPr>
                <w:sz w:val="20"/>
                <w:szCs w:val="20"/>
                <w:color w:val="auto"/>
              </w:rPr>
            </w:pPr>
            <w:r>
              <w:rPr>
                <w:rFonts w:ascii="Arial" w:cs="Arial" w:eastAsia="Arial" w:hAnsi="Arial"/>
                <w:sz w:val="18"/>
                <w:szCs w:val="18"/>
                <w:color w:val="auto"/>
              </w:rPr>
              <w:t>13,960</w:t>
            </w:r>
          </w:p>
        </w:tc>
        <w:tc>
          <w:tcPr>
            <w:tcW w:w="180" w:type="dxa"/>
            <w:vAlign w:val="bottom"/>
          </w:tcPr>
          <w:p>
            <w:pPr>
              <w:spacing w:after="0"/>
              <w:rPr>
                <w:sz w:val="18"/>
                <w:szCs w:val="18"/>
                <w:color w:val="auto"/>
              </w:rPr>
            </w:pPr>
          </w:p>
        </w:tc>
        <w:tc>
          <w:tcPr>
            <w:tcW w:w="740" w:type="dxa"/>
            <w:vAlign w:val="bottom"/>
            <w:gridSpan w:val="2"/>
          </w:tcPr>
          <w:p>
            <w:pPr>
              <w:jc w:val="right"/>
              <w:spacing w:after="0"/>
              <w:rPr>
                <w:sz w:val="20"/>
                <w:szCs w:val="20"/>
                <w:color w:val="auto"/>
              </w:rPr>
            </w:pPr>
            <w:r>
              <w:rPr>
                <w:rFonts w:ascii="Arial" w:cs="Arial" w:eastAsia="Arial" w:hAnsi="Arial"/>
                <w:sz w:val="18"/>
                <w:szCs w:val="18"/>
                <w:color w:val="auto"/>
              </w:rPr>
              <w:t>15,485</w:t>
            </w:r>
          </w:p>
        </w:tc>
        <w:tc>
          <w:tcPr>
            <w:tcW w:w="180" w:type="dxa"/>
            <w:vAlign w:val="bottom"/>
          </w:tcPr>
          <w:p>
            <w:pPr>
              <w:spacing w:after="0"/>
              <w:rPr>
                <w:sz w:val="18"/>
                <w:szCs w:val="18"/>
                <w:color w:val="auto"/>
              </w:rPr>
            </w:pPr>
          </w:p>
        </w:tc>
        <w:tc>
          <w:tcPr>
            <w:tcW w:w="820" w:type="dxa"/>
            <w:vAlign w:val="bottom"/>
            <w:gridSpan w:val="2"/>
          </w:tcPr>
          <w:p>
            <w:pPr>
              <w:jc w:val="right"/>
              <w:spacing w:after="0"/>
              <w:rPr>
                <w:sz w:val="20"/>
                <w:szCs w:val="20"/>
                <w:color w:val="auto"/>
              </w:rPr>
            </w:pPr>
            <w:r>
              <w:rPr>
                <w:rFonts w:ascii="Arial" w:cs="Arial" w:eastAsia="Arial" w:hAnsi="Arial"/>
                <w:sz w:val="18"/>
                <w:szCs w:val="18"/>
                <w:color w:val="auto"/>
              </w:rPr>
              <w:t>31,006</w:t>
            </w:r>
          </w:p>
        </w:tc>
        <w:tc>
          <w:tcPr>
            <w:tcW w:w="2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35,623</w:t>
            </w:r>
          </w:p>
        </w:tc>
        <w:tc>
          <w:tcPr>
            <w:tcW w:w="12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7360" w:type="dxa"/>
            <w:vAlign w:val="bottom"/>
            <w:shd w:val="clear" w:color="auto" w:fill="CCEEFF"/>
          </w:tcPr>
          <w:p>
            <w:pPr>
              <w:spacing w:after="0"/>
              <w:rPr>
                <w:sz w:val="20"/>
                <w:szCs w:val="20"/>
                <w:color w:val="auto"/>
              </w:rPr>
            </w:pPr>
            <w:r>
              <w:rPr>
                <w:rFonts w:ascii="Arial" w:cs="Arial" w:eastAsia="Arial" w:hAnsi="Arial"/>
                <w:sz w:val="18"/>
                <w:szCs w:val="18"/>
                <w:color w:val="auto"/>
              </w:rPr>
              <w:t>Plus: depreciation and amortization</w:t>
            </w:r>
          </w:p>
        </w:tc>
        <w:tc>
          <w:tcPr>
            <w:tcW w:w="6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13,950</w:t>
            </w:r>
          </w:p>
        </w:tc>
        <w:tc>
          <w:tcPr>
            <w:tcW w:w="180" w:type="dxa"/>
            <w:vAlign w:val="bottom"/>
            <w:shd w:val="clear" w:color="auto" w:fill="CCEEFF"/>
          </w:tcPr>
          <w:p>
            <w:pPr>
              <w:spacing w:after="0"/>
              <w:rPr>
                <w:sz w:val="18"/>
                <w:szCs w:val="18"/>
                <w:color w:val="auto"/>
              </w:rPr>
            </w:pPr>
          </w:p>
        </w:tc>
        <w:tc>
          <w:tcPr>
            <w:tcW w:w="7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13,515</w:t>
            </w:r>
          </w:p>
        </w:tc>
        <w:tc>
          <w:tcPr>
            <w:tcW w:w="18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27,823</w:t>
            </w:r>
          </w:p>
        </w:tc>
        <w:tc>
          <w:tcPr>
            <w:tcW w:w="2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26,708</w:t>
            </w:r>
          </w:p>
        </w:tc>
        <w:tc>
          <w:tcPr>
            <w:tcW w:w="120" w:type="dxa"/>
            <w:vAlign w:val="bottom"/>
            <w:shd w:val="clear" w:color="auto" w:fill="CCEEFF"/>
          </w:tcPr>
          <w:p>
            <w:pPr>
              <w:spacing w:after="0"/>
              <w:rPr>
                <w:sz w:val="18"/>
                <w:szCs w:val="18"/>
                <w:color w:val="auto"/>
              </w:rPr>
            </w:pPr>
          </w:p>
        </w:tc>
      </w:tr>
      <w:tr>
        <w:trPr>
          <w:trHeight w:val="230"/>
        </w:trPr>
        <w:tc>
          <w:tcPr>
            <w:tcW w:w="20" w:type="dxa"/>
            <w:vAlign w:val="bottom"/>
          </w:tcPr>
          <w:p>
            <w:pPr>
              <w:spacing w:after="0"/>
              <w:rPr>
                <w:sz w:val="20"/>
                <w:szCs w:val="20"/>
                <w:color w:val="auto"/>
              </w:rPr>
            </w:pPr>
          </w:p>
        </w:tc>
        <w:tc>
          <w:tcPr>
            <w:tcW w:w="7360" w:type="dxa"/>
            <w:vAlign w:val="bottom"/>
          </w:tcPr>
          <w:p>
            <w:pPr>
              <w:ind w:left="340"/>
              <w:spacing w:after="0"/>
              <w:rPr>
                <w:sz w:val="20"/>
                <w:szCs w:val="20"/>
                <w:color w:val="auto"/>
              </w:rPr>
            </w:pPr>
            <w:r>
              <w:rPr>
                <w:rFonts w:ascii="Arial" w:cs="Arial" w:eastAsia="Arial" w:hAnsi="Arial"/>
                <w:sz w:val="18"/>
                <w:szCs w:val="18"/>
                <w:color w:val="auto"/>
              </w:rPr>
              <w:t>EBITDA</w:t>
            </w:r>
          </w:p>
        </w:tc>
        <w:tc>
          <w:tcPr>
            <w:tcW w:w="20" w:type="dxa"/>
            <w:vAlign w:val="bottom"/>
          </w:tcPr>
          <w:p>
            <w:pPr>
              <w:spacing w:after="0"/>
              <w:rPr>
                <w:sz w:val="20"/>
                <w:szCs w:val="20"/>
                <w:color w:val="auto"/>
              </w:rPr>
            </w:pPr>
          </w:p>
        </w:tc>
        <w:tc>
          <w:tcPr>
            <w:tcW w:w="5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72,438</w:t>
            </w:r>
          </w:p>
        </w:tc>
        <w:tc>
          <w:tcPr>
            <w:tcW w:w="18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6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68,603</w:t>
            </w:r>
          </w:p>
        </w:tc>
        <w:tc>
          <w:tcPr>
            <w:tcW w:w="18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6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176,403</w:t>
            </w:r>
          </w:p>
        </w:tc>
        <w:tc>
          <w:tcPr>
            <w:tcW w:w="2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80" w:type="dxa"/>
            <w:vAlign w:val="bottom"/>
            <w:tcBorders>
              <w:top w:val="single" w:sz="8" w:color="auto"/>
              <w:bottom w:val="single" w:sz="8" w:color="auto"/>
            </w:tcBorders>
          </w:tcPr>
          <w:p>
            <w:pPr>
              <w:spacing w:after="0"/>
              <w:rPr>
                <w:sz w:val="20"/>
                <w:szCs w:val="20"/>
                <w:color w:val="auto"/>
              </w:rPr>
            </w:pPr>
          </w:p>
        </w:tc>
        <w:tc>
          <w:tcPr>
            <w:tcW w:w="6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89"/>
              </w:rPr>
              <w:t>158,424</w:t>
            </w:r>
          </w:p>
        </w:tc>
        <w:tc>
          <w:tcPr>
            <w:tcW w:w="120" w:type="dxa"/>
            <w:vAlign w:val="bottom"/>
          </w:tcPr>
          <w:p>
            <w:pPr>
              <w:spacing w:after="0"/>
              <w:rPr>
                <w:sz w:val="20"/>
                <w:szCs w:val="20"/>
                <w:color w:val="auto"/>
              </w:rPr>
            </w:pPr>
          </w:p>
        </w:tc>
      </w:tr>
      <w:tr>
        <w:trPr>
          <w:trHeight w:val="216"/>
        </w:trPr>
        <w:tc>
          <w:tcPr>
            <w:tcW w:w="20" w:type="dxa"/>
            <w:vAlign w:val="bottom"/>
          </w:tcPr>
          <w:p>
            <w:pPr>
              <w:spacing w:after="0"/>
              <w:rPr>
                <w:sz w:val="18"/>
                <w:szCs w:val="18"/>
                <w:color w:val="auto"/>
              </w:rPr>
            </w:pPr>
          </w:p>
        </w:tc>
        <w:tc>
          <w:tcPr>
            <w:tcW w:w="7360" w:type="dxa"/>
            <w:vAlign w:val="bottom"/>
            <w:shd w:val="clear" w:color="auto" w:fill="CCEEFF"/>
          </w:tcPr>
          <w:p>
            <w:pPr>
              <w:spacing w:after="0"/>
              <w:rPr>
                <w:sz w:val="20"/>
                <w:szCs w:val="20"/>
                <w:color w:val="auto"/>
              </w:rPr>
            </w:pPr>
            <w:r>
              <w:rPr>
                <w:rFonts w:ascii="Arial" w:cs="Arial" w:eastAsia="Arial" w:hAnsi="Arial"/>
                <w:sz w:val="18"/>
                <w:szCs w:val="18"/>
                <w:color w:val="auto"/>
              </w:rPr>
              <w:t>Plus: royalty to former owner</w:t>
            </w:r>
          </w:p>
        </w:tc>
        <w:tc>
          <w:tcPr>
            <w:tcW w:w="6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74</w:t>
            </w:r>
          </w:p>
        </w:tc>
        <w:tc>
          <w:tcPr>
            <w:tcW w:w="180" w:type="dxa"/>
            <w:vAlign w:val="bottom"/>
            <w:shd w:val="clear" w:color="auto" w:fill="CCEEFF"/>
          </w:tcPr>
          <w:p>
            <w:pPr>
              <w:spacing w:after="0"/>
              <w:rPr>
                <w:sz w:val="18"/>
                <w:szCs w:val="18"/>
                <w:color w:val="auto"/>
              </w:rPr>
            </w:pPr>
          </w:p>
        </w:tc>
        <w:tc>
          <w:tcPr>
            <w:tcW w:w="7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74</w:t>
            </w:r>
          </w:p>
        </w:tc>
        <w:tc>
          <w:tcPr>
            <w:tcW w:w="18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148</w:t>
            </w:r>
          </w:p>
        </w:tc>
        <w:tc>
          <w:tcPr>
            <w:tcW w:w="2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148</w:t>
            </w:r>
          </w:p>
        </w:tc>
        <w:tc>
          <w:tcPr>
            <w:tcW w:w="120" w:type="dxa"/>
            <w:vAlign w:val="bottom"/>
            <w:shd w:val="clear" w:color="auto" w:fill="CCEEFF"/>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7360" w:type="dxa"/>
            <w:vAlign w:val="bottom"/>
          </w:tcPr>
          <w:p>
            <w:pPr>
              <w:spacing w:after="0"/>
              <w:rPr>
                <w:sz w:val="20"/>
                <w:szCs w:val="20"/>
                <w:color w:val="auto"/>
              </w:rPr>
            </w:pPr>
            <w:r>
              <w:rPr>
                <w:rFonts w:ascii="Arial" w:cs="Arial" w:eastAsia="Arial" w:hAnsi="Arial"/>
                <w:sz w:val="18"/>
                <w:szCs w:val="18"/>
                <w:color w:val="auto"/>
              </w:rPr>
              <w:t>Plus: asset impairment and other fixed asset write-offs</w:t>
            </w:r>
          </w:p>
        </w:tc>
        <w:tc>
          <w:tcPr>
            <w:tcW w:w="600" w:type="dxa"/>
            <w:vAlign w:val="bottom"/>
            <w:gridSpan w:val="2"/>
          </w:tcPr>
          <w:p>
            <w:pPr>
              <w:jc w:val="right"/>
              <w:spacing w:after="0"/>
              <w:rPr>
                <w:sz w:val="20"/>
                <w:szCs w:val="20"/>
                <w:color w:val="auto"/>
              </w:rPr>
            </w:pPr>
            <w:r>
              <w:rPr>
                <w:rFonts w:ascii="Arial" w:cs="Arial" w:eastAsia="Arial" w:hAnsi="Arial"/>
                <w:sz w:val="18"/>
                <w:szCs w:val="18"/>
                <w:color w:val="auto"/>
              </w:rPr>
              <w:t>8</w:t>
            </w:r>
          </w:p>
        </w:tc>
        <w:tc>
          <w:tcPr>
            <w:tcW w:w="180" w:type="dxa"/>
            <w:vAlign w:val="bottom"/>
          </w:tcPr>
          <w:p>
            <w:pPr>
              <w:spacing w:after="0"/>
              <w:rPr>
                <w:sz w:val="18"/>
                <w:szCs w:val="18"/>
                <w:color w:val="auto"/>
              </w:rPr>
            </w:pPr>
          </w:p>
        </w:tc>
        <w:tc>
          <w:tcPr>
            <w:tcW w:w="740" w:type="dxa"/>
            <w:vAlign w:val="bottom"/>
            <w:gridSpan w:val="2"/>
          </w:tcPr>
          <w:p>
            <w:pPr>
              <w:jc w:val="right"/>
              <w:spacing w:after="0"/>
              <w:rPr>
                <w:sz w:val="20"/>
                <w:szCs w:val="20"/>
                <w:color w:val="auto"/>
              </w:rPr>
            </w:pPr>
            <w:r>
              <w:rPr>
                <w:rFonts w:ascii="Arial" w:cs="Arial" w:eastAsia="Arial" w:hAnsi="Arial"/>
                <w:sz w:val="18"/>
                <w:szCs w:val="18"/>
                <w:color w:val="auto"/>
              </w:rPr>
              <w:t>92</w:t>
            </w:r>
          </w:p>
        </w:tc>
        <w:tc>
          <w:tcPr>
            <w:tcW w:w="180" w:type="dxa"/>
            <w:vAlign w:val="bottom"/>
          </w:tcPr>
          <w:p>
            <w:pPr>
              <w:spacing w:after="0"/>
              <w:rPr>
                <w:sz w:val="18"/>
                <w:szCs w:val="18"/>
                <w:color w:val="auto"/>
              </w:rPr>
            </w:pPr>
          </w:p>
        </w:tc>
        <w:tc>
          <w:tcPr>
            <w:tcW w:w="820" w:type="dxa"/>
            <w:vAlign w:val="bottom"/>
            <w:gridSpan w:val="2"/>
          </w:tcPr>
          <w:p>
            <w:pPr>
              <w:jc w:val="right"/>
              <w:spacing w:after="0"/>
              <w:rPr>
                <w:sz w:val="20"/>
                <w:szCs w:val="20"/>
                <w:color w:val="auto"/>
              </w:rPr>
            </w:pPr>
            <w:r>
              <w:rPr>
                <w:rFonts w:ascii="Arial" w:cs="Arial" w:eastAsia="Arial" w:hAnsi="Arial"/>
                <w:sz w:val="18"/>
                <w:szCs w:val="18"/>
                <w:color w:val="auto"/>
              </w:rPr>
              <w:t>8</w:t>
            </w:r>
          </w:p>
        </w:tc>
        <w:tc>
          <w:tcPr>
            <w:tcW w:w="2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214</w:t>
            </w:r>
          </w:p>
        </w:tc>
        <w:tc>
          <w:tcPr>
            <w:tcW w:w="12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7360" w:type="dxa"/>
            <w:vAlign w:val="bottom"/>
            <w:shd w:val="clear" w:color="auto" w:fill="CCEEFF"/>
          </w:tcPr>
          <w:p>
            <w:pPr>
              <w:spacing w:after="0"/>
              <w:rPr>
                <w:sz w:val="20"/>
                <w:szCs w:val="20"/>
                <w:color w:val="auto"/>
              </w:rPr>
            </w:pPr>
            <w:r>
              <w:rPr>
                <w:rFonts w:ascii="Arial" w:cs="Arial" w:eastAsia="Arial" w:hAnsi="Arial"/>
                <w:sz w:val="18"/>
                <w:szCs w:val="18"/>
                <w:color w:val="auto"/>
              </w:rPr>
              <w:t>Plus: costs related to conversion back to a non-profit status</w:t>
            </w:r>
          </w:p>
        </w:tc>
        <w:tc>
          <w:tcPr>
            <w:tcW w:w="6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1,503</w:t>
            </w:r>
          </w:p>
        </w:tc>
        <w:tc>
          <w:tcPr>
            <w:tcW w:w="1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w:t>
            </w:r>
          </w:p>
        </w:tc>
        <w:tc>
          <w:tcPr>
            <w:tcW w:w="8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1,990</w:t>
            </w:r>
          </w:p>
        </w:tc>
        <w:tc>
          <w:tcPr>
            <w:tcW w:w="2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w:t>
            </w:r>
          </w:p>
        </w:tc>
      </w:tr>
      <w:tr>
        <w:trPr>
          <w:trHeight w:val="216"/>
        </w:trPr>
        <w:tc>
          <w:tcPr>
            <w:tcW w:w="20" w:type="dxa"/>
            <w:vAlign w:val="bottom"/>
          </w:tcPr>
          <w:p>
            <w:pPr>
              <w:spacing w:after="0"/>
              <w:rPr>
                <w:sz w:val="18"/>
                <w:szCs w:val="18"/>
                <w:color w:val="auto"/>
              </w:rPr>
            </w:pPr>
          </w:p>
        </w:tc>
        <w:tc>
          <w:tcPr>
            <w:tcW w:w="7360" w:type="dxa"/>
            <w:vAlign w:val="bottom"/>
          </w:tcPr>
          <w:p>
            <w:pPr>
              <w:spacing w:after="0"/>
              <w:rPr>
                <w:sz w:val="20"/>
                <w:szCs w:val="20"/>
                <w:color w:val="auto"/>
              </w:rPr>
            </w:pPr>
            <w:r>
              <w:rPr>
                <w:rFonts w:ascii="Arial" w:cs="Arial" w:eastAsia="Arial" w:hAnsi="Arial"/>
                <w:sz w:val="18"/>
                <w:szCs w:val="18"/>
                <w:color w:val="auto"/>
              </w:rPr>
              <w:t>Plus: estimated litigation and regulatory reserves</w:t>
            </w:r>
          </w:p>
        </w:tc>
        <w:tc>
          <w:tcPr>
            <w:tcW w:w="20" w:type="dxa"/>
            <w:vAlign w:val="bottom"/>
          </w:tcPr>
          <w:p>
            <w:pPr>
              <w:spacing w:after="0"/>
              <w:rPr>
                <w:sz w:val="18"/>
                <w:szCs w:val="18"/>
                <w:color w:val="auto"/>
              </w:rPr>
            </w:pPr>
          </w:p>
        </w:tc>
        <w:tc>
          <w:tcPr>
            <w:tcW w:w="760" w:type="dxa"/>
            <w:vAlign w:val="bottom"/>
            <w:gridSpan w:val="2"/>
          </w:tcPr>
          <w:p>
            <w:pPr>
              <w:jc w:val="right"/>
              <w:ind w:right="180"/>
              <w:spacing w:after="0"/>
              <w:rPr>
                <w:sz w:val="20"/>
                <w:szCs w:val="20"/>
                <w:color w:val="auto"/>
              </w:rPr>
            </w:pPr>
            <w:r>
              <w:rPr>
                <w:rFonts w:ascii="Arial" w:cs="Arial" w:eastAsia="Arial" w:hAnsi="Arial"/>
                <w:sz w:val="18"/>
                <w:szCs w:val="18"/>
                <w:color w:val="auto"/>
              </w:rPr>
              <w:t>—</w:t>
            </w:r>
          </w:p>
        </w:tc>
        <w:tc>
          <w:tcPr>
            <w:tcW w:w="740" w:type="dxa"/>
            <w:vAlign w:val="bottom"/>
            <w:gridSpan w:val="2"/>
          </w:tcPr>
          <w:p>
            <w:pPr>
              <w:jc w:val="right"/>
              <w:spacing w:after="0"/>
              <w:rPr>
                <w:sz w:val="20"/>
                <w:szCs w:val="20"/>
                <w:color w:val="auto"/>
              </w:rPr>
            </w:pPr>
            <w:r>
              <w:rPr>
                <w:rFonts w:ascii="Arial" w:cs="Arial" w:eastAsia="Arial" w:hAnsi="Arial"/>
                <w:sz w:val="18"/>
                <w:szCs w:val="18"/>
                <w:color w:val="auto"/>
              </w:rPr>
              <w:t>10</w:t>
            </w:r>
          </w:p>
        </w:tc>
        <w:tc>
          <w:tcPr>
            <w:tcW w:w="180" w:type="dxa"/>
            <w:vAlign w:val="bottom"/>
          </w:tcPr>
          <w:p>
            <w:pPr>
              <w:spacing w:after="0"/>
              <w:rPr>
                <w:sz w:val="18"/>
                <w:szCs w:val="18"/>
                <w:color w:val="auto"/>
              </w:rPr>
            </w:pPr>
          </w:p>
        </w:tc>
        <w:tc>
          <w:tcPr>
            <w:tcW w:w="820" w:type="dxa"/>
            <w:vAlign w:val="bottom"/>
            <w:gridSpan w:val="2"/>
          </w:tcPr>
          <w:p>
            <w:pPr>
              <w:jc w:val="right"/>
              <w:spacing w:after="0"/>
              <w:rPr>
                <w:sz w:val="20"/>
                <w:szCs w:val="20"/>
                <w:color w:val="auto"/>
              </w:rPr>
            </w:pPr>
            <w:r>
              <w:rPr>
                <w:rFonts w:ascii="Arial" w:cs="Arial" w:eastAsia="Arial" w:hAnsi="Arial"/>
                <w:sz w:val="18"/>
                <w:szCs w:val="18"/>
                <w:color w:val="auto"/>
              </w:rPr>
              <w:t>3</w:t>
            </w:r>
          </w:p>
        </w:tc>
        <w:tc>
          <w:tcPr>
            <w:tcW w:w="2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10</w:t>
            </w:r>
          </w:p>
        </w:tc>
        <w:tc>
          <w:tcPr>
            <w:tcW w:w="12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7360" w:type="dxa"/>
            <w:vAlign w:val="bottom"/>
            <w:shd w:val="clear" w:color="auto" w:fill="CCEEFF"/>
          </w:tcPr>
          <w:p>
            <w:pPr>
              <w:spacing w:after="0"/>
              <w:rPr>
                <w:sz w:val="20"/>
                <w:szCs w:val="20"/>
                <w:color w:val="auto"/>
              </w:rPr>
            </w:pPr>
            <w:r>
              <w:rPr>
                <w:rFonts w:ascii="Arial" w:cs="Arial" w:eastAsia="Arial" w:hAnsi="Arial"/>
                <w:sz w:val="18"/>
                <w:szCs w:val="18"/>
                <w:color w:val="auto"/>
              </w:rPr>
              <w:t>Plus: share-based compensation</w:t>
            </w:r>
          </w:p>
        </w:tc>
        <w:tc>
          <w:tcPr>
            <w:tcW w:w="6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3,265</w:t>
            </w:r>
          </w:p>
        </w:tc>
        <w:tc>
          <w:tcPr>
            <w:tcW w:w="180" w:type="dxa"/>
            <w:vAlign w:val="bottom"/>
            <w:shd w:val="clear" w:color="auto" w:fill="CCEEFF"/>
          </w:tcPr>
          <w:p>
            <w:pPr>
              <w:spacing w:after="0"/>
              <w:rPr>
                <w:sz w:val="18"/>
                <w:szCs w:val="18"/>
                <w:color w:val="auto"/>
              </w:rPr>
            </w:pPr>
          </w:p>
        </w:tc>
        <w:tc>
          <w:tcPr>
            <w:tcW w:w="7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3,298</w:t>
            </w:r>
          </w:p>
        </w:tc>
        <w:tc>
          <w:tcPr>
            <w:tcW w:w="18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6,734</w:t>
            </w:r>
          </w:p>
        </w:tc>
        <w:tc>
          <w:tcPr>
            <w:tcW w:w="2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6,229</w:t>
            </w:r>
          </w:p>
        </w:tc>
        <w:tc>
          <w:tcPr>
            <w:tcW w:w="120" w:type="dxa"/>
            <w:vAlign w:val="bottom"/>
            <w:shd w:val="clear" w:color="auto" w:fill="CCEEFF"/>
          </w:tcPr>
          <w:p>
            <w:pPr>
              <w:spacing w:after="0"/>
              <w:rPr>
                <w:sz w:val="18"/>
                <w:szCs w:val="18"/>
                <w:color w:val="auto"/>
              </w:rPr>
            </w:pPr>
          </w:p>
        </w:tc>
      </w:tr>
      <w:tr>
        <w:trPr>
          <w:trHeight w:val="223"/>
        </w:trPr>
        <w:tc>
          <w:tcPr>
            <w:tcW w:w="7380" w:type="dxa"/>
            <w:vAlign w:val="bottom"/>
            <w:gridSpan w:val="2"/>
          </w:tcPr>
          <w:p>
            <w:pPr>
              <w:spacing w:after="0"/>
              <w:rPr>
                <w:sz w:val="20"/>
                <w:szCs w:val="20"/>
                <w:color w:val="auto"/>
              </w:rPr>
            </w:pPr>
            <w:r>
              <w:rPr>
                <w:rFonts w:ascii="Arial" w:cs="Arial" w:eastAsia="Arial" w:hAnsi="Arial"/>
                <w:sz w:val="18"/>
                <w:szCs w:val="18"/>
                <w:color w:val="auto"/>
              </w:rPr>
              <w:t>Adjusted EBITDA</w:t>
            </w:r>
          </w:p>
        </w:tc>
        <w:tc>
          <w:tcPr>
            <w:tcW w:w="20" w:type="dxa"/>
            <w:vAlign w:val="bottom"/>
            <w:tcBorders>
              <w:bottom w:val="single" w:sz="8" w:color="auto"/>
            </w:tcBorders>
          </w:tcPr>
          <w:p>
            <w:pPr>
              <w:spacing w:after="0"/>
              <w:rPr>
                <w:sz w:val="19"/>
                <w:szCs w:val="19"/>
                <w:color w:val="auto"/>
              </w:rPr>
            </w:pPr>
          </w:p>
        </w:tc>
        <w:tc>
          <w:tcPr>
            <w:tcW w:w="5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u w:val="single" w:color="auto"/>
                <w:color w:val="auto"/>
                <w:w w:val="86"/>
              </w:rPr>
              <w:t>$</w:t>
            </w:r>
            <w:r>
              <w:rPr>
                <w:rFonts w:ascii="Arial" w:cs="Arial" w:eastAsia="Arial" w:hAnsi="Arial"/>
                <w:sz w:val="18"/>
                <w:szCs w:val="18"/>
                <w:color w:val="auto"/>
                <w:w w:val="86"/>
              </w:rPr>
              <w:t>77,288</w:t>
            </w:r>
          </w:p>
        </w:tc>
        <w:tc>
          <w:tcPr>
            <w:tcW w:w="18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6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u w:val="single" w:color="auto"/>
                <w:color w:val="auto"/>
                <w:w w:val="89"/>
              </w:rPr>
              <w:t>$</w:t>
            </w:r>
            <w:r>
              <w:rPr>
                <w:rFonts w:ascii="Arial" w:cs="Arial" w:eastAsia="Arial" w:hAnsi="Arial"/>
                <w:sz w:val="18"/>
                <w:szCs w:val="18"/>
                <w:color w:val="auto"/>
                <w:w w:val="89"/>
              </w:rPr>
              <w:t>72,077</w:t>
            </w:r>
          </w:p>
        </w:tc>
        <w:tc>
          <w:tcPr>
            <w:tcW w:w="18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6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u w:val="single" w:color="auto"/>
                <w:color w:val="auto"/>
                <w:w w:val="87"/>
              </w:rPr>
              <w:t>$</w:t>
            </w:r>
            <w:r>
              <w:rPr>
                <w:rFonts w:ascii="Arial" w:cs="Arial" w:eastAsia="Arial" w:hAnsi="Arial"/>
                <w:sz w:val="18"/>
                <w:szCs w:val="18"/>
                <w:color w:val="auto"/>
                <w:w w:val="87"/>
              </w:rPr>
              <w:t>185,286</w:t>
            </w:r>
          </w:p>
        </w:tc>
        <w:tc>
          <w:tcPr>
            <w:tcW w:w="2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u w:val="single" w:color="auto"/>
                <w:color w:val="auto"/>
                <w:w w:val="71"/>
              </w:rPr>
              <w:t>$</w:t>
            </w:r>
          </w:p>
        </w:tc>
        <w:tc>
          <w:tcPr>
            <w:tcW w:w="6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89"/>
              </w:rPr>
              <w:t>165,025</w:t>
            </w:r>
          </w:p>
        </w:tc>
        <w:tc>
          <w:tcPr>
            <w:tcW w:w="120" w:type="dxa"/>
            <w:vAlign w:val="bottom"/>
          </w:tcPr>
          <w:p>
            <w:pPr>
              <w:spacing w:after="0"/>
              <w:rPr>
                <w:sz w:val="19"/>
                <w:szCs w:val="19"/>
                <w:color w:val="auto"/>
              </w:rPr>
            </w:pPr>
          </w:p>
        </w:tc>
      </w:tr>
      <w:tr>
        <w:trPr>
          <w:trHeight w:val="20"/>
        </w:trPr>
        <w:tc>
          <w:tcPr>
            <w:tcW w:w="20" w:type="dxa"/>
            <w:vAlign w:val="bottom"/>
          </w:tcPr>
          <w:p>
            <w:pPr>
              <w:spacing w:after="0" w:line="20" w:lineRule="exact"/>
              <w:rPr>
                <w:sz w:val="1"/>
                <w:szCs w:val="1"/>
                <w:color w:val="auto"/>
              </w:rPr>
            </w:pPr>
          </w:p>
        </w:tc>
        <w:tc>
          <w:tcPr>
            <w:tcW w:w="73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r>
    </w:tbl>
    <w:p>
      <w:pPr>
        <w:sectPr>
          <w:pgSz w:w="11900" w:h="16838" w:orient="portrait"/>
          <w:cols w:equalWidth="0" w:num="1">
            <w:col w:w="11040"/>
          </w:cols>
          <w:pgMar w:left="440" w:top="274" w:right="419" w:bottom="1440" w:gutter="0" w:footer="0" w:header="0"/>
        </w:sectPr>
      </w:pPr>
    </w:p>
    <w:bookmarkStart w:id="13" w:name="page14"/>
    <w:bookmarkEnd w:id="13"/>
    <w:p>
      <w:pPr>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7289165" cy="38735"/>
                    </a:xfrm>
                    <a:prstGeom prst="rect">
                      <a:avLst/>
                    </a:prstGeom>
                    <a:noFill/>
                  </pic:spPr>
                </pic:pic>
              </a:graphicData>
            </a:graphic>
          </wp:anchor>
        </w:drawing>
        <w:t>Grand Canyon Education, Inc. Reports Second Quarter 2018 Results</w:t>
      </w:r>
    </w:p>
    <w:p>
      <w:pPr>
        <w:spacing w:after="0" w:line="200" w:lineRule="exact"/>
        <w:rPr>
          <w:sz w:val="20"/>
          <w:szCs w:val="20"/>
          <w:color w:val="auto"/>
        </w:rPr>
      </w:pPr>
    </w:p>
    <w:p>
      <w:pPr>
        <w:spacing w:after="0" w:line="241"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GRAND CANYON EDUCATION, INC.</w:t>
      </w:r>
    </w:p>
    <w:p>
      <w:pPr>
        <w:spacing w:after="0" w:line="27"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Consolidated Balance Sheets</w:t>
      </w:r>
    </w:p>
    <w:p>
      <w:pPr>
        <w:spacing w:after="0" w:line="234" w:lineRule="exact"/>
        <w:rPr>
          <w:sz w:val="20"/>
          <w:szCs w:val="20"/>
          <w:color w:val="auto"/>
        </w:rPr>
      </w:pPr>
    </w:p>
    <w:p>
      <w:pPr>
        <w:ind w:left="4000"/>
        <w:spacing w:after="0"/>
        <w:rPr>
          <w:sz w:val="20"/>
          <w:szCs w:val="20"/>
          <w:color w:val="auto"/>
        </w:rPr>
      </w:pPr>
      <w:r>
        <w:rPr>
          <w:rFonts w:ascii="Arial" w:cs="Arial" w:eastAsia="Arial" w:hAnsi="Arial"/>
          <w:sz w:val="18"/>
          <w:szCs w:val="18"/>
          <w:b w:val="1"/>
          <w:bCs w:val="1"/>
          <w:color w:val="auto"/>
        </w:rPr>
        <w:t>ASSETS:</w:t>
      </w:r>
    </w:p>
    <w:tbl>
      <w:tblPr>
        <w:tblLayout w:type="fixed"/>
        <w:tblInd w:w="0" w:type="dxa"/>
        <w:tblCellMar>
          <w:top w:w="0" w:type="dxa"/>
          <w:left w:w="0" w:type="dxa"/>
          <w:bottom w:w="0" w:type="dxa"/>
          <w:right w:w="0" w:type="dxa"/>
        </w:tblCellMar>
      </w:tblPr>
      <w:tr>
        <w:trPr>
          <w:trHeight w:val="153"/>
        </w:trPr>
        <w:tc>
          <w:tcPr>
            <w:tcW w:w="20" w:type="dxa"/>
            <w:vAlign w:val="bottom"/>
          </w:tcPr>
          <w:p>
            <w:pPr>
              <w:spacing w:after="0"/>
              <w:rPr>
                <w:sz w:val="13"/>
                <w:szCs w:val="13"/>
                <w:color w:val="auto"/>
              </w:rPr>
            </w:pPr>
          </w:p>
        </w:tc>
        <w:tc>
          <w:tcPr>
            <w:tcW w:w="1960" w:type="dxa"/>
            <w:vAlign w:val="bottom"/>
          </w:tcPr>
          <w:p>
            <w:pPr>
              <w:spacing w:after="0"/>
              <w:rPr>
                <w:sz w:val="13"/>
                <w:szCs w:val="13"/>
                <w:color w:val="auto"/>
              </w:rPr>
            </w:pPr>
          </w:p>
        </w:tc>
        <w:tc>
          <w:tcPr>
            <w:tcW w:w="696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920" w:type="dxa"/>
            <w:vAlign w:val="bottom"/>
            <w:gridSpan w:val="2"/>
          </w:tcPr>
          <w:p>
            <w:pPr>
              <w:jc w:val="center"/>
              <w:ind w:right="280"/>
              <w:spacing w:after="0" w:line="153" w:lineRule="exact"/>
              <w:rPr>
                <w:sz w:val="20"/>
                <w:szCs w:val="20"/>
                <w:color w:val="auto"/>
              </w:rPr>
            </w:pPr>
            <w:r>
              <w:rPr>
                <w:rFonts w:ascii="Arial" w:cs="Arial" w:eastAsia="Arial" w:hAnsi="Arial"/>
                <w:sz w:val="14"/>
                <w:szCs w:val="14"/>
                <w:b w:val="1"/>
                <w:bCs w:val="1"/>
                <w:color w:val="auto"/>
                <w:w w:val="92"/>
              </w:rPr>
              <w:t>June 30,</w:t>
            </w:r>
          </w:p>
        </w:tc>
        <w:tc>
          <w:tcPr>
            <w:tcW w:w="1100" w:type="dxa"/>
            <w:vAlign w:val="bottom"/>
            <w:gridSpan w:val="4"/>
          </w:tcPr>
          <w:p>
            <w:pPr>
              <w:ind w:left="140"/>
              <w:spacing w:after="0" w:line="153" w:lineRule="exact"/>
              <w:rPr>
                <w:sz w:val="20"/>
                <w:szCs w:val="20"/>
                <w:color w:val="auto"/>
              </w:rPr>
            </w:pPr>
            <w:r>
              <w:rPr>
                <w:rFonts w:ascii="Arial" w:cs="Arial" w:eastAsia="Arial" w:hAnsi="Arial"/>
                <w:sz w:val="14"/>
                <w:szCs w:val="14"/>
                <w:b w:val="1"/>
                <w:bCs w:val="1"/>
                <w:color w:val="auto"/>
              </w:rPr>
              <w:t>December 31,</w:t>
            </w:r>
          </w:p>
        </w:tc>
        <w:tc>
          <w:tcPr>
            <w:tcW w:w="0" w:type="dxa"/>
            <w:vAlign w:val="bottom"/>
          </w:tcPr>
          <w:p>
            <w:pPr>
              <w:spacing w:after="0"/>
              <w:rPr>
                <w:sz w:val="1"/>
                <w:szCs w:val="1"/>
                <w:color w:val="auto"/>
              </w:rPr>
            </w:pPr>
          </w:p>
        </w:tc>
      </w:tr>
      <w:tr>
        <w:trPr>
          <w:trHeight w:val="171"/>
        </w:trPr>
        <w:tc>
          <w:tcPr>
            <w:tcW w:w="8940" w:type="dxa"/>
            <w:vAlign w:val="bottom"/>
            <w:gridSpan w:val="3"/>
            <w:vMerge w:val="restart"/>
          </w:tcPr>
          <w:p>
            <w:pPr>
              <w:spacing w:after="0"/>
              <w:rPr>
                <w:sz w:val="20"/>
                <w:szCs w:val="20"/>
                <w:color w:val="auto"/>
              </w:rPr>
            </w:pPr>
            <w:r>
              <w:rPr>
                <w:rFonts w:ascii="Arial" w:cs="Arial" w:eastAsia="Arial" w:hAnsi="Arial"/>
                <w:sz w:val="14"/>
                <w:szCs w:val="14"/>
                <w:b w:val="1"/>
                <w:bCs w:val="1"/>
                <w:color w:val="auto"/>
              </w:rPr>
              <w:t>(In thousands, except par value)</w:t>
            </w:r>
          </w:p>
        </w:tc>
        <w:tc>
          <w:tcPr>
            <w:tcW w:w="20" w:type="dxa"/>
            <w:vAlign w:val="bottom"/>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740" w:type="dxa"/>
            <w:vAlign w:val="bottom"/>
            <w:tcBorders>
              <w:bottom w:val="single" w:sz="8" w:color="auto"/>
            </w:tcBorders>
          </w:tcPr>
          <w:p>
            <w:pPr>
              <w:jc w:val="center"/>
              <w:ind w:right="11"/>
              <w:spacing w:after="0"/>
              <w:rPr>
                <w:sz w:val="20"/>
                <w:szCs w:val="20"/>
                <w:color w:val="auto"/>
              </w:rPr>
            </w:pPr>
            <w:r>
              <w:rPr>
                <w:rFonts w:ascii="Arial" w:cs="Arial" w:eastAsia="Arial" w:hAnsi="Arial"/>
                <w:sz w:val="14"/>
                <w:szCs w:val="14"/>
                <w:b w:val="1"/>
                <w:bCs w:val="1"/>
                <w:color w:val="auto"/>
                <w:w w:val="89"/>
              </w:rPr>
              <w:t>2018</w:t>
            </w:r>
          </w:p>
        </w:tc>
        <w:tc>
          <w:tcPr>
            <w:tcW w:w="1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740" w:type="dxa"/>
            <w:vAlign w:val="bottom"/>
            <w:tcBorders>
              <w:bottom w:val="single" w:sz="8" w:color="auto"/>
            </w:tcBorders>
          </w:tcPr>
          <w:p>
            <w:pPr>
              <w:jc w:val="right"/>
              <w:ind w:right="191"/>
              <w:spacing w:after="0"/>
              <w:rPr>
                <w:sz w:val="20"/>
                <w:szCs w:val="20"/>
                <w:color w:val="auto"/>
              </w:rPr>
            </w:pPr>
            <w:r>
              <w:rPr>
                <w:rFonts w:ascii="Arial" w:cs="Arial" w:eastAsia="Arial" w:hAnsi="Arial"/>
                <w:sz w:val="14"/>
                <w:szCs w:val="14"/>
                <w:b w:val="1"/>
                <w:bCs w:val="1"/>
                <w:color w:val="auto"/>
              </w:rPr>
              <w:t>2017</w:t>
            </w:r>
          </w:p>
        </w:tc>
        <w:tc>
          <w:tcPr>
            <w:tcW w:w="1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29"/>
        </w:trPr>
        <w:tc>
          <w:tcPr>
            <w:tcW w:w="8940" w:type="dxa"/>
            <w:vAlign w:val="bottom"/>
            <w:gridSpan w:val="3"/>
            <w:vMerge w:val="continue"/>
          </w:tcPr>
          <w:p>
            <w:pPr>
              <w:spacing w:after="0"/>
              <w:rPr>
                <w:sz w:val="11"/>
                <w:szCs w:val="11"/>
                <w:color w:val="auto"/>
              </w:rPr>
            </w:pPr>
          </w:p>
        </w:tc>
        <w:tc>
          <w:tcPr>
            <w:tcW w:w="20" w:type="dxa"/>
            <w:vAlign w:val="bottom"/>
          </w:tcPr>
          <w:p>
            <w:pPr>
              <w:spacing w:after="0"/>
              <w:rPr>
                <w:sz w:val="11"/>
                <w:szCs w:val="11"/>
                <w:color w:val="auto"/>
              </w:rPr>
            </w:pPr>
          </w:p>
        </w:tc>
        <w:tc>
          <w:tcPr>
            <w:tcW w:w="800" w:type="dxa"/>
            <w:vAlign w:val="bottom"/>
            <w:gridSpan w:val="2"/>
          </w:tcPr>
          <w:p>
            <w:pPr>
              <w:jc w:val="center"/>
              <w:spacing w:after="0" w:line="129" w:lineRule="exact"/>
              <w:rPr>
                <w:sz w:val="20"/>
                <w:szCs w:val="20"/>
                <w:color w:val="auto"/>
              </w:rPr>
            </w:pPr>
            <w:r>
              <w:rPr>
                <w:rFonts w:ascii="Arial" w:cs="Arial" w:eastAsia="Arial" w:hAnsi="Arial"/>
                <w:sz w:val="14"/>
                <w:szCs w:val="14"/>
                <w:b w:val="1"/>
                <w:bCs w:val="1"/>
                <w:color w:val="auto"/>
                <w:w w:val="95"/>
              </w:rPr>
              <w:t>(Unaudited)</w:t>
            </w:r>
          </w:p>
        </w:tc>
        <w:tc>
          <w:tcPr>
            <w:tcW w:w="1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196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b w:val="1"/>
                <w:bCs w:val="1"/>
                <w:color w:val="auto"/>
              </w:rPr>
              <w:t>Current assets</w:t>
            </w:r>
          </w:p>
        </w:tc>
        <w:tc>
          <w:tcPr>
            <w:tcW w:w="696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920" w:type="dxa"/>
            <w:vAlign w:val="bottom"/>
            <w:gridSpan w:val="2"/>
          </w:tcPr>
          <w:p>
            <w:pPr>
              <w:ind w:left="340"/>
              <w:spacing w:after="0"/>
              <w:rPr>
                <w:sz w:val="20"/>
                <w:szCs w:val="20"/>
                <w:color w:val="auto"/>
              </w:rPr>
            </w:pPr>
            <w:r>
              <w:rPr>
                <w:rFonts w:ascii="Arial" w:cs="Arial" w:eastAsia="Arial" w:hAnsi="Arial"/>
                <w:sz w:val="18"/>
                <w:szCs w:val="18"/>
                <w:color w:val="auto"/>
              </w:rPr>
              <w:t>Cash and cash equivalents</w:t>
            </w:r>
          </w:p>
        </w:tc>
        <w:tc>
          <w:tcPr>
            <w:tcW w:w="80" w:type="dxa"/>
            <w:vAlign w:val="bottom"/>
            <w:gridSpan w:val="2"/>
          </w:tcPr>
          <w:p>
            <w:pPr>
              <w:jc w:val="right"/>
              <w:spacing w:after="0"/>
              <w:rPr>
                <w:sz w:val="20"/>
                <w:szCs w:val="20"/>
                <w:color w:val="auto"/>
              </w:rPr>
            </w:pPr>
            <w:r>
              <w:rPr>
                <w:rFonts w:ascii="Arial" w:cs="Arial" w:eastAsia="Arial" w:hAnsi="Arial"/>
                <w:sz w:val="15"/>
                <w:szCs w:val="15"/>
                <w:color w:val="auto"/>
                <w:w w:val="71"/>
              </w:rPr>
              <w:t>$</w:t>
            </w:r>
          </w:p>
        </w:tc>
        <w:tc>
          <w:tcPr>
            <w:tcW w:w="740" w:type="dxa"/>
            <w:vAlign w:val="bottom"/>
          </w:tcPr>
          <w:p>
            <w:pPr>
              <w:jc w:val="right"/>
              <w:spacing w:after="0"/>
              <w:rPr>
                <w:sz w:val="20"/>
                <w:szCs w:val="20"/>
                <w:color w:val="auto"/>
              </w:rPr>
            </w:pPr>
            <w:r>
              <w:rPr>
                <w:rFonts w:ascii="Arial" w:cs="Arial" w:eastAsia="Arial" w:hAnsi="Arial"/>
                <w:sz w:val="18"/>
                <w:szCs w:val="18"/>
                <w:color w:val="auto"/>
              </w:rPr>
              <w:t>221,632</w:t>
            </w:r>
          </w:p>
        </w:tc>
        <w:tc>
          <w:tcPr>
            <w:tcW w:w="180" w:type="dxa"/>
            <w:vAlign w:val="bottom"/>
          </w:tcPr>
          <w:p>
            <w:pPr>
              <w:spacing w:after="0"/>
              <w:rPr>
                <w:sz w:val="18"/>
                <w:szCs w:val="18"/>
                <w:color w:val="auto"/>
              </w:rPr>
            </w:pPr>
          </w:p>
        </w:tc>
        <w:tc>
          <w:tcPr>
            <w:tcW w:w="240" w:type="dxa"/>
            <w:vAlign w:val="bottom"/>
            <w:gridSpan w:val="2"/>
          </w:tcPr>
          <w:p>
            <w:pPr>
              <w:ind w:left="140"/>
              <w:spacing w:after="0"/>
              <w:rPr>
                <w:sz w:val="20"/>
                <w:szCs w:val="20"/>
                <w:color w:val="auto"/>
              </w:rPr>
            </w:pPr>
            <w:r>
              <w:rPr>
                <w:rFonts w:ascii="Arial" w:cs="Arial" w:eastAsia="Arial" w:hAnsi="Arial"/>
                <w:sz w:val="18"/>
                <w:szCs w:val="18"/>
                <w:color w:val="auto"/>
                <w:w w:val="79"/>
              </w:rPr>
              <w:t>$</w:t>
            </w:r>
          </w:p>
        </w:tc>
        <w:tc>
          <w:tcPr>
            <w:tcW w:w="740" w:type="dxa"/>
            <w:vAlign w:val="bottom"/>
          </w:tcPr>
          <w:p>
            <w:pPr>
              <w:jc w:val="right"/>
              <w:spacing w:after="0"/>
              <w:rPr>
                <w:sz w:val="20"/>
                <w:szCs w:val="20"/>
                <w:color w:val="auto"/>
              </w:rPr>
            </w:pPr>
            <w:r>
              <w:rPr>
                <w:rFonts w:ascii="Arial" w:cs="Arial" w:eastAsia="Arial" w:hAnsi="Arial"/>
                <w:sz w:val="18"/>
                <w:szCs w:val="18"/>
                <w:color w:val="auto"/>
              </w:rPr>
              <w:t>153,474</w:t>
            </w: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92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rPr>
              <w:t>Restricted cash and cash equivalents</w:t>
            </w:r>
          </w:p>
        </w:tc>
        <w:tc>
          <w:tcPr>
            <w:tcW w:w="2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94,534</w:t>
            </w:r>
          </w:p>
        </w:tc>
        <w:tc>
          <w:tcPr>
            <w:tcW w:w="1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920" w:type="dxa"/>
            <w:vAlign w:val="bottom"/>
            <w:gridSpan w:val="2"/>
          </w:tcPr>
          <w:p>
            <w:pPr>
              <w:ind w:left="340"/>
              <w:spacing w:after="0"/>
              <w:rPr>
                <w:sz w:val="20"/>
                <w:szCs w:val="20"/>
                <w:color w:val="auto"/>
              </w:rPr>
            </w:pPr>
            <w:r>
              <w:rPr>
                <w:rFonts w:ascii="Arial" w:cs="Arial" w:eastAsia="Arial" w:hAnsi="Arial"/>
                <w:sz w:val="18"/>
                <w:szCs w:val="18"/>
                <w:color w:val="auto"/>
              </w:rPr>
              <w:t>Investments</w:t>
            </w:r>
          </w:p>
        </w:tc>
        <w:tc>
          <w:tcPr>
            <w:tcW w:w="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76,522</w:t>
            </w:r>
          </w:p>
        </w:tc>
        <w:tc>
          <w:tcPr>
            <w:tcW w:w="1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89,271</w:t>
            </w: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92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rPr>
              <w:t>Assets held for sale</w:t>
            </w:r>
          </w:p>
        </w:tc>
        <w:tc>
          <w:tcPr>
            <w:tcW w:w="2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974,353</w:t>
            </w:r>
          </w:p>
        </w:tc>
        <w:tc>
          <w:tcPr>
            <w:tcW w:w="1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920" w:type="dxa"/>
            <w:vAlign w:val="bottom"/>
            <w:gridSpan w:val="2"/>
          </w:tcPr>
          <w:p>
            <w:pPr>
              <w:ind w:left="340"/>
              <w:spacing w:after="0"/>
              <w:rPr>
                <w:sz w:val="20"/>
                <w:szCs w:val="20"/>
                <w:color w:val="auto"/>
              </w:rPr>
            </w:pPr>
            <w:r>
              <w:rPr>
                <w:rFonts w:ascii="Arial" w:cs="Arial" w:eastAsia="Arial" w:hAnsi="Arial"/>
                <w:sz w:val="18"/>
                <w:szCs w:val="18"/>
                <w:color w:val="auto"/>
              </w:rPr>
              <w:t>Accounts receivable, net</w:t>
            </w:r>
          </w:p>
        </w:tc>
        <w:tc>
          <w:tcPr>
            <w:tcW w:w="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920" w:type="dxa"/>
            <w:vAlign w:val="bottom"/>
            <w:gridSpan w:val="2"/>
          </w:tcPr>
          <w:p>
            <w:pPr>
              <w:jc w:val="right"/>
              <w:ind w:right="18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10,908</w:t>
            </w: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92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rPr>
              <w:t>Income tax receivable</w:t>
            </w:r>
          </w:p>
        </w:tc>
        <w:tc>
          <w:tcPr>
            <w:tcW w:w="2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315</w:t>
            </w:r>
          </w:p>
        </w:tc>
        <w:tc>
          <w:tcPr>
            <w:tcW w:w="1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2,086</w:t>
            </w:r>
          </w:p>
        </w:tc>
        <w:tc>
          <w:tcPr>
            <w:tcW w:w="1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8920" w:type="dxa"/>
            <w:vAlign w:val="bottom"/>
            <w:gridSpan w:val="2"/>
          </w:tcPr>
          <w:p>
            <w:pPr>
              <w:ind w:left="340"/>
              <w:spacing w:after="0"/>
              <w:rPr>
                <w:sz w:val="20"/>
                <w:szCs w:val="20"/>
                <w:color w:val="auto"/>
              </w:rPr>
            </w:pPr>
            <w:r>
              <w:rPr>
                <w:rFonts w:ascii="Arial" w:cs="Arial" w:eastAsia="Arial" w:hAnsi="Arial"/>
                <w:sz w:val="18"/>
                <w:szCs w:val="18"/>
                <w:color w:val="auto"/>
              </w:rPr>
              <w:t>Other current assets</w:t>
            </w:r>
          </w:p>
        </w:tc>
        <w:tc>
          <w:tcPr>
            <w:tcW w:w="20" w:type="dxa"/>
            <w:vAlign w:val="bottom"/>
          </w:tcPr>
          <w:p>
            <w:pPr>
              <w:spacing w:after="0"/>
              <w:rPr>
                <w:sz w:val="19"/>
                <w:szCs w:val="19"/>
                <w:color w:val="auto"/>
              </w:rPr>
            </w:pPr>
          </w:p>
        </w:tc>
        <w:tc>
          <w:tcPr>
            <w:tcW w:w="60" w:type="dxa"/>
            <w:vAlign w:val="bottom"/>
            <w:tcBorders>
              <w:bottom w:val="single" w:sz="8" w:color="auto"/>
            </w:tcBorders>
          </w:tcPr>
          <w:p>
            <w:pPr>
              <w:spacing w:after="0"/>
              <w:rPr>
                <w:sz w:val="19"/>
                <w:szCs w:val="19"/>
                <w:color w:val="auto"/>
              </w:rPr>
            </w:pP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8,748</w:t>
            </w:r>
          </w:p>
        </w:tc>
        <w:tc>
          <w:tcPr>
            <w:tcW w:w="18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24,589</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92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Total current assets</w:t>
            </w:r>
          </w:p>
        </w:tc>
        <w:tc>
          <w:tcPr>
            <w:tcW w:w="2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9"/>
              </w:rPr>
              <w:t>1,281,570</w:t>
            </w:r>
          </w:p>
        </w:tc>
        <w:tc>
          <w:tcPr>
            <w:tcW w:w="1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374,862</w:t>
            </w:r>
          </w:p>
        </w:tc>
        <w:tc>
          <w:tcPr>
            <w:tcW w:w="1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920" w:type="dxa"/>
            <w:vAlign w:val="bottom"/>
            <w:gridSpan w:val="2"/>
          </w:tcPr>
          <w:p>
            <w:pPr>
              <w:spacing w:after="0"/>
              <w:rPr>
                <w:sz w:val="20"/>
                <w:szCs w:val="20"/>
                <w:color w:val="auto"/>
              </w:rPr>
            </w:pPr>
            <w:r>
              <w:rPr>
                <w:rFonts w:ascii="Arial" w:cs="Arial" w:eastAsia="Arial" w:hAnsi="Arial"/>
                <w:sz w:val="18"/>
                <w:szCs w:val="18"/>
                <w:color w:val="auto"/>
              </w:rPr>
              <w:t>Property and equipment, net</w:t>
            </w:r>
          </w:p>
        </w:tc>
        <w:tc>
          <w:tcPr>
            <w:tcW w:w="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112,185</w:t>
            </w:r>
          </w:p>
        </w:tc>
        <w:tc>
          <w:tcPr>
            <w:tcW w:w="1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922,284</w:t>
            </w: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9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Prepaid royalties</w:t>
            </w:r>
          </w:p>
        </w:tc>
        <w:tc>
          <w:tcPr>
            <w:tcW w:w="2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2,615</w:t>
            </w:r>
          </w:p>
        </w:tc>
        <w:tc>
          <w:tcPr>
            <w:tcW w:w="1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2,763</w:t>
            </w:r>
          </w:p>
        </w:tc>
        <w:tc>
          <w:tcPr>
            <w:tcW w:w="1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920" w:type="dxa"/>
            <w:vAlign w:val="bottom"/>
            <w:gridSpan w:val="2"/>
          </w:tcPr>
          <w:p>
            <w:pPr>
              <w:spacing w:after="0"/>
              <w:rPr>
                <w:sz w:val="20"/>
                <w:szCs w:val="20"/>
                <w:color w:val="auto"/>
              </w:rPr>
            </w:pPr>
            <w:r>
              <w:rPr>
                <w:rFonts w:ascii="Arial" w:cs="Arial" w:eastAsia="Arial" w:hAnsi="Arial"/>
                <w:sz w:val="18"/>
                <w:szCs w:val="18"/>
                <w:color w:val="auto"/>
              </w:rPr>
              <w:t>Goodwill</w:t>
            </w:r>
          </w:p>
        </w:tc>
        <w:tc>
          <w:tcPr>
            <w:tcW w:w="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2,941</w:t>
            </w:r>
          </w:p>
        </w:tc>
        <w:tc>
          <w:tcPr>
            <w:tcW w:w="1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2,941</w:t>
            </w: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9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Other assets</w:t>
            </w:r>
          </w:p>
        </w:tc>
        <w:tc>
          <w:tcPr>
            <w:tcW w:w="20" w:type="dxa"/>
            <w:vAlign w:val="bottom"/>
            <w:shd w:val="clear" w:color="auto" w:fill="CCEEFF"/>
          </w:tcPr>
          <w:p>
            <w:pPr>
              <w:spacing w:after="0"/>
              <w:rPr>
                <w:sz w:val="18"/>
                <w:szCs w:val="18"/>
                <w:color w:val="auto"/>
              </w:rPr>
            </w:pPr>
          </w:p>
        </w:tc>
        <w:tc>
          <w:tcPr>
            <w:tcW w:w="60" w:type="dxa"/>
            <w:vAlign w:val="bottom"/>
            <w:tcBorders>
              <w:bottom w:val="single" w:sz="8" w:color="auto"/>
            </w:tcBorders>
            <w:shd w:val="clear" w:color="auto" w:fill="CCEEFF"/>
          </w:tcPr>
          <w:p>
            <w:pPr>
              <w:spacing w:after="0"/>
              <w:rPr>
                <w:sz w:val="18"/>
                <w:szCs w:val="18"/>
                <w:color w:val="auto"/>
              </w:rPr>
            </w:pPr>
          </w:p>
        </w:tc>
        <w:tc>
          <w:tcPr>
            <w:tcW w:w="7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657</w:t>
            </w:r>
          </w:p>
        </w:tc>
        <w:tc>
          <w:tcPr>
            <w:tcW w:w="1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7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723</w:t>
            </w:r>
          </w:p>
        </w:tc>
        <w:tc>
          <w:tcPr>
            <w:tcW w:w="1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8940" w:type="dxa"/>
            <w:vAlign w:val="bottom"/>
            <w:gridSpan w:val="3"/>
          </w:tcPr>
          <w:p>
            <w:pPr>
              <w:spacing w:after="0"/>
              <w:rPr>
                <w:sz w:val="20"/>
                <w:szCs w:val="20"/>
                <w:color w:val="auto"/>
              </w:rPr>
            </w:pPr>
            <w:r>
              <w:rPr>
                <w:rFonts w:ascii="Arial" w:cs="Arial" w:eastAsia="Arial" w:hAnsi="Arial"/>
                <w:sz w:val="18"/>
                <w:szCs w:val="18"/>
                <w:b w:val="1"/>
                <w:bCs w:val="1"/>
                <w:color w:val="auto"/>
              </w:rPr>
              <w:t>Total assets</w:t>
            </w:r>
          </w:p>
        </w:tc>
        <w:tc>
          <w:tcPr>
            <w:tcW w:w="20" w:type="dxa"/>
            <w:vAlign w:val="bottom"/>
          </w:tcPr>
          <w:p>
            <w:pPr>
              <w:spacing w:after="0"/>
              <w:rPr>
                <w:sz w:val="19"/>
                <w:szCs w:val="19"/>
                <w:color w:val="auto"/>
              </w:rPr>
            </w:pPr>
          </w:p>
        </w:tc>
        <w:tc>
          <w:tcPr>
            <w:tcW w:w="60" w:type="dxa"/>
            <w:vAlign w:val="bottom"/>
            <w:tcBorders>
              <w:bottom w:val="single" w:sz="8" w:color="auto"/>
            </w:tcBorders>
          </w:tcPr>
          <w:p>
            <w:pPr>
              <w:jc w:val="right"/>
              <w:spacing w:after="0"/>
              <w:rPr>
                <w:sz w:val="20"/>
                <w:szCs w:val="20"/>
                <w:color w:val="auto"/>
              </w:rPr>
            </w:pPr>
            <w:r>
              <w:rPr>
                <w:rFonts w:ascii="Arial" w:cs="Arial" w:eastAsia="Arial" w:hAnsi="Arial"/>
                <w:sz w:val="10"/>
                <w:szCs w:val="10"/>
                <w:u w:val="single" w:color="auto"/>
                <w:color w:val="auto"/>
                <w:w w:val="71"/>
              </w:rPr>
              <w:t>$</w:t>
            </w: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89"/>
              </w:rPr>
              <w:t>1,399,968</w:t>
            </w:r>
          </w:p>
        </w:tc>
        <w:tc>
          <w:tcPr>
            <w:tcW w:w="18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00" w:type="dxa"/>
            <w:vAlign w:val="bottom"/>
            <w:tcBorders>
              <w:bottom w:val="single" w:sz="8" w:color="auto"/>
            </w:tcBorders>
          </w:tcPr>
          <w:p>
            <w:pPr>
              <w:spacing w:after="0"/>
              <w:rPr>
                <w:sz w:val="20"/>
                <w:szCs w:val="20"/>
                <w:color w:val="auto"/>
              </w:rPr>
            </w:pPr>
            <w:r>
              <w:rPr>
                <w:rFonts w:ascii="Arial" w:cs="Arial" w:eastAsia="Arial" w:hAnsi="Arial"/>
                <w:sz w:val="18"/>
                <w:szCs w:val="18"/>
                <w:color w:val="auto"/>
                <w:w w:val="79"/>
              </w:rPr>
              <w:t>$</w:t>
            </w: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89"/>
              </w:rPr>
              <w:t>1,303,573</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960" w:type="dxa"/>
            <w:vAlign w:val="bottom"/>
          </w:tcPr>
          <w:p>
            <w:pPr>
              <w:spacing w:after="0" w:line="20" w:lineRule="exact"/>
              <w:rPr>
                <w:sz w:val="1"/>
                <w:szCs w:val="1"/>
                <w:color w:val="auto"/>
              </w:rPr>
            </w:pPr>
          </w:p>
        </w:tc>
        <w:tc>
          <w:tcPr>
            <w:tcW w:w="6960" w:type="dxa"/>
            <w:vAlign w:val="bottom"/>
            <w:vMerge w:val="restart"/>
          </w:tcPr>
          <w:p>
            <w:pPr>
              <w:ind w:left="1500"/>
              <w:spacing w:after="0"/>
              <w:rPr>
                <w:sz w:val="20"/>
                <w:szCs w:val="20"/>
                <w:color w:val="auto"/>
              </w:rPr>
            </w:pPr>
            <w:r>
              <w:rPr>
                <w:rFonts w:ascii="Arial" w:cs="Arial" w:eastAsia="Arial" w:hAnsi="Arial"/>
                <w:sz w:val="18"/>
                <w:szCs w:val="18"/>
                <w:b w:val="1"/>
                <w:bCs w:val="1"/>
                <w:color w:val="auto"/>
              </w:rPr>
              <w:t>LIABILITIES AND STOCKHOLDERS’ EQUITY:</w:t>
            </w:r>
          </w:p>
        </w:tc>
        <w:tc>
          <w:tcPr>
            <w:tcW w:w="20" w:type="dxa"/>
            <w:vAlign w:val="bottom"/>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26"/>
        </w:trPr>
        <w:tc>
          <w:tcPr>
            <w:tcW w:w="20" w:type="dxa"/>
            <w:vAlign w:val="bottom"/>
          </w:tcPr>
          <w:p>
            <w:pPr>
              <w:spacing w:after="0"/>
              <w:rPr>
                <w:sz w:val="24"/>
                <w:szCs w:val="24"/>
                <w:color w:val="auto"/>
              </w:rPr>
            </w:pPr>
          </w:p>
        </w:tc>
        <w:tc>
          <w:tcPr>
            <w:tcW w:w="1960" w:type="dxa"/>
            <w:vAlign w:val="bottom"/>
          </w:tcPr>
          <w:p>
            <w:pPr>
              <w:spacing w:after="0"/>
              <w:rPr>
                <w:sz w:val="24"/>
                <w:szCs w:val="24"/>
                <w:color w:val="auto"/>
              </w:rPr>
            </w:pPr>
          </w:p>
        </w:tc>
        <w:tc>
          <w:tcPr>
            <w:tcW w:w="6960" w:type="dxa"/>
            <w:vAlign w:val="bottom"/>
            <w:vMerge w:val="continue"/>
          </w:tcPr>
          <w:p>
            <w:pPr>
              <w:spacing w:after="0"/>
              <w:rPr>
                <w:sz w:val="24"/>
                <w:szCs w:val="24"/>
                <w:color w:val="auto"/>
              </w:rPr>
            </w:pPr>
          </w:p>
        </w:tc>
        <w:tc>
          <w:tcPr>
            <w:tcW w:w="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5"/>
        </w:trPr>
        <w:tc>
          <w:tcPr>
            <w:tcW w:w="20" w:type="dxa"/>
            <w:vAlign w:val="bottom"/>
            <w:vMerge w:val="restart"/>
          </w:tcPr>
          <w:p>
            <w:pPr>
              <w:spacing w:after="0"/>
              <w:rPr>
                <w:sz w:val="11"/>
                <w:szCs w:val="11"/>
                <w:color w:val="auto"/>
              </w:rPr>
            </w:pPr>
          </w:p>
        </w:tc>
        <w:tc>
          <w:tcPr>
            <w:tcW w:w="1960" w:type="dxa"/>
            <w:vAlign w:val="bottom"/>
          </w:tcPr>
          <w:p>
            <w:pPr>
              <w:spacing w:after="0"/>
              <w:rPr>
                <w:sz w:val="11"/>
                <w:szCs w:val="11"/>
                <w:color w:val="auto"/>
              </w:rPr>
            </w:pPr>
          </w:p>
        </w:tc>
        <w:tc>
          <w:tcPr>
            <w:tcW w:w="69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892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Current liabilities</w:t>
            </w:r>
          </w:p>
        </w:tc>
        <w:tc>
          <w:tcPr>
            <w:tcW w:w="2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920" w:type="dxa"/>
            <w:vAlign w:val="bottom"/>
            <w:gridSpan w:val="2"/>
          </w:tcPr>
          <w:p>
            <w:pPr>
              <w:ind w:left="340"/>
              <w:spacing w:after="0"/>
              <w:rPr>
                <w:sz w:val="20"/>
                <w:szCs w:val="20"/>
                <w:color w:val="auto"/>
              </w:rPr>
            </w:pPr>
            <w:r>
              <w:rPr>
                <w:rFonts w:ascii="Arial" w:cs="Arial" w:eastAsia="Arial" w:hAnsi="Arial"/>
                <w:sz w:val="18"/>
                <w:szCs w:val="18"/>
                <w:color w:val="auto"/>
              </w:rPr>
              <w:t>Accounts payable</w:t>
            </w:r>
          </w:p>
        </w:tc>
        <w:tc>
          <w:tcPr>
            <w:tcW w:w="80" w:type="dxa"/>
            <w:vAlign w:val="bottom"/>
            <w:gridSpan w:val="2"/>
          </w:tcPr>
          <w:p>
            <w:pPr>
              <w:jc w:val="right"/>
              <w:spacing w:after="0"/>
              <w:rPr>
                <w:sz w:val="20"/>
                <w:szCs w:val="20"/>
                <w:color w:val="auto"/>
              </w:rPr>
            </w:pPr>
            <w:r>
              <w:rPr>
                <w:rFonts w:ascii="Arial" w:cs="Arial" w:eastAsia="Arial" w:hAnsi="Arial"/>
                <w:sz w:val="15"/>
                <w:szCs w:val="15"/>
                <w:color w:val="auto"/>
                <w:w w:val="71"/>
              </w:rPr>
              <w:t>$</w:t>
            </w:r>
          </w:p>
        </w:tc>
        <w:tc>
          <w:tcPr>
            <w:tcW w:w="740" w:type="dxa"/>
            <w:vAlign w:val="bottom"/>
          </w:tcPr>
          <w:p>
            <w:pPr>
              <w:jc w:val="right"/>
              <w:spacing w:after="0"/>
              <w:rPr>
                <w:sz w:val="20"/>
                <w:szCs w:val="20"/>
                <w:color w:val="auto"/>
              </w:rPr>
            </w:pPr>
            <w:r>
              <w:rPr>
                <w:rFonts w:ascii="Arial" w:cs="Arial" w:eastAsia="Arial" w:hAnsi="Arial"/>
                <w:sz w:val="18"/>
                <w:szCs w:val="18"/>
                <w:color w:val="auto"/>
              </w:rPr>
              <w:t>35,444</w:t>
            </w:r>
          </w:p>
        </w:tc>
        <w:tc>
          <w:tcPr>
            <w:tcW w:w="180" w:type="dxa"/>
            <w:vAlign w:val="bottom"/>
          </w:tcPr>
          <w:p>
            <w:pPr>
              <w:spacing w:after="0"/>
              <w:rPr>
                <w:sz w:val="18"/>
                <w:szCs w:val="18"/>
                <w:color w:val="auto"/>
              </w:rPr>
            </w:pPr>
          </w:p>
        </w:tc>
        <w:tc>
          <w:tcPr>
            <w:tcW w:w="240" w:type="dxa"/>
            <w:vAlign w:val="bottom"/>
            <w:gridSpan w:val="2"/>
          </w:tcPr>
          <w:p>
            <w:pPr>
              <w:ind w:left="140"/>
              <w:spacing w:after="0"/>
              <w:rPr>
                <w:sz w:val="20"/>
                <w:szCs w:val="20"/>
                <w:color w:val="auto"/>
              </w:rPr>
            </w:pPr>
            <w:r>
              <w:rPr>
                <w:rFonts w:ascii="Arial" w:cs="Arial" w:eastAsia="Arial" w:hAnsi="Arial"/>
                <w:sz w:val="18"/>
                <w:szCs w:val="18"/>
                <w:color w:val="auto"/>
                <w:w w:val="79"/>
              </w:rPr>
              <w:t>$</w:t>
            </w:r>
          </w:p>
        </w:tc>
        <w:tc>
          <w:tcPr>
            <w:tcW w:w="740" w:type="dxa"/>
            <w:vAlign w:val="bottom"/>
          </w:tcPr>
          <w:p>
            <w:pPr>
              <w:jc w:val="right"/>
              <w:spacing w:after="0"/>
              <w:rPr>
                <w:sz w:val="20"/>
                <w:szCs w:val="20"/>
                <w:color w:val="auto"/>
              </w:rPr>
            </w:pPr>
            <w:r>
              <w:rPr>
                <w:rFonts w:ascii="Arial" w:cs="Arial" w:eastAsia="Arial" w:hAnsi="Arial"/>
                <w:sz w:val="18"/>
                <w:szCs w:val="18"/>
                <w:color w:val="auto"/>
              </w:rPr>
              <w:t>29,139</w:t>
            </w: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92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rPr>
              <w:t>Accrued compensation and benefits</w:t>
            </w:r>
          </w:p>
        </w:tc>
        <w:tc>
          <w:tcPr>
            <w:tcW w:w="2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23,634</w:t>
            </w:r>
          </w:p>
        </w:tc>
        <w:tc>
          <w:tcPr>
            <w:tcW w:w="1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23,173</w:t>
            </w:r>
          </w:p>
        </w:tc>
        <w:tc>
          <w:tcPr>
            <w:tcW w:w="1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920" w:type="dxa"/>
            <w:vAlign w:val="bottom"/>
            <w:gridSpan w:val="2"/>
          </w:tcPr>
          <w:p>
            <w:pPr>
              <w:ind w:left="340"/>
              <w:spacing w:after="0"/>
              <w:rPr>
                <w:sz w:val="20"/>
                <w:szCs w:val="20"/>
                <w:color w:val="auto"/>
              </w:rPr>
            </w:pPr>
            <w:r>
              <w:rPr>
                <w:rFonts w:ascii="Arial" w:cs="Arial" w:eastAsia="Arial" w:hAnsi="Arial"/>
                <w:sz w:val="18"/>
                <w:szCs w:val="18"/>
                <w:color w:val="auto"/>
              </w:rPr>
              <w:t>Accrued liabilities</w:t>
            </w:r>
          </w:p>
        </w:tc>
        <w:tc>
          <w:tcPr>
            <w:tcW w:w="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18,995</w:t>
            </w:r>
          </w:p>
        </w:tc>
        <w:tc>
          <w:tcPr>
            <w:tcW w:w="1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20,757</w:t>
            </w: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92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rPr>
              <w:t>Income taxes payable</w:t>
            </w:r>
          </w:p>
        </w:tc>
        <w:tc>
          <w:tcPr>
            <w:tcW w:w="2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46</w:t>
            </w:r>
          </w:p>
        </w:tc>
        <w:tc>
          <w:tcPr>
            <w:tcW w:w="1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16,182</w:t>
            </w:r>
          </w:p>
        </w:tc>
        <w:tc>
          <w:tcPr>
            <w:tcW w:w="1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920" w:type="dxa"/>
            <w:vAlign w:val="bottom"/>
            <w:gridSpan w:val="2"/>
          </w:tcPr>
          <w:p>
            <w:pPr>
              <w:ind w:left="340"/>
              <w:spacing w:after="0"/>
              <w:rPr>
                <w:sz w:val="20"/>
                <w:szCs w:val="20"/>
                <w:color w:val="auto"/>
              </w:rPr>
            </w:pPr>
            <w:r>
              <w:rPr>
                <w:rFonts w:ascii="Arial" w:cs="Arial" w:eastAsia="Arial" w:hAnsi="Arial"/>
                <w:sz w:val="18"/>
                <w:szCs w:val="18"/>
                <w:color w:val="auto"/>
              </w:rPr>
              <w:t>Liabilities held for sale</w:t>
            </w:r>
          </w:p>
        </w:tc>
        <w:tc>
          <w:tcPr>
            <w:tcW w:w="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139,140</w:t>
            </w:r>
          </w:p>
        </w:tc>
        <w:tc>
          <w:tcPr>
            <w:tcW w:w="1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6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92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rPr>
              <w:t>Student deposits</w:t>
            </w:r>
          </w:p>
        </w:tc>
        <w:tc>
          <w:tcPr>
            <w:tcW w:w="2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95,298</w:t>
            </w:r>
          </w:p>
        </w:tc>
        <w:tc>
          <w:tcPr>
            <w:tcW w:w="1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920" w:type="dxa"/>
            <w:vAlign w:val="bottom"/>
            <w:gridSpan w:val="2"/>
          </w:tcPr>
          <w:p>
            <w:pPr>
              <w:ind w:left="340"/>
              <w:spacing w:after="0"/>
              <w:rPr>
                <w:sz w:val="20"/>
                <w:szCs w:val="20"/>
                <w:color w:val="auto"/>
              </w:rPr>
            </w:pPr>
            <w:r>
              <w:rPr>
                <w:rFonts w:ascii="Arial" w:cs="Arial" w:eastAsia="Arial" w:hAnsi="Arial"/>
                <w:sz w:val="18"/>
                <w:szCs w:val="18"/>
                <w:color w:val="auto"/>
              </w:rPr>
              <w:t>Deferred revenue</w:t>
            </w:r>
          </w:p>
        </w:tc>
        <w:tc>
          <w:tcPr>
            <w:tcW w:w="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920" w:type="dxa"/>
            <w:vAlign w:val="bottom"/>
            <w:gridSpan w:val="2"/>
          </w:tcPr>
          <w:p>
            <w:pPr>
              <w:jc w:val="right"/>
              <w:ind w:right="18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46,895</w:t>
            </w: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92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rPr>
              <w:t>Current portion of notes payable</w:t>
            </w:r>
          </w:p>
        </w:tc>
        <w:tc>
          <w:tcPr>
            <w:tcW w:w="20" w:type="dxa"/>
            <w:vAlign w:val="bottom"/>
            <w:shd w:val="clear" w:color="auto" w:fill="CCEEFF"/>
          </w:tcPr>
          <w:p>
            <w:pPr>
              <w:spacing w:after="0"/>
              <w:rPr>
                <w:sz w:val="18"/>
                <w:szCs w:val="18"/>
                <w:color w:val="auto"/>
              </w:rPr>
            </w:pPr>
          </w:p>
        </w:tc>
        <w:tc>
          <w:tcPr>
            <w:tcW w:w="60" w:type="dxa"/>
            <w:vAlign w:val="bottom"/>
            <w:tcBorders>
              <w:bottom w:val="single" w:sz="8" w:color="auto"/>
            </w:tcBorders>
            <w:shd w:val="clear" w:color="auto" w:fill="CCEEFF"/>
          </w:tcPr>
          <w:p>
            <w:pPr>
              <w:spacing w:after="0"/>
              <w:rPr>
                <w:sz w:val="18"/>
                <w:szCs w:val="18"/>
                <w:color w:val="auto"/>
              </w:rPr>
            </w:pPr>
          </w:p>
        </w:tc>
        <w:tc>
          <w:tcPr>
            <w:tcW w:w="7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6,572</w:t>
            </w:r>
          </w:p>
        </w:tc>
        <w:tc>
          <w:tcPr>
            <w:tcW w:w="1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7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6,691</w:t>
            </w:r>
          </w:p>
        </w:tc>
        <w:tc>
          <w:tcPr>
            <w:tcW w:w="1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8940" w:type="dxa"/>
            <w:vAlign w:val="bottom"/>
            <w:gridSpan w:val="3"/>
          </w:tcPr>
          <w:p>
            <w:pPr>
              <w:spacing w:after="0"/>
              <w:rPr>
                <w:sz w:val="20"/>
                <w:szCs w:val="20"/>
                <w:color w:val="auto"/>
              </w:rPr>
            </w:pPr>
            <w:r>
              <w:rPr>
                <w:rFonts w:ascii="Arial" w:cs="Arial" w:eastAsia="Arial" w:hAnsi="Arial"/>
                <w:sz w:val="18"/>
                <w:szCs w:val="18"/>
                <w:b w:val="1"/>
                <w:bCs w:val="1"/>
                <w:color w:val="auto"/>
              </w:rPr>
              <w:t>Total current liabilities</w:t>
            </w:r>
          </w:p>
        </w:tc>
        <w:tc>
          <w:tcPr>
            <w:tcW w:w="2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223,831</w:t>
            </w:r>
          </w:p>
        </w:tc>
        <w:tc>
          <w:tcPr>
            <w:tcW w:w="18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238,135</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9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Other noncurrent liabilities</w:t>
            </w:r>
          </w:p>
        </w:tc>
        <w:tc>
          <w:tcPr>
            <w:tcW w:w="2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1,200</w:t>
            </w:r>
          </w:p>
        </w:tc>
        <w:tc>
          <w:tcPr>
            <w:tcW w:w="1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920" w:type="dxa"/>
            <w:vAlign w:val="bottom"/>
            <w:gridSpan w:val="2"/>
          </w:tcPr>
          <w:p>
            <w:pPr>
              <w:spacing w:after="0"/>
              <w:rPr>
                <w:sz w:val="20"/>
                <w:szCs w:val="20"/>
                <w:color w:val="auto"/>
              </w:rPr>
            </w:pPr>
            <w:r>
              <w:rPr>
                <w:rFonts w:ascii="Arial" w:cs="Arial" w:eastAsia="Arial" w:hAnsi="Arial"/>
                <w:sz w:val="18"/>
                <w:szCs w:val="18"/>
                <w:color w:val="auto"/>
              </w:rPr>
              <w:t>Deferred income taxes, noncurrent</w:t>
            </w:r>
          </w:p>
        </w:tc>
        <w:tc>
          <w:tcPr>
            <w:tcW w:w="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19,218</w:t>
            </w:r>
          </w:p>
        </w:tc>
        <w:tc>
          <w:tcPr>
            <w:tcW w:w="1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18,362</w:t>
            </w: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9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Notes payable, less current portion</w:t>
            </w:r>
          </w:p>
        </w:tc>
        <w:tc>
          <w:tcPr>
            <w:tcW w:w="20" w:type="dxa"/>
            <w:vAlign w:val="bottom"/>
            <w:shd w:val="clear" w:color="auto" w:fill="CCEEFF"/>
          </w:tcPr>
          <w:p>
            <w:pPr>
              <w:spacing w:after="0"/>
              <w:rPr>
                <w:sz w:val="18"/>
                <w:szCs w:val="18"/>
                <w:color w:val="auto"/>
              </w:rPr>
            </w:pPr>
          </w:p>
        </w:tc>
        <w:tc>
          <w:tcPr>
            <w:tcW w:w="60" w:type="dxa"/>
            <w:vAlign w:val="bottom"/>
            <w:tcBorders>
              <w:bottom w:val="single" w:sz="8" w:color="auto"/>
            </w:tcBorders>
            <w:shd w:val="clear" w:color="auto" w:fill="CCEEFF"/>
          </w:tcPr>
          <w:p>
            <w:pPr>
              <w:spacing w:after="0"/>
              <w:rPr>
                <w:sz w:val="18"/>
                <w:szCs w:val="18"/>
                <w:color w:val="auto"/>
              </w:rPr>
            </w:pPr>
          </w:p>
        </w:tc>
        <w:tc>
          <w:tcPr>
            <w:tcW w:w="7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56,619</w:t>
            </w:r>
          </w:p>
        </w:tc>
        <w:tc>
          <w:tcPr>
            <w:tcW w:w="1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7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59,925</w:t>
            </w:r>
          </w:p>
        </w:tc>
        <w:tc>
          <w:tcPr>
            <w:tcW w:w="1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8940" w:type="dxa"/>
            <w:vAlign w:val="bottom"/>
            <w:gridSpan w:val="3"/>
          </w:tcPr>
          <w:p>
            <w:pPr>
              <w:spacing w:after="0"/>
              <w:rPr>
                <w:sz w:val="20"/>
                <w:szCs w:val="20"/>
                <w:color w:val="auto"/>
              </w:rPr>
            </w:pPr>
            <w:r>
              <w:rPr>
                <w:rFonts w:ascii="Arial" w:cs="Arial" w:eastAsia="Arial" w:hAnsi="Arial"/>
                <w:sz w:val="18"/>
                <w:szCs w:val="18"/>
                <w:b w:val="1"/>
                <w:bCs w:val="1"/>
                <w:color w:val="auto"/>
              </w:rPr>
              <w:t>Total liabilities</w:t>
            </w:r>
          </w:p>
        </w:tc>
        <w:tc>
          <w:tcPr>
            <w:tcW w:w="20" w:type="dxa"/>
            <w:vAlign w:val="bottom"/>
          </w:tcPr>
          <w:p>
            <w:pPr>
              <w:spacing w:after="0"/>
              <w:rPr>
                <w:sz w:val="20"/>
                <w:szCs w:val="20"/>
                <w:color w:val="auto"/>
              </w:rPr>
            </w:pPr>
          </w:p>
        </w:tc>
        <w:tc>
          <w:tcPr>
            <w:tcW w:w="60" w:type="dxa"/>
            <w:vAlign w:val="bottom"/>
            <w:tcBorders>
              <w:bottom w:val="single" w:sz="8" w:color="auto"/>
            </w:tcBorders>
          </w:tcPr>
          <w:p>
            <w:pPr>
              <w:spacing w:after="0"/>
              <w:rPr>
                <w:sz w:val="20"/>
                <w:szCs w:val="20"/>
                <w:color w:val="auto"/>
              </w:rPr>
            </w:pP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299,668</w:t>
            </w:r>
          </w:p>
        </w:tc>
        <w:tc>
          <w:tcPr>
            <w:tcW w:w="18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317,622</w:t>
            </w:r>
          </w:p>
        </w:tc>
        <w:tc>
          <w:tcPr>
            <w:tcW w:w="1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9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Commitments and contingencies</w:t>
            </w:r>
          </w:p>
        </w:tc>
        <w:tc>
          <w:tcPr>
            <w:tcW w:w="2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920" w:type="dxa"/>
            <w:vAlign w:val="bottom"/>
            <w:gridSpan w:val="2"/>
          </w:tcPr>
          <w:p>
            <w:pPr>
              <w:spacing w:after="0"/>
              <w:rPr>
                <w:sz w:val="20"/>
                <w:szCs w:val="20"/>
                <w:color w:val="auto"/>
              </w:rPr>
            </w:pPr>
            <w:r>
              <w:rPr>
                <w:rFonts w:ascii="Arial" w:cs="Arial" w:eastAsia="Arial" w:hAnsi="Arial"/>
                <w:sz w:val="18"/>
                <w:szCs w:val="18"/>
                <w:b w:val="1"/>
                <w:bCs w:val="1"/>
                <w:color w:val="auto"/>
              </w:rPr>
              <w:t>Stockholders’ equity</w:t>
            </w:r>
          </w:p>
        </w:tc>
        <w:tc>
          <w:tcPr>
            <w:tcW w:w="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2"/>
        </w:trPr>
        <w:tc>
          <w:tcPr>
            <w:tcW w:w="20" w:type="dxa"/>
            <w:vAlign w:val="bottom"/>
          </w:tcPr>
          <w:p>
            <w:pPr>
              <w:spacing w:after="0"/>
              <w:rPr>
                <w:sz w:val="17"/>
                <w:szCs w:val="17"/>
                <w:color w:val="auto"/>
              </w:rPr>
            </w:pPr>
          </w:p>
        </w:tc>
        <w:tc>
          <w:tcPr>
            <w:tcW w:w="8920" w:type="dxa"/>
            <w:vAlign w:val="bottom"/>
            <w:gridSpan w:val="2"/>
            <w:shd w:val="clear" w:color="auto" w:fill="CCEEFF"/>
          </w:tcPr>
          <w:p>
            <w:pPr>
              <w:spacing w:after="0" w:line="201" w:lineRule="exact"/>
              <w:rPr>
                <w:sz w:val="20"/>
                <w:szCs w:val="20"/>
                <w:color w:val="auto"/>
              </w:rPr>
            </w:pPr>
            <w:r>
              <w:rPr>
                <w:rFonts w:ascii="Arial" w:cs="Arial" w:eastAsia="Arial" w:hAnsi="Arial"/>
                <w:sz w:val="18"/>
                <w:szCs w:val="18"/>
                <w:color w:val="auto"/>
                <w:w w:val="97"/>
              </w:rPr>
              <w:t>Preferred stock, $0.01 par value, 10,000 shares authorized; 0 shares issued and outstanding at June 30, 2018 and</w:t>
            </w:r>
          </w:p>
        </w:tc>
        <w:tc>
          <w:tcPr>
            <w:tcW w:w="2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74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74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8920" w:type="dxa"/>
            <w:vAlign w:val="bottom"/>
            <w:gridSpan w:val="2"/>
            <w:shd w:val="clear" w:color="auto" w:fill="CCEEFF"/>
          </w:tcPr>
          <w:p>
            <w:pPr>
              <w:ind w:left="160"/>
              <w:spacing w:after="0"/>
              <w:rPr>
                <w:sz w:val="20"/>
                <w:szCs w:val="20"/>
                <w:color w:val="auto"/>
              </w:rPr>
            </w:pPr>
            <w:r>
              <w:rPr>
                <w:rFonts w:ascii="Arial" w:cs="Arial" w:eastAsia="Arial" w:hAnsi="Arial"/>
                <w:sz w:val="18"/>
                <w:szCs w:val="18"/>
                <w:color w:val="auto"/>
              </w:rPr>
              <w:t>December 31, 2017</w:t>
            </w:r>
          </w:p>
        </w:tc>
        <w:tc>
          <w:tcPr>
            <w:tcW w:w="20" w:type="dxa"/>
            <w:vAlign w:val="bottom"/>
            <w:shd w:val="clear" w:color="auto" w:fill="CCEEFF"/>
          </w:tcPr>
          <w:p>
            <w:pPr>
              <w:spacing w:after="0"/>
              <w:rPr>
                <w:sz w:val="20"/>
                <w:szCs w:val="20"/>
                <w:color w:val="auto"/>
              </w:rPr>
            </w:pPr>
          </w:p>
        </w:tc>
        <w:tc>
          <w:tcPr>
            <w:tcW w:w="60" w:type="dxa"/>
            <w:vAlign w:val="bottom"/>
            <w:shd w:val="clear" w:color="auto" w:fill="CCEEFF"/>
          </w:tcPr>
          <w:p>
            <w:pPr>
              <w:spacing w:after="0"/>
              <w:rPr>
                <w:sz w:val="20"/>
                <w:szCs w:val="20"/>
                <w:color w:val="auto"/>
              </w:rPr>
            </w:pPr>
          </w:p>
        </w:tc>
        <w:tc>
          <w:tcPr>
            <w:tcW w:w="92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86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02"/>
        </w:trPr>
        <w:tc>
          <w:tcPr>
            <w:tcW w:w="20" w:type="dxa"/>
            <w:vAlign w:val="bottom"/>
          </w:tcPr>
          <w:p>
            <w:pPr>
              <w:spacing w:after="0"/>
              <w:rPr>
                <w:sz w:val="17"/>
                <w:szCs w:val="17"/>
                <w:color w:val="auto"/>
              </w:rPr>
            </w:pPr>
          </w:p>
        </w:tc>
        <w:tc>
          <w:tcPr>
            <w:tcW w:w="8920" w:type="dxa"/>
            <w:vAlign w:val="bottom"/>
            <w:gridSpan w:val="2"/>
          </w:tcPr>
          <w:p>
            <w:pPr>
              <w:spacing w:after="0" w:line="201" w:lineRule="exact"/>
              <w:rPr>
                <w:sz w:val="20"/>
                <w:szCs w:val="20"/>
                <w:color w:val="auto"/>
              </w:rPr>
            </w:pPr>
            <w:r>
              <w:rPr>
                <w:rFonts w:ascii="Arial" w:cs="Arial" w:eastAsia="Arial" w:hAnsi="Arial"/>
                <w:sz w:val="18"/>
                <w:szCs w:val="18"/>
                <w:color w:val="auto"/>
                <w:w w:val="94"/>
              </w:rPr>
              <w:t>Common stock, $0.01 par value, 100,000 shares authorized; 52,552 and 52,277 shares issued and 48,257 and 48,125</w:t>
            </w:r>
          </w:p>
        </w:tc>
        <w:tc>
          <w:tcPr>
            <w:tcW w:w="2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8920" w:type="dxa"/>
            <w:vAlign w:val="bottom"/>
            <w:gridSpan w:val="2"/>
          </w:tcPr>
          <w:p>
            <w:pPr>
              <w:ind w:left="160"/>
              <w:spacing w:after="0"/>
              <w:rPr>
                <w:sz w:val="20"/>
                <w:szCs w:val="20"/>
                <w:color w:val="auto"/>
              </w:rPr>
            </w:pPr>
            <w:r>
              <w:rPr>
                <w:rFonts w:ascii="Arial" w:cs="Arial" w:eastAsia="Arial" w:hAnsi="Arial"/>
                <w:sz w:val="18"/>
                <w:szCs w:val="18"/>
                <w:color w:val="auto"/>
              </w:rPr>
              <w:t>shares outstanding at June 30, 2018 and December 31, 2017, respectively</w:t>
            </w:r>
          </w:p>
        </w:tc>
        <w:tc>
          <w:tcPr>
            <w:tcW w:w="2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526</w:t>
            </w:r>
          </w:p>
        </w:tc>
        <w:tc>
          <w:tcPr>
            <w:tcW w:w="18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523</w:t>
            </w:r>
          </w:p>
        </w:tc>
        <w:tc>
          <w:tcPr>
            <w:tcW w:w="1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920" w:type="dxa"/>
            <w:vAlign w:val="bottom"/>
            <w:gridSpan w:val="2"/>
            <w:shd w:val="clear" w:color="auto" w:fill="CCEEFF"/>
          </w:tcPr>
          <w:p>
            <w:pPr>
              <w:spacing w:after="0"/>
              <w:rPr>
                <w:sz w:val="20"/>
                <w:szCs w:val="20"/>
                <w:color w:val="auto"/>
              </w:rPr>
            </w:pPr>
            <w:r>
              <w:rPr>
                <w:rFonts w:ascii="Arial" w:cs="Arial" w:eastAsia="Arial" w:hAnsi="Arial"/>
                <w:sz w:val="18"/>
                <w:szCs w:val="18"/>
                <w:color w:val="auto"/>
                <w:w w:val="92"/>
              </w:rPr>
              <w:t>Treasury stock, at cost, 4,295 and 4,152 shares of common stock at June 30, 2018 and December 31, 2017, respectively</w:t>
            </w:r>
          </w:p>
        </w:tc>
        <w:tc>
          <w:tcPr>
            <w:tcW w:w="2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(113,757)</w:t>
            </w: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(100,694)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920" w:type="dxa"/>
            <w:vAlign w:val="bottom"/>
            <w:gridSpan w:val="2"/>
          </w:tcPr>
          <w:p>
            <w:pPr>
              <w:spacing w:after="0"/>
              <w:rPr>
                <w:sz w:val="20"/>
                <w:szCs w:val="20"/>
                <w:color w:val="auto"/>
              </w:rPr>
            </w:pPr>
            <w:r>
              <w:rPr>
                <w:rFonts w:ascii="Arial" w:cs="Arial" w:eastAsia="Arial" w:hAnsi="Arial"/>
                <w:sz w:val="18"/>
                <w:szCs w:val="18"/>
                <w:color w:val="auto"/>
              </w:rPr>
              <w:t>Additional paid-in capital</w:t>
            </w:r>
          </w:p>
        </w:tc>
        <w:tc>
          <w:tcPr>
            <w:tcW w:w="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241,169</w:t>
            </w:r>
          </w:p>
        </w:tc>
        <w:tc>
          <w:tcPr>
            <w:tcW w:w="1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232,670</w:t>
            </w: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9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Accumulated other comprehensive loss</w:t>
            </w:r>
          </w:p>
        </w:tc>
        <w:tc>
          <w:tcPr>
            <w:tcW w:w="2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(515)</w:t>
            </w: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(724)</w:t>
            </w: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8920" w:type="dxa"/>
            <w:vAlign w:val="bottom"/>
            <w:gridSpan w:val="2"/>
          </w:tcPr>
          <w:p>
            <w:pPr>
              <w:spacing w:after="0"/>
              <w:rPr>
                <w:sz w:val="20"/>
                <w:szCs w:val="20"/>
                <w:color w:val="auto"/>
              </w:rPr>
            </w:pPr>
            <w:r>
              <w:rPr>
                <w:rFonts w:ascii="Arial" w:cs="Arial" w:eastAsia="Arial" w:hAnsi="Arial"/>
                <w:sz w:val="18"/>
                <w:szCs w:val="18"/>
                <w:color w:val="auto"/>
              </w:rPr>
              <w:t>Retained earnings</w:t>
            </w:r>
          </w:p>
        </w:tc>
        <w:tc>
          <w:tcPr>
            <w:tcW w:w="20" w:type="dxa"/>
            <w:vAlign w:val="bottom"/>
          </w:tcPr>
          <w:p>
            <w:pPr>
              <w:spacing w:after="0"/>
              <w:rPr>
                <w:sz w:val="19"/>
                <w:szCs w:val="19"/>
                <w:color w:val="auto"/>
              </w:rPr>
            </w:pPr>
          </w:p>
        </w:tc>
        <w:tc>
          <w:tcPr>
            <w:tcW w:w="60" w:type="dxa"/>
            <w:vAlign w:val="bottom"/>
            <w:tcBorders>
              <w:bottom w:val="single" w:sz="8" w:color="auto"/>
            </w:tcBorders>
          </w:tcPr>
          <w:p>
            <w:pPr>
              <w:spacing w:after="0"/>
              <w:rPr>
                <w:sz w:val="19"/>
                <w:szCs w:val="19"/>
                <w:color w:val="auto"/>
              </w:rPr>
            </w:pP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972,877</w:t>
            </w:r>
          </w:p>
        </w:tc>
        <w:tc>
          <w:tcPr>
            <w:tcW w:w="18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854,176</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92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Total stockholders’ equity</w:t>
            </w:r>
          </w:p>
        </w:tc>
        <w:tc>
          <w:tcPr>
            <w:tcW w:w="20" w:type="dxa"/>
            <w:vAlign w:val="bottom"/>
            <w:shd w:val="clear" w:color="auto" w:fill="CCEEFF"/>
          </w:tcPr>
          <w:p>
            <w:pPr>
              <w:spacing w:after="0"/>
              <w:rPr>
                <w:sz w:val="18"/>
                <w:szCs w:val="18"/>
                <w:color w:val="auto"/>
              </w:rPr>
            </w:pPr>
          </w:p>
        </w:tc>
        <w:tc>
          <w:tcPr>
            <w:tcW w:w="60" w:type="dxa"/>
            <w:vAlign w:val="bottom"/>
            <w:tcBorders>
              <w:bottom w:val="single" w:sz="8" w:color="auto"/>
            </w:tcBorders>
            <w:shd w:val="clear" w:color="auto" w:fill="CCEEFF"/>
          </w:tcPr>
          <w:p>
            <w:pPr>
              <w:spacing w:after="0"/>
              <w:rPr>
                <w:sz w:val="18"/>
                <w:szCs w:val="18"/>
                <w:color w:val="auto"/>
              </w:rPr>
            </w:pPr>
          </w:p>
        </w:tc>
        <w:tc>
          <w:tcPr>
            <w:tcW w:w="7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89"/>
              </w:rPr>
              <w:t>1,100,300</w:t>
            </w:r>
          </w:p>
        </w:tc>
        <w:tc>
          <w:tcPr>
            <w:tcW w:w="1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7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985,951</w:t>
            </w:r>
          </w:p>
        </w:tc>
        <w:tc>
          <w:tcPr>
            <w:tcW w:w="1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8940" w:type="dxa"/>
            <w:vAlign w:val="bottom"/>
            <w:gridSpan w:val="3"/>
          </w:tcPr>
          <w:p>
            <w:pPr>
              <w:spacing w:after="0"/>
              <w:rPr>
                <w:sz w:val="20"/>
                <w:szCs w:val="20"/>
                <w:color w:val="auto"/>
              </w:rPr>
            </w:pPr>
            <w:r>
              <w:rPr>
                <w:rFonts w:ascii="Arial" w:cs="Arial" w:eastAsia="Arial" w:hAnsi="Arial"/>
                <w:sz w:val="18"/>
                <w:szCs w:val="18"/>
                <w:b w:val="1"/>
                <w:bCs w:val="1"/>
                <w:color w:val="auto"/>
              </w:rPr>
              <w:t>Total liabilities and stockholders’ equity</w:t>
            </w:r>
          </w:p>
        </w:tc>
        <w:tc>
          <w:tcPr>
            <w:tcW w:w="20" w:type="dxa"/>
            <w:vAlign w:val="bottom"/>
            <w:tcBorders>
              <w:bottom w:val="single" w:sz="8" w:color="auto"/>
            </w:tcBorders>
          </w:tcPr>
          <w:p>
            <w:pPr>
              <w:spacing w:after="0"/>
              <w:rPr>
                <w:sz w:val="19"/>
                <w:szCs w:val="19"/>
                <w:color w:val="auto"/>
              </w:rPr>
            </w:pPr>
          </w:p>
        </w:tc>
        <w:tc>
          <w:tcPr>
            <w:tcW w:w="60" w:type="dxa"/>
            <w:vAlign w:val="bottom"/>
            <w:tcBorders>
              <w:bottom w:val="single" w:sz="8" w:color="auto"/>
            </w:tcBorders>
          </w:tcPr>
          <w:p>
            <w:pPr>
              <w:jc w:val="right"/>
              <w:spacing w:after="0"/>
              <w:rPr>
                <w:sz w:val="20"/>
                <w:szCs w:val="20"/>
                <w:color w:val="auto"/>
              </w:rPr>
            </w:pPr>
            <w:r>
              <w:rPr>
                <w:rFonts w:ascii="Arial" w:cs="Arial" w:eastAsia="Arial" w:hAnsi="Arial"/>
                <w:sz w:val="10"/>
                <w:szCs w:val="10"/>
                <w:u w:val="single" w:color="auto"/>
                <w:color w:val="auto"/>
                <w:w w:val="71"/>
              </w:rPr>
              <w:t>$</w:t>
            </w: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89"/>
              </w:rPr>
              <w:t>1,399,968</w:t>
            </w:r>
          </w:p>
        </w:tc>
        <w:tc>
          <w:tcPr>
            <w:tcW w:w="18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00" w:type="dxa"/>
            <w:vAlign w:val="bottom"/>
            <w:tcBorders>
              <w:bottom w:val="single" w:sz="8" w:color="auto"/>
            </w:tcBorders>
          </w:tcPr>
          <w:p>
            <w:pPr>
              <w:spacing w:after="0"/>
              <w:rPr>
                <w:sz w:val="20"/>
                <w:szCs w:val="20"/>
                <w:color w:val="auto"/>
              </w:rPr>
            </w:pPr>
            <w:r>
              <w:rPr>
                <w:rFonts w:ascii="Arial" w:cs="Arial" w:eastAsia="Arial" w:hAnsi="Arial"/>
                <w:sz w:val="18"/>
                <w:szCs w:val="18"/>
                <w:color w:val="auto"/>
                <w:w w:val="79"/>
              </w:rPr>
              <w:t>$</w:t>
            </w: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89"/>
              </w:rPr>
              <w:t>1,303,573</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960" w:type="dxa"/>
            <w:vAlign w:val="bottom"/>
          </w:tcPr>
          <w:p>
            <w:pPr>
              <w:spacing w:after="0" w:line="20" w:lineRule="exact"/>
              <w:rPr>
                <w:sz w:val="1"/>
                <w:szCs w:val="1"/>
                <w:color w:val="auto"/>
              </w:rPr>
            </w:pPr>
          </w:p>
        </w:tc>
        <w:tc>
          <w:tcPr>
            <w:tcW w:w="69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ectPr>
          <w:pgSz w:w="11900" w:h="16838" w:orient="portrait"/>
          <w:cols w:equalWidth="0" w:num="1">
            <w:col w:w="11040"/>
          </w:cols>
          <w:pgMar w:left="440" w:top="270" w:right="419" w:bottom="1440" w:gutter="0" w:footer="0" w:header="0"/>
        </w:sectPr>
      </w:pPr>
    </w:p>
    <w:bookmarkStart w:id="14" w:name="page15"/>
    <w:bookmarkEnd w:id="14"/>
    <w:p>
      <w:pPr>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7289165" cy="38735"/>
                    </a:xfrm>
                    <a:prstGeom prst="rect">
                      <a:avLst/>
                    </a:prstGeom>
                    <a:noFill/>
                  </pic:spPr>
                </pic:pic>
              </a:graphicData>
            </a:graphic>
          </wp:anchor>
        </w:drawing>
        <w:t>Grand Canyon Education, Inc. Reports Second Quarter 2018 Results</w:t>
      </w:r>
    </w:p>
    <w:p>
      <w:pPr>
        <w:spacing w:after="0" w:line="200" w:lineRule="exact"/>
        <w:rPr>
          <w:sz w:val="20"/>
          <w:szCs w:val="20"/>
          <w:color w:val="auto"/>
        </w:rPr>
      </w:pPr>
    </w:p>
    <w:p>
      <w:pPr>
        <w:spacing w:after="0" w:line="241"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GRAND CANYON EDUCATION, INC.</w:t>
      </w:r>
    </w:p>
    <w:p>
      <w:pPr>
        <w:spacing w:after="0" w:line="27"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Consolidated Statements of Cash Flows</w:t>
      </w:r>
    </w:p>
    <w:p>
      <w:pPr>
        <w:spacing w:after="0" w:line="9"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(Unaudited)</w:t>
      </w:r>
    </w:p>
    <w:p>
      <w:pPr>
        <w:spacing w:after="0" w:line="217"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6760" w:type="dxa"/>
            <w:vAlign w:val="bottom"/>
          </w:tcPr>
          <w:p>
            <w:pPr>
              <w:spacing w:after="0"/>
              <w:rPr>
                <w:sz w:val="14"/>
                <w:szCs w:val="14"/>
                <w:color w:val="auto"/>
              </w:rPr>
            </w:pPr>
          </w:p>
        </w:tc>
        <w:tc>
          <w:tcPr>
            <w:tcW w:w="15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720" w:type="dxa"/>
            <w:vAlign w:val="bottom"/>
            <w:gridSpan w:val="6"/>
          </w:tcPr>
          <w:p>
            <w:pPr>
              <w:jc w:val="right"/>
              <w:ind w:right="400"/>
              <w:spacing w:after="0"/>
              <w:rPr>
                <w:sz w:val="20"/>
                <w:szCs w:val="20"/>
                <w:color w:val="auto"/>
              </w:rPr>
            </w:pPr>
            <w:r>
              <w:rPr>
                <w:rFonts w:ascii="Arial" w:cs="Arial" w:eastAsia="Arial" w:hAnsi="Arial"/>
                <w:sz w:val="14"/>
                <w:szCs w:val="14"/>
                <w:b w:val="1"/>
                <w:bCs w:val="1"/>
                <w:color w:val="auto"/>
              </w:rPr>
              <w:t>Six Months Ended</w:t>
            </w:r>
          </w:p>
        </w:tc>
        <w:tc>
          <w:tcPr>
            <w:tcW w:w="0" w:type="dxa"/>
            <w:vAlign w:val="bottom"/>
          </w:tcPr>
          <w:p>
            <w:pPr>
              <w:spacing w:after="0"/>
              <w:rPr>
                <w:sz w:val="1"/>
                <w:szCs w:val="1"/>
                <w:color w:val="auto"/>
              </w:rPr>
            </w:pPr>
          </w:p>
        </w:tc>
      </w:tr>
      <w:tr>
        <w:trPr>
          <w:trHeight w:val="171"/>
        </w:trPr>
        <w:tc>
          <w:tcPr>
            <w:tcW w:w="7680" w:type="dxa"/>
            <w:vAlign w:val="bottom"/>
            <w:gridSpan w:val="3"/>
            <w:vMerge w:val="restart"/>
          </w:tcPr>
          <w:p>
            <w:pPr>
              <w:spacing w:after="0"/>
              <w:rPr>
                <w:sz w:val="20"/>
                <w:szCs w:val="20"/>
                <w:color w:val="auto"/>
              </w:rPr>
            </w:pPr>
            <w:r>
              <w:rPr>
                <w:rFonts w:ascii="Arial" w:cs="Arial" w:eastAsia="Arial" w:hAnsi="Arial"/>
                <w:sz w:val="14"/>
                <w:szCs w:val="14"/>
                <w:b w:val="1"/>
                <w:bCs w:val="1"/>
                <w:color w:val="auto"/>
              </w:rPr>
              <w:t>(In thousands)</w:t>
            </w:r>
          </w:p>
        </w:tc>
        <w:tc>
          <w:tcPr>
            <w:tcW w:w="154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1000" w:type="dxa"/>
            <w:vAlign w:val="bottom"/>
            <w:tcBorders>
              <w:bottom w:val="single" w:sz="8" w:color="auto"/>
            </w:tcBorders>
            <w:gridSpan w:val="4"/>
          </w:tcPr>
          <w:p>
            <w:pPr>
              <w:jc w:val="right"/>
              <w:spacing w:after="0"/>
              <w:rPr>
                <w:sz w:val="20"/>
                <w:szCs w:val="20"/>
                <w:color w:val="auto"/>
              </w:rPr>
            </w:pPr>
            <w:r>
              <w:rPr>
                <w:rFonts w:ascii="Arial" w:cs="Arial" w:eastAsia="Arial" w:hAnsi="Arial"/>
                <w:sz w:val="14"/>
                <w:szCs w:val="14"/>
                <w:b w:val="1"/>
                <w:bCs w:val="1"/>
                <w:color w:val="auto"/>
              </w:rPr>
              <w:t>June 30,</w:t>
            </w:r>
          </w:p>
        </w:tc>
        <w:tc>
          <w:tcPr>
            <w:tcW w:w="600" w:type="dxa"/>
            <w:vAlign w:val="bottom"/>
            <w:tcBorders>
              <w:bottom w:val="single" w:sz="8" w:color="auto"/>
            </w:tcBorders>
          </w:tcPr>
          <w:p>
            <w:pPr>
              <w:spacing w:after="0"/>
              <w:rPr>
                <w:sz w:val="14"/>
                <w:szCs w:val="14"/>
                <w:color w:val="auto"/>
              </w:rPr>
            </w:pPr>
          </w:p>
        </w:tc>
        <w:tc>
          <w:tcPr>
            <w:tcW w:w="1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29"/>
        </w:trPr>
        <w:tc>
          <w:tcPr>
            <w:tcW w:w="7680" w:type="dxa"/>
            <w:vAlign w:val="bottom"/>
            <w:gridSpan w:val="3"/>
            <w:vMerge w:val="continue"/>
          </w:tcPr>
          <w:p>
            <w:pPr>
              <w:spacing w:after="0"/>
              <w:rPr>
                <w:sz w:val="11"/>
                <w:szCs w:val="11"/>
                <w:color w:val="auto"/>
              </w:rPr>
            </w:pPr>
          </w:p>
        </w:tc>
        <w:tc>
          <w:tcPr>
            <w:tcW w:w="15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580" w:type="dxa"/>
            <w:vAlign w:val="bottom"/>
          </w:tcPr>
          <w:p>
            <w:pPr>
              <w:jc w:val="right"/>
              <w:ind w:right="111"/>
              <w:spacing w:after="0" w:line="129" w:lineRule="exact"/>
              <w:rPr>
                <w:sz w:val="20"/>
                <w:szCs w:val="20"/>
                <w:color w:val="auto"/>
              </w:rPr>
            </w:pPr>
            <w:r>
              <w:rPr>
                <w:rFonts w:ascii="Arial" w:cs="Arial" w:eastAsia="Arial" w:hAnsi="Arial"/>
                <w:sz w:val="14"/>
                <w:szCs w:val="14"/>
                <w:b w:val="1"/>
                <w:bCs w:val="1"/>
                <w:color w:val="auto"/>
              </w:rPr>
              <w:t>2018</w:t>
            </w:r>
          </w:p>
        </w:tc>
        <w:tc>
          <w:tcPr>
            <w:tcW w:w="2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0" w:type="dxa"/>
            <w:vAlign w:val="bottom"/>
          </w:tcPr>
          <w:p>
            <w:pPr>
              <w:jc w:val="right"/>
              <w:ind w:right="110"/>
              <w:spacing w:after="0" w:line="129" w:lineRule="exact"/>
              <w:rPr>
                <w:sz w:val="20"/>
                <w:szCs w:val="20"/>
                <w:color w:val="auto"/>
              </w:rPr>
            </w:pPr>
            <w:r>
              <w:rPr>
                <w:rFonts w:ascii="Arial" w:cs="Arial" w:eastAsia="Arial" w:hAnsi="Arial"/>
                <w:sz w:val="14"/>
                <w:szCs w:val="14"/>
                <w:b w:val="1"/>
                <w:bCs w:val="1"/>
                <w:color w:val="auto"/>
              </w:rPr>
              <w:t>2017</w:t>
            </w:r>
          </w:p>
        </w:tc>
        <w:tc>
          <w:tcPr>
            <w:tcW w:w="1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900" w:type="dxa"/>
            <w:vAlign w:val="bottom"/>
            <w:tcBorders>
              <w:bottom w:val="single" w:sz="8" w:color="CCEEFF"/>
            </w:tcBorders>
            <w:shd w:val="clear" w:color="auto" w:fill="000000"/>
          </w:tcPr>
          <w:p>
            <w:pPr>
              <w:spacing w:after="0" w:line="20" w:lineRule="exact"/>
              <w:rPr>
                <w:sz w:val="1"/>
                <w:szCs w:val="1"/>
                <w:color w:val="auto"/>
              </w:rPr>
            </w:pPr>
          </w:p>
        </w:tc>
        <w:tc>
          <w:tcPr>
            <w:tcW w:w="6760" w:type="dxa"/>
            <w:vAlign w:val="bottom"/>
            <w:tcBorders>
              <w:bottom w:val="single" w:sz="8" w:color="CCEEFF"/>
            </w:tcBorders>
          </w:tcPr>
          <w:p>
            <w:pPr>
              <w:spacing w:after="0" w:line="20" w:lineRule="exact"/>
              <w:rPr>
                <w:sz w:val="1"/>
                <w:szCs w:val="1"/>
                <w:color w:val="auto"/>
              </w:rPr>
            </w:pPr>
          </w:p>
        </w:tc>
        <w:tc>
          <w:tcPr>
            <w:tcW w:w="1540" w:type="dxa"/>
            <w:vAlign w:val="bottom"/>
            <w:tcBorders>
              <w:bottom w:val="single" w:sz="8" w:color="CCEEFF"/>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0"/>
        </w:trPr>
        <w:tc>
          <w:tcPr>
            <w:tcW w:w="20" w:type="dxa"/>
            <w:vAlign w:val="bottom"/>
          </w:tcPr>
          <w:p>
            <w:pPr>
              <w:spacing w:after="0"/>
              <w:rPr>
                <w:sz w:val="16"/>
                <w:szCs w:val="16"/>
                <w:color w:val="auto"/>
              </w:rPr>
            </w:pPr>
          </w:p>
        </w:tc>
        <w:tc>
          <w:tcPr>
            <w:tcW w:w="7660" w:type="dxa"/>
            <w:vAlign w:val="bottom"/>
            <w:gridSpan w:val="2"/>
            <w:shd w:val="clear" w:color="auto" w:fill="CCEEFF"/>
          </w:tcPr>
          <w:p>
            <w:pPr>
              <w:spacing w:after="0" w:line="189" w:lineRule="exact"/>
              <w:rPr>
                <w:sz w:val="20"/>
                <w:szCs w:val="20"/>
                <w:color w:val="auto"/>
              </w:rPr>
            </w:pPr>
            <w:r>
              <w:rPr>
                <w:rFonts w:ascii="Arial" w:cs="Arial" w:eastAsia="Arial" w:hAnsi="Arial"/>
                <w:sz w:val="18"/>
                <w:szCs w:val="18"/>
                <w:b w:val="1"/>
                <w:bCs w:val="1"/>
                <w:color w:val="auto"/>
              </w:rPr>
              <w:t>Cash flows provided by operating activities:</w:t>
            </w:r>
          </w:p>
        </w:tc>
        <w:tc>
          <w:tcPr>
            <w:tcW w:w="154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58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60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660" w:type="dxa"/>
            <w:vAlign w:val="bottom"/>
            <w:gridSpan w:val="2"/>
          </w:tcPr>
          <w:p>
            <w:pPr>
              <w:spacing w:after="0"/>
              <w:rPr>
                <w:sz w:val="20"/>
                <w:szCs w:val="20"/>
                <w:color w:val="auto"/>
              </w:rPr>
            </w:pPr>
            <w:r>
              <w:rPr>
                <w:rFonts w:ascii="Arial" w:cs="Arial" w:eastAsia="Arial" w:hAnsi="Arial"/>
                <w:sz w:val="18"/>
                <w:szCs w:val="18"/>
                <w:color w:val="auto"/>
              </w:rPr>
              <w:t>Net income</w:t>
            </w:r>
          </w:p>
        </w:tc>
        <w:tc>
          <w:tcPr>
            <w:tcW w:w="164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580" w:type="dxa"/>
            <w:vAlign w:val="bottom"/>
          </w:tcPr>
          <w:p>
            <w:pPr>
              <w:jc w:val="right"/>
              <w:spacing w:after="0"/>
              <w:rPr>
                <w:sz w:val="20"/>
                <w:szCs w:val="20"/>
                <w:color w:val="auto"/>
              </w:rPr>
            </w:pPr>
            <w:r>
              <w:rPr>
                <w:rFonts w:ascii="Arial" w:cs="Arial" w:eastAsia="Arial" w:hAnsi="Arial"/>
                <w:sz w:val="18"/>
                <w:szCs w:val="18"/>
                <w:color w:val="auto"/>
                <w:w w:val="86"/>
              </w:rPr>
              <w:t>119,719</w:t>
            </w:r>
          </w:p>
        </w:tc>
        <w:tc>
          <w:tcPr>
            <w:tcW w:w="200" w:type="dxa"/>
            <w:vAlign w:val="bottom"/>
          </w:tcPr>
          <w:p>
            <w:pPr>
              <w:spacing w:after="0"/>
              <w:rPr>
                <w:sz w:val="18"/>
                <w:szCs w:val="18"/>
                <w:color w:val="auto"/>
              </w:rPr>
            </w:pPr>
          </w:p>
        </w:tc>
        <w:tc>
          <w:tcPr>
            <w:tcW w:w="2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600" w:type="dxa"/>
            <w:vAlign w:val="bottom"/>
          </w:tcPr>
          <w:p>
            <w:pPr>
              <w:jc w:val="right"/>
              <w:spacing w:after="0"/>
              <w:rPr>
                <w:sz w:val="20"/>
                <w:szCs w:val="20"/>
                <w:color w:val="auto"/>
              </w:rPr>
            </w:pPr>
            <w:r>
              <w:rPr>
                <w:rFonts w:ascii="Arial" w:cs="Arial" w:eastAsia="Arial" w:hAnsi="Arial"/>
                <w:sz w:val="18"/>
                <w:szCs w:val="18"/>
                <w:color w:val="auto"/>
              </w:rPr>
              <w:t>95,759</w:t>
            </w: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6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Adjustments to reconcile net income to net cash provided by operating activities:</w:t>
            </w:r>
          </w:p>
        </w:tc>
        <w:tc>
          <w:tcPr>
            <w:tcW w:w="15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660" w:type="dxa"/>
            <w:vAlign w:val="bottom"/>
            <w:gridSpan w:val="2"/>
          </w:tcPr>
          <w:p>
            <w:pPr>
              <w:ind w:left="340"/>
              <w:spacing w:after="0"/>
              <w:rPr>
                <w:sz w:val="20"/>
                <w:szCs w:val="20"/>
                <w:color w:val="auto"/>
              </w:rPr>
            </w:pPr>
            <w:r>
              <w:rPr>
                <w:rFonts w:ascii="Arial" w:cs="Arial" w:eastAsia="Arial" w:hAnsi="Arial"/>
                <w:sz w:val="18"/>
                <w:szCs w:val="18"/>
                <w:color w:val="auto"/>
              </w:rPr>
              <w:t>Share-based compensation</w:t>
            </w:r>
          </w:p>
        </w:tc>
        <w:tc>
          <w:tcPr>
            <w:tcW w:w="15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6,734</w:t>
            </w:r>
          </w:p>
        </w:tc>
        <w:tc>
          <w:tcPr>
            <w:tcW w:w="2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6,229</w:t>
            </w: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66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rPr>
              <w:t>Provision for bad debts</w:t>
            </w:r>
          </w:p>
        </w:tc>
        <w:tc>
          <w:tcPr>
            <w:tcW w:w="15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8,669</w:t>
            </w:r>
          </w:p>
        </w:tc>
        <w:tc>
          <w:tcPr>
            <w:tcW w:w="2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7,830</w:t>
            </w:r>
          </w:p>
        </w:tc>
        <w:tc>
          <w:tcPr>
            <w:tcW w:w="1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660" w:type="dxa"/>
            <w:vAlign w:val="bottom"/>
            <w:gridSpan w:val="2"/>
          </w:tcPr>
          <w:p>
            <w:pPr>
              <w:ind w:left="340"/>
              <w:spacing w:after="0"/>
              <w:rPr>
                <w:sz w:val="20"/>
                <w:szCs w:val="20"/>
                <w:color w:val="auto"/>
              </w:rPr>
            </w:pPr>
            <w:r>
              <w:rPr>
                <w:rFonts w:ascii="Arial" w:cs="Arial" w:eastAsia="Arial" w:hAnsi="Arial"/>
                <w:sz w:val="18"/>
                <w:szCs w:val="18"/>
                <w:color w:val="auto"/>
              </w:rPr>
              <w:t>Depreciation and amortization</w:t>
            </w:r>
          </w:p>
        </w:tc>
        <w:tc>
          <w:tcPr>
            <w:tcW w:w="15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27,971</w:t>
            </w:r>
          </w:p>
        </w:tc>
        <w:tc>
          <w:tcPr>
            <w:tcW w:w="2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26,856</w:t>
            </w: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66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rPr>
              <w:t>Deferred income taxes</w:t>
            </w:r>
          </w:p>
        </w:tc>
        <w:tc>
          <w:tcPr>
            <w:tcW w:w="15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1,246</w:t>
            </w:r>
          </w:p>
        </w:tc>
        <w:tc>
          <w:tcPr>
            <w:tcW w:w="2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3,372</w:t>
            </w:r>
          </w:p>
        </w:tc>
        <w:tc>
          <w:tcPr>
            <w:tcW w:w="1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660" w:type="dxa"/>
            <w:vAlign w:val="bottom"/>
            <w:gridSpan w:val="2"/>
          </w:tcPr>
          <w:p>
            <w:pPr>
              <w:ind w:left="340"/>
              <w:spacing w:after="0"/>
              <w:rPr>
                <w:sz w:val="20"/>
                <w:szCs w:val="20"/>
                <w:color w:val="auto"/>
              </w:rPr>
            </w:pPr>
            <w:r>
              <w:rPr>
                <w:rFonts w:ascii="Arial" w:cs="Arial" w:eastAsia="Arial" w:hAnsi="Arial"/>
                <w:sz w:val="18"/>
                <w:szCs w:val="18"/>
                <w:color w:val="auto"/>
              </w:rPr>
              <w:t>Other</w:t>
            </w:r>
          </w:p>
        </w:tc>
        <w:tc>
          <w:tcPr>
            <w:tcW w:w="15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1,018</w:t>
            </w:r>
          </w:p>
        </w:tc>
        <w:tc>
          <w:tcPr>
            <w:tcW w:w="2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214</w:t>
            </w: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66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rPr>
              <w:t>Changes in assets and liabilities:</w:t>
            </w:r>
          </w:p>
        </w:tc>
        <w:tc>
          <w:tcPr>
            <w:tcW w:w="15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660" w:type="dxa"/>
            <w:vAlign w:val="bottom"/>
            <w:gridSpan w:val="2"/>
          </w:tcPr>
          <w:p>
            <w:pPr>
              <w:ind w:left="700"/>
              <w:spacing w:after="0"/>
              <w:rPr>
                <w:sz w:val="20"/>
                <w:szCs w:val="20"/>
                <w:color w:val="auto"/>
              </w:rPr>
            </w:pPr>
            <w:r>
              <w:rPr>
                <w:rFonts w:ascii="Arial" w:cs="Arial" w:eastAsia="Arial" w:hAnsi="Arial"/>
                <w:sz w:val="18"/>
                <w:szCs w:val="18"/>
                <w:color w:val="auto"/>
              </w:rPr>
              <w:t>Accounts receivable</w:t>
            </w:r>
          </w:p>
        </w:tc>
        <w:tc>
          <w:tcPr>
            <w:tcW w:w="15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80" w:type="dxa"/>
            <w:vAlign w:val="bottom"/>
            <w:gridSpan w:val="2"/>
          </w:tcPr>
          <w:p>
            <w:pPr>
              <w:jc w:val="right"/>
              <w:ind w:right="140"/>
              <w:spacing w:after="0"/>
              <w:rPr>
                <w:sz w:val="20"/>
                <w:szCs w:val="20"/>
                <w:color w:val="auto"/>
              </w:rPr>
            </w:pPr>
            <w:r>
              <w:rPr>
                <w:rFonts w:ascii="Arial" w:cs="Arial" w:eastAsia="Arial" w:hAnsi="Arial"/>
                <w:sz w:val="18"/>
                <w:szCs w:val="18"/>
                <w:color w:val="auto"/>
              </w:rPr>
              <w:t>(7,784)</w:t>
            </w: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20" w:type="dxa"/>
            <w:vAlign w:val="bottom"/>
            <w:gridSpan w:val="2"/>
          </w:tcPr>
          <w:p>
            <w:pPr>
              <w:jc w:val="right"/>
              <w:ind w:right="60"/>
              <w:spacing w:after="0"/>
              <w:rPr>
                <w:sz w:val="20"/>
                <w:szCs w:val="20"/>
                <w:color w:val="auto"/>
              </w:rPr>
            </w:pPr>
            <w:r>
              <w:rPr>
                <w:rFonts w:ascii="Arial" w:cs="Arial" w:eastAsia="Arial" w:hAnsi="Arial"/>
                <w:sz w:val="18"/>
                <w:szCs w:val="18"/>
                <w:color w:val="auto"/>
              </w:rPr>
              <w:t>(8,458)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660" w:type="dxa"/>
            <w:vAlign w:val="bottom"/>
            <w:gridSpan w:val="2"/>
            <w:shd w:val="clear" w:color="auto" w:fill="CCEEFF"/>
          </w:tcPr>
          <w:p>
            <w:pPr>
              <w:ind w:left="700"/>
              <w:spacing w:after="0"/>
              <w:rPr>
                <w:sz w:val="20"/>
                <w:szCs w:val="20"/>
                <w:color w:val="auto"/>
              </w:rPr>
            </w:pPr>
            <w:r>
              <w:rPr>
                <w:rFonts w:ascii="Arial" w:cs="Arial" w:eastAsia="Arial" w:hAnsi="Arial"/>
                <w:sz w:val="18"/>
                <w:szCs w:val="18"/>
                <w:color w:val="auto"/>
              </w:rPr>
              <w:t>Prepaid expenses and other</w:t>
            </w:r>
          </w:p>
        </w:tc>
        <w:tc>
          <w:tcPr>
            <w:tcW w:w="15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(78)</w:t>
            </w: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(1,719)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660" w:type="dxa"/>
            <w:vAlign w:val="bottom"/>
            <w:gridSpan w:val="2"/>
          </w:tcPr>
          <w:p>
            <w:pPr>
              <w:ind w:left="700"/>
              <w:spacing w:after="0"/>
              <w:rPr>
                <w:sz w:val="20"/>
                <w:szCs w:val="20"/>
                <w:color w:val="auto"/>
              </w:rPr>
            </w:pPr>
            <w:r>
              <w:rPr>
                <w:rFonts w:ascii="Arial" w:cs="Arial" w:eastAsia="Arial" w:hAnsi="Arial"/>
                <w:sz w:val="18"/>
                <w:szCs w:val="18"/>
                <w:color w:val="auto"/>
              </w:rPr>
              <w:t>Accounts payable</w:t>
            </w:r>
          </w:p>
        </w:tc>
        <w:tc>
          <w:tcPr>
            <w:tcW w:w="15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80" w:type="dxa"/>
            <w:vAlign w:val="bottom"/>
            <w:gridSpan w:val="2"/>
          </w:tcPr>
          <w:p>
            <w:pPr>
              <w:jc w:val="right"/>
              <w:ind w:right="140"/>
              <w:spacing w:after="0"/>
              <w:rPr>
                <w:sz w:val="20"/>
                <w:szCs w:val="20"/>
                <w:color w:val="auto"/>
              </w:rPr>
            </w:pPr>
            <w:r>
              <w:rPr>
                <w:rFonts w:ascii="Arial" w:cs="Arial" w:eastAsia="Arial" w:hAnsi="Arial"/>
                <w:sz w:val="18"/>
                <w:szCs w:val="18"/>
                <w:color w:val="auto"/>
              </w:rPr>
              <w:t>(1,373)</w:t>
            </w: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20" w:type="dxa"/>
            <w:vAlign w:val="bottom"/>
            <w:gridSpan w:val="2"/>
          </w:tcPr>
          <w:p>
            <w:pPr>
              <w:jc w:val="right"/>
              <w:ind w:right="60"/>
              <w:spacing w:after="0"/>
              <w:rPr>
                <w:sz w:val="20"/>
                <w:szCs w:val="20"/>
                <w:color w:val="auto"/>
              </w:rPr>
            </w:pPr>
            <w:r>
              <w:rPr>
                <w:rFonts w:ascii="Arial" w:cs="Arial" w:eastAsia="Arial" w:hAnsi="Arial"/>
                <w:sz w:val="18"/>
                <w:szCs w:val="18"/>
                <w:color w:val="auto"/>
              </w:rPr>
              <w:t>(1,708)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660" w:type="dxa"/>
            <w:vAlign w:val="bottom"/>
            <w:gridSpan w:val="2"/>
            <w:shd w:val="clear" w:color="auto" w:fill="CCEEFF"/>
          </w:tcPr>
          <w:p>
            <w:pPr>
              <w:ind w:left="700"/>
              <w:spacing w:after="0"/>
              <w:rPr>
                <w:sz w:val="20"/>
                <w:szCs w:val="20"/>
                <w:color w:val="auto"/>
              </w:rPr>
            </w:pPr>
            <w:r>
              <w:rPr>
                <w:rFonts w:ascii="Arial" w:cs="Arial" w:eastAsia="Arial" w:hAnsi="Arial"/>
                <w:sz w:val="18"/>
                <w:szCs w:val="18"/>
                <w:color w:val="auto"/>
              </w:rPr>
              <w:t>Accrued liabilities and employee related liabilities</w:t>
            </w:r>
          </w:p>
        </w:tc>
        <w:tc>
          <w:tcPr>
            <w:tcW w:w="15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2,502</w:t>
            </w:r>
          </w:p>
        </w:tc>
        <w:tc>
          <w:tcPr>
            <w:tcW w:w="2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(439)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660" w:type="dxa"/>
            <w:vAlign w:val="bottom"/>
            <w:gridSpan w:val="2"/>
          </w:tcPr>
          <w:p>
            <w:pPr>
              <w:ind w:left="700"/>
              <w:spacing w:after="0"/>
              <w:rPr>
                <w:sz w:val="20"/>
                <w:szCs w:val="20"/>
                <w:color w:val="auto"/>
              </w:rPr>
            </w:pPr>
            <w:r>
              <w:rPr>
                <w:rFonts w:ascii="Arial" w:cs="Arial" w:eastAsia="Arial" w:hAnsi="Arial"/>
                <w:sz w:val="18"/>
                <w:szCs w:val="18"/>
                <w:color w:val="auto"/>
              </w:rPr>
              <w:t>Income taxes receivable/payable</w:t>
            </w:r>
          </w:p>
        </w:tc>
        <w:tc>
          <w:tcPr>
            <w:tcW w:w="15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80" w:type="dxa"/>
            <w:vAlign w:val="bottom"/>
            <w:gridSpan w:val="2"/>
          </w:tcPr>
          <w:p>
            <w:pPr>
              <w:jc w:val="right"/>
              <w:ind w:right="140"/>
              <w:spacing w:after="0"/>
              <w:rPr>
                <w:sz w:val="20"/>
                <w:szCs w:val="20"/>
                <w:color w:val="auto"/>
              </w:rPr>
            </w:pPr>
            <w:r>
              <w:rPr>
                <w:rFonts w:ascii="Arial" w:cs="Arial" w:eastAsia="Arial" w:hAnsi="Arial"/>
                <w:sz w:val="18"/>
                <w:szCs w:val="18"/>
                <w:color w:val="auto"/>
                <w:w w:val="92"/>
              </w:rPr>
              <w:t>(14,365)</w:t>
            </w: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1,042</w:t>
            </w: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660" w:type="dxa"/>
            <w:vAlign w:val="bottom"/>
            <w:gridSpan w:val="2"/>
            <w:shd w:val="clear" w:color="auto" w:fill="CCEEFF"/>
          </w:tcPr>
          <w:p>
            <w:pPr>
              <w:ind w:left="700"/>
              <w:spacing w:after="0"/>
              <w:rPr>
                <w:sz w:val="20"/>
                <w:szCs w:val="20"/>
                <w:color w:val="auto"/>
              </w:rPr>
            </w:pPr>
            <w:r>
              <w:rPr>
                <w:rFonts w:ascii="Arial" w:cs="Arial" w:eastAsia="Arial" w:hAnsi="Arial"/>
                <w:sz w:val="18"/>
                <w:szCs w:val="18"/>
                <w:color w:val="auto"/>
              </w:rPr>
              <w:t>Deferred rent</w:t>
            </w:r>
          </w:p>
        </w:tc>
        <w:tc>
          <w:tcPr>
            <w:tcW w:w="15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(189)</w:t>
            </w: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(222)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660" w:type="dxa"/>
            <w:vAlign w:val="bottom"/>
            <w:gridSpan w:val="2"/>
          </w:tcPr>
          <w:p>
            <w:pPr>
              <w:ind w:left="700"/>
              <w:spacing w:after="0"/>
              <w:rPr>
                <w:sz w:val="20"/>
                <w:szCs w:val="20"/>
                <w:color w:val="auto"/>
              </w:rPr>
            </w:pPr>
            <w:r>
              <w:rPr>
                <w:rFonts w:ascii="Arial" w:cs="Arial" w:eastAsia="Arial" w:hAnsi="Arial"/>
                <w:sz w:val="18"/>
                <w:szCs w:val="18"/>
                <w:color w:val="auto"/>
              </w:rPr>
              <w:t>Deferred revenue</w:t>
            </w:r>
          </w:p>
        </w:tc>
        <w:tc>
          <w:tcPr>
            <w:tcW w:w="15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6,880</w:t>
            </w:r>
          </w:p>
        </w:tc>
        <w:tc>
          <w:tcPr>
            <w:tcW w:w="2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11,265</w:t>
            </w: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660" w:type="dxa"/>
            <w:vAlign w:val="bottom"/>
            <w:gridSpan w:val="2"/>
            <w:shd w:val="clear" w:color="auto" w:fill="CCEEFF"/>
          </w:tcPr>
          <w:p>
            <w:pPr>
              <w:ind w:left="700"/>
              <w:spacing w:after="0"/>
              <w:rPr>
                <w:sz w:val="20"/>
                <w:szCs w:val="20"/>
                <w:color w:val="auto"/>
              </w:rPr>
            </w:pPr>
            <w:r>
              <w:rPr>
                <w:rFonts w:ascii="Arial" w:cs="Arial" w:eastAsia="Arial" w:hAnsi="Arial"/>
                <w:sz w:val="18"/>
                <w:szCs w:val="18"/>
                <w:color w:val="auto"/>
              </w:rPr>
              <w:t>Student deposits</w:t>
            </w:r>
          </w:p>
        </w:tc>
        <w:tc>
          <w:tcPr>
            <w:tcW w:w="15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(7,288)</w:t>
            </w: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(6,361)</w:t>
            </w:r>
          </w:p>
        </w:tc>
        <w:tc>
          <w:tcPr>
            <w:tcW w:w="0" w:type="dxa"/>
            <w:vAlign w:val="bottom"/>
          </w:tcPr>
          <w:p>
            <w:pPr>
              <w:spacing w:after="0"/>
              <w:rPr>
                <w:sz w:val="1"/>
                <w:szCs w:val="1"/>
                <w:color w:val="auto"/>
              </w:rPr>
            </w:pPr>
          </w:p>
        </w:tc>
      </w:tr>
      <w:tr>
        <w:trPr>
          <w:trHeight w:val="230"/>
        </w:trPr>
        <w:tc>
          <w:tcPr>
            <w:tcW w:w="7680" w:type="dxa"/>
            <w:vAlign w:val="bottom"/>
            <w:gridSpan w:val="3"/>
          </w:tcPr>
          <w:p>
            <w:pPr>
              <w:spacing w:after="0"/>
              <w:rPr>
                <w:sz w:val="20"/>
                <w:szCs w:val="20"/>
                <w:color w:val="auto"/>
              </w:rPr>
            </w:pPr>
            <w:r>
              <w:rPr>
                <w:rFonts w:ascii="Arial" w:cs="Arial" w:eastAsia="Arial" w:hAnsi="Arial"/>
                <w:sz w:val="18"/>
                <w:szCs w:val="18"/>
                <w:b w:val="1"/>
                <w:bCs w:val="1"/>
                <w:color w:val="auto"/>
              </w:rPr>
              <w:t>Net cash provided by operating activities</w:t>
            </w:r>
          </w:p>
        </w:tc>
        <w:tc>
          <w:tcPr>
            <w:tcW w:w="1540" w:type="dxa"/>
            <w:vAlign w:val="bottom"/>
          </w:tcPr>
          <w:p>
            <w:pPr>
              <w:spacing w:after="0"/>
              <w:rPr>
                <w:sz w:val="20"/>
                <w:szCs w:val="20"/>
                <w:color w:val="auto"/>
              </w:rPr>
            </w:pPr>
          </w:p>
        </w:tc>
        <w:tc>
          <w:tcPr>
            <w:tcW w:w="100" w:type="dxa"/>
            <w:vAlign w:val="bottom"/>
            <w:tcBorders>
              <w:top w:val="single" w:sz="8" w:color="auto"/>
              <w:bottom w:val="single" w:sz="8" w:color="auto"/>
            </w:tcBorders>
          </w:tcPr>
          <w:p>
            <w:pPr>
              <w:spacing w:after="0"/>
              <w:rPr>
                <w:sz w:val="20"/>
                <w:szCs w:val="20"/>
                <w:color w:val="auto"/>
              </w:rPr>
            </w:pPr>
          </w:p>
        </w:tc>
        <w:tc>
          <w:tcPr>
            <w:tcW w:w="5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86"/>
              </w:rPr>
              <w:t>143,662</w:t>
            </w:r>
          </w:p>
        </w:tc>
        <w:tc>
          <w:tcPr>
            <w:tcW w:w="2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80" w:type="dxa"/>
            <w:vAlign w:val="bottom"/>
            <w:tcBorders>
              <w:top w:val="single" w:sz="8" w:color="auto"/>
              <w:bottom w:val="single" w:sz="8" w:color="auto"/>
            </w:tcBorders>
          </w:tcPr>
          <w:p>
            <w:pPr>
              <w:spacing w:after="0"/>
              <w:rPr>
                <w:sz w:val="20"/>
                <w:szCs w:val="20"/>
                <w:color w:val="auto"/>
              </w:rPr>
            </w:pPr>
          </w:p>
        </w:tc>
        <w:tc>
          <w:tcPr>
            <w:tcW w:w="6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89"/>
              </w:rPr>
              <w:t>133,660</w:t>
            </w:r>
          </w:p>
        </w:tc>
        <w:tc>
          <w:tcPr>
            <w:tcW w:w="1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66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Cash flows used in investing activities:</w:t>
            </w:r>
          </w:p>
        </w:tc>
        <w:tc>
          <w:tcPr>
            <w:tcW w:w="15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660" w:type="dxa"/>
            <w:vAlign w:val="bottom"/>
            <w:gridSpan w:val="2"/>
          </w:tcPr>
          <w:p>
            <w:pPr>
              <w:ind w:left="340"/>
              <w:spacing w:after="0"/>
              <w:rPr>
                <w:sz w:val="20"/>
                <w:szCs w:val="20"/>
                <w:color w:val="auto"/>
              </w:rPr>
            </w:pPr>
            <w:r>
              <w:rPr>
                <w:rFonts w:ascii="Arial" w:cs="Arial" w:eastAsia="Arial" w:hAnsi="Arial"/>
                <w:sz w:val="18"/>
                <w:szCs w:val="18"/>
                <w:color w:val="auto"/>
              </w:rPr>
              <w:t>Capital expenditures</w:t>
            </w:r>
          </w:p>
        </w:tc>
        <w:tc>
          <w:tcPr>
            <w:tcW w:w="15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80" w:type="dxa"/>
            <w:vAlign w:val="bottom"/>
            <w:gridSpan w:val="2"/>
          </w:tcPr>
          <w:p>
            <w:pPr>
              <w:jc w:val="right"/>
              <w:ind w:right="140"/>
              <w:spacing w:after="0"/>
              <w:rPr>
                <w:sz w:val="20"/>
                <w:szCs w:val="20"/>
                <w:color w:val="auto"/>
              </w:rPr>
            </w:pPr>
            <w:r>
              <w:rPr>
                <w:rFonts w:ascii="Arial" w:cs="Arial" w:eastAsia="Arial" w:hAnsi="Arial"/>
                <w:sz w:val="18"/>
                <w:szCs w:val="18"/>
                <w:color w:val="auto"/>
                <w:w w:val="92"/>
              </w:rPr>
              <w:t>(78,836)</w:t>
            </w: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20" w:type="dxa"/>
            <w:vAlign w:val="bottom"/>
            <w:gridSpan w:val="2"/>
          </w:tcPr>
          <w:p>
            <w:pPr>
              <w:jc w:val="right"/>
              <w:ind w:right="60"/>
              <w:spacing w:after="0"/>
              <w:rPr>
                <w:sz w:val="20"/>
                <w:szCs w:val="20"/>
                <w:color w:val="auto"/>
              </w:rPr>
            </w:pPr>
            <w:r>
              <w:rPr>
                <w:rFonts w:ascii="Arial" w:cs="Arial" w:eastAsia="Arial" w:hAnsi="Arial"/>
                <w:sz w:val="18"/>
                <w:szCs w:val="18"/>
                <w:color w:val="auto"/>
                <w:w w:val="95"/>
              </w:rPr>
              <w:t>(50,491)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66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rPr>
              <w:t>Purchases of land and building improvements related to off-site development</w:t>
            </w:r>
          </w:p>
        </w:tc>
        <w:tc>
          <w:tcPr>
            <w:tcW w:w="15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(330)</w:t>
            </w: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(9,374)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660" w:type="dxa"/>
            <w:vAlign w:val="bottom"/>
            <w:gridSpan w:val="2"/>
          </w:tcPr>
          <w:p>
            <w:pPr>
              <w:ind w:left="340"/>
              <w:spacing w:after="0"/>
              <w:rPr>
                <w:sz w:val="20"/>
                <w:szCs w:val="20"/>
                <w:color w:val="auto"/>
              </w:rPr>
            </w:pPr>
            <w:r>
              <w:rPr>
                <w:rFonts w:ascii="Arial" w:cs="Arial" w:eastAsia="Arial" w:hAnsi="Arial"/>
                <w:sz w:val="18"/>
                <w:szCs w:val="18"/>
                <w:color w:val="auto"/>
              </w:rPr>
              <w:t>Purchases of investments</w:t>
            </w:r>
          </w:p>
        </w:tc>
        <w:tc>
          <w:tcPr>
            <w:tcW w:w="15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80" w:type="dxa"/>
            <w:vAlign w:val="bottom"/>
            <w:gridSpan w:val="2"/>
          </w:tcPr>
          <w:p>
            <w:pPr>
              <w:jc w:val="right"/>
              <w:ind w:right="140"/>
              <w:spacing w:after="0"/>
              <w:rPr>
                <w:sz w:val="20"/>
                <w:szCs w:val="20"/>
                <w:color w:val="auto"/>
              </w:rPr>
            </w:pPr>
            <w:r>
              <w:rPr>
                <w:rFonts w:ascii="Arial" w:cs="Arial" w:eastAsia="Arial" w:hAnsi="Arial"/>
                <w:sz w:val="18"/>
                <w:szCs w:val="18"/>
                <w:color w:val="auto"/>
                <w:w w:val="92"/>
              </w:rPr>
              <w:t>(21,265)</w:t>
            </w: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20" w:type="dxa"/>
            <w:vAlign w:val="bottom"/>
            <w:gridSpan w:val="2"/>
          </w:tcPr>
          <w:p>
            <w:pPr>
              <w:jc w:val="right"/>
              <w:ind w:right="60"/>
              <w:spacing w:after="0"/>
              <w:rPr>
                <w:sz w:val="20"/>
                <w:szCs w:val="20"/>
                <w:color w:val="auto"/>
              </w:rPr>
            </w:pPr>
            <w:r>
              <w:rPr>
                <w:rFonts w:ascii="Arial" w:cs="Arial" w:eastAsia="Arial" w:hAnsi="Arial"/>
                <w:sz w:val="18"/>
                <w:szCs w:val="18"/>
                <w:color w:val="auto"/>
                <w:w w:val="95"/>
              </w:rPr>
              <w:t>(52,181)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66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rPr>
              <w:t>Proceeds from sale or maturity of investments</w:t>
            </w:r>
          </w:p>
        </w:tc>
        <w:tc>
          <w:tcPr>
            <w:tcW w:w="1540" w:type="dxa"/>
            <w:vAlign w:val="bottom"/>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5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32,996</w:t>
            </w:r>
          </w:p>
        </w:tc>
        <w:tc>
          <w:tcPr>
            <w:tcW w:w="2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 w:type="dxa"/>
            <w:vAlign w:val="bottom"/>
            <w:tcBorders>
              <w:bottom w:val="single" w:sz="8" w:color="auto"/>
            </w:tcBorders>
            <w:shd w:val="clear" w:color="auto" w:fill="CCEEFF"/>
          </w:tcPr>
          <w:p>
            <w:pPr>
              <w:spacing w:after="0"/>
              <w:rPr>
                <w:sz w:val="18"/>
                <w:szCs w:val="18"/>
                <w:color w:val="auto"/>
              </w:rPr>
            </w:pPr>
          </w:p>
        </w:tc>
        <w:tc>
          <w:tcPr>
            <w:tcW w:w="6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25,363</w:t>
            </w:r>
          </w:p>
        </w:tc>
        <w:tc>
          <w:tcPr>
            <w:tcW w:w="1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7680" w:type="dxa"/>
            <w:vAlign w:val="bottom"/>
            <w:gridSpan w:val="3"/>
          </w:tcPr>
          <w:p>
            <w:pPr>
              <w:spacing w:after="0"/>
              <w:rPr>
                <w:sz w:val="20"/>
                <w:szCs w:val="20"/>
                <w:color w:val="auto"/>
              </w:rPr>
            </w:pPr>
            <w:r>
              <w:rPr>
                <w:rFonts w:ascii="Arial" w:cs="Arial" w:eastAsia="Arial" w:hAnsi="Arial"/>
                <w:sz w:val="18"/>
                <w:szCs w:val="18"/>
                <w:b w:val="1"/>
                <w:bCs w:val="1"/>
                <w:color w:val="auto"/>
              </w:rPr>
              <w:t>Net cash used in investing activities</w:t>
            </w:r>
          </w:p>
        </w:tc>
        <w:tc>
          <w:tcPr>
            <w:tcW w:w="1540" w:type="dxa"/>
            <w:vAlign w:val="bottom"/>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5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83"/>
              </w:rPr>
              <w:t>(67,435)</w:t>
            </w:r>
          </w:p>
        </w:tc>
        <w:tc>
          <w:tcPr>
            <w:tcW w:w="2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80" w:type="dxa"/>
            <w:vAlign w:val="bottom"/>
            <w:tcBorders>
              <w:bottom w:val="single" w:sz="8" w:color="auto"/>
            </w:tcBorders>
          </w:tcPr>
          <w:p>
            <w:pPr>
              <w:spacing w:after="0"/>
              <w:rPr>
                <w:sz w:val="20"/>
                <w:szCs w:val="20"/>
                <w:color w:val="auto"/>
              </w:rPr>
            </w:pPr>
          </w:p>
        </w:tc>
        <w:tc>
          <w:tcPr>
            <w:tcW w:w="6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86"/>
              </w:rPr>
              <w:t>(86,683)</w:t>
            </w:r>
          </w:p>
        </w:tc>
        <w:tc>
          <w:tcPr>
            <w:tcW w:w="1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66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Cash flows used in financing activities:</w:t>
            </w:r>
          </w:p>
        </w:tc>
        <w:tc>
          <w:tcPr>
            <w:tcW w:w="15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660" w:type="dxa"/>
            <w:vAlign w:val="bottom"/>
            <w:gridSpan w:val="2"/>
          </w:tcPr>
          <w:p>
            <w:pPr>
              <w:ind w:left="340"/>
              <w:spacing w:after="0"/>
              <w:rPr>
                <w:sz w:val="20"/>
                <w:szCs w:val="20"/>
                <w:color w:val="auto"/>
              </w:rPr>
            </w:pPr>
            <w:r>
              <w:rPr>
                <w:rFonts w:ascii="Arial" w:cs="Arial" w:eastAsia="Arial" w:hAnsi="Arial"/>
                <w:sz w:val="18"/>
                <w:szCs w:val="18"/>
                <w:color w:val="auto"/>
              </w:rPr>
              <w:t>Principal payments on notes payable and capital lease obligations</w:t>
            </w:r>
          </w:p>
        </w:tc>
        <w:tc>
          <w:tcPr>
            <w:tcW w:w="15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80" w:type="dxa"/>
            <w:vAlign w:val="bottom"/>
            <w:gridSpan w:val="2"/>
          </w:tcPr>
          <w:p>
            <w:pPr>
              <w:jc w:val="right"/>
              <w:ind w:right="140"/>
              <w:spacing w:after="0"/>
              <w:rPr>
                <w:sz w:val="20"/>
                <w:szCs w:val="20"/>
                <w:color w:val="auto"/>
              </w:rPr>
            </w:pPr>
            <w:r>
              <w:rPr>
                <w:rFonts w:ascii="Arial" w:cs="Arial" w:eastAsia="Arial" w:hAnsi="Arial"/>
                <w:sz w:val="18"/>
                <w:szCs w:val="18"/>
                <w:color w:val="auto"/>
              </w:rPr>
              <w:t>(3,433)</w:t>
            </w: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20" w:type="dxa"/>
            <w:vAlign w:val="bottom"/>
            <w:gridSpan w:val="2"/>
          </w:tcPr>
          <w:p>
            <w:pPr>
              <w:jc w:val="right"/>
              <w:ind w:right="60"/>
              <w:spacing w:after="0"/>
              <w:rPr>
                <w:sz w:val="20"/>
                <w:szCs w:val="20"/>
                <w:color w:val="auto"/>
              </w:rPr>
            </w:pPr>
            <w:r>
              <w:rPr>
                <w:rFonts w:ascii="Arial" w:cs="Arial" w:eastAsia="Arial" w:hAnsi="Arial"/>
                <w:sz w:val="18"/>
                <w:szCs w:val="18"/>
                <w:color w:val="auto"/>
              </w:rPr>
              <w:t>(3,400)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66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rPr>
              <w:t>Net borrowings from revolving line of credit</w:t>
            </w:r>
          </w:p>
        </w:tc>
        <w:tc>
          <w:tcPr>
            <w:tcW w:w="15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w w:val="95"/>
              </w:rPr>
              <w:t>(25,000)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660" w:type="dxa"/>
            <w:vAlign w:val="bottom"/>
            <w:gridSpan w:val="2"/>
          </w:tcPr>
          <w:p>
            <w:pPr>
              <w:ind w:left="340"/>
              <w:spacing w:after="0"/>
              <w:rPr>
                <w:sz w:val="20"/>
                <w:szCs w:val="20"/>
                <w:color w:val="auto"/>
              </w:rPr>
            </w:pPr>
            <w:r>
              <w:rPr>
                <w:rFonts w:ascii="Arial" w:cs="Arial" w:eastAsia="Arial" w:hAnsi="Arial"/>
                <w:sz w:val="18"/>
                <w:szCs w:val="18"/>
                <w:color w:val="auto"/>
              </w:rPr>
              <w:t>Repurchase of common shares including shares withheld in lieu of income taxes</w:t>
            </w:r>
          </w:p>
        </w:tc>
        <w:tc>
          <w:tcPr>
            <w:tcW w:w="15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80" w:type="dxa"/>
            <w:vAlign w:val="bottom"/>
            <w:gridSpan w:val="2"/>
          </w:tcPr>
          <w:p>
            <w:pPr>
              <w:jc w:val="right"/>
              <w:ind w:right="140"/>
              <w:spacing w:after="0"/>
              <w:rPr>
                <w:sz w:val="20"/>
                <w:szCs w:val="20"/>
                <w:color w:val="auto"/>
              </w:rPr>
            </w:pPr>
            <w:r>
              <w:rPr>
                <w:rFonts w:ascii="Arial" w:cs="Arial" w:eastAsia="Arial" w:hAnsi="Arial"/>
                <w:sz w:val="18"/>
                <w:szCs w:val="18"/>
                <w:color w:val="auto"/>
                <w:w w:val="92"/>
              </w:rPr>
              <w:t>(13,063)</w:t>
            </w: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20" w:type="dxa"/>
            <w:vAlign w:val="bottom"/>
            <w:gridSpan w:val="2"/>
          </w:tcPr>
          <w:p>
            <w:pPr>
              <w:jc w:val="right"/>
              <w:ind w:right="60"/>
              <w:spacing w:after="0"/>
              <w:rPr>
                <w:sz w:val="20"/>
                <w:szCs w:val="20"/>
                <w:color w:val="auto"/>
              </w:rPr>
            </w:pPr>
            <w:r>
              <w:rPr>
                <w:rFonts w:ascii="Arial" w:cs="Arial" w:eastAsia="Arial" w:hAnsi="Arial"/>
                <w:sz w:val="18"/>
                <w:szCs w:val="18"/>
                <w:color w:val="auto"/>
              </w:rPr>
              <w:t>(9,657)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66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rPr>
              <w:t>Net proceeds from exercise of stock options</w:t>
            </w:r>
          </w:p>
        </w:tc>
        <w:tc>
          <w:tcPr>
            <w:tcW w:w="1540" w:type="dxa"/>
            <w:vAlign w:val="bottom"/>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5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1,768</w:t>
            </w:r>
          </w:p>
        </w:tc>
        <w:tc>
          <w:tcPr>
            <w:tcW w:w="2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 w:type="dxa"/>
            <w:vAlign w:val="bottom"/>
            <w:tcBorders>
              <w:bottom w:val="single" w:sz="8" w:color="auto"/>
            </w:tcBorders>
            <w:shd w:val="clear" w:color="auto" w:fill="CCEEFF"/>
          </w:tcPr>
          <w:p>
            <w:pPr>
              <w:spacing w:after="0"/>
              <w:rPr>
                <w:sz w:val="18"/>
                <w:szCs w:val="18"/>
                <w:color w:val="auto"/>
              </w:rPr>
            </w:pPr>
          </w:p>
        </w:tc>
        <w:tc>
          <w:tcPr>
            <w:tcW w:w="6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5,895</w:t>
            </w:r>
          </w:p>
        </w:tc>
        <w:tc>
          <w:tcPr>
            <w:tcW w:w="1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7680" w:type="dxa"/>
            <w:vAlign w:val="bottom"/>
            <w:gridSpan w:val="3"/>
          </w:tcPr>
          <w:p>
            <w:pPr>
              <w:spacing w:after="0"/>
              <w:rPr>
                <w:sz w:val="20"/>
                <w:szCs w:val="20"/>
                <w:color w:val="auto"/>
              </w:rPr>
            </w:pPr>
            <w:r>
              <w:rPr>
                <w:rFonts w:ascii="Arial" w:cs="Arial" w:eastAsia="Arial" w:hAnsi="Arial"/>
                <w:sz w:val="18"/>
                <w:szCs w:val="18"/>
                <w:b w:val="1"/>
                <w:bCs w:val="1"/>
                <w:color w:val="auto"/>
              </w:rPr>
              <w:t>Net cash used in financing activities</w:t>
            </w:r>
          </w:p>
        </w:tc>
        <w:tc>
          <w:tcPr>
            <w:tcW w:w="1540" w:type="dxa"/>
            <w:vAlign w:val="bottom"/>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5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83"/>
              </w:rPr>
              <w:t>(14,728)</w:t>
            </w:r>
          </w:p>
        </w:tc>
        <w:tc>
          <w:tcPr>
            <w:tcW w:w="2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80" w:type="dxa"/>
            <w:vAlign w:val="bottom"/>
            <w:tcBorders>
              <w:bottom w:val="single" w:sz="8" w:color="auto"/>
            </w:tcBorders>
          </w:tcPr>
          <w:p>
            <w:pPr>
              <w:spacing w:after="0"/>
              <w:rPr>
                <w:sz w:val="20"/>
                <w:szCs w:val="20"/>
                <w:color w:val="auto"/>
              </w:rPr>
            </w:pPr>
          </w:p>
        </w:tc>
        <w:tc>
          <w:tcPr>
            <w:tcW w:w="6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86"/>
              </w:rPr>
              <w:t>(32,162)</w:t>
            </w:r>
          </w:p>
        </w:tc>
        <w:tc>
          <w:tcPr>
            <w:tcW w:w="1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66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Reclassification of restricted cash to assets held for sale</w:t>
            </w:r>
          </w:p>
        </w:tc>
        <w:tc>
          <w:tcPr>
            <w:tcW w:w="15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w w:val="92"/>
              </w:rPr>
              <w:t>(87,875)</w:t>
            </w: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23"/>
        </w:trPr>
        <w:tc>
          <w:tcPr>
            <w:tcW w:w="7680" w:type="dxa"/>
            <w:vAlign w:val="bottom"/>
            <w:gridSpan w:val="3"/>
          </w:tcPr>
          <w:p>
            <w:pPr>
              <w:spacing w:after="0"/>
              <w:rPr>
                <w:sz w:val="20"/>
                <w:szCs w:val="20"/>
                <w:color w:val="auto"/>
              </w:rPr>
            </w:pPr>
            <w:r>
              <w:rPr>
                <w:rFonts w:ascii="Arial" w:cs="Arial" w:eastAsia="Arial" w:hAnsi="Arial"/>
                <w:sz w:val="18"/>
                <w:szCs w:val="18"/>
                <w:b w:val="1"/>
                <w:bCs w:val="1"/>
                <w:color w:val="auto"/>
              </w:rPr>
              <w:t>Net (decrease) increase in cash and cash equivalents and restricted cash</w:t>
            </w:r>
          </w:p>
        </w:tc>
        <w:tc>
          <w:tcPr>
            <w:tcW w:w="1540" w:type="dxa"/>
            <w:vAlign w:val="bottom"/>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5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83"/>
              </w:rPr>
              <w:t>(26,376)</w:t>
            </w:r>
          </w:p>
        </w:tc>
        <w:tc>
          <w:tcPr>
            <w:tcW w:w="2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80" w:type="dxa"/>
            <w:vAlign w:val="bottom"/>
            <w:tcBorders>
              <w:top w:val="single" w:sz="8" w:color="auto"/>
            </w:tcBorders>
          </w:tcPr>
          <w:p>
            <w:pPr>
              <w:spacing w:after="0"/>
              <w:rPr>
                <w:sz w:val="19"/>
                <w:szCs w:val="19"/>
                <w:color w:val="auto"/>
              </w:rPr>
            </w:pPr>
          </w:p>
        </w:tc>
        <w:tc>
          <w:tcPr>
            <w:tcW w:w="6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14,815</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66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Cash and cash equivalents and restricted cash, beginning of period</w:t>
            </w:r>
          </w:p>
        </w:tc>
        <w:tc>
          <w:tcPr>
            <w:tcW w:w="1540" w:type="dxa"/>
            <w:vAlign w:val="bottom"/>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5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86"/>
              </w:rPr>
              <w:t>248,008</w:t>
            </w:r>
          </w:p>
        </w:tc>
        <w:tc>
          <w:tcPr>
            <w:tcW w:w="2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 w:type="dxa"/>
            <w:vAlign w:val="bottom"/>
            <w:tcBorders>
              <w:bottom w:val="single" w:sz="8" w:color="auto"/>
            </w:tcBorders>
            <w:shd w:val="clear" w:color="auto" w:fill="CCEEFF"/>
          </w:tcPr>
          <w:p>
            <w:pPr>
              <w:spacing w:after="0"/>
              <w:rPr>
                <w:sz w:val="18"/>
                <w:szCs w:val="18"/>
                <w:color w:val="auto"/>
              </w:rPr>
            </w:pPr>
          </w:p>
        </w:tc>
        <w:tc>
          <w:tcPr>
            <w:tcW w:w="6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89"/>
              </w:rPr>
              <w:t>130,907</w:t>
            </w:r>
          </w:p>
        </w:tc>
        <w:tc>
          <w:tcPr>
            <w:tcW w:w="1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7680" w:type="dxa"/>
            <w:vAlign w:val="bottom"/>
            <w:gridSpan w:val="3"/>
          </w:tcPr>
          <w:p>
            <w:pPr>
              <w:spacing w:after="0"/>
              <w:rPr>
                <w:sz w:val="20"/>
                <w:szCs w:val="20"/>
                <w:color w:val="auto"/>
              </w:rPr>
            </w:pPr>
            <w:r>
              <w:rPr>
                <w:rFonts w:ascii="Arial" w:cs="Arial" w:eastAsia="Arial" w:hAnsi="Arial"/>
                <w:sz w:val="18"/>
                <w:szCs w:val="18"/>
                <w:b w:val="1"/>
                <w:bCs w:val="1"/>
                <w:color w:val="auto"/>
              </w:rPr>
              <w:t>Cash and cash equivalents and restricted cash, end of period</w:t>
            </w:r>
          </w:p>
        </w:tc>
        <w:tc>
          <w:tcPr>
            <w:tcW w:w="1540" w:type="dxa"/>
            <w:vAlign w:val="bottom"/>
          </w:tcPr>
          <w:p>
            <w:pPr>
              <w:spacing w:after="0"/>
              <w:rPr>
                <w:sz w:val="19"/>
                <w:szCs w:val="19"/>
                <w:color w:val="auto"/>
              </w:rPr>
            </w:pPr>
          </w:p>
        </w:tc>
        <w:tc>
          <w:tcPr>
            <w:tcW w:w="100" w:type="dxa"/>
            <w:vAlign w:val="bottom"/>
            <w:tcBorders>
              <w:bottom w:val="single" w:sz="8" w:color="auto"/>
            </w:tcBorders>
          </w:tcPr>
          <w:p>
            <w:pPr>
              <w:jc w:val="right"/>
              <w:spacing w:after="0"/>
              <w:rPr>
                <w:sz w:val="20"/>
                <w:szCs w:val="20"/>
                <w:color w:val="auto"/>
              </w:rPr>
            </w:pPr>
            <w:r>
              <w:rPr>
                <w:rFonts w:ascii="Arial" w:cs="Arial" w:eastAsia="Arial" w:hAnsi="Arial"/>
                <w:sz w:val="15"/>
                <w:szCs w:val="15"/>
                <w:u w:val="single" w:color="auto"/>
                <w:color w:val="auto"/>
                <w:w w:val="71"/>
              </w:rPr>
              <w:t>$</w:t>
            </w:r>
          </w:p>
        </w:tc>
        <w:tc>
          <w:tcPr>
            <w:tcW w:w="5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86"/>
              </w:rPr>
              <w:t>221,632</w:t>
            </w:r>
          </w:p>
        </w:tc>
        <w:tc>
          <w:tcPr>
            <w:tcW w:w="2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80" w:type="dxa"/>
            <w:vAlign w:val="bottom"/>
            <w:tcBorders>
              <w:bottom w:val="single" w:sz="8" w:color="auto"/>
            </w:tcBorders>
          </w:tcPr>
          <w:p>
            <w:pPr>
              <w:jc w:val="right"/>
              <w:spacing w:after="0"/>
              <w:rPr>
                <w:sz w:val="20"/>
                <w:szCs w:val="20"/>
                <w:color w:val="auto"/>
              </w:rPr>
            </w:pPr>
            <w:r>
              <w:rPr>
                <w:rFonts w:ascii="Arial" w:cs="Arial" w:eastAsia="Arial" w:hAnsi="Arial"/>
                <w:sz w:val="15"/>
                <w:szCs w:val="15"/>
                <w:u w:val="single" w:color="auto"/>
                <w:color w:val="auto"/>
                <w:w w:val="71"/>
              </w:rPr>
              <w:t>$</w:t>
            </w:r>
          </w:p>
        </w:tc>
        <w:tc>
          <w:tcPr>
            <w:tcW w:w="6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89"/>
              </w:rPr>
              <w:t>145,722</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900" w:type="dxa"/>
            <w:vAlign w:val="bottom"/>
          </w:tcPr>
          <w:p>
            <w:pPr>
              <w:spacing w:after="0" w:line="20" w:lineRule="exact"/>
              <w:rPr>
                <w:sz w:val="1"/>
                <w:szCs w:val="1"/>
                <w:color w:val="auto"/>
              </w:rPr>
            </w:pPr>
          </w:p>
        </w:tc>
        <w:tc>
          <w:tcPr>
            <w:tcW w:w="6760" w:type="dxa"/>
            <w:vAlign w:val="bottom"/>
          </w:tcPr>
          <w:p>
            <w:pPr>
              <w:spacing w:after="0" w:line="20" w:lineRule="exact"/>
              <w:rPr>
                <w:sz w:val="1"/>
                <w:szCs w:val="1"/>
                <w:color w:val="auto"/>
              </w:rPr>
            </w:pPr>
          </w:p>
        </w:tc>
        <w:tc>
          <w:tcPr>
            <w:tcW w:w="154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tcPr>
          <w:p>
            <w:pPr>
              <w:spacing w:after="0"/>
              <w:rPr>
                <w:sz w:val="18"/>
                <w:szCs w:val="18"/>
                <w:color w:val="auto"/>
              </w:rPr>
            </w:pPr>
          </w:p>
        </w:tc>
        <w:tc>
          <w:tcPr>
            <w:tcW w:w="766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Supplemental disclosure of cash flow information</w:t>
            </w:r>
          </w:p>
        </w:tc>
        <w:tc>
          <w:tcPr>
            <w:tcW w:w="15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660" w:type="dxa"/>
            <w:vAlign w:val="bottom"/>
            <w:gridSpan w:val="2"/>
          </w:tcPr>
          <w:p>
            <w:pPr>
              <w:ind w:left="340"/>
              <w:spacing w:after="0"/>
              <w:rPr>
                <w:sz w:val="20"/>
                <w:szCs w:val="20"/>
                <w:color w:val="auto"/>
              </w:rPr>
            </w:pPr>
            <w:r>
              <w:rPr>
                <w:rFonts w:ascii="Arial" w:cs="Arial" w:eastAsia="Arial" w:hAnsi="Arial"/>
                <w:sz w:val="18"/>
                <w:szCs w:val="18"/>
                <w:color w:val="auto"/>
              </w:rPr>
              <w:t>Cash paid for interest</w:t>
            </w:r>
          </w:p>
        </w:tc>
        <w:tc>
          <w:tcPr>
            <w:tcW w:w="164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580" w:type="dxa"/>
            <w:vAlign w:val="bottom"/>
          </w:tcPr>
          <w:p>
            <w:pPr>
              <w:jc w:val="right"/>
              <w:spacing w:after="0"/>
              <w:rPr>
                <w:sz w:val="20"/>
                <w:szCs w:val="20"/>
                <w:color w:val="auto"/>
              </w:rPr>
            </w:pPr>
            <w:r>
              <w:rPr>
                <w:rFonts w:ascii="Arial" w:cs="Arial" w:eastAsia="Arial" w:hAnsi="Arial"/>
                <w:sz w:val="18"/>
                <w:szCs w:val="18"/>
                <w:color w:val="auto"/>
              </w:rPr>
              <w:t>379</w:t>
            </w:r>
          </w:p>
        </w:tc>
        <w:tc>
          <w:tcPr>
            <w:tcW w:w="200" w:type="dxa"/>
            <w:vAlign w:val="bottom"/>
          </w:tcPr>
          <w:p>
            <w:pPr>
              <w:spacing w:after="0"/>
              <w:rPr>
                <w:sz w:val="18"/>
                <w:szCs w:val="18"/>
                <w:color w:val="auto"/>
              </w:rPr>
            </w:pPr>
          </w:p>
        </w:tc>
        <w:tc>
          <w:tcPr>
            <w:tcW w:w="2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600" w:type="dxa"/>
            <w:vAlign w:val="bottom"/>
          </w:tcPr>
          <w:p>
            <w:pPr>
              <w:jc w:val="right"/>
              <w:spacing w:after="0"/>
              <w:rPr>
                <w:sz w:val="20"/>
                <w:szCs w:val="20"/>
                <w:color w:val="auto"/>
              </w:rPr>
            </w:pPr>
            <w:r>
              <w:rPr>
                <w:rFonts w:ascii="Arial" w:cs="Arial" w:eastAsia="Arial" w:hAnsi="Arial"/>
                <w:sz w:val="18"/>
                <w:szCs w:val="18"/>
                <w:color w:val="auto"/>
              </w:rPr>
              <w:t>1,167</w:t>
            </w: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66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rPr>
              <w:t>Cash paid for income taxes</w:t>
            </w:r>
          </w:p>
        </w:tc>
        <w:tc>
          <w:tcPr>
            <w:tcW w:w="16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44,234</w:t>
            </w:r>
          </w:p>
        </w:tc>
        <w:tc>
          <w:tcPr>
            <w:tcW w:w="200" w:type="dxa"/>
            <w:vAlign w:val="bottom"/>
            <w:shd w:val="clear" w:color="auto" w:fill="CCEEFF"/>
          </w:tcPr>
          <w:p>
            <w:pPr>
              <w:spacing w:after="0"/>
              <w:rPr>
                <w:sz w:val="18"/>
                <w:szCs w:val="18"/>
                <w:color w:val="auto"/>
              </w:rPr>
            </w:pPr>
          </w:p>
        </w:tc>
        <w:tc>
          <w:tcPr>
            <w:tcW w:w="2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31,718</w:t>
            </w:r>
          </w:p>
        </w:tc>
        <w:tc>
          <w:tcPr>
            <w:tcW w:w="1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660" w:type="dxa"/>
            <w:vAlign w:val="bottom"/>
            <w:gridSpan w:val="2"/>
          </w:tcPr>
          <w:p>
            <w:pPr>
              <w:spacing w:after="0"/>
              <w:rPr>
                <w:sz w:val="20"/>
                <w:szCs w:val="20"/>
                <w:color w:val="auto"/>
              </w:rPr>
            </w:pPr>
            <w:r>
              <w:rPr>
                <w:rFonts w:ascii="Arial" w:cs="Arial" w:eastAsia="Arial" w:hAnsi="Arial"/>
                <w:sz w:val="18"/>
                <w:szCs w:val="18"/>
                <w:b w:val="1"/>
                <w:bCs w:val="1"/>
                <w:color w:val="auto"/>
              </w:rPr>
              <w:t>Supplemental disclosure of non-cash investing and financing activities</w:t>
            </w:r>
          </w:p>
        </w:tc>
        <w:tc>
          <w:tcPr>
            <w:tcW w:w="15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66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rPr>
              <w:t>Purchases of property and equipment included in accounts payable</w:t>
            </w:r>
          </w:p>
        </w:tc>
        <w:tc>
          <w:tcPr>
            <w:tcW w:w="16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14,361</w:t>
            </w:r>
          </w:p>
        </w:tc>
        <w:tc>
          <w:tcPr>
            <w:tcW w:w="200" w:type="dxa"/>
            <w:vAlign w:val="bottom"/>
            <w:shd w:val="clear" w:color="auto" w:fill="CCEEFF"/>
          </w:tcPr>
          <w:p>
            <w:pPr>
              <w:spacing w:after="0"/>
              <w:rPr>
                <w:sz w:val="18"/>
                <w:szCs w:val="18"/>
                <w:color w:val="auto"/>
              </w:rPr>
            </w:pPr>
          </w:p>
        </w:tc>
        <w:tc>
          <w:tcPr>
            <w:tcW w:w="2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7,118</w:t>
            </w:r>
          </w:p>
        </w:tc>
        <w:tc>
          <w:tcPr>
            <w:tcW w:w="1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660" w:type="dxa"/>
            <w:vAlign w:val="bottom"/>
            <w:gridSpan w:val="2"/>
          </w:tcPr>
          <w:p>
            <w:pPr>
              <w:ind w:left="340"/>
              <w:spacing w:after="0"/>
              <w:rPr>
                <w:sz w:val="20"/>
                <w:szCs w:val="20"/>
                <w:color w:val="auto"/>
              </w:rPr>
            </w:pPr>
            <w:r>
              <w:rPr>
                <w:rFonts w:ascii="Arial" w:cs="Arial" w:eastAsia="Arial" w:hAnsi="Arial"/>
                <w:sz w:val="18"/>
                <w:szCs w:val="18"/>
                <w:color w:val="auto"/>
              </w:rPr>
              <w:t>Reclassification of capitalized costs – adoption of ASC 606</w:t>
            </w:r>
          </w:p>
        </w:tc>
        <w:tc>
          <w:tcPr>
            <w:tcW w:w="164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580" w:type="dxa"/>
            <w:vAlign w:val="bottom"/>
          </w:tcPr>
          <w:p>
            <w:pPr>
              <w:jc w:val="right"/>
              <w:spacing w:after="0"/>
              <w:rPr>
                <w:sz w:val="20"/>
                <w:szCs w:val="20"/>
                <w:color w:val="auto"/>
              </w:rPr>
            </w:pPr>
            <w:r>
              <w:rPr>
                <w:rFonts w:ascii="Arial" w:cs="Arial" w:eastAsia="Arial" w:hAnsi="Arial"/>
                <w:sz w:val="18"/>
                <w:szCs w:val="18"/>
                <w:color w:val="auto"/>
              </w:rPr>
              <w:t>9,015</w:t>
            </w:r>
          </w:p>
        </w:tc>
        <w:tc>
          <w:tcPr>
            <w:tcW w:w="200" w:type="dxa"/>
            <w:vAlign w:val="bottom"/>
          </w:tcPr>
          <w:p>
            <w:pPr>
              <w:spacing w:after="0"/>
              <w:rPr>
                <w:sz w:val="18"/>
                <w:szCs w:val="18"/>
                <w:color w:val="auto"/>
              </w:rPr>
            </w:pPr>
          </w:p>
        </w:tc>
        <w:tc>
          <w:tcPr>
            <w:tcW w:w="2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72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66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rPr>
              <w:t>Reclassification of deferred revenue – adoption of ASC 606</w:t>
            </w:r>
          </w:p>
        </w:tc>
        <w:tc>
          <w:tcPr>
            <w:tcW w:w="16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7,451</w:t>
            </w:r>
          </w:p>
        </w:tc>
        <w:tc>
          <w:tcPr>
            <w:tcW w:w="200" w:type="dxa"/>
            <w:vAlign w:val="bottom"/>
            <w:shd w:val="clear" w:color="auto" w:fill="CCEEFF"/>
          </w:tcPr>
          <w:p>
            <w:pPr>
              <w:spacing w:after="0"/>
              <w:rPr>
                <w:sz w:val="18"/>
                <w:szCs w:val="18"/>
                <w:color w:val="auto"/>
              </w:rPr>
            </w:pPr>
          </w:p>
        </w:tc>
        <w:tc>
          <w:tcPr>
            <w:tcW w:w="2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72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7660" w:type="dxa"/>
            <w:vAlign w:val="bottom"/>
            <w:gridSpan w:val="2"/>
          </w:tcPr>
          <w:p>
            <w:pPr>
              <w:ind w:left="340"/>
              <w:spacing w:after="0"/>
              <w:rPr>
                <w:sz w:val="20"/>
                <w:szCs w:val="20"/>
                <w:color w:val="auto"/>
              </w:rPr>
            </w:pPr>
            <w:r>
              <w:rPr>
                <w:rFonts w:ascii="Arial" w:cs="Arial" w:eastAsia="Arial" w:hAnsi="Arial"/>
                <w:sz w:val="18"/>
                <w:szCs w:val="18"/>
                <w:color w:val="auto"/>
              </w:rPr>
              <w:t>Reclassification of tax effect within accumulated other comprehensive income</w:t>
            </w:r>
          </w:p>
        </w:tc>
        <w:tc>
          <w:tcPr>
            <w:tcW w:w="164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580" w:type="dxa"/>
            <w:vAlign w:val="bottom"/>
          </w:tcPr>
          <w:p>
            <w:pPr>
              <w:jc w:val="right"/>
              <w:spacing w:after="0"/>
              <w:rPr>
                <w:sz w:val="20"/>
                <w:szCs w:val="20"/>
                <w:color w:val="auto"/>
              </w:rPr>
            </w:pPr>
            <w:r>
              <w:rPr>
                <w:rFonts w:ascii="Arial" w:cs="Arial" w:eastAsia="Arial" w:hAnsi="Arial"/>
                <w:sz w:val="18"/>
                <w:szCs w:val="18"/>
                <w:color w:val="auto"/>
              </w:rPr>
              <w:t>156</w:t>
            </w:r>
          </w:p>
        </w:tc>
        <w:tc>
          <w:tcPr>
            <w:tcW w:w="200" w:type="dxa"/>
            <w:vAlign w:val="bottom"/>
          </w:tcPr>
          <w:p>
            <w:pPr>
              <w:spacing w:after="0"/>
              <w:rPr>
                <w:sz w:val="20"/>
                <w:szCs w:val="20"/>
                <w:color w:val="auto"/>
              </w:rPr>
            </w:pPr>
          </w:p>
        </w:tc>
        <w:tc>
          <w:tcPr>
            <w:tcW w:w="2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72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bl>
    <w:p>
      <w:pPr>
        <w:sectPr>
          <w:pgSz w:w="11900" w:h="16838" w:orient="portrait"/>
          <w:cols w:equalWidth="0" w:num="1">
            <w:col w:w="11040"/>
          </w:cols>
          <w:pgMar w:left="440" w:top="270" w:right="419" w:bottom="1440" w:gutter="0" w:footer="0" w:header="0"/>
        </w:sectPr>
      </w:pPr>
    </w:p>
    <w:bookmarkStart w:id="15" w:name="page16"/>
    <w:bookmarkEnd w:id="15"/>
    <w:p>
      <w:pPr>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7289165" cy="38735"/>
                    </a:xfrm>
                    <a:prstGeom prst="rect">
                      <a:avLst/>
                    </a:prstGeom>
                    <a:noFill/>
                  </pic:spPr>
                </pic:pic>
              </a:graphicData>
            </a:graphic>
          </wp:anchor>
        </w:drawing>
        <w:t>Grand Canyon Education, Inc. Reports Second Quarter 2018 Results</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color w:val="auto"/>
        </w:rPr>
        <w:t>The following is a summary of GCU’s student enrollment at June 30, 2018 and 2017 by degree type and by instructional delivery method:</w:t>
      </w:r>
    </w:p>
    <w:p>
      <w:pPr>
        <w:spacing w:after="0" w:line="244"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20" w:type="dxa"/>
            <w:vAlign w:val="bottom"/>
          </w:tcPr>
          <w:p>
            <w:pPr>
              <w:spacing w:after="0"/>
              <w:rPr>
                <w:sz w:val="14"/>
                <w:szCs w:val="14"/>
                <w:color w:val="auto"/>
              </w:rPr>
            </w:pPr>
          </w:p>
        </w:tc>
        <w:tc>
          <w:tcPr>
            <w:tcW w:w="4040" w:type="dxa"/>
            <w:vAlign w:val="bottom"/>
          </w:tcPr>
          <w:p>
            <w:pPr>
              <w:spacing w:after="0"/>
              <w:rPr>
                <w:sz w:val="14"/>
                <w:szCs w:val="14"/>
                <w:color w:val="auto"/>
              </w:rPr>
            </w:pPr>
          </w:p>
        </w:tc>
        <w:tc>
          <w:tcPr>
            <w:tcW w:w="3680" w:type="dxa"/>
            <w:vAlign w:val="bottom"/>
            <w:gridSpan w:val="3"/>
          </w:tcPr>
          <w:p>
            <w:pPr>
              <w:jc w:val="right"/>
              <w:ind w:right="80"/>
              <w:spacing w:after="0"/>
              <w:rPr>
                <w:sz w:val="20"/>
                <w:szCs w:val="20"/>
                <w:color w:val="auto"/>
              </w:rPr>
            </w:pPr>
            <w:r>
              <w:rPr>
                <w:rFonts w:ascii="Arial" w:cs="Arial" w:eastAsia="Arial" w:hAnsi="Arial"/>
                <w:sz w:val="14"/>
                <w:szCs w:val="14"/>
                <w:b w:val="1"/>
                <w:bCs w:val="1"/>
                <w:color w:val="auto"/>
              </w:rPr>
              <w:t>2018</w:t>
            </w:r>
            <w:r>
              <w:rPr>
                <w:rFonts w:ascii="Arial" w:cs="Arial" w:eastAsia="Arial" w:hAnsi="Arial"/>
                <w:sz w:val="12"/>
                <w:szCs w:val="12"/>
                <w:b w:val="1"/>
                <w:bCs w:val="1"/>
                <w:color w:val="auto"/>
              </w:rPr>
              <w:t>(1)</w:t>
            </w:r>
          </w:p>
        </w:tc>
        <w:tc>
          <w:tcPr>
            <w:tcW w:w="64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1440" w:type="dxa"/>
            <w:vAlign w:val="bottom"/>
            <w:gridSpan w:val="3"/>
          </w:tcPr>
          <w:p>
            <w:pPr>
              <w:jc w:val="right"/>
              <w:ind w:right="80"/>
              <w:spacing w:after="0"/>
              <w:rPr>
                <w:sz w:val="20"/>
                <w:szCs w:val="20"/>
                <w:color w:val="auto"/>
              </w:rPr>
            </w:pPr>
            <w:r>
              <w:rPr>
                <w:rFonts w:ascii="Arial" w:cs="Arial" w:eastAsia="Arial" w:hAnsi="Arial"/>
                <w:sz w:val="14"/>
                <w:szCs w:val="14"/>
                <w:b w:val="1"/>
                <w:bCs w:val="1"/>
                <w:color w:val="auto"/>
              </w:rPr>
              <w:t>2017</w:t>
            </w:r>
            <w:r>
              <w:rPr>
                <w:rFonts w:ascii="Arial" w:cs="Arial" w:eastAsia="Arial" w:hAnsi="Arial"/>
                <w:sz w:val="12"/>
                <w:szCs w:val="12"/>
                <w:b w:val="1"/>
                <w:bCs w:val="1"/>
                <w:color w:val="auto"/>
              </w:rPr>
              <w:t>(1)</w:t>
            </w:r>
          </w:p>
        </w:tc>
        <w:tc>
          <w:tcPr>
            <w:tcW w:w="64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4040" w:type="dxa"/>
            <w:vAlign w:val="bottom"/>
          </w:tcPr>
          <w:p>
            <w:pPr>
              <w:spacing w:after="0"/>
              <w:rPr>
                <w:sz w:val="12"/>
                <w:szCs w:val="12"/>
                <w:color w:val="auto"/>
              </w:rPr>
            </w:pPr>
          </w:p>
        </w:tc>
        <w:tc>
          <w:tcPr>
            <w:tcW w:w="2440" w:type="dxa"/>
            <w:vAlign w:val="bottom"/>
          </w:tcPr>
          <w:p>
            <w:pPr>
              <w:spacing w:after="0"/>
              <w:rPr>
                <w:sz w:val="12"/>
                <w:szCs w:val="12"/>
                <w:color w:val="auto"/>
              </w:rPr>
            </w:pPr>
          </w:p>
        </w:tc>
        <w:tc>
          <w:tcPr>
            <w:tcW w:w="820" w:type="dxa"/>
            <w:vAlign w:val="bottom"/>
            <w:tcBorders>
              <w:top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w w:val="87"/>
              </w:rPr>
              <w:t># of Students</w:t>
            </w:r>
          </w:p>
        </w:tc>
        <w:tc>
          <w:tcPr>
            <w:tcW w:w="420" w:type="dxa"/>
            <w:vAlign w:val="bottom"/>
            <w:tcBorders>
              <w:top w:val="single" w:sz="8" w:color="auto"/>
            </w:tcBorders>
          </w:tcPr>
          <w:p>
            <w:pPr>
              <w:spacing w:after="0"/>
              <w:rPr>
                <w:sz w:val="12"/>
                <w:szCs w:val="12"/>
                <w:color w:val="auto"/>
              </w:rPr>
            </w:pPr>
          </w:p>
        </w:tc>
        <w:tc>
          <w:tcPr>
            <w:tcW w:w="640" w:type="dxa"/>
            <w:vAlign w:val="bottom"/>
            <w:tcBorders>
              <w:top w:val="single" w:sz="8" w:color="auto"/>
            </w:tcBorders>
          </w:tcPr>
          <w:p>
            <w:pPr>
              <w:jc w:val="center"/>
              <w:spacing w:after="0" w:line="142" w:lineRule="exact"/>
              <w:rPr>
                <w:sz w:val="20"/>
                <w:szCs w:val="20"/>
                <w:color w:val="auto"/>
              </w:rPr>
            </w:pPr>
            <w:r>
              <w:rPr>
                <w:rFonts w:ascii="Arial" w:cs="Arial" w:eastAsia="Arial" w:hAnsi="Arial"/>
                <w:sz w:val="14"/>
                <w:szCs w:val="14"/>
                <w:b w:val="1"/>
                <w:bCs w:val="1"/>
                <w:color w:val="auto"/>
                <w:w w:val="95"/>
              </w:rPr>
              <w:t>% of Total</w:t>
            </w:r>
          </w:p>
        </w:tc>
        <w:tc>
          <w:tcPr>
            <w:tcW w:w="36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220" w:type="dxa"/>
            <w:vAlign w:val="bottom"/>
            <w:tcBorders>
              <w:top w:val="single" w:sz="8" w:color="auto"/>
            </w:tcBorders>
            <w:gridSpan w:val="2"/>
          </w:tcPr>
          <w:p>
            <w:pPr>
              <w:jc w:val="right"/>
              <w:ind w:right="440"/>
              <w:spacing w:after="0" w:line="142" w:lineRule="exact"/>
              <w:rPr>
                <w:sz w:val="20"/>
                <w:szCs w:val="20"/>
                <w:color w:val="auto"/>
              </w:rPr>
            </w:pPr>
            <w:r>
              <w:rPr>
                <w:rFonts w:ascii="Arial" w:cs="Arial" w:eastAsia="Arial" w:hAnsi="Arial"/>
                <w:sz w:val="14"/>
                <w:szCs w:val="14"/>
                <w:b w:val="1"/>
                <w:bCs w:val="1"/>
                <w:color w:val="auto"/>
                <w:w w:val="85"/>
              </w:rPr>
              <w:t># of Students</w:t>
            </w:r>
          </w:p>
        </w:tc>
        <w:tc>
          <w:tcPr>
            <w:tcW w:w="640" w:type="dxa"/>
            <w:vAlign w:val="bottom"/>
            <w:tcBorders>
              <w:top w:val="single" w:sz="8" w:color="auto"/>
            </w:tcBorders>
          </w:tcPr>
          <w:p>
            <w:pPr>
              <w:jc w:val="center"/>
              <w:spacing w:after="0" w:line="142" w:lineRule="exact"/>
              <w:rPr>
                <w:sz w:val="20"/>
                <w:szCs w:val="20"/>
                <w:color w:val="auto"/>
              </w:rPr>
            </w:pPr>
            <w:r>
              <w:rPr>
                <w:rFonts w:ascii="Arial" w:cs="Arial" w:eastAsia="Arial" w:hAnsi="Arial"/>
                <w:sz w:val="14"/>
                <w:szCs w:val="14"/>
                <w:b w:val="1"/>
                <w:bCs w:val="1"/>
                <w:color w:val="auto"/>
                <w:w w:val="95"/>
              </w:rPr>
              <w:t>% of Total</w:t>
            </w:r>
          </w:p>
        </w:tc>
        <w:tc>
          <w:tcPr>
            <w:tcW w:w="2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040" w:type="dxa"/>
            <w:vAlign w:val="bottom"/>
            <w:vMerge w:val="restart"/>
            <w:shd w:val="clear" w:color="auto" w:fill="CCEEFF"/>
          </w:tcPr>
          <w:p>
            <w:pPr>
              <w:spacing w:after="0"/>
              <w:rPr>
                <w:sz w:val="20"/>
                <w:szCs w:val="20"/>
                <w:color w:val="auto"/>
              </w:rPr>
            </w:pPr>
            <w:r>
              <w:rPr>
                <w:rFonts w:ascii="Arial" w:cs="Arial" w:eastAsia="Arial" w:hAnsi="Arial"/>
                <w:sz w:val="18"/>
                <w:szCs w:val="18"/>
                <w:color w:val="auto"/>
              </w:rPr>
              <w:t>Graduate degrees</w:t>
            </w:r>
            <w:r>
              <w:rPr>
                <w:rFonts w:ascii="Arial" w:cs="Arial" w:eastAsia="Arial" w:hAnsi="Arial"/>
                <w:sz w:val="15"/>
                <w:szCs w:val="15"/>
                <w:color w:val="auto"/>
              </w:rPr>
              <w:t>(2)</w:t>
            </w:r>
          </w:p>
        </w:tc>
        <w:tc>
          <w:tcPr>
            <w:tcW w:w="2440" w:type="dxa"/>
            <w:vAlign w:val="bottom"/>
            <w:vMerge w:val="restart"/>
            <w:shd w:val="clear" w:color="auto" w:fill="CCEEFF"/>
          </w:tcPr>
          <w:p>
            <w:pPr>
              <w:spacing w:after="0" w:line="20" w:lineRule="exact"/>
              <w:rPr>
                <w:sz w:val="1"/>
                <w:szCs w:val="1"/>
                <w:color w:val="auto"/>
              </w:rPr>
            </w:pPr>
          </w:p>
        </w:tc>
        <w:tc>
          <w:tcPr>
            <w:tcW w:w="820" w:type="dxa"/>
            <w:vAlign w:val="bottom"/>
            <w:shd w:val="clear" w:color="auto" w:fill="000000"/>
          </w:tcPr>
          <w:p>
            <w:pPr>
              <w:spacing w:after="0" w:line="20" w:lineRule="exact"/>
              <w:rPr>
                <w:sz w:val="1"/>
                <w:szCs w:val="1"/>
                <w:color w:val="auto"/>
              </w:rPr>
            </w:pPr>
          </w:p>
        </w:tc>
        <w:tc>
          <w:tcPr>
            <w:tcW w:w="420" w:type="dxa"/>
            <w:vAlign w:val="bottom"/>
            <w:tcBorders>
              <w:right w:val="single" w:sz="8" w:color="CCEEFF"/>
            </w:tcBorders>
            <w:shd w:val="clear" w:color="auto" w:fill="CCEEFF"/>
          </w:tcPr>
          <w:p>
            <w:pPr>
              <w:spacing w:after="0" w:line="20" w:lineRule="exact"/>
              <w:rPr>
                <w:sz w:val="1"/>
                <w:szCs w:val="1"/>
                <w:color w:val="auto"/>
              </w:rPr>
            </w:pPr>
          </w:p>
        </w:tc>
        <w:tc>
          <w:tcPr>
            <w:tcW w:w="640" w:type="dxa"/>
            <w:vAlign w:val="bottom"/>
            <w:shd w:val="clear" w:color="auto" w:fill="000000"/>
          </w:tcPr>
          <w:p>
            <w:pPr>
              <w:spacing w:after="0" w:line="20" w:lineRule="exact"/>
              <w:rPr>
                <w:sz w:val="1"/>
                <w:szCs w:val="1"/>
                <w:color w:val="auto"/>
              </w:rPr>
            </w:pPr>
          </w:p>
        </w:tc>
        <w:tc>
          <w:tcPr>
            <w:tcW w:w="360" w:type="dxa"/>
            <w:vAlign w:val="bottom"/>
            <w:shd w:val="clear" w:color="auto" w:fill="CCEEFF"/>
          </w:tcPr>
          <w:p>
            <w:pPr>
              <w:spacing w:after="0" w:line="20" w:lineRule="exact"/>
              <w:rPr>
                <w:sz w:val="1"/>
                <w:szCs w:val="1"/>
                <w:color w:val="auto"/>
              </w:rPr>
            </w:pPr>
          </w:p>
        </w:tc>
        <w:tc>
          <w:tcPr>
            <w:tcW w:w="220" w:type="dxa"/>
            <w:vAlign w:val="bottom"/>
            <w:vMerge w:val="restart"/>
            <w:shd w:val="clear" w:color="auto" w:fill="CCEEFF"/>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420" w:type="dxa"/>
            <w:vAlign w:val="bottom"/>
            <w:tcBorders>
              <w:right w:val="single" w:sz="8" w:color="CCEEFF"/>
            </w:tcBorders>
            <w:shd w:val="clear" w:color="auto" w:fill="CCEEFF"/>
          </w:tcPr>
          <w:p>
            <w:pPr>
              <w:spacing w:after="0" w:line="20" w:lineRule="exact"/>
              <w:rPr>
                <w:sz w:val="1"/>
                <w:szCs w:val="1"/>
                <w:color w:val="auto"/>
              </w:rPr>
            </w:pPr>
          </w:p>
        </w:tc>
        <w:tc>
          <w:tcPr>
            <w:tcW w:w="640" w:type="dxa"/>
            <w:vAlign w:val="bottom"/>
            <w:shd w:val="clear" w:color="auto" w:fill="000000"/>
          </w:tcPr>
          <w:p>
            <w:pPr>
              <w:spacing w:after="0" w:line="20" w:lineRule="exact"/>
              <w:rPr>
                <w:sz w:val="1"/>
                <w:szCs w:val="1"/>
                <w:color w:val="auto"/>
              </w:rPr>
            </w:pPr>
          </w:p>
        </w:tc>
        <w:tc>
          <w:tcPr>
            <w:tcW w:w="220" w:type="dxa"/>
            <w:vAlign w:val="bottom"/>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tcPr>
          <w:p>
            <w:pPr>
              <w:spacing w:after="0"/>
              <w:rPr>
                <w:sz w:val="18"/>
                <w:szCs w:val="18"/>
                <w:color w:val="auto"/>
              </w:rPr>
            </w:pPr>
          </w:p>
        </w:tc>
        <w:tc>
          <w:tcPr>
            <w:tcW w:w="4040" w:type="dxa"/>
            <w:vAlign w:val="bottom"/>
            <w:vMerge w:val="continue"/>
            <w:shd w:val="clear" w:color="auto" w:fill="CCEEFF"/>
          </w:tcPr>
          <w:p>
            <w:pPr>
              <w:spacing w:after="0"/>
              <w:rPr>
                <w:sz w:val="18"/>
                <w:szCs w:val="18"/>
                <w:color w:val="auto"/>
              </w:rPr>
            </w:pPr>
          </w:p>
        </w:tc>
        <w:tc>
          <w:tcPr>
            <w:tcW w:w="2440" w:type="dxa"/>
            <w:vAlign w:val="bottom"/>
            <w:vMerge w:val="continue"/>
            <w:shd w:val="clear" w:color="auto" w:fill="CCEEFF"/>
          </w:tcPr>
          <w:p>
            <w:pPr>
              <w:spacing w:after="0"/>
              <w:rPr>
                <w:sz w:val="18"/>
                <w:szCs w:val="18"/>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39,552</w:t>
            </w:r>
          </w:p>
        </w:tc>
        <w:tc>
          <w:tcPr>
            <w:tcW w:w="420" w:type="dxa"/>
            <w:vAlign w:val="bottom"/>
            <w:tcBorders>
              <w:right w:val="single" w:sz="8" w:color="CCEEFF"/>
            </w:tcBorders>
            <w:shd w:val="clear" w:color="auto" w:fill="CCEEFF"/>
          </w:tcPr>
          <w:p>
            <w:pPr>
              <w:spacing w:after="0"/>
              <w:rPr>
                <w:sz w:val="18"/>
                <w:szCs w:val="18"/>
                <w:color w:val="auto"/>
              </w:rPr>
            </w:pPr>
          </w:p>
        </w:tc>
        <w:tc>
          <w:tcPr>
            <w:tcW w:w="100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48.5%</w:t>
            </w:r>
          </w:p>
        </w:tc>
        <w:tc>
          <w:tcPr>
            <w:tcW w:w="220" w:type="dxa"/>
            <w:vAlign w:val="bottom"/>
            <w:vMerge w:val="continue"/>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35,702</w:t>
            </w:r>
          </w:p>
        </w:tc>
        <w:tc>
          <w:tcPr>
            <w:tcW w:w="420" w:type="dxa"/>
            <w:vAlign w:val="bottom"/>
            <w:tcBorders>
              <w:right w:val="single" w:sz="8" w:color="CCEEFF"/>
            </w:tcBorders>
            <w:shd w:val="clear" w:color="auto" w:fill="CCEEFF"/>
          </w:tcPr>
          <w:p>
            <w:pPr>
              <w:spacing w:after="0"/>
              <w:rPr>
                <w:sz w:val="18"/>
                <w:szCs w:val="18"/>
                <w:color w:val="auto"/>
              </w:rPr>
            </w:pPr>
          </w:p>
        </w:tc>
        <w:tc>
          <w:tcPr>
            <w:tcW w:w="86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47.9%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040" w:type="dxa"/>
            <w:vAlign w:val="bottom"/>
          </w:tcPr>
          <w:p>
            <w:pPr>
              <w:spacing w:after="0"/>
              <w:rPr>
                <w:sz w:val="20"/>
                <w:szCs w:val="20"/>
                <w:color w:val="auto"/>
              </w:rPr>
            </w:pPr>
            <w:r>
              <w:rPr>
                <w:rFonts w:ascii="Arial" w:cs="Arial" w:eastAsia="Arial" w:hAnsi="Arial"/>
                <w:sz w:val="18"/>
                <w:szCs w:val="18"/>
                <w:color w:val="auto"/>
              </w:rPr>
              <w:t>Undergraduate degree</w:t>
            </w:r>
          </w:p>
        </w:tc>
        <w:tc>
          <w:tcPr>
            <w:tcW w:w="244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Arial" w:cs="Arial" w:eastAsia="Arial" w:hAnsi="Arial"/>
                <w:sz w:val="18"/>
                <w:szCs w:val="18"/>
                <w:color w:val="auto"/>
              </w:rPr>
              <w:t>42,068</w:t>
            </w:r>
          </w:p>
        </w:tc>
        <w:tc>
          <w:tcPr>
            <w:tcW w:w="420" w:type="dxa"/>
            <w:vAlign w:val="bottom"/>
          </w:tcPr>
          <w:p>
            <w:pPr>
              <w:spacing w:after="0"/>
              <w:rPr>
                <w:sz w:val="18"/>
                <w:szCs w:val="18"/>
                <w:color w:val="auto"/>
              </w:rPr>
            </w:pPr>
          </w:p>
        </w:tc>
        <w:tc>
          <w:tcPr>
            <w:tcW w:w="1000" w:type="dxa"/>
            <w:vAlign w:val="bottom"/>
            <w:gridSpan w:val="2"/>
          </w:tcPr>
          <w:p>
            <w:pPr>
              <w:jc w:val="right"/>
              <w:ind w:right="220"/>
              <w:spacing w:after="0"/>
              <w:rPr>
                <w:sz w:val="20"/>
                <w:szCs w:val="20"/>
                <w:color w:val="auto"/>
              </w:rPr>
            </w:pPr>
            <w:r>
              <w:rPr>
                <w:rFonts w:ascii="Arial" w:cs="Arial" w:eastAsia="Arial" w:hAnsi="Arial"/>
                <w:sz w:val="18"/>
                <w:szCs w:val="18"/>
                <w:color w:val="auto"/>
              </w:rPr>
              <w:t>51.5%</w:t>
            </w:r>
          </w:p>
        </w:tc>
        <w:tc>
          <w:tcPr>
            <w:tcW w:w="1020" w:type="dxa"/>
            <w:vAlign w:val="bottom"/>
            <w:gridSpan w:val="2"/>
          </w:tcPr>
          <w:p>
            <w:pPr>
              <w:jc w:val="right"/>
              <w:spacing w:after="0"/>
              <w:rPr>
                <w:sz w:val="20"/>
                <w:szCs w:val="20"/>
                <w:color w:val="auto"/>
              </w:rPr>
            </w:pPr>
            <w:r>
              <w:rPr>
                <w:rFonts w:ascii="Arial" w:cs="Arial" w:eastAsia="Arial" w:hAnsi="Arial"/>
                <w:sz w:val="18"/>
                <w:szCs w:val="18"/>
                <w:color w:val="auto"/>
              </w:rPr>
              <w:t>38,783</w:t>
            </w:r>
          </w:p>
        </w:tc>
        <w:tc>
          <w:tcPr>
            <w:tcW w:w="420" w:type="dxa"/>
            <w:vAlign w:val="bottom"/>
          </w:tcPr>
          <w:p>
            <w:pPr>
              <w:spacing w:after="0"/>
              <w:rPr>
                <w:sz w:val="18"/>
                <w:szCs w:val="18"/>
                <w:color w:val="auto"/>
              </w:rPr>
            </w:pPr>
          </w:p>
        </w:tc>
        <w:tc>
          <w:tcPr>
            <w:tcW w:w="860" w:type="dxa"/>
            <w:vAlign w:val="bottom"/>
            <w:gridSpan w:val="2"/>
          </w:tcPr>
          <w:p>
            <w:pPr>
              <w:jc w:val="right"/>
              <w:ind w:right="60"/>
              <w:spacing w:after="0"/>
              <w:rPr>
                <w:sz w:val="20"/>
                <w:szCs w:val="20"/>
                <w:color w:val="auto"/>
              </w:rPr>
            </w:pPr>
            <w:r>
              <w:rPr>
                <w:rFonts w:ascii="Arial" w:cs="Arial" w:eastAsia="Arial" w:hAnsi="Arial"/>
                <w:sz w:val="18"/>
                <w:szCs w:val="18"/>
                <w:color w:val="auto"/>
              </w:rPr>
              <w:t>52.1%</w:t>
            </w: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4040" w:type="dxa"/>
            <w:vAlign w:val="bottom"/>
          </w:tcPr>
          <w:p>
            <w:pPr>
              <w:spacing w:after="0"/>
              <w:rPr>
                <w:sz w:val="2"/>
                <w:szCs w:val="2"/>
                <w:color w:val="auto"/>
              </w:rPr>
            </w:pPr>
          </w:p>
        </w:tc>
        <w:tc>
          <w:tcPr>
            <w:tcW w:w="2440" w:type="dxa"/>
            <w:vAlign w:val="bottom"/>
          </w:tcPr>
          <w:p>
            <w:pPr>
              <w:spacing w:after="0"/>
              <w:rPr>
                <w:sz w:val="2"/>
                <w:szCs w:val="2"/>
                <w:color w:val="auto"/>
              </w:rPr>
            </w:pPr>
          </w:p>
        </w:tc>
        <w:tc>
          <w:tcPr>
            <w:tcW w:w="820" w:type="dxa"/>
            <w:vAlign w:val="bottom"/>
            <w:shd w:val="clear" w:color="auto" w:fill="000000"/>
          </w:tcPr>
          <w:p>
            <w:pPr>
              <w:spacing w:after="0"/>
              <w:rPr>
                <w:sz w:val="2"/>
                <w:szCs w:val="2"/>
                <w:color w:val="auto"/>
              </w:rPr>
            </w:pPr>
          </w:p>
        </w:tc>
        <w:tc>
          <w:tcPr>
            <w:tcW w:w="420" w:type="dxa"/>
            <w:vAlign w:val="bottom"/>
          </w:tcPr>
          <w:p>
            <w:pPr>
              <w:spacing w:after="0"/>
              <w:rPr>
                <w:sz w:val="2"/>
                <w:szCs w:val="2"/>
                <w:color w:val="auto"/>
              </w:rPr>
            </w:pPr>
          </w:p>
        </w:tc>
        <w:tc>
          <w:tcPr>
            <w:tcW w:w="640" w:type="dxa"/>
            <w:vAlign w:val="bottom"/>
            <w:shd w:val="clear" w:color="auto" w:fill="000000"/>
          </w:tcPr>
          <w:p>
            <w:pPr>
              <w:spacing w:after="0"/>
              <w:rPr>
                <w:sz w:val="2"/>
                <w:szCs w:val="2"/>
                <w:color w:val="auto"/>
              </w:rPr>
            </w:pPr>
          </w:p>
        </w:tc>
        <w:tc>
          <w:tcPr>
            <w:tcW w:w="360" w:type="dxa"/>
            <w:vAlign w:val="bottom"/>
          </w:tcPr>
          <w:p>
            <w:pPr>
              <w:spacing w:after="0"/>
              <w:rPr>
                <w:sz w:val="2"/>
                <w:szCs w:val="2"/>
                <w:color w:val="auto"/>
              </w:rPr>
            </w:pPr>
          </w:p>
        </w:tc>
        <w:tc>
          <w:tcPr>
            <w:tcW w:w="220" w:type="dxa"/>
            <w:vAlign w:val="bottom"/>
          </w:tcPr>
          <w:p>
            <w:pPr>
              <w:spacing w:after="0"/>
              <w:rPr>
                <w:sz w:val="2"/>
                <w:szCs w:val="2"/>
                <w:color w:val="auto"/>
              </w:rPr>
            </w:pPr>
          </w:p>
        </w:tc>
        <w:tc>
          <w:tcPr>
            <w:tcW w:w="800" w:type="dxa"/>
            <w:vAlign w:val="bottom"/>
            <w:shd w:val="clear" w:color="auto" w:fill="000000"/>
          </w:tcPr>
          <w:p>
            <w:pPr>
              <w:spacing w:after="0"/>
              <w:rPr>
                <w:sz w:val="2"/>
                <w:szCs w:val="2"/>
                <w:color w:val="auto"/>
              </w:rPr>
            </w:pPr>
          </w:p>
        </w:tc>
        <w:tc>
          <w:tcPr>
            <w:tcW w:w="420" w:type="dxa"/>
            <w:vAlign w:val="bottom"/>
          </w:tcPr>
          <w:p>
            <w:pPr>
              <w:spacing w:after="0"/>
              <w:rPr>
                <w:sz w:val="2"/>
                <w:szCs w:val="2"/>
                <w:color w:val="auto"/>
              </w:rPr>
            </w:pPr>
          </w:p>
        </w:tc>
        <w:tc>
          <w:tcPr>
            <w:tcW w:w="640" w:type="dxa"/>
            <w:vAlign w:val="bottom"/>
            <w:shd w:val="clear" w:color="auto" w:fill="000000"/>
          </w:tcPr>
          <w:p>
            <w:pPr>
              <w:spacing w:after="0"/>
              <w:rPr>
                <w:sz w:val="2"/>
                <w:szCs w:val="2"/>
                <w:color w:val="auto"/>
              </w:rPr>
            </w:pPr>
          </w:p>
        </w:tc>
        <w:tc>
          <w:tcPr>
            <w:tcW w:w="2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continue"/>
          </w:tcPr>
          <w:p>
            <w:pPr>
              <w:spacing w:after="0"/>
              <w:rPr>
                <w:sz w:val="18"/>
                <w:szCs w:val="18"/>
                <w:color w:val="auto"/>
              </w:rPr>
            </w:pPr>
          </w:p>
        </w:tc>
        <w:tc>
          <w:tcPr>
            <w:tcW w:w="4040" w:type="dxa"/>
            <w:vAlign w:val="bottom"/>
            <w:shd w:val="clear" w:color="auto" w:fill="CCEEFF"/>
          </w:tcPr>
          <w:p>
            <w:pPr>
              <w:spacing w:after="0"/>
              <w:rPr>
                <w:sz w:val="20"/>
                <w:szCs w:val="20"/>
                <w:color w:val="auto"/>
              </w:rPr>
            </w:pPr>
            <w:r>
              <w:rPr>
                <w:rFonts w:ascii="Arial" w:cs="Arial" w:eastAsia="Arial" w:hAnsi="Arial"/>
                <w:sz w:val="18"/>
                <w:szCs w:val="18"/>
                <w:color w:val="auto"/>
              </w:rPr>
              <w:t>Total</w:t>
            </w:r>
          </w:p>
        </w:tc>
        <w:tc>
          <w:tcPr>
            <w:tcW w:w="2440" w:type="dxa"/>
            <w:vAlign w:val="bottom"/>
            <w:shd w:val="clear" w:color="auto" w:fill="CCEEFF"/>
          </w:tcPr>
          <w:p>
            <w:pPr>
              <w:spacing w:after="0"/>
              <w:rPr>
                <w:sz w:val="18"/>
                <w:szCs w:val="18"/>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81,620</w:t>
            </w:r>
          </w:p>
        </w:tc>
        <w:tc>
          <w:tcPr>
            <w:tcW w:w="420" w:type="dxa"/>
            <w:vAlign w:val="bottom"/>
            <w:tcBorders>
              <w:right w:val="single" w:sz="8" w:color="CCEEFF"/>
            </w:tcBorders>
            <w:shd w:val="clear" w:color="auto" w:fill="CCEEFF"/>
          </w:tcPr>
          <w:p>
            <w:pPr>
              <w:spacing w:after="0"/>
              <w:rPr>
                <w:sz w:val="18"/>
                <w:szCs w:val="18"/>
                <w:color w:val="auto"/>
              </w:rPr>
            </w:pPr>
          </w:p>
        </w:tc>
        <w:tc>
          <w:tcPr>
            <w:tcW w:w="100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100.0%</w:t>
            </w:r>
          </w:p>
        </w:tc>
        <w:tc>
          <w:tcPr>
            <w:tcW w:w="10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74,485</w:t>
            </w:r>
          </w:p>
        </w:tc>
        <w:tc>
          <w:tcPr>
            <w:tcW w:w="420" w:type="dxa"/>
            <w:vAlign w:val="bottom"/>
            <w:tcBorders>
              <w:right w:val="single" w:sz="8" w:color="CCEEFF"/>
            </w:tcBorders>
            <w:shd w:val="clear" w:color="auto" w:fill="CCEEFF"/>
          </w:tcPr>
          <w:p>
            <w:pPr>
              <w:spacing w:after="0"/>
              <w:rPr>
                <w:sz w:val="18"/>
                <w:szCs w:val="18"/>
                <w:color w:val="auto"/>
              </w:rPr>
            </w:pPr>
          </w:p>
        </w:tc>
        <w:tc>
          <w:tcPr>
            <w:tcW w:w="86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100.0%</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040" w:type="dxa"/>
            <w:vAlign w:val="bottom"/>
          </w:tcPr>
          <w:p>
            <w:pPr>
              <w:spacing w:after="0" w:line="20" w:lineRule="exact"/>
              <w:rPr>
                <w:sz w:val="1"/>
                <w:szCs w:val="1"/>
                <w:color w:val="auto"/>
              </w:rPr>
            </w:pPr>
          </w:p>
        </w:tc>
        <w:tc>
          <w:tcPr>
            <w:tcW w:w="2440" w:type="dxa"/>
            <w:vAlign w:val="bottom"/>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640" w:type="dxa"/>
            <w:vAlign w:val="bottom"/>
            <w:tcBorders>
              <w:top w:val="single" w:sz="8" w:color="auto"/>
              <w:bottom w:val="single" w:sz="8" w:color="auto"/>
            </w:tcBorders>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64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59"/>
        </w:trPr>
        <w:tc>
          <w:tcPr>
            <w:tcW w:w="20" w:type="dxa"/>
            <w:vAlign w:val="bottom"/>
          </w:tcPr>
          <w:p>
            <w:pPr>
              <w:spacing w:after="0"/>
              <w:rPr>
                <w:sz w:val="24"/>
                <w:szCs w:val="24"/>
                <w:color w:val="auto"/>
              </w:rPr>
            </w:pPr>
          </w:p>
        </w:tc>
        <w:tc>
          <w:tcPr>
            <w:tcW w:w="4040" w:type="dxa"/>
            <w:vAlign w:val="bottom"/>
          </w:tcPr>
          <w:p>
            <w:pPr>
              <w:spacing w:after="0"/>
              <w:rPr>
                <w:sz w:val="24"/>
                <w:szCs w:val="24"/>
                <w:color w:val="auto"/>
              </w:rPr>
            </w:pPr>
          </w:p>
        </w:tc>
        <w:tc>
          <w:tcPr>
            <w:tcW w:w="2440" w:type="dxa"/>
            <w:vAlign w:val="bottom"/>
          </w:tcPr>
          <w:p>
            <w:pPr>
              <w:spacing w:after="0"/>
              <w:rPr>
                <w:sz w:val="24"/>
                <w:szCs w:val="24"/>
                <w:color w:val="auto"/>
              </w:rPr>
            </w:pPr>
          </w:p>
        </w:tc>
        <w:tc>
          <w:tcPr>
            <w:tcW w:w="1240" w:type="dxa"/>
            <w:vAlign w:val="bottom"/>
            <w:tcBorders>
              <w:bottom w:val="single" w:sz="8" w:color="auto"/>
            </w:tcBorders>
            <w:gridSpan w:val="2"/>
          </w:tcPr>
          <w:p>
            <w:pPr>
              <w:jc w:val="right"/>
              <w:ind w:right="80"/>
              <w:spacing w:after="0"/>
              <w:rPr>
                <w:sz w:val="20"/>
                <w:szCs w:val="20"/>
                <w:color w:val="auto"/>
              </w:rPr>
            </w:pPr>
            <w:r>
              <w:rPr>
                <w:rFonts w:ascii="Arial" w:cs="Arial" w:eastAsia="Arial" w:hAnsi="Arial"/>
                <w:sz w:val="14"/>
                <w:szCs w:val="14"/>
                <w:b w:val="1"/>
                <w:bCs w:val="1"/>
                <w:color w:val="auto"/>
              </w:rPr>
              <w:t>2018</w:t>
            </w:r>
            <w:r>
              <w:rPr>
                <w:rFonts w:ascii="Arial" w:cs="Arial" w:eastAsia="Arial" w:hAnsi="Arial"/>
                <w:sz w:val="12"/>
                <w:szCs w:val="12"/>
                <w:b w:val="1"/>
                <w:bCs w:val="1"/>
                <w:color w:val="auto"/>
              </w:rPr>
              <w:t>(1)</w:t>
            </w:r>
          </w:p>
        </w:tc>
        <w:tc>
          <w:tcPr>
            <w:tcW w:w="640" w:type="dxa"/>
            <w:vAlign w:val="bottom"/>
            <w:tcBorders>
              <w:bottom w:val="single" w:sz="8" w:color="auto"/>
            </w:tcBorders>
          </w:tcPr>
          <w:p>
            <w:pPr>
              <w:spacing w:after="0"/>
              <w:rPr>
                <w:sz w:val="24"/>
                <w:szCs w:val="24"/>
                <w:color w:val="auto"/>
              </w:rPr>
            </w:pPr>
          </w:p>
        </w:tc>
        <w:tc>
          <w:tcPr>
            <w:tcW w:w="3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220" w:type="dxa"/>
            <w:vAlign w:val="bottom"/>
            <w:tcBorders>
              <w:bottom w:val="single" w:sz="8" w:color="auto"/>
            </w:tcBorders>
            <w:gridSpan w:val="2"/>
          </w:tcPr>
          <w:p>
            <w:pPr>
              <w:jc w:val="right"/>
              <w:ind w:right="80"/>
              <w:spacing w:after="0"/>
              <w:rPr>
                <w:sz w:val="20"/>
                <w:szCs w:val="20"/>
                <w:color w:val="auto"/>
              </w:rPr>
            </w:pPr>
            <w:r>
              <w:rPr>
                <w:rFonts w:ascii="Arial" w:cs="Arial" w:eastAsia="Arial" w:hAnsi="Arial"/>
                <w:sz w:val="14"/>
                <w:szCs w:val="14"/>
                <w:b w:val="1"/>
                <w:bCs w:val="1"/>
                <w:color w:val="auto"/>
              </w:rPr>
              <w:t>2017</w:t>
            </w:r>
            <w:r>
              <w:rPr>
                <w:rFonts w:ascii="Arial" w:cs="Arial" w:eastAsia="Arial" w:hAnsi="Arial"/>
                <w:sz w:val="12"/>
                <w:szCs w:val="12"/>
                <w:b w:val="1"/>
                <w:bCs w:val="1"/>
                <w:color w:val="auto"/>
              </w:rPr>
              <w:t>(1)</w:t>
            </w:r>
          </w:p>
        </w:tc>
        <w:tc>
          <w:tcPr>
            <w:tcW w:w="640" w:type="dxa"/>
            <w:vAlign w:val="bottom"/>
            <w:tcBorders>
              <w:bottom w:val="single" w:sz="8" w:color="auto"/>
            </w:tcBorders>
          </w:tcPr>
          <w:p>
            <w:pPr>
              <w:spacing w:after="0"/>
              <w:rPr>
                <w:sz w:val="24"/>
                <w:szCs w:val="24"/>
                <w:color w:val="auto"/>
              </w:rPr>
            </w:pPr>
          </w:p>
        </w:tc>
        <w:tc>
          <w:tcPr>
            <w:tcW w:w="2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19"/>
        </w:trPr>
        <w:tc>
          <w:tcPr>
            <w:tcW w:w="20" w:type="dxa"/>
            <w:vAlign w:val="bottom"/>
          </w:tcPr>
          <w:p>
            <w:pPr>
              <w:spacing w:after="0"/>
              <w:rPr>
                <w:sz w:val="10"/>
                <w:szCs w:val="10"/>
                <w:color w:val="auto"/>
              </w:rPr>
            </w:pPr>
          </w:p>
        </w:tc>
        <w:tc>
          <w:tcPr>
            <w:tcW w:w="4040" w:type="dxa"/>
            <w:vAlign w:val="bottom"/>
          </w:tcPr>
          <w:p>
            <w:pPr>
              <w:spacing w:after="0"/>
              <w:rPr>
                <w:sz w:val="10"/>
                <w:szCs w:val="10"/>
                <w:color w:val="auto"/>
              </w:rPr>
            </w:pPr>
          </w:p>
        </w:tc>
        <w:tc>
          <w:tcPr>
            <w:tcW w:w="2440" w:type="dxa"/>
            <w:vAlign w:val="bottom"/>
            <w:vMerge w:val="restart"/>
          </w:tcPr>
          <w:p>
            <w:pPr>
              <w:spacing w:after="0"/>
              <w:rPr>
                <w:sz w:val="10"/>
                <w:szCs w:val="10"/>
                <w:color w:val="auto"/>
              </w:rPr>
            </w:pPr>
          </w:p>
        </w:tc>
        <w:tc>
          <w:tcPr>
            <w:tcW w:w="820" w:type="dxa"/>
            <w:vAlign w:val="bottom"/>
            <w:vMerge w:val="restart"/>
          </w:tcPr>
          <w:p>
            <w:pPr>
              <w:jc w:val="right"/>
              <w:spacing w:after="0"/>
              <w:rPr>
                <w:sz w:val="20"/>
                <w:szCs w:val="20"/>
                <w:color w:val="auto"/>
              </w:rPr>
            </w:pPr>
            <w:r>
              <w:rPr>
                <w:rFonts w:ascii="Arial" w:cs="Arial" w:eastAsia="Arial" w:hAnsi="Arial"/>
                <w:sz w:val="14"/>
                <w:szCs w:val="14"/>
                <w:b w:val="1"/>
                <w:bCs w:val="1"/>
                <w:color w:val="auto"/>
                <w:w w:val="87"/>
              </w:rPr>
              <w:t># of Students</w:t>
            </w:r>
          </w:p>
        </w:tc>
        <w:tc>
          <w:tcPr>
            <w:tcW w:w="420" w:type="dxa"/>
            <w:vAlign w:val="bottom"/>
            <w:vMerge w:val="restart"/>
          </w:tcPr>
          <w:p>
            <w:pPr>
              <w:spacing w:after="0"/>
              <w:rPr>
                <w:sz w:val="10"/>
                <w:szCs w:val="10"/>
                <w:color w:val="auto"/>
              </w:rPr>
            </w:pPr>
          </w:p>
        </w:tc>
        <w:tc>
          <w:tcPr>
            <w:tcW w:w="640" w:type="dxa"/>
            <w:vAlign w:val="bottom"/>
          </w:tcPr>
          <w:p>
            <w:pPr>
              <w:jc w:val="center"/>
              <w:spacing w:after="0" w:line="119" w:lineRule="exact"/>
              <w:rPr>
                <w:sz w:val="20"/>
                <w:szCs w:val="20"/>
                <w:color w:val="auto"/>
              </w:rPr>
            </w:pPr>
            <w:r>
              <w:rPr>
                <w:rFonts w:ascii="Arial" w:cs="Arial" w:eastAsia="Arial" w:hAnsi="Arial"/>
                <w:sz w:val="13"/>
                <w:szCs w:val="13"/>
                <w:b w:val="1"/>
                <w:bCs w:val="1"/>
                <w:color w:val="auto"/>
              </w:rPr>
              <w:t>% of</w:t>
            </w:r>
          </w:p>
        </w:tc>
        <w:tc>
          <w:tcPr>
            <w:tcW w:w="360" w:type="dxa"/>
            <w:vAlign w:val="bottom"/>
          </w:tcPr>
          <w:p>
            <w:pPr>
              <w:spacing w:after="0"/>
              <w:rPr>
                <w:sz w:val="10"/>
                <w:szCs w:val="10"/>
                <w:color w:val="auto"/>
              </w:rPr>
            </w:pPr>
          </w:p>
        </w:tc>
        <w:tc>
          <w:tcPr>
            <w:tcW w:w="1440" w:type="dxa"/>
            <w:vAlign w:val="bottom"/>
            <w:gridSpan w:val="3"/>
            <w:vMerge w:val="restart"/>
          </w:tcPr>
          <w:p>
            <w:pPr>
              <w:jc w:val="right"/>
              <w:ind w:right="440"/>
              <w:spacing w:after="0"/>
              <w:rPr>
                <w:sz w:val="20"/>
                <w:szCs w:val="20"/>
                <w:color w:val="auto"/>
              </w:rPr>
            </w:pPr>
            <w:r>
              <w:rPr>
                <w:rFonts w:ascii="Arial" w:cs="Arial" w:eastAsia="Arial" w:hAnsi="Arial"/>
                <w:sz w:val="14"/>
                <w:szCs w:val="14"/>
                <w:b w:val="1"/>
                <w:bCs w:val="1"/>
                <w:color w:val="auto"/>
              </w:rPr>
              <w:t># of Students</w:t>
            </w:r>
          </w:p>
        </w:tc>
        <w:tc>
          <w:tcPr>
            <w:tcW w:w="640" w:type="dxa"/>
            <w:vAlign w:val="bottom"/>
          </w:tcPr>
          <w:p>
            <w:pPr>
              <w:jc w:val="center"/>
              <w:spacing w:after="0" w:line="119" w:lineRule="exact"/>
              <w:rPr>
                <w:sz w:val="20"/>
                <w:szCs w:val="20"/>
                <w:color w:val="auto"/>
              </w:rPr>
            </w:pPr>
            <w:r>
              <w:rPr>
                <w:rFonts w:ascii="Arial" w:cs="Arial" w:eastAsia="Arial" w:hAnsi="Arial"/>
                <w:sz w:val="13"/>
                <w:szCs w:val="13"/>
                <w:b w:val="1"/>
                <w:bCs w:val="1"/>
                <w:color w:val="auto"/>
              </w:rPr>
              <w:t>% of</w:t>
            </w:r>
          </w:p>
        </w:tc>
        <w:tc>
          <w:tcPr>
            <w:tcW w:w="2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4040" w:type="dxa"/>
            <w:vAlign w:val="bottom"/>
          </w:tcPr>
          <w:p>
            <w:pPr>
              <w:spacing w:after="0"/>
              <w:rPr>
                <w:sz w:val="14"/>
                <w:szCs w:val="14"/>
                <w:color w:val="auto"/>
              </w:rPr>
            </w:pPr>
          </w:p>
        </w:tc>
        <w:tc>
          <w:tcPr>
            <w:tcW w:w="2440" w:type="dxa"/>
            <w:vAlign w:val="bottom"/>
            <w:vMerge w:val="continue"/>
          </w:tcPr>
          <w:p>
            <w:pPr>
              <w:spacing w:after="0"/>
              <w:rPr>
                <w:sz w:val="14"/>
                <w:szCs w:val="14"/>
                <w:color w:val="auto"/>
              </w:rPr>
            </w:pPr>
          </w:p>
        </w:tc>
        <w:tc>
          <w:tcPr>
            <w:tcW w:w="820" w:type="dxa"/>
            <w:vAlign w:val="bottom"/>
            <w:vMerge w:val="continue"/>
          </w:tcPr>
          <w:p>
            <w:pPr>
              <w:spacing w:after="0"/>
              <w:rPr>
                <w:sz w:val="14"/>
                <w:szCs w:val="14"/>
                <w:color w:val="auto"/>
              </w:rPr>
            </w:pPr>
          </w:p>
        </w:tc>
        <w:tc>
          <w:tcPr>
            <w:tcW w:w="420" w:type="dxa"/>
            <w:vAlign w:val="bottom"/>
            <w:vMerge w:val="continue"/>
          </w:tcPr>
          <w:p>
            <w:pPr>
              <w:spacing w:after="0"/>
              <w:rPr>
                <w:sz w:val="14"/>
                <w:szCs w:val="14"/>
                <w:color w:val="auto"/>
              </w:rPr>
            </w:pPr>
          </w:p>
        </w:tc>
        <w:tc>
          <w:tcPr>
            <w:tcW w:w="640" w:type="dxa"/>
            <w:vAlign w:val="bottom"/>
          </w:tcPr>
          <w:p>
            <w:pPr>
              <w:jc w:val="center"/>
              <w:spacing w:after="0"/>
              <w:rPr>
                <w:sz w:val="20"/>
                <w:szCs w:val="20"/>
                <w:color w:val="auto"/>
              </w:rPr>
            </w:pPr>
            <w:r>
              <w:rPr>
                <w:rFonts w:ascii="Arial" w:cs="Arial" w:eastAsia="Arial" w:hAnsi="Arial"/>
                <w:sz w:val="14"/>
                <w:szCs w:val="14"/>
                <w:b w:val="1"/>
                <w:bCs w:val="1"/>
                <w:color w:val="auto"/>
                <w:w w:val="95"/>
              </w:rPr>
              <w:t>Total</w:t>
            </w:r>
          </w:p>
        </w:tc>
        <w:tc>
          <w:tcPr>
            <w:tcW w:w="360" w:type="dxa"/>
            <w:vAlign w:val="bottom"/>
          </w:tcPr>
          <w:p>
            <w:pPr>
              <w:spacing w:after="0"/>
              <w:rPr>
                <w:sz w:val="14"/>
                <w:szCs w:val="14"/>
                <w:color w:val="auto"/>
              </w:rPr>
            </w:pPr>
          </w:p>
        </w:tc>
        <w:tc>
          <w:tcPr>
            <w:tcW w:w="1440" w:type="dxa"/>
            <w:vAlign w:val="bottom"/>
            <w:gridSpan w:val="3"/>
            <w:vMerge w:val="continue"/>
          </w:tcPr>
          <w:p>
            <w:pPr>
              <w:spacing w:after="0"/>
              <w:rPr>
                <w:sz w:val="14"/>
                <w:szCs w:val="14"/>
                <w:color w:val="auto"/>
              </w:rPr>
            </w:pPr>
          </w:p>
        </w:tc>
        <w:tc>
          <w:tcPr>
            <w:tcW w:w="860" w:type="dxa"/>
            <w:vAlign w:val="bottom"/>
            <w:gridSpan w:val="2"/>
          </w:tcPr>
          <w:p>
            <w:pPr>
              <w:jc w:val="center"/>
              <w:ind w:right="220"/>
              <w:spacing w:after="0"/>
              <w:rPr>
                <w:sz w:val="20"/>
                <w:szCs w:val="20"/>
                <w:color w:val="auto"/>
              </w:rPr>
            </w:pPr>
            <w:r>
              <w:rPr>
                <w:rFonts w:ascii="Arial" w:cs="Arial" w:eastAsia="Arial" w:hAnsi="Arial"/>
                <w:sz w:val="14"/>
                <w:szCs w:val="14"/>
                <w:b w:val="1"/>
                <w:bCs w:val="1"/>
                <w:color w:val="auto"/>
                <w:w w:val="95"/>
              </w:rPr>
              <w:t>Total</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040" w:type="dxa"/>
            <w:vAlign w:val="bottom"/>
            <w:vMerge w:val="restart"/>
            <w:shd w:val="clear" w:color="auto" w:fill="CCEEFF"/>
          </w:tcPr>
          <w:p>
            <w:pPr>
              <w:spacing w:after="0"/>
              <w:rPr>
                <w:sz w:val="20"/>
                <w:szCs w:val="20"/>
                <w:color w:val="auto"/>
              </w:rPr>
            </w:pPr>
            <w:r>
              <w:rPr>
                <w:rFonts w:ascii="Arial" w:cs="Arial" w:eastAsia="Arial" w:hAnsi="Arial"/>
                <w:sz w:val="18"/>
                <w:szCs w:val="18"/>
                <w:color w:val="auto"/>
              </w:rPr>
              <w:t>Online</w:t>
            </w:r>
            <w:r>
              <w:rPr>
                <w:rFonts w:ascii="Arial" w:cs="Arial" w:eastAsia="Arial" w:hAnsi="Arial"/>
                <w:sz w:val="15"/>
                <w:szCs w:val="15"/>
                <w:color w:val="auto"/>
              </w:rPr>
              <w:t>(3)</w:t>
            </w:r>
          </w:p>
        </w:tc>
        <w:tc>
          <w:tcPr>
            <w:tcW w:w="2440" w:type="dxa"/>
            <w:vAlign w:val="bottom"/>
            <w:vMerge w:val="restart"/>
            <w:shd w:val="clear" w:color="auto" w:fill="CCEEFF"/>
          </w:tcPr>
          <w:p>
            <w:pPr>
              <w:spacing w:after="0" w:line="20" w:lineRule="exact"/>
              <w:rPr>
                <w:sz w:val="1"/>
                <w:szCs w:val="1"/>
                <w:color w:val="auto"/>
              </w:rPr>
            </w:pPr>
          </w:p>
        </w:tc>
        <w:tc>
          <w:tcPr>
            <w:tcW w:w="820" w:type="dxa"/>
            <w:vAlign w:val="bottom"/>
            <w:shd w:val="clear" w:color="auto" w:fill="000000"/>
          </w:tcPr>
          <w:p>
            <w:pPr>
              <w:spacing w:after="0" w:line="20" w:lineRule="exact"/>
              <w:rPr>
                <w:sz w:val="1"/>
                <w:szCs w:val="1"/>
                <w:color w:val="auto"/>
              </w:rPr>
            </w:pPr>
          </w:p>
        </w:tc>
        <w:tc>
          <w:tcPr>
            <w:tcW w:w="420" w:type="dxa"/>
            <w:vAlign w:val="bottom"/>
            <w:tcBorders>
              <w:right w:val="single" w:sz="8" w:color="CCEEFF"/>
            </w:tcBorders>
            <w:shd w:val="clear" w:color="auto" w:fill="CCEEFF"/>
          </w:tcPr>
          <w:p>
            <w:pPr>
              <w:spacing w:after="0" w:line="20" w:lineRule="exact"/>
              <w:rPr>
                <w:sz w:val="1"/>
                <w:szCs w:val="1"/>
                <w:color w:val="auto"/>
              </w:rPr>
            </w:pPr>
          </w:p>
        </w:tc>
        <w:tc>
          <w:tcPr>
            <w:tcW w:w="640" w:type="dxa"/>
            <w:vAlign w:val="bottom"/>
            <w:shd w:val="clear" w:color="auto" w:fill="000000"/>
          </w:tcPr>
          <w:p>
            <w:pPr>
              <w:spacing w:after="0" w:line="20" w:lineRule="exact"/>
              <w:rPr>
                <w:sz w:val="1"/>
                <w:szCs w:val="1"/>
                <w:color w:val="auto"/>
              </w:rPr>
            </w:pPr>
          </w:p>
        </w:tc>
        <w:tc>
          <w:tcPr>
            <w:tcW w:w="360" w:type="dxa"/>
            <w:vAlign w:val="bottom"/>
            <w:shd w:val="clear" w:color="auto" w:fill="CCEEFF"/>
          </w:tcPr>
          <w:p>
            <w:pPr>
              <w:spacing w:after="0" w:line="20" w:lineRule="exact"/>
              <w:rPr>
                <w:sz w:val="1"/>
                <w:szCs w:val="1"/>
                <w:color w:val="auto"/>
              </w:rPr>
            </w:pPr>
          </w:p>
        </w:tc>
        <w:tc>
          <w:tcPr>
            <w:tcW w:w="220" w:type="dxa"/>
            <w:vAlign w:val="bottom"/>
            <w:vMerge w:val="restart"/>
            <w:shd w:val="clear" w:color="auto" w:fill="CCEEFF"/>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420" w:type="dxa"/>
            <w:vAlign w:val="bottom"/>
            <w:tcBorders>
              <w:right w:val="single" w:sz="8" w:color="CCEEFF"/>
            </w:tcBorders>
            <w:shd w:val="clear" w:color="auto" w:fill="CCEEFF"/>
          </w:tcPr>
          <w:p>
            <w:pPr>
              <w:spacing w:after="0" w:line="20" w:lineRule="exact"/>
              <w:rPr>
                <w:sz w:val="1"/>
                <w:szCs w:val="1"/>
                <w:color w:val="auto"/>
              </w:rPr>
            </w:pPr>
          </w:p>
        </w:tc>
        <w:tc>
          <w:tcPr>
            <w:tcW w:w="640" w:type="dxa"/>
            <w:vAlign w:val="bottom"/>
            <w:shd w:val="clear" w:color="auto" w:fill="000000"/>
          </w:tcPr>
          <w:p>
            <w:pPr>
              <w:spacing w:after="0" w:line="20" w:lineRule="exact"/>
              <w:rPr>
                <w:sz w:val="1"/>
                <w:szCs w:val="1"/>
                <w:color w:val="auto"/>
              </w:rPr>
            </w:pPr>
          </w:p>
        </w:tc>
        <w:tc>
          <w:tcPr>
            <w:tcW w:w="220" w:type="dxa"/>
            <w:vAlign w:val="bottom"/>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tcPr>
          <w:p>
            <w:pPr>
              <w:spacing w:after="0"/>
              <w:rPr>
                <w:sz w:val="18"/>
                <w:szCs w:val="18"/>
                <w:color w:val="auto"/>
              </w:rPr>
            </w:pPr>
          </w:p>
        </w:tc>
        <w:tc>
          <w:tcPr>
            <w:tcW w:w="4040" w:type="dxa"/>
            <w:vAlign w:val="bottom"/>
            <w:vMerge w:val="continue"/>
            <w:shd w:val="clear" w:color="auto" w:fill="CCEEFF"/>
          </w:tcPr>
          <w:p>
            <w:pPr>
              <w:spacing w:after="0"/>
              <w:rPr>
                <w:sz w:val="18"/>
                <w:szCs w:val="18"/>
                <w:color w:val="auto"/>
              </w:rPr>
            </w:pPr>
          </w:p>
        </w:tc>
        <w:tc>
          <w:tcPr>
            <w:tcW w:w="2440" w:type="dxa"/>
            <w:vAlign w:val="bottom"/>
            <w:vMerge w:val="continue"/>
            <w:shd w:val="clear" w:color="auto" w:fill="CCEEFF"/>
          </w:tcPr>
          <w:p>
            <w:pPr>
              <w:spacing w:after="0"/>
              <w:rPr>
                <w:sz w:val="18"/>
                <w:szCs w:val="18"/>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75,372</w:t>
            </w:r>
          </w:p>
        </w:tc>
        <w:tc>
          <w:tcPr>
            <w:tcW w:w="420" w:type="dxa"/>
            <w:vAlign w:val="bottom"/>
            <w:tcBorders>
              <w:right w:val="single" w:sz="8" w:color="CCEEFF"/>
            </w:tcBorders>
            <w:shd w:val="clear" w:color="auto" w:fill="CCEEFF"/>
          </w:tcPr>
          <w:p>
            <w:pPr>
              <w:spacing w:after="0"/>
              <w:rPr>
                <w:sz w:val="18"/>
                <w:szCs w:val="18"/>
                <w:color w:val="auto"/>
              </w:rPr>
            </w:pPr>
          </w:p>
        </w:tc>
        <w:tc>
          <w:tcPr>
            <w:tcW w:w="100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92.3%</w:t>
            </w:r>
          </w:p>
        </w:tc>
        <w:tc>
          <w:tcPr>
            <w:tcW w:w="220" w:type="dxa"/>
            <w:vAlign w:val="bottom"/>
            <w:vMerge w:val="continue"/>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68,470</w:t>
            </w:r>
          </w:p>
        </w:tc>
        <w:tc>
          <w:tcPr>
            <w:tcW w:w="420" w:type="dxa"/>
            <w:vAlign w:val="bottom"/>
            <w:tcBorders>
              <w:right w:val="single" w:sz="8" w:color="CCEEFF"/>
            </w:tcBorders>
            <w:shd w:val="clear" w:color="auto" w:fill="CCEEFF"/>
          </w:tcPr>
          <w:p>
            <w:pPr>
              <w:spacing w:after="0"/>
              <w:rPr>
                <w:sz w:val="18"/>
                <w:szCs w:val="18"/>
                <w:color w:val="auto"/>
              </w:rPr>
            </w:pPr>
          </w:p>
        </w:tc>
        <w:tc>
          <w:tcPr>
            <w:tcW w:w="86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91.9%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040" w:type="dxa"/>
            <w:vAlign w:val="bottom"/>
          </w:tcPr>
          <w:p>
            <w:pPr>
              <w:spacing w:after="0"/>
              <w:rPr>
                <w:sz w:val="20"/>
                <w:szCs w:val="20"/>
                <w:color w:val="auto"/>
              </w:rPr>
            </w:pPr>
            <w:r>
              <w:rPr>
                <w:rFonts w:ascii="Arial" w:cs="Arial" w:eastAsia="Arial" w:hAnsi="Arial"/>
                <w:sz w:val="18"/>
                <w:szCs w:val="18"/>
                <w:color w:val="auto"/>
              </w:rPr>
              <w:t>Ground</w:t>
            </w:r>
            <w:r>
              <w:rPr>
                <w:rFonts w:ascii="Arial" w:cs="Arial" w:eastAsia="Arial" w:hAnsi="Arial"/>
                <w:sz w:val="15"/>
                <w:szCs w:val="15"/>
                <w:color w:val="auto"/>
              </w:rPr>
              <w:t>(4)</w:t>
            </w:r>
          </w:p>
        </w:tc>
        <w:tc>
          <w:tcPr>
            <w:tcW w:w="244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Arial" w:cs="Arial" w:eastAsia="Arial" w:hAnsi="Arial"/>
                <w:sz w:val="18"/>
                <w:szCs w:val="18"/>
                <w:color w:val="auto"/>
              </w:rPr>
              <w:t>6,248</w:t>
            </w:r>
          </w:p>
        </w:tc>
        <w:tc>
          <w:tcPr>
            <w:tcW w:w="420" w:type="dxa"/>
            <w:vAlign w:val="bottom"/>
          </w:tcPr>
          <w:p>
            <w:pPr>
              <w:spacing w:after="0"/>
              <w:rPr>
                <w:sz w:val="18"/>
                <w:szCs w:val="18"/>
                <w:color w:val="auto"/>
              </w:rPr>
            </w:pPr>
          </w:p>
        </w:tc>
        <w:tc>
          <w:tcPr>
            <w:tcW w:w="1000" w:type="dxa"/>
            <w:vAlign w:val="bottom"/>
            <w:gridSpan w:val="2"/>
          </w:tcPr>
          <w:p>
            <w:pPr>
              <w:jc w:val="right"/>
              <w:ind w:right="220"/>
              <w:spacing w:after="0"/>
              <w:rPr>
                <w:sz w:val="20"/>
                <w:szCs w:val="20"/>
                <w:color w:val="auto"/>
              </w:rPr>
            </w:pPr>
            <w:r>
              <w:rPr>
                <w:rFonts w:ascii="Arial" w:cs="Arial" w:eastAsia="Arial" w:hAnsi="Arial"/>
                <w:sz w:val="18"/>
                <w:szCs w:val="18"/>
                <w:color w:val="auto"/>
              </w:rPr>
              <w:t>7.7%</w:t>
            </w:r>
          </w:p>
        </w:tc>
        <w:tc>
          <w:tcPr>
            <w:tcW w:w="1020" w:type="dxa"/>
            <w:vAlign w:val="bottom"/>
            <w:gridSpan w:val="2"/>
          </w:tcPr>
          <w:p>
            <w:pPr>
              <w:jc w:val="right"/>
              <w:spacing w:after="0"/>
              <w:rPr>
                <w:sz w:val="20"/>
                <w:szCs w:val="20"/>
                <w:color w:val="auto"/>
              </w:rPr>
            </w:pPr>
            <w:r>
              <w:rPr>
                <w:rFonts w:ascii="Arial" w:cs="Arial" w:eastAsia="Arial" w:hAnsi="Arial"/>
                <w:sz w:val="18"/>
                <w:szCs w:val="18"/>
                <w:color w:val="auto"/>
              </w:rPr>
              <w:t>6,015</w:t>
            </w:r>
          </w:p>
        </w:tc>
        <w:tc>
          <w:tcPr>
            <w:tcW w:w="420" w:type="dxa"/>
            <w:vAlign w:val="bottom"/>
          </w:tcPr>
          <w:p>
            <w:pPr>
              <w:spacing w:after="0"/>
              <w:rPr>
                <w:sz w:val="18"/>
                <w:szCs w:val="18"/>
                <w:color w:val="auto"/>
              </w:rPr>
            </w:pPr>
          </w:p>
        </w:tc>
        <w:tc>
          <w:tcPr>
            <w:tcW w:w="860" w:type="dxa"/>
            <w:vAlign w:val="bottom"/>
            <w:gridSpan w:val="2"/>
          </w:tcPr>
          <w:p>
            <w:pPr>
              <w:jc w:val="right"/>
              <w:ind w:right="60"/>
              <w:spacing w:after="0"/>
              <w:rPr>
                <w:sz w:val="20"/>
                <w:szCs w:val="20"/>
                <w:color w:val="auto"/>
              </w:rPr>
            </w:pPr>
            <w:r>
              <w:rPr>
                <w:rFonts w:ascii="Arial" w:cs="Arial" w:eastAsia="Arial" w:hAnsi="Arial"/>
                <w:sz w:val="18"/>
                <w:szCs w:val="18"/>
                <w:color w:val="auto"/>
              </w:rPr>
              <w:t>8.1%</w:t>
            </w: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4040" w:type="dxa"/>
            <w:vAlign w:val="bottom"/>
          </w:tcPr>
          <w:p>
            <w:pPr>
              <w:spacing w:after="0"/>
              <w:rPr>
                <w:sz w:val="2"/>
                <w:szCs w:val="2"/>
                <w:color w:val="auto"/>
              </w:rPr>
            </w:pPr>
          </w:p>
        </w:tc>
        <w:tc>
          <w:tcPr>
            <w:tcW w:w="2440" w:type="dxa"/>
            <w:vAlign w:val="bottom"/>
          </w:tcPr>
          <w:p>
            <w:pPr>
              <w:spacing w:after="0"/>
              <w:rPr>
                <w:sz w:val="2"/>
                <w:szCs w:val="2"/>
                <w:color w:val="auto"/>
              </w:rPr>
            </w:pPr>
          </w:p>
        </w:tc>
        <w:tc>
          <w:tcPr>
            <w:tcW w:w="820" w:type="dxa"/>
            <w:vAlign w:val="bottom"/>
            <w:shd w:val="clear" w:color="auto" w:fill="000000"/>
          </w:tcPr>
          <w:p>
            <w:pPr>
              <w:spacing w:after="0"/>
              <w:rPr>
                <w:sz w:val="2"/>
                <w:szCs w:val="2"/>
                <w:color w:val="auto"/>
              </w:rPr>
            </w:pPr>
          </w:p>
        </w:tc>
        <w:tc>
          <w:tcPr>
            <w:tcW w:w="420" w:type="dxa"/>
            <w:vAlign w:val="bottom"/>
          </w:tcPr>
          <w:p>
            <w:pPr>
              <w:spacing w:after="0"/>
              <w:rPr>
                <w:sz w:val="2"/>
                <w:szCs w:val="2"/>
                <w:color w:val="auto"/>
              </w:rPr>
            </w:pPr>
          </w:p>
        </w:tc>
        <w:tc>
          <w:tcPr>
            <w:tcW w:w="640" w:type="dxa"/>
            <w:vAlign w:val="bottom"/>
            <w:shd w:val="clear" w:color="auto" w:fill="000000"/>
          </w:tcPr>
          <w:p>
            <w:pPr>
              <w:spacing w:after="0"/>
              <w:rPr>
                <w:sz w:val="2"/>
                <w:szCs w:val="2"/>
                <w:color w:val="auto"/>
              </w:rPr>
            </w:pPr>
          </w:p>
        </w:tc>
        <w:tc>
          <w:tcPr>
            <w:tcW w:w="360" w:type="dxa"/>
            <w:vAlign w:val="bottom"/>
          </w:tcPr>
          <w:p>
            <w:pPr>
              <w:spacing w:after="0"/>
              <w:rPr>
                <w:sz w:val="2"/>
                <w:szCs w:val="2"/>
                <w:color w:val="auto"/>
              </w:rPr>
            </w:pPr>
          </w:p>
        </w:tc>
        <w:tc>
          <w:tcPr>
            <w:tcW w:w="220" w:type="dxa"/>
            <w:vAlign w:val="bottom"/>
          </w:tcPr>
          <w:p>
            <w:pPr>
              <w:spacing w:after="0"/>
              <w:rPr>
                <w:sz w:val="2"/>
                <w:szCs w:val="2"/>
                <w:color w:val="auto"/>
              </w:rPr>
            </w:pPr>
          </w:p>
        </w:tc>
        <w:tc>
          <w:tcPr>
            <w:tcW w:w="800" w:type="dxa"/>
            <w:vAlign w:val="bottom"/>
            <w:shd w:val="clear" w:color="auto" w:fill="000000"/>
          </w:tcPr>
          <w:p>
            <w:pPr>
              <w:spacing w:after="0"/>
              <w:rPr>
                <w:sz w:val="2"/>
                <w:szCs w:val="2"/>
                <w:color w:val="auto"/>
              </w:rPr>
            </w:pPr>
          </w:p>
        </w:tc>
        <w:tc>
          <w:tcPr>
            <w:tcW w:w="420" w:type="dxa"/>
            <w:vAlign w:val="bottom"/>
          </w:tcPr>
          <w:p>
            <w:pPr>
              <w:spacing w:after="0"/>
              <w:rPr>
                <w:sz w:val="2"/>
                <w:szCs w:val="2"/>
                <w:color w:val="auto"/>
              </w:rPr>
            </w:pPr>
          </w:p>
        </w:tc>
        <w:tc>
          <w:tcPr>
            <w:tcW w:w="640" w:type="dxa"/>
            <w:vAlign w:val="bottom"/>
            <w:shd w:val="clear" w:color="auto" w:fill="000000"/>
          </w:tcPr>
          <w:p>
            <w:pPr>
              <w:spacing w:after="0"/>
              <w:rPr>
                <w:sz w:val="2"/>
                <w:szCs w:val="2"/>
                <w:color w:val="auto"/>
              </w:rPr>
            </w:pPr>
          </w:p>
        </w:tc>
        <w:tc>
          <w:tcPr>
            <w:tcW w:w="2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continue"/>
          </w:tcPr>
          <w:p>
            <w:pPr>
              <w:spacing w:after="0"/>
              <w:rPr>
                <w:sz w:val="18"/>
                <w:szCs w:val="18"/>
                <w:color w:val="auto"/>
              </w:rPr>
            </w:pPr>
          </w:p>
        </w:tc>
        <w:tc>
          <w:tcPr>
            <w:tcW w:w="4040" w:type="dxa"/>
            <w:vAlign w:val="bottom"/>
            <w:shd w:val="clear" w:color="auto" w:fill="CCEEFF"/>
          </w:tcPr>
          <w:p>
            <w:pPr>
              <w:spacing w:after="0"/>
              <w:rPr>
                <w:sz w:val="20"/>
                <w:szCs w:val="20"/>
                <w:color w:val="auto"/>
              </w:rPr>
            </w:pPr>
            <w:r>
              <w:rPr>
                <w:rFonts w:ascii="Arial" w:cs="Arial" w:eastAsia="Arial" w:hAnsi="Arial"/>
                <w:sz w:val="18"/>
                <w:szCs w:val="18"/>
                <w:color w:val="auto"/>
              </w:rPr>
              <w:t>Total</w:t>
            </w:r>
          </w:p>
        </w:tc>
        <w:tc>
          <w:tcPr>
            <w:tcW w:w="2440" w:type="dxa"/>
            <w:vAlign w:val="bottom"/>
            <w:shd w:val="clear" w:color="auto" w:fill="CCEEFF"/>
          </w:tcPr>
          <w:p>
            <w:pPr>
              <w:spacing w:after="0"/>
              <w:rPr>
                <w:sz w:val="18"/>
                <w:szCs w:val="18"/>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81,620</w:t>
            </w:r>
          </w:p>
        </w:tc>
        <w:tc>
          <w:tcPr>
            <w:tcW w:w="420" w:type="dxa"/>
            <w:vAlign w:val="bottom"/>
            <w:tcBorders>
              <w:right w:val="single" w:sz="8" w:color="CCEEFF"/>
            </w:tcBorders>
            <w:shd w:val="clear" w:color="auto" w:fill="CCEEFF"/>
          </w:tcPr>
          <w:p>
            <w:pPr>
              <w:spacing w:after="0"/>
              <w:rPr>
                <w:sz w:val="18"/>
                <w:szCs w:val="18"/>
                <w:color w:val="auto"/>
              </w:rPr>
            </w:pPr>
          </w:p>
        </w:tc>
        <w:tc>
          <w:tcPr>
            <w:tcW w:w="100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100.0%</w:t>
            </w:r>
          </w:p>
        </w:tc>
        <w:tc>
          <w:tcPr>
            <w:tcW w:w="10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74,485</w:t>
            </w:r>
          </w:p>
        </w:tc>
        <w:tc>
          <w:tcPr>
            <w:tcW w:w="420" w:type="dxa"/>
            <w:vAlign w:val="bottom"/>
            <w:tcBorders>
              <w:right w:val="single" w:sz="8" w:color="CCEEFF"/>
            </w:tcBorders>
            <w:shd w:val="clear" w:color="auto" w:fill="CCEEFF"/>
          </w:tcPr>
          <w:p>
            <w:pPr>
              <w:spacing w:after="0"/>
              <w:rPr>
                <w:sz w:val="18"/>
                <w:szCs w:val="18"/>
                <w:color w:val="auto"/>
              </w:rPr>
            </w:pPr>
          </w:p>
        </w:tc>
        <w:tc>
          <w:tcPr>
            <w:tcW w:w="86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100.0%</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040" w:type="dxa"/>
            <w:vAlign w:val="bottom"/>
          </w:tcPr>
          <w:p>
            <w:pPr>
              <w:spacing w:after="0" w:line="20" w:lineRule="exact"/>
              <w:rPr>
                <w:sz w:val="1"/>
                <w:szCs w:val="1"/>
                <w:color w:val="auto"/>
              </w:rPr>
            </w:pPr>
          </w:p>
        </w:tc>
        <w:tc>
          <w:tcPr>
            <w:tcW w:w="2440" w:type="dxa"/>
            <w:vAlign w:val="bottom"/>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640" w:type="dxa"/>
            <w:vAlign w:val="bottom"/>
            <w:tcBorders>
              <w:top w:val="single" w:sz="8" w:color="auto"/>
              <w:bottom w:val="single" w:sz="8" w:color="auto"/>
            </w:tcBorders>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64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42" w:lineRule="exact"/>
        <w:rPr>
          <w:sz w:val="20"/>
          <w:szCs w:val="20"/>
          <w:color w:val="auto"/>
        </w:rPr>
      </w:pPr>
    </w:p>
    <w:p>
      <w:pPr>
        <w:ind w:left="440" w:right="360" w:hanging="436"/>
        <w:spacing w:after="0" w:line="291" w:lineRule="auto"/>
        <w:tabs>
          <w:tab w:leader="none" w:pos="440" w:val="left"/>
        </w:tabs>
        <w:numPr>
          <w:ilvl w:val="0"/>
          <w:numId w:val="7"/>
        </w:numPr>
        <w:rPr>
          <w:rFonts w:ascii="Arial" w:cs="Arial" w:eastAsia="Arial" w:hAnsi="Arial"/>
          <w:sz w:val="14"/>
          <w:szCs w:val="14"/>
          <w:color w:val="auto"/>
        </w:rPr>
      </w:pPr>
      <w:r>
        <w:rPr>
          <w:rFonts w:ascii="Arial" w:cs="Arial" w:eastAsia="Arial" w:hAnsi="Arial"/>
          <w:sz w:val="16"/>
          <w:szCs w:val="16"/>
          <w:color w:val="auto"/>
        </w:rPr>
        <w:t>Enrollment at June 30, 2018 and 2017 represents individual students who attended a course during the last two months of the calendar quarter. Included in enrollment at June 30, 2018 and 2017 are students pursuing non-degree certificates of 1,562 and 1,190, respectively.</w:t>
      </w:r>
    </w:p>
    <w:p>
      <w:pPr>
        <w:ind w:left="440" w:hanging="436"/>
        <w:spacing w:after="0"/>
        <w:tabs>
          <w:tab w:leader="none" w:pos="440" w:val="left"/>
        </w:tabs>
        <w:numPr>
          <w:ilvl w:val="0"/>
          <w:numId w:val="7"/>
        </w:numPr>
        <w:rPr>
          <w:rFonts w:ascii="Arial" w:cs="Arial" w:eastAsia="Arial" w:hAnsi="Arial"/>
          <w:sz w:val="15"/>
          <w:szCs w:val="15"/>
          <w:color w:val="auto"/>
        </w:rPr>
      </w:pPr>
      <w:r>
        <w:rPr>
          <w:rFonts w:ascii="Arial" w:cs="Arial" w:eastAsia="Arial" w:hAnsi="Arial"/>
          <w:sz w:val="18"/>
          <w:szCs w:val="18"/>
          <w:color w:val="auto"/>
        </w:rPr>
        <w:t>Includes 7,861 and 7,324 students pursuing doctoral degrees at June 30, 2018 and 2017, respectively.</w:t>
      </w:r>
    </w:p>
    <w:p>
      <w:pPr>
        <w:spacing w:after="0" w:line="9" w:lineRule="exact"/>
        <w:rPr>
          <w:rFonts w:ascii="Arial" w:cs="Arial" w:eastAsia="Arial" w:hAnsi="Arial"/>
          <w:sz w:val="15"/>
          <w:szCs w:val="15"/>
          <w:color w:val="auto"/>
        </w:rPr>
      </w:pPr>
    </w:p>
    <w:p>
      <w:pPr>
        <w:ind w:left="440" w:right="240" w:hanging="436"/>
        <w:spacing w:after="0" w:line="250" w:lineRule="auto"/>
        <w:tabs>
          <w:tab w:leader="none" w:pos="440" w:val="left"/>
        </w:tabs>
        <w:numPr>
          <w:ilvl w:val="0"/>
          <w:numId w:val="7"/>
        </w:numPr>
        <w:rPr>
          <w:rFonts w:ascii="Arial" w:cs="Arial" w:eastAsia="Arial" w:hAnsi="Arial"/>
          <w:sz w:val="15"/>
          <w:szCs w:val="15"/>
          <w:color w:val="auto"/>
        </w:rPr>
      </w:pPr>
      <w:r>
        <w:rPr>
          <w:rFonts w:ascii="Arial" w:cs="Arial" w:eastAsia="Arial" w:hAnsi="Arial"/>
          <w:sz w:val="18"/>
          <w:szCs w:val="18"/>
          <w:color w:val="auto"/>
        </w:rPr>
        <w:t>As of June 30, 2018 and 2017, 50.9% and 50.3%, respectively, of GCU’s working adult students (online and professional studies students) were pursuing graduate degrees.</w:t>
      </w:r>
    </w:p>
    <w:p>
      <w:pPr>
        <w:ind w:left="440" w:hanging="436"/>
        <w:spacing w:after="0"/>
        <w:tabs>
          <w:tab w:leader="none" w:pos="440" w:val="left"/>
        </w:tabs>
        <w:numPr>
          <w:ilvl w:val="0"/>
          <w:numId w:val="7"/>
        </w:numPr>
        <w:rPr>
          <w:rFonts w:ascii="Arial" w:cs="Arial" w:eastAsia="Arial" w:hAnsi="Arial"/>
          <w:sz w:val="14"/>
          <w:szCs w:val="14"/>
          <w:color w:val="auto"/>
        </w:rPr>
      </w:pPr>
      <w:r>
        <w:rPr>
          <w:rFonts w:ascii="Arial" w:cs="Arial" w:eastAsia="Arial" w:hAnsi="Arial"/>
          <w:sz w:val="17"/>
          <w:szCs w:val="17"/>
          <w:color w:val="auto"/>
        </w:rPr>
        <w:t>Includes both GCU’s traditional on-campus ground students attending Summer semester, as well as its professional studies students.</w:t>
      </w:r>
    </w:p>
    <w:sectPr>
      <w:pgSz w:w="11900" w:h="16838" w:orient="portrait"/>
      <w:cols w:equalWidth="0" w:num="1">
        <w:col w:w="11040"/>
      </w:cols>
      <w:pgMar w:left="440" w:top="270" w:right="41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625558EC"/>
    <w:multiLevelType w:val="hybridMultilevel"/>
    <w:lvl w:ilvl="0">
      <w:lvlJc w:val="left"/>
      <w:lvlText w:val="☐"/>
      <w:numFmt w:val="bullet"/>
      <w:start w:val="1"/>
    </w:lvl>
  </w:abstractNum>
  <w:abstractNum w:abstractNumId="1">
    <w:nsid w:val="238E1F29"/>
    <w:multiLevelType w:val="hybridMultilevel"/>
    <w:lvl w:ilvl="0">
      <w:lvlJc w:val="left"/>
      <w:lvlText w:val="•"/>
      <w:numFmt w:val="bullet"/>
      <w:start w:val="1"/>
    </w:lvl>
  </w:abstractNum>
  <w:abstractNum w:abstractNumId="2">
    <w:nsid w:val="46E87CCD"/>
    <w:multiLevelType w:val="hybridMultilevel"/>
    <w:lvl w:ilvl="0">
      <w:lvlJc w:val="left"/>
      <w:lvlText w:val="•"/>
      <w:numFmt w:val="bullet"/>
      <w:start w:val="1"/>
    </w:lvl>
  </w:abstractNum>
  <w:abstractNum w:abstractNumId="3">
    <w:nsid w:val="3D1B58BA"/>
    <w:multiLevelType w:val="hybridMultilevel"/>
    <w:lvl w:ilvl="0">
      <w:lvlJc w:val="left"/>
      <w:lvlText w:val="•"/>
      <w:numFmt w:val="bullet"/>
      <w:start w:val="1"/>
    </w:lvl>
  </w:abstractNum>
  <w:abstractNum w:abstractNumId="4">
    <w:nsid w:val="507ED7AB"/>
    <w:multiLevelType w:val="hybridMultilevel"/>
    <w:lvl w:ilvl="0">
      <w:lvlJc w:val="left"/>
      <w:lvlText w:val="•"/>
      <w:numFmt w:val="bullet"/>
      <w:start w:val="1"/>
    </w:lvl>
  </w:abstractNum>
  <w:abstractNum w:abstractNumId="5">
    <w:nsid w:val="2EB141F2"/>
    <w:multiLevelType w:val="hybridMultilevel"/>
    <w:lvl w:ilvl="0">
      <w:lvlJc w:val="left"/>
      <w:lvlText w:val="•"/>
      <w:numFmt w:val="bullet"/>
      <w:start w:val="1"/>
    </w:lvl>
  </w:abstractNum>
  <w:abstractNum w:abstractNumId="6">
    <w:nsid w:val="41B71EFB"/>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2019-12-28T20:08:18Z</dcterms:created>
  <dcterms:modified xsi:type="dcterms:W3CDTF">2019-12-28T20:08:18Z</dcterms:modified>
</cp:coreProperties>
</file>