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10-Q/A</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660" w:right="180" w:hanging="328"/>
        <w:spacing w:after="0" w:line="237" w:lineRule="auto"/>
        <w:tabs>
          <w:tab w:leader="none" w:pos="525"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AND EXCHANGE ACT OF 1934</w:t>
      </w:r>
    </w:p>
    <w:p>
      <w:pPr>
        <w:spacing w:after="0" w:line="188" w:lineRule="exact"/>
        <w:rPr>
          <w:sz w:val="24"/>
          <w:szCs w:val="24"/>
          <w:color w:val="auto"/>
        </w:rPr>
      </w:pPr>
    </w:p>
    <w:p>
      <w:pPr>
        <w:ind w:left="3960"/>
        <w:spacing w:after="0"/>
        <w:rPr>
          <w:sz w:val="20"/>
          <w:szCs w:val="20"/>
          <w:color w:val="auto"/>
        </w:rPr>
      </w:pPr>
      <w:r>
        <w:rPr>
          <w:rFonts w:ascii="Arial" w:cs="Arial" w:eastAsia="Arial" w:hAnsi="Arial"/>
          <w:sz w:val="18"/>
          <w:szCs w:val="18"/>
          <w:b w:val="1"/>
          <w:bCs w:val="1"/>
          <w:color w:val="auto"/>
        </w:rPr>
        <w:t>For the quarterly period ended September 30, 2018</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230" w:lineRule="exact"/>
        <w:rPr>
          <w:sz w:val="24"/>
          <w:szCs w:val="24"/>
          <w:color w:val="auto"/>
        </w:rPr>
      </w:pPr>
    </w:p>
    <w:p>
      <w:pPr>
        <w:ind w:left="660" w:right="200" w:hanging="328"/>
        <w:spacing w:after="0" w:line="256" w:lineRule="auto"/>
        <w:tabs>
          <w:tab w:leader="none" w:pos="647"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4100"/>
        <w:spacing w:after="0"/>
        <w:tabs>
          <w:tab w:leader="none" w:pos="70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001-34211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GRAND CANYON EDUCATION,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tbl>
      <w:tblPr>
        <w:tblLayout w:type="fixed"/>
        <w:tblInd w:w="1720" w:type="dxa"/>
        <w:tblCellMar>
          <w:top w:w="0" w:type="dxa"/>
          <w:left w:w="0" w:type="dxa"/>
          <w:bottom w:w="0" w:type="dxa"/>
          <w:right w:w="0" w:type="dxa"/>
        </w:tblCellMar>
      </w:tblPr>
      <w:tr>
        <w:trPr>
          <w:trHeight w:val="220"/>
        </w:trPr>
        <w:tc>
          <w:tcPr>
            <w:tcW w:w="4200" w:type="dxa"/>
            <w:vAlign w:val="bottom"/>
          </w:tcPr>
          <w:p>
            <w:pPr>
              <w:jc w:val="center"/>
              <w:ind w:right="1930"/>
              <w:spacing w:after="0"/>
              <w:rPr>
                <w:sz w:val="20"/>
                <w:szCs w:val="20"/>
                <w:color w:val="auto"/>
              </w:rPr>
            </w:pPr>
            <w:r>
              <w:rPr>
                <w:rFonts w:ascii="Arial" w:cs="Arial" w:eastAsia="Arial" w:hAnsi="Arial"/>
                <w:sz w:val="18"/>
                <w:szCs w:val="18"/>
                <w:b w:val="1"/>
                <w:bCs w:val="1"/>
                <w:color w:val="auto"/>
                <w:w w:val="98"/>
              </w:rPr>
              <w:t>DELAWARE</w:t>
            </w:r>
          </w:p>
        </w:tc>
        <w:tc>
          <w:tcPr>
            <w:tcW w:w="3380" w:type="dxa"/>
            <w:vAlign w:val="bottom"/>
          </w:tcPr>
          <w:p>
            <w:pPr>
              <w:jc w:val="center"/>
              <w:ind w:left="1930"/>
              <w:spacing w:after="0"/>
              <w:rPr>
                <w:sz w:val="20"/>
                <w:szCs w:val="20"/>
                <w:color w:val="auto"/>
              </w:rPr>
            </w:pPr>
            <w:r>
              <w:rPr>
                <w:rFonts w:ascii="Arial" w:cs="Arial" w:eastAsia="Arial" w:hAnsi="Arial"/>
                <w:sz w:val="18"/>
                <w:szCs w:val="18"/>
                <w:b w:val="1"/>
                <w:bCs w:val="1"/>
                <w:color w:val="auto"/>
                <w:w w:val="91"/>
              </w:rPr>
              <w:t>20-3356009</w:t>
            </w:r>
          </w:p>
        </w:tc>
      </w:tr>
      <w:tr>
        <w:trPr>
          <w:trHeight w:val="216"/>
        </w:trPr>
        <w:tc>
          <w:tcPr>
            <w:tcW w:w="4200" w:type="dxa"/>
            <w:vAlign w:val="bottom"/>
          </w:tcPr>
          <w:p>
            <w:pPr>
              <w:jc w:val="center"/>
              <w:ind w:right="1930"/>
              <w:spacing w:after="0"/>
              <w:rPr>
                <w:sz w:val="20"/>
                <w:szCs w:val="20"/>
                <w:color w:val="auto"/>
              </w:rPr>
            </w:pPr>
            <w:r>
              <w:rPr>
                <w:rFonts w:ascii="Arial" w:cs="Arial" w:eastAsia="Arial" w:hAnsi="Arial"/>
                <w:sz w:val="18"/>
                <w:szCs w:val="18"/>
                <w:color w:val="auto"/>
                <w:w w:val="93"/>
              </w:rPr>
              <w:t>(State or other jurisdiction of</w:t>
            </w:r>
          </w:p>
        </w:tc>
        <w:tc>
          <w:tcPr>
            <w:tcW w:w="3380" w:type="dxa"/>
            <w:vAlign w:val="bottom"/>
          </w:tcPr>
          <w:p>
            <w:pPr>
              <w:jc w:val="center"/>
              <w:ind w:left="1930"/>
              <w:spacing w:after="0"/>
              <w:rPr>
                <w:sz w:val="20"/>
                <w:szCs w:val="20"/>
                <w:color w:val="auto"/>
              </w:rPr>
            </w:pPr>
            <w:r>
              <w:rPr>
                <w:rFonts w:ascii="Arial" w:cs="Arial" w:eastAsia="Arial" w:hAnsi="Arial"/>
                <w:sz w:val="18"/>
                <w:szCs w:val="18"/>
                <w:color w:val="auto"/>
                <w:w w:val="93"/>
              </w:rPr>
              <w:t>(I.R.S. Employer</w:t>
            </w:r>
          </w:p>
        </w:tc>
      </w:tr>
      <w:tr>
        <w:trPr>
          <w:trHeight w:val="230"/>
        </w:trPr>
        <w:tc>
          <w:tcPr>
            <w:tcW w:w="4200" w:type="dxa"/>
            <w:vAlign w:val="bottom"/>
          </w:tcPr>
          <w:p>
            <w:pPr>
              <w:jc w:val="center"/>
              <w:ind w:right="1930"/>
              <w:spacing w:after="0"/>
              <w:rPr>
                <w:sz w:val="20"/>
                <w:szCs w:val="20"/>
                <w:color w:val="auto"/>
              </w:rPr>
            </w:pPr>
            <w:r>
              <w:rPr>
                <w:rFonts w:ascii="Arial" w:cs="Arial" w:eastAsia="Arial" w:hAnsi="Arial"/>
                <w:sz w:val="18"/>
                <w:szCs w:val="18"/>
                <w:color w:val="auto"/>
                <w:w w:val="92"/>
              </w:rPr>
              <w:t>Incorporation or organization)</w:t>
            </w:r>
          </w:p>
        </w:tc>
        <w:tc>
          <w:tcPr>
            <w:tcW w:w="3380" w:type="dxa"/>
            <w:vAlign w:val="bottom"/>
          </w:tcPr>
          <w:p>
            <w:pPr>
              <w:jc w:val="center"/>
              <w:ind w:left="1950"/>
              <w:spacing w:after="0"/>
              <w:rPr>
                <w:sz w:val="20"/>
                <w:szCs w:val="20"/>
                <w:color w:val="auto"/>
              </w:rPr>
            </w:pPr>
            <w:r>
              <w:rPr>
                <w:rFonts w:ascii="Arial" w:cs="Arial" w:eastAsia="Arial" w:hAnsi="Arial"/>
                <w:sz w:val="18"/>
                <w:szCs w:val="18"/>
                <w:color w:val="auto"/>
                <w:w w:val="95"/>
              </w:rPr>
              <w:t>Identification No.)</w:t>
            </w:r>
          </w:p>
        </w:tc>
      </w:tr>
    </w:tbl>
    <w:p>
      <w:pPr>
        <w:spacing w:after="0" w:line="19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2600 W. Camelback Road</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Phoenix, Arizona 85017</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including zip code, of principal executive offices)</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(602) 247-4400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ind w:firstLine="416"/>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jc w:val="both"/>
        <w:ind w:right="200" w:firstLine="416"/>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on its corporate Web site, if any, every Interactive Data File required to be submitted pursuant to Rule 405 of Regulation S-T (§232.405 of this chapter) during the preceding 12 months (or for such shorter period that the registrant was required to submit such files). Yes x No o</w:t>
      </w:r>
    </w:p>
    <w:p>
      <w:pPr>
        <w:spacing w:after="0" w:line="181" w:lineRule="exact"/>
        <w:rPr>
          <w:sz w:val="24"/>
          <w:szCs w:val="24"/>
          <w:color w:val="auto"/>
        </w:rPr>
      </w:pPr>
    </w:p>
    <w:p>
      <w:pPr>
        <w:jc w:val="both"/>
        <w:ind w:right="20" w:firstLine="416"/>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p>
      <w:pPr>
        <w:spacing w:after="0" w:line="18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9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560" w:type="dxa"/>
            <w:vAlign w:val="bottom"/>
          </w:tcPr>
          <w:p>
            <w:pPr>
              <w:ind w:left="280"/>
              <w:spacing w:after="0"/>
              <w:rPr>
                <w:sz w:val="20"/>
                <w:szCs w:val="20"/>
                <w:color w:val="auto"/>
              </w:rPr>
            </w:pPr>
            <w:r>
              <w:rPr>
                <w:rFonts w:ascii="Arial" w:cs="Arial" w:eastAsia="Arial" w:hAnsi="Arial"/>
                <w:sz w:val="18"/>
                <w:szCs w:val="18"/>
                <w:color w:val="auto"/>
              </w:rPr>
              <w:t>x</w:t>
            </w:r>
          </w:p>
        </w:tc>
        <w:tc>
          <w:tcPr>
            <w:tcW w:w="5460" w:type="dxa"/>
            <w:vAlign w:val="bottom"/>
          </w:tcPr>
          <w:p>
            <w:pPr>
              <w:ind w:left="318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300"/>
              <w:spacing w:after="0"/>
              <w:rPr>
                <w:sz w:val="20"/>
                <w:szCs w:val="20"/>
                <w:color w:val="auto"/>
              </w:rPr>
            </w:pPr>
            <w:r>
              <w:rPr>
                <w:rFonts w:ascii="Arial" w:cs="Arial" w:eastAsia="Arial" w:hAnsi="Arial"/>
                <w:sz w:val="15"/>
                <w:szCs w:val="15"/>
                <w:color w:val="auto"/>
                <w:w w:val="71"/>
              </w:rPr>
              <w:t>o</w:t>
            </w:r>
          </w:p>
        </w:tc>
      </w:tr>
      <w:tr>
        <w:trPr>
          <w:trHeight w:val="432"/>
        </w:trPr>
        <w:tc>
          <w:tcPr>
            <w:tcW w:w="1920" w:type="dxa"/>
            <w:vAlign w:val="bottom"/>
          </w:tcPr>
          <w:p>
            <w:pPr>
              <w:spacing w:after="0"/>
              <w:rPr>
                <w:sz w:val="20"/>
                <w:szCs w:val="20"/>
                <w:color w:val="auto"/>
              </w:rPr>
            </w:pPr>
            <w:r>
              <w:rPr>
                <w:rFonts w:ascii="Arial" w:cs="Arial" w:eastAsia="Arial" w:hAnsi="Arial"/>
                <w:sz w:val="18"/>
                <w:szCs w:val="18"/>
                <w:color w:val="auto"/>
              </w:rPr>
              <w:t>Non-accelerated filer</w:t>
            </w:r>
          </w:p>
        </w:tc>
        <w:tc>
          <w:tcPr>
            <w:tcW w:w="3560" w:type="dxa"/>
            <w:vAlign w:val="bottom"/>
          </w:tcPr>
          <w:p>
            <w:pPr>
              <w:ind w:left="280"/>
              <w:spacing w:after="0"/>
              <w:rPr>
                <w:sz w:val="20"/>
                <w:szCs w:val="20"/>
                <w:color w:val="auto"/>
              </w:rPr>
            </w:pPr>
            <w:r>
              <w:rPr>
                <w:rFonts w:ascii="Arial" w:cs="Arial" w:eastAsia="Arial" w:hAnsi="Arial"/>
                <w:sz w:val="18"/>
                <w:szCs w:val="18"/>
                <w:color w:val="auto"/>
              </w:rPr>
              <w:t>o</w:t>
            </w:r>
          </w:p>
        </w:tc>
        <w:tc>
          <w:tcPr>
            <w:tcW w:w="5460" w:type="dxa"/>
            <w:vAlign w:val="bottom"/>
          </w:tcPr>
          <w:p>
            <w:pPr>
              <w:ind w:left="318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300"/>
              <w:spacing w:after="0"/>
              <w:rPr>
                <w:sz w:val="20"/>
                <w:szCs w:val="20"/>
                <w:color w:val="auto"/>
              </w:rPr>
            </w:pPr>
            <w:r>
              <w:rPr>
                <w:rFonts w:ascii="Arial" w:cs="Arial" w:eastAsia="Arial" w:hAnsi="Arial"/>
                <w:sz w:val="15"/>
                <w:szCs w:val="15"/>
                <w:color w:val="auto"/>
                <w:w w:val="71"/>
              </w:rPr>
              <w:t>o</w:t>
            </w:r>
          </w:p>
        </w:tc>
      </w:tr>
      <w:tr>
        <w:trPr>
          <w:trHeight w:val="432"/>
        </w:trPr>
        <w:tc>
          <w:tcPr>
            <w:tcW w:w="19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5460" w:type="dxa"/>
            <w:vAlign w:val="bottom"/>
          </w:tcPr>
          <w:p>
            <w:pPr>
              <w:ind w:left="318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300"/>
              <w:spacing w:after="0"/>
              <w:rPr>
                <w:sz w:val="20"/>
                <w:szCs w:val="20"/>
                <w:color w:val="auto"/>
              </w:rPr>
            </w:pPr>
            <w:r>
              <w:rPr>
                <w:rFonts w:ascii="Arial" w:cs="Arial" w:eastAsia="Arial" w:hAnsi="Arial"/>
                <w:sz w:val="15"/>
                <w:szCs w:val="15"/>
                <w:color w:val="auto"/>
                <w:w w:val="71"/>
              </w:rPr>
              <w:t>o</w:t>
            </w:r>
          </w:p>
        </w:tc>
      </w:tr>
    </w:tbl>
    <w:p>
      <w:pPr>
        <w:spacing w:after="0" w:line="202" w:lineRule="exact"/>
        <w:rPr>
          <w:sz w:val="24"/>
          <w:szCs w:val="24"/>
          <w:color w:val="auto"/>
        </w:rPr>
      </w:pPr>
    </w:p>
    <w:p>
      <w:pPr>
        <w:ind w:right="200" w:firstLine="416"/>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70" w:lineRule="exact"/>
        <w:rPr>
          <w:sz w:val="24"/>
          <w:szCs w:val="24"/>
          <w:color w:val="auto"/>
        </w:rPr>
      </w:pPr>
    </w:p>
    <w:p>
      <w:pPr>
        <w:ind w:left="420"/>
        <w:spacing w:after="0"/>
        <w:tabs>
          <w:tab w:leader="none" w:pos="8760" w:val="left"/>
          <w:tab w:leader="none" w:pos="9420" w:val="left"/>
          <w:tab w:leader="none" w:pos="98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Yes o</w:t>
        <w:tab/>
        <w:t>No</w:t>
      </w:r>
      <w:r>
        <w:rPr>
          <w:sz w:val="20"/>
          <w:szCs w:val="20"/>
          <w:color w:val="auto"/>
        </w:rPr>
        <w:tab/>
      </w:r>
      <w:r>
        <w:rPr>
          <w:rFonts w:ascii="Arial" w:cs="Arial" w:eastAsia="Arial" w:hAnsi="Arial"/>
          <w:sz w:val="16"/>
          <w:szCs w:val="16"/>
          <w:color w:val="auto"/>
        </w:rPr>
        <w:t>x</w:t>
      </w:r>
    </w:p>
    <w:p>
      <w:pPr>
        <w:spacing w:after="0" w:line="225" w:lineRule="exact"/>
        <w:rPr>
          <w:sz w:val="24"/>
          <w:szCs w:val="24"/>
          <w:color w:val="auto"/>
        </w:rPr>
      </w:pPr>
    </w:p>
    <w:p>
      <w:pPr>
        <w:ind w:left="420"/>
        <w:spacing w:after="0"/>
        <w:rPr>
          <w:sz w:val="20"/>
          <w:szCs w:val="20"/>
          <w:color w:val="auto"/>
        </w:rPr>
      </w:pPr>
      <w:r>
        <w:rPr>
          <w:rFonts w:ascii="Arial" w:cs="Arial" w:eastAsia="Arial" w:hAnsi="Arial"/>
          <w:sz w:val="18"/>
          <w:szCs w:val="18"/>
          <w:color w:val="auto"/>
        </w:rPr>
        <w:t>The total number of shares of common stock outstanding as of November 5, 2018, was 48,133,425.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60"/>
          </w:cols>
          <w:pgMar w:left="240" w:top="544" w:right="299" w:bottom="248"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Grand Canyon Education, Inc. (the “Company”) is filing this Amendment No. 1 (this “Amendment”) to its Quarterly Report on Form 10-Q for the quarter ended September 30, 2018 (the “Form 10-Q”), which was filed with the Securities and Exchange Commission (the “SEC”) on November 8, 2018, in response to comments from the SEC regarding a confidential treatment request made by the Company with respect to Exhibit 10.8 to the Form 10-Q. The Company is refiling the agreement contained in Exhibit 10.8 and re-instating certain information previously redacted from such Exhibit. The Company has filed this Amendment in accordance with the requirements set forth in Item 601(b)(10)(iv) of Regulation S-K, which became effective after the filing of the Form 10-Q and prior to the filing of this Amendment.</w:t>
      </w:r>
    </w:p>
    <w:p>
      <w:pPr>
        <w:spacing w:after="0" w:line="193"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Except as described above, no other changes have been made to the Form 10-Q. This Amendment does not reflect events occurring after the date of the Form 10-Q, nor does it modify or update any of the other information contained in the Form 10-Q in any way other than as required to reflect the amendment discussed above. Accordingly, this Amendment should be read in conjunction with the Form 10-Q and the Company’s other filings with the SEC.</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5320" w:type="dxa"/>
            <w:vAlign w:val="bottom"/>
            <w:gridSpan w:val="21"/>
          </w:tcPr>
          <w:p>
            <w:pPr>
              <w:ind w:left="20"/>
              <w:spacing w:after="0"/>
              <w:rPr>
                <w:sz w:val="20"/>
                <w:szCs w:val="20"/>
                <w:color w:val="auto"/>
              </w:rPr>
            </w:pPr>
            <w:r>
              <w:rPr>
                <w:rFonts w:ascii="Arial" w:cs="Arial" w:eastAsia="Arial" w:hAnsi="Arial"/>
                <w:sz w:val="18"/>
                <w:szCs w:val="18"/>
                <w:b w:val="1"/>
                <w:bCs w:val="1"/>
                <w:color w:val="auto"/>
              </w:rPr>
              <w:t>Exhibits</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w w:val="95"/>
              </w:rPr>
              <w:t>(a) Exhibits</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65"/>
        </w:trPr>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13"/>
          </w:tcPr>
          <w:p>
            <w:pPr>
              <w:ind w:left="220"/>
              <w:spacing w:after="0"/>
              <w:rPr>
                <w:sz w:val="20"/>
                <w:szCs w:val="20"/>
                <w:color w:val="auto"/>
              </w:rPr>
            </w:pPr>
            <w:r>
              <w:rPr>
                <w:rFonts w:ascii="Arial" w:cs="Arial" w:eastAsia="Arial" w:hAnsi="Arial"/>
                <w:sz w:val="14"/>
                <w:szCs w:val="14"/>
                <w:b w:val="1"/>
                <w:bCs w:val="1"/>
                <w:color w:val="auto"/>
              </w:rPr>
              <w:t>Description</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40" w:type="dxa"/>
            <w:vAlign w:val="bottom"/>
            <w:gridSpan w:val="19"/>
          </w:tcPr>
          <w:p>
            <w:pPr>
              <w:spacing w:after="0"/>
              <w:rPr>
                <w:rFonts w:ascii="Arial" w:cs="Arial" w:eastAsia="Arial" w:hAnsi="Arial"/>
                <w:sz w:val="18"/>
                <w:szCs w:val="18"/>
                <w:color w:val="0000EE"/>
                <w:w w:val="97"/>
              </w:rPr>
            </w:pPr>
            <w:hyperlink r:id="rId18">
              <w:r>
                <w:rPr>
                  <w:rFonts w:ascii="Arial" w:cs="Arial" w:eastAsia="Arial" w:hAnsi="Arial"/>
                  <w:sz w:val="18"/>
                  <w:szCs w:val="18"/>
                  <w:color w:val="0000EE"/>
                  <w:w w:val="97"/>
                </w:rPr>
                <w:t>Asset Purchase Agreement, dated July 1, 2018, by and between</w:t>
              </w:r>
            </w:hyperlink>
          </w:p>
        </w:tc>
      </w:tr>
      <w:tr>
        <w:trPr>
          <w:trHeight w:val="196"/>
        </w:trPr>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0"/>
              </w:rPr>
            </w:pPr>
            <w:hyperlink r:id="rId18">
              <w:r>
                <w:rPr>
                  <w:rFonts w:ascii="Arial" w:cs="Arial" w:eastAsia="Arial" w:hAnsi="Arial"/>
                  <w:sz w:val="18"/>
                  <w:szCs w:val="18"/>
                  <w:color w:val="0000EE"/>
                  <w:w w:val="90"/>
                </w:rPr>
                <w:t>Grand Canyon Education, Inc. and Grand Canyon University</w:t>
              </w:r>
            </w:hyperlink>
          </w:p>
        </w:tc>
        <w:tc>
          <w:tcPr>
            <w:tcW w:w="160" w:type="dxa"/>
            <w:vAlign w:val="bottom"/>
            <w:tcBorders>
              <w:top w:val="single" w:sz="8" w:color="0000EE"/>
            </w:tcBorders>
            <w:gridSpan w:val="2"/>
          </w:tcPr>
          <w:p>
            <w:pPr>
              <w:spacing w:after="0"/>
              <w:rPr>
                <w:sz w:val="17"/>
                <w:szCs w:val="17"/>
                <w:color w:val="auto"/>
              </w:rPr>
            </w:pPr>
          </w:p>
        </w:tc>
        <w:tc>
          <w:tcPr>
            <w:tcW w:w="480" w:type="dxa"/>
            <w:vAlign w:val="bottom"/>
            <w:gridSpan w:val="6"/>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40" w:type="dxa"/>
            <w:vAlign w:val="bottom"/>
            <w:gridSpan w:val="19"/>
          </w:tcPr>
          <w:p>
            <w:pPr>
              <w:spacing w:after="0" w:line="196" w:lineRule="exact"/>
              <w:rPr>
                <w:rFonts w:ascii="Arial" w:cs="Arial" w:eastAsia="Arial" w:hAnsi="Arial"/>
                <w:sz w:val="18"/>
                <w:szCs w:val="18"/>
                <w:color w:val="0000EE"/>
              </w:rPr>
            </w:pPr>
            <w:hyperlink r:id="rId18">
              <w:r>
                <w:rPr>
                  <w:rFonts w:ascii="Arial" w:cs="Arial" w:eastAsia="Arial" w:hAnsi="Arial"/>
                  <w:sz w:val="18"/>
                  <w:szCs w:val="18"/>
                  <w:color w:val="0000EE"/>
                </w:rPr>
                <w:t>(formerly known as Gazelle University)#</w:t>
              </w:r>
            </w:hyperlink>
          </w:p>
        </w:tc>
      </w:tr>
      <w:tr>
        <w:trPr>
          <w:trHeight w:val="20"/>
        </w:trPr>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2"/>
        </w:trPr>
        <w:tc>
          <w:tcPr>
            <w:tcW w:w="880" w:type="dxa"/>
            <w:vAlign w:val="bottom"/>
          </w:tcPr>
          <w:p>
            <w:pPr>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740" w:type="dxa"/>
            <w:vAlign w:val="bottom"/>
            <w:tcBorders>
              <w:bottom w:val="single" w:sz="8" w:color="0000EE"/>
            </w:tcBorders>
            <w:gridSpan w:val="10"/>
          </w:tcPr>
          <w:p>
            <w:pPr>
              <w:spacing w:after="0"/>
              <w:rPr>
                <w:rFonts w:ascii="Arial" w:cs="Arial" w:eastAsia="Arial" w:hAnsi="Arial"/>
                <w:sz w:val="18"/>
                <w:szCs w:val="18"/>
                <w:color w:val="0000EE"/>
                <w:w w:val="90"/>
              </w:rPr>
            </w:pPr>
            <w:hyperlink r:id="rId19">
              <w:r>
                <w:rPr>
                  <w:rFonts w:ascii="Arial" w:cs="Arial" w:eastAsia="Arial" w:hAnsi="Arial"/>
                  <w:sz w:val="18"/>
                  <w:szCs w:val="18"/>
                  <w:color w:val="0000EE"/>
                  <w:w w:val="90"/>
                </w:rPr>
                <w:t>Amended and Restated Certificate of Incorporation.</w:t>
              </w:r>
            </w:hyperlink>
          </w:p>
        </w:tc>
        <w:tc>
          <w:tcPr>
            <w:tcW w:w="1300" w:type="dxa"/>
            <w:vAlign w:val="bottom"/>
            <w:gridSpan w:val="9"/>
          </w:tcPr>
          <w:p>
            <w:pPr>
              <w:spacing w:after="0"/>
              <w:rPr>
                <w:sz w:val="24"/>
                <w:szCs w:val="24"/>
                <w:color w:val="auto"/>
              </w:rPr>
            </w:pPr>
          </w:p>
        </w:tc>
      </w:tr>
      <w:tr>
        <w:trPr>
          <w:trHeight w:val="844"/>
        </w:trPr>
        <w:tc>
          <w:tcPr>
            <w:tcW w:w="880" w:type="dxa"/>
            <w:vAlign w:val="bottom"/>
          </w:tcPr>
          <w:p>
            <w:pPr>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0" w:type="dxa"/>
            <w:vAlign w:val="bottom"/>
            <w:tcBorders>
              <w:bottom w:val="single" w:sz="8" w:color="0000EE"/>
            </w:tcBorders>
            <w:gridSpan w:val="16"/>
          </w:tcPr>
          <w:p>
            <w:pPr>
              <w:spacing w:after="0"/>
              <w:rPr>
                <w:rFonts w:ascii="Arial" w:cs="Arial" w:eastAsia="Arial" w:hAnsi="Arial"/>
                <w:sz w:val="18"/>
                <w:szCs w:val="18"/>
                <w:color w:val="0000EE"/>
                <w:w w:val="91"/>
              </w:rPr>
            </w:pPr>
            <w:hyperlink r:id="rId20">
              <w:r>
                <w:rPr>
                  <w:rFonts w:ascii="Arial" w:cs="Arial" w:eastAsia="Arial" w:hAnsi="Arial"/>
                  <w:sz w:val="18"/>
                  <w:szCs w:val="18"/>
                  <w:color w:val="0000EE"/>
                  <w:w w:val="91"/>
                </w:rPr>
                <w:t>Certificate of Amendment of Amended and Restated Certificate of</w:t>
              </w:r>
            </w:hyperlink>
          </w:p>
        </w:tc>
        <w:tc>
          <w:tcPr>
            <w:tcW w:w="240" w:type="dxa"/>
            <w:vAlign w:val="bottom"/>
            <w:gridSpan w:val="3"/>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40" w:type="dxa"/>
            <w:vAlign w:val="bottom"/>
            <w:gridSpan w:val="19"/>
          </w:tcPr>
          <w:p>
            <w:pPr>
              <w:spacing w:after="0" w:line="196" w:lineRule="exact"/>
              <w:rPr>
                <w:rFonts w:ascii="Arial" w:cs="Arial" w:eastAsia="Arial" w:hAnsi="Arial"/>
                <w:sz w:val="18"/>
                <w:szCs w:val="18"/>
                <w:color w:val="0000EE"/>
              </w:rPr>
            </w:pPr>
            <w:hyperlink r:id="rId20">
              <w:r>
                <w:rPr>
                  <w:rFonts w:ascii="Arial" w:cs="Arial" w:eastAsia="Arial" w:hAnsi="Arial"/>
                  <w:sz w:val="18"/>
                  <w:szCs w:val="18"/>
                  <w:color w:val="0000EE"/>
                </w:rPr>
                <w:t>Incorporation.</w:t>
              </w:r>
            </w:hyperlink>
          </w:p>
        </w:tc>
      </w:tr>
      <w:tr>
        <w:trPr>
          <w:trHeight w:val="20"/>
        </w:trPr>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628"/>
        </w:trPr>
        <w:tc>
          <w:tcPr>
            <w:tcW w:w="880" w:type="dxa"/>
            <w:vAlign w:val="bottom"/>
          </w:tcPr>
          <w:p>
            <w:pPr>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40" w:type="dxa"/>
            <w:vAlign w:val="bottom"/>
            <w:gridSpan w:val="19"/>
          </w:tcPr>
          <w:p>
            <w:pPr>
              <w:spacing w:after="0"/>
              <w:rPr>
                <w:rFonts w:ascii="Arial" w:cs="Arial" w:eastAsia="Arial" w:hAnsi="Arial"/>
                <w:sz w:val="18"/>
                <w:szCs w:val="18"/>
                <w:color w:val="0000EE"/>
              </w:rPr>
            </w:pPr>
            <w:hyperlink r:id="rId21">
              <w:r>
                <w:rPr>
                  <w:rFonts w:ascii="Arial" w:cs="Arial" w:eastAsia="Arial" w:hAnsi="Arial"/>
                  <w:sz w:val="18"/>
                  <w:szCs w:val="18"/>
                  <w:color w:val="0000EE"/>
                </w:rPr>
                <w:t>Third Amended and Restated Bylaws.</w:t>
              </w:r>
            </w:hyperlink>
          </w:p>
        </w:tc>
      </w:tr>
      <w:tr>
        <w:trPr>
          <w:trHeight w:val="628"/>
        </w:trPr>
        <w:tc>
          <w:tcPr>
            <w:tcW w:w="880" w:type="dxa"/>
            <w:vAlign w:val="bottom"/>
          </w:tcPr>
          <w:p>
            <w:pPr>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40" w:type="dxa"/>
            <w:vAlign w:val="bottom"/>
            <w:tcBorders>
              <w:top w:val="single" w:sz="8" w:color="0000EE"/>
            </w:tcBorders>
            <w:gridSpan w:val="8"/>
          </w:tcPr>
          <w:p>
            <w:pPr>
              <w:spacing w:after="0"/>
              <w:rPr>
                <w:rFonts w:ascii="Arial" w:cs="Arial" w:eastAsia="Arial" w:hAnsi="Arial"/>
                <w:sz w:val="18"/>
                <w:szCs w:val="18"/>
                <w:color w:val="0000EE"/>
              </w:rPr>
            </w:pPr>
            <w:hyperlink r:id="rId22">
              <w:r>
                <w:rPr>
                  <w:rFonts w:ascii="Arial" w:cs="Arial" w:eastAsia="Arial" w:hAnsi="Arial"/>
                  <w:sz w:val="18"/>
                  <w:szCs w:val="18"/>
                  <w:color w:val="0000EE"/>
                </w:rPr>
                <w:t>Specimen of Stock Certificate.</w:t>
              </w:r>
            </w:hyperlink>
          </w:p>
        </w:tc>
        <w:tc>
          <w:tcPr>
            <w:tcW w:w="2300" w:type="dxa"/>
            <w:vAlign w:val="bottom"/>
            <w:gridSpan w:val="11"/>
          </w:tcPr>
          <w:p>
            <w:pPr>
              <w:spacing w:after="0"/>
              <w:rPr>
                <w:sz w:val="24"/>
                <w:szCs w:val="24"/>
                <w:color w:val="auto"/>
              </w:rPr>
            </w:pPr>
          </w:p>
        </w:tc>
      </w:tr>
      <w:tr>
        <w:trPr>
          <w:trHeight w:val="20"/>
        </w:trPr>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44"/>
        </w:trPr>
        <w:tc>
          <w:tcPr>
            <w:tcW w:w="880" w:type="dxa"/>
            <w:vAlign w:val="bottom"/>
          </w:tcPr>
          <w:p>
            <w:pPr>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40" w:type="dxa"/>
            <w:vAlign w:val="bottom"/>
            <w:gridSpan w:val="19"/>
          </w:tcPr>
          <w:p>
            <w:pPr>
              <w:spacing w:after="0"/>
              <w:rPr>
                <w:rFonts w:ascii="Arial" w:cs="Arial" w:eastAsia="Arial" w:hAnsi="Arial"/>
                <w:sz w:val="18"/>
                <w:szCs w:val="18"/>
                <w:color w:val="0000EE"/>
                <w:w w:val="92"/>
              </w:rPr>
            </w:pPr>
            <w:hyperlink r:id="rId23">
              <w:r>
                <w:rPr>
                  <w:rFonts w:ascii="Arial" w:cs="Arial" w:eastAsia="Arial" w:hAnsi="Arial"/>
                  <w:sz w:val="18"/>
                  <w:szCs w:val="18"/>
                  <w:color w:val="0000EE"/>
                  <w:w w:val="92"/>
                </w:rPr>
                <w:t>Second Amended and Restated Executive Employment Agreement,</w:t>
              </w:r>
            </w:hyperlink>
          </w:p>
        </w:tc>
      </w:tr>
      <w:tr>
        <w:trPr>
          <w:trHeight w:val="196"/>
        </w:trPr>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78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89"/>
              </w:rPr>
            </w:pPr>
            <w:hyperlink r:id="rId23">
              <w:r>
                <w:rPr>
                  <w:rFonts w:ascii="Arial" w:cs="Arial" w:eastAsia="Arial" w:hAnsi="Arial"/>
                  <w:sz w:val="18"/>
                  <w:szCs w:val="18"/>
                  <w:color w:val="0000EE"/>
                  <w:w w:val="89"/>
                </w:rPr>
                <w:t>dated July 1, 2018, by and between Grand Canyon Education, Inc.</w:t>
              </w:r>
            </w:hyperlink>
          </w:p>
        </w:tc>
        <w:tc>
          <w:tcPr>
            <w:tcW w:w="80" w:type="dxa"/>
            <w:vAlign w:val="bottom"/>
            <w:tcBorders>
              <w:top w:val="single" w:sz="8" w:color="0000EE"/>
            </w:tcBorders>
            <w:gridSpan w:val="2"/>
          </w:tcPr>
          <w:p>
            <w:pPr>
              <w:spacing w:after="0"/>
              <w:rPr>
                <w:sz w:val="17"/>
                <w:szCs w:val="17"/>
                <w:color w:val="auto"/>
              </w:rPr>
            </w:pPr>
          </w:p>
        </w:tc>
        <w:tc>
          <w:tcPr>
            <w:tcW w:w="180" w:type="dxa"/>
            <w:vAlign w:val="bottom"/>
            <w:gridSpan w:val="2"/>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40" w:type="dxa"/>
            <w:vAlign w:val="bottom"/>
            <w:gridSpan w:val="19"/>
          </w:tcPr>
          <w:p>
            <w:pPr>
              <w:spacing w:after="0" w:line="196" w:lineRule="exact"/>
              <w:rPr>
                <w:rFonts w:ascii="Arial" w:cs="Arial" w:eastAsia="Arial" w:hAnsi="Arial"/>
                <w:sz w:val="18"/>
                <w:szCs w:val="18"/>
                <w:color w:val="0000EE"/>
              </w:rPr>
            </w:pPr>
            <w:hyperlink r:id="rId23">
              <w:r>
                <w:rPr>
                  <w:rFonts w:ascii="Arial" w:cs="Arial" w:eastAsia="Arial" w:hAnsi="Arial"/>
                  <w:sz w:val="18"/>
                  <w:szCs w:val="18"/>
                  <w:color w:val="0000EE"/>
                </w:rPr>
                <w:t>and Brian E. Mueller†</w:t>
              </w:r>
            </w:hyperlink>
          </w:p>
        </w:tc>
      </w:tr>
      <w:tr>
        <w:trPr>
          <w:trHeight w:val="20"/>
        </w:trPr>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00" w:type="dxa"/>
            <w:vAlign w:val="bottom"/>
            <w:gridSpan w:val="6"/>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2"/>
        </w:trPr>
        <w:tc>
          <w:tcPr>
            <w:tcW w:w="880" w:type="dxa"/>
            <w:vAlign w:val="bottom"/>
          </w:tcPr>
          <w:p>
            <w:pPr>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40" w:type="dxa"/>
            <w:vAlign w:val="bottom"/>
            <w:gridSpan w:val="19"/>
          </w:tcPr>
          <w:p>
            <w:pPr>
              <w:spacing w:after="0"/>
              <w:rPr>
                <w:rFonts w:ascii="Arial" w:cs="Arial" w:eastAsia="Arial" w:hAnsi="Arial"/>
                <w:sz w:val="18"/>
                <w:szCs w:val="18"/>
                <w:color w:val="0000EE"/>
                <w:w w:val="92"/>
              </w:rPr>
            </w:pPr>
            <w:hyperlink r:id="rId24">
              <w:r>
                <w:rPr>
                  <w:rFonts w:ascii="Arial" w:cs="Arial" w:eastAsia="Arial" w:hAnsi="Arial"/>
                  <w:sz w:val="18"/>
                  <w:szCs w:val="18"/>
                  <w:color w:val="0000EE"/>
                  <w:w w:val="92"/>
                </w:rPr>
                <w:t>Second Amended and Restated Executive Employment Agreement,</w:t>
              </w:r>
            </w:hyperlink>
          </w:p>
        </w:tc>
      </w:tr>
      <w:tr>
        <w:trPr>
          <w:trHeight w:val="196"/>
        </w:trPr>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78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89"/>
              </w:rPr>
            </w:pPr>
            <w:hyperlink r:id="rId24">
              <w:r>
                <w:rPr>
                  <w:rFonts w:ascii="Arial" w:cs="Arial" w:eastAsia="Arial" w:hAnsi="Arial"/>
                  <w:sz w:val="18"/>
                  <w:szCs w:val="18"/>
                  <w:color w:val="0000EE"/>
                  <w:w w:val="89"/>
                </w:rPr>
                <w:t>dated July 1, 2018, by and between Grand Canyon Education, Inc.</w:t>
              </w:r>
            </w:hyperlink>
          </w:p>
        </w:tc>
        <w:tc>
          <w:tcPr>
            <w:tcW w:w="80" w:type="dxa"/>
            <w:vAlign w:val="bottom"/>
            <w:tcBorders>
              <w:top w:val="single" w:sz="8" w:color="0000EE"/>
            </w:tcBorders>
            <w:gridSpan w:val="2"/>
          </w:tcPr>
          <w:p>
            <w:pPr>
              <w:spacing w:after="0"/>
              <w:rPr>
                <w:sz w:val="17"/>
                <w:szCs w:val="17"/>
                <w:color w:val="auto"/>
              </w:rPr>
            </w:pPr>
          </w:p>
        </w:tc>
        <w:tc>
          <w:tcPr>
            <w:tcW w:w="180" w:type="dxa"/>
            <w:vAlign w:val="bottom"/>
            <w:gridSpan w:val="2"/>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40" w:type="dxa"/>
            <w:vAlign w:val="bottom"/>
            <w:gridSpan w:val="19"/>
          </w:tcPr>
          <w:p>
            <w:pPr>
              <w:spacing w:after="0" w:line="196" w:lineRule="exact"/>
              <w:rPr>
                <w:rFonts w:ascii="Arial" w:cs="Arial" w:eastAsia="Arial" w:hAnsi="Arial"/>
                <w:sz w:val="18"/>
                <w:szCs w:val="18"/>
                <w:color w:val="0000EE"/>
              </w:rPr>
            </w:pPr>
            <w:hyperlink r:id="rId24">
              <w:r>
                <w:rPr>
                  <w:rFonts w:ascii="Arial" w:cs="Arial" w:eastAsia="Arial" w:hAnsi="Arial"/>
                  <w:sz w:val="18"/>
                  <w:szCs w:val="18"/>
                  <w:color w:val="0000EE"/>
                </w:rPr>
                <w:t>and W. Stan Meyer†</w:t>
              </w:r>
            </w:hyperlink>
          </w:p>
        </w:tc>
      </w:tr>
      <w:tr>
        <w:trPr>
          <w:trHeight w:val="20"/>
        </w:trPr>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00" w:type="dxa"/>
            <w:vAlign w:val="bottom"/>
            <w:gridSpan w:val="6"/>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2"/>
        </w:trPr>
        <w:tc>
          <w:tcPr>
            <w:tcW w:w="880" w:type="dxa"/>
            <w:vAlign w:val="bottom"/>
          </w:tcPr>
          <w:p>
            <w:pPr>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40" w:type="dxa"/>
            <w:vAlign w:val="bottom"/>
            <w:gridSpan w:val="19"/>
          </w:tcPr>
          <w:p>
            <w:pPr>
              <w:spacing w:after="0"/>
              <w:rPr>
                <w:rFonts w:ascii="Arial" w:cs="Arial" w:eastAsia="Arial" w:hAnsi="Arial"/>
                <w:sz w:val="18"/>
                <w:szCs w:val="18"/>
                <w:color w:val="0000EE"/>
                <w:w w:val="92"/>
              </w:rPr>
            </w:pPr>
            <w:hyperlink r:id="rId25">
              <w:r>
                <w:rPr>
                  <w:rFonts w:ascii="Arial" w:cs="Arial" w:eastAsia="Arial" w:hAnsi="Arial"/>
                  <w:sz w:val="18"/>
                  <w:szCs w:val="18"/>
                  <w:color w:val="0000EE"/>
                  <w:w w:val="92"/>
                </w:rPr>
                <w:t>Second Amended and Restated Executive Employment Agreement,</w:t>
              </w:r>
            </w:hyperlink>
          </w:p>
        </w:tc>
      </w:tr>
      <w:tr>
        <w:trPr>
          <w:trHeight w:val="196"/>
        </w:trPr>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78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89"/>
              </w:rPr>
            </w:pPr>
            <w:hyperlink r:id="rId25">
              <w:r>
                <w:rPr>
                  <w:rFonts w:ascii="Arial" w:cs="Arial" w:eastAsia="Arial" w:hAnsi="Arial"/>
                  <w:sz w:val="18"/>
                  <w:szCs w:val="18"/>
                  <w:color w:val="0000EE"/>
                  <w:w w:val="89"/>
                </w:rPr>
                <w:t>dated July 1, 2018, by and between Grand Canyon Education, Inc.</w:t>
              </w:r>
            </w:hyperlink>
          </w:p>
        </w:tc>
        <w:tc>
          <w:tcPr>
            <w:tcW w:w="80" w:type="dxa"/>
            <w:vAlign w:val="bottom"/>
            <w:tcBorders>
              <w:top w:val="single" w:sz="8" w:color="0000EE"/>
            </w:tcBorders>
            <w:gridSpan w:val="2"/>
          </w:tcPr>
          <w:p>
            <w:pPr>
              <w:spacing w:after="0"/>
              <w:rPr>
                <w:sz w:val="17"/>
                <w:szCs w:val="17"/>
                <w:color w:val="auto"/>
              </w:rPr>
            </w:pPr>
          </w:p>
        </w:tc>
        <w:tc>
          <w:tcPr>
            <w:tcW w:w="180" w:type="dxa"/>
            <w:vAlign w:val="bottom"/>
            <w:gridSpan w:val="2"/>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40" w:type="dxa"/>
            <w:vAlign w:val="bottom"/>
            <w:gridSpan w:val="19"/>
          </w:tcPr>
          <w:p>
            <w:pPr>
              <w:spacing w:after="0" w:line="196" w:lineRule="exact"/>
              <w:rPr>
                <w:rFonts w:ascii="Arial" w:cs="Arial" w:eastAsia="Arial" w:hAnsi="Arial"/>
                <w:sz w:val="18"/>
                <w:szCs w:val="18"/>
                <w:color w:val="0000EE"/>
              </w:rPr>
            </w:pPr>
            <w:hyperlink r:id="rId25">
              <w:r>
                <w:rPr>
                  <w:rFonts w:ascii="Arial" w:cs="Arial" w:eastAsia="Arial" w:hAnsi="Arial"/>
                  <w:sz w:val="18"/>
                  <w:szCs w:val="18"/>
                  <w:color w:val="0000EE"/>
                </w:rPr>
                <w:t>and Daniel E. Bachus†</w:t>
              </w:r>
            </w:hyperlink>
          </w:p>
        </w:tc>
      </w:tr>
      <w:tr>
        <w:trPr>
          <w:trHeight w:val="20"/>
        </w:trPr>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00" w:type="dxa"/>
            <w:vAlign w:val="bottom"/>
            <w:gridSpan w:val="6"/>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2"/>
        </w:trPr>
        <w:tc>
          <w:tcPr>
            <w:tcW w:w="880" w:type="dxa"/>
            <w:vAlign w:val="bottom"/>
          </w:tcPr>
          <w:p>
            <w:pPr>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40" w:type="dxa"/>
            <w:vAlign w:val="bottom"/>
            <w:gridSpan w:val="19"/>
          </w:tcPr>
          <w:p>
            <w:pPr>
              <w:spacing w:after="0"/>
              <w:rPr>
                <w:rFonts w:ascii="Arial" w:cs="Arial" w:eastAsia="Arial" w:hAnsi="Arial"/>
                <w:sz w:val="18"/>
                <w:szCs w:val="18"/>
                <w:color w:val="0000EE"/>
                <w:w w:val="92"/>
              </w:rPr>
            </w:pPr>
            <w:hyperlink r:id="rId26">
              <w:r>
                <w:rPr>
                  <w:rFonts w:ascii="Arial" w:cs="Arial" w:eastAsia="Arial" w:hAnsi="Arial"/>
                  <w:sz w:val="18"/>
                  <w:szCs w:val="18"/>
                  <w:color w:val="0000EE"/>
                  <w:w w:val="92"/>
                </w:rPr>
                <w:t>Second Amended and Restated Executive Employment Agreement,</w:t>
              </w:r>
            </w:hyperlink>
          </w:p>
        </w:tc>
      </w:tr>
      <w:tr>
        <w:trPr>
          <w:trHeight w:val="196"/>
        </w:trPr>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78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89"/>
              </w:rPr>
            </w:pPr>
            <w:hyperlink r:id="rId26">
              <w:r>
                <w:rPr>
                  <w:rFonts w:ascii="Arial" w:cs="Arial" w:eastAsia="Arial" w:hAnsi="Arial"/>
                  <w:sz w:val="18"/>
                  <w:szCs w:val="18"/>
                  <w:color w:val="0000EE"/>
                  <w:w w:val="89"/>
                </w:rPr>
                <w:t>dated July 1, 2018, by and between Grand Canyon Education, Inc.</w:t>
              </w:r>
            </w:hyperlink>
          </w:p>
        </w:tc>
        <w:tc>
          <w:tcPr>
            <w:tcW w:w="80" w:type="dxa"/>
            <w:vAlign w:val="bottom"/>
            <w:tcBorders>
              <w:top w:val="single" w:sz="8" w:color="0000EE"/>
            </w:tcBorders>
            <w:gridSpan w:val="2"/>
          </w:tcPr>
          <w:p>
            <w:pPr>
              <w:spacing w:after="0"/>
              <w:rPr>
                <w:sz w:val="17"/>
                <w:szCs w:val="17"/>
                <w:color w:val="auto"/>
              </w:rPr>
            </w:pPr>
          </w:p>
        </w:tc>
        <w:tc>
          <w:tcPr>
            <w:tcW w:w="180" w:type="dxa"/>
            <w:vAlign w:val="bottom"/>
            <w:gridSpan w:val="2"/>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4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26">
              <w:r>
                <w:rPr>
                  <w:rFonts w:ascii="Arial" w:cs="Arial" w:eastAsia="Arial" w:hAnsi="Arial"/>
                  <w:sz w:val="18"/>
                  <w:szCs w:val="18"/>
                  <w:color w:val="0000EE"/>
                  <w:w w:val="90"/>
                </w:rPr>
                <w:t>and Joseph N. Mildenhall†</w:t>
              </w:r>
            </w:hyperlink>
          </w:p>
        </w:tc>
        <w:tc>
          <w:tcPr>
            <w:tcW w:w="3100" w:type="dxa"/>
            <w:vAlign w:val="bottom"/>
            <w:gridSpan w:val="13"/>
          </w:tcPr>
          <w:p>
            <w:pPr>
              <w:spacing w:after="0"/>
              <w:rPr>
                <w:sz w:val="17"/>
                <w:szCs w:val="17"/>
                <w:color w:val="auto"/>
              </w:rPr>
            </w:pPr>
          </w:p>
        </w:tc>
      </w:tr>
      <w:tr>
        <w:trPr>
          <w:trHeight w:val="412"/>
        </w:trPr>
        <w:tc>
          <w:tcPr>
            <w:tcW w:w="880" w:type="dxa"/>
            <w:vAlign w:val="bottom"/>
          </w:tcPr>
          <w:p>
            <w:pPr>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40" w:type="dxa"/>
            <w:vAlign w:val="bottom"/>
            <w:gridSpan w:val="19"/>
          </w:tcPr>
          <w:p>
            <w:pPr>
              <w:spacing w:after="0"/>
              <w:rPr>
                <w:rFonts w:ascii="Arial" w:cs="Arial" w:eastAsia="Arial" w:hAnsi="Arial"/>
                <w:sz w:val="18"/>
                <w:szCs w:val="18"/>
                <w:color w:val="0000EE"/>
                <w:w w:val="97"/>
              </w:rPr>
            </w:pPr>
            <w:hyperlink r:id="rId27">
              <w:r>
                <w:rPr>
                  <w:rFonts w:ascii="Arial" w:cs="Arial" w:eastAsia="Arial" w:hAnsi="Arial"/>
                  <w:sz w:val="18"/>
                  <w:szCs w:val="18"/>
                  <w:color w:val="0000EE"/>
                  <w:w w:val="97"/>
                </w:rPr>
                <w:t>First Amended and Restated Executive Employment Agreement,</w:t>
              </w:r>
            </w:hyperlink>
          </w:p>
        </w:tc>
      </w:tr>
      <w:tr>
        <w:trPr>
          <w:trHeight w:val="20"/>
        </w:trPr>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3140" w:type="dxa"/>
            <w:vAlign w:val="bottom"/>
            <w:gridSpan w:val="10"/>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78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r:id="rId27">
              <w:r>
                <w:rPr>
                  <w:rFonts w:ascii="Arial" w:cs="Arial" w:eastAsia="Arial" w:hAnsi="Arial"/>
                  <w:sz w:val="18"/>
                  <w:szCs w:val="18"/>
                  <w:color w:val="0000EE"/>
                  <w:w w:val="89"/>
                </w:rPr>
                <w:t>dated July 1, 2018, by and between Grand Canyon Education, Inc.</w:t>
              </w:r>
            </w:hyperlink>
          </w:p>
        </w:tc>
        <w:tc>
          <w:tcPr>
            <w:tcW w:w="260" w:type="dxa"/>
            <w:vAlign w:val="bottom"/>
            <w:gridSpan w:val="4"/>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27">
              <w:r>
                <w:rPr>
                  <w:rFonts w:ascii="Arial" w:cs="Arial" w:eastAsia="Arial" w:hAnsi="Arial"/>
                  <w:sz w:val="18"/>
                  <w:szCs w:val="18"/>
                  <w:color w:val="0000EE"/>
                  <w:w w:val="91"/>
                </w:rPr>
                <w:t>and Dilek Marsh†</w:t>
              </w:r>
            </w:hyperlink>
          </w:p>
        </w:tc>
        <w:tc>
          <w:tcPr>
            <w:tcW w:w="3740" w:type="dxa"/>
            <w:vAlign w:val="bottom"/>
            <w:gridSpan w:val="17"/>
          </w:tcPr>
          <w:p>
            <w:pPr>
              <w:spacing w:after="0"/>
              <w:rPr>
                <w:sz w:val="17"/>
                <w:szCs w:val="17"/>
                <w:color w:val="auto"/>
              </w:rPr>
            </w:pPr>
          </w:p>
        </w:tc>
      </w:tr>
      <w:tr>
        <w:trPr>
          <w:trHeight w:val="412"/>
        </w:trPr>
        <w:tc>
          <w:tcPr>
            <w:tcW w:w="880" w:type="dxa"/>
            <w:vAlign w:val="bottom"/>
          </w:tcPr>
          <w:p>
            <w:pPr>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80" w:type="dxa"/>
            <w:vAlign w:val="bottom"/>
            <w:tcBorders>
              <w:bottom w:val="single" w:sz="8" w:color="0000EE"/>
            </w:tcBorders>
            <w:gridSpan w:val="18"/>
          </w:tcPr>
          <w:p>
            <w:pPr>
              <w:spacing w:after="0"/>
              <w:rPr>
                <w:rFonts w:ascii="Arial" w:cs="Arial" w:eastAsia="Arial" w:hAnsi="Arial"/>
                <w:sz w:val="18"/>
                <w:szCs w:val="18"/>
                <w:color w:val="0000EE"/>
                <w:w w:val="89"/>
              </w:rPr>
            </w:pPr>
            <w:hyperlink r:id="rId28">
              <w:r>
                <w:rPr>
                  <w:rFonts w:ascii="Arial" w:cs="Arial" w:eastAsia="Arial" w:hAnsi="Arial"/>
                  <w:sz w:val="18"/>
                  <w:szCs w:val="18"/>
                  <w:color w:val="0000EE"/>
                  <w:w w:val="89"/>
                </w:rPr>
                <w:t>Second Amendment dated July 1, 2018, to Credit Agreement, dated</w:t>
              </w:r>
            </w:hyperlink>
          </w:p>
        </w:tc>
        <w:tc>
          <w:tcPr>
            <w:tcW w:w="16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40" w:type="dxa"/>
            <w:vAlign w:val="bottom"/>
            <w:gridSpan w:val="19"/>
          </w:tcPr>
          <w:p>
            <w:pPr>
              <w:spacing w:after="0" w:line="196" w:lineRule="exact"/>
              <w:rPr>
                <w:rFonts w:ascii="Arial" w:cs="Arial" w:eastAsia="Arial" w:hAnsi="Arial"/>
                <w:sz w:val="18"/>
                <w:szCs w:val="18"/>
                <w:color w:val="0000EE"/>
                <w:w w:val="94"/>
              </w:rPr>
            </w:pPr>
            <w:hyperlink r:id="rId28">
              <w:r>
                <w:rPr>
                  <w:rFonts w:ascii="Arial" w:cs="Arial" w:eastAsia="Arial" w:hAnsi="Arial"/>
                  <w:sz w:val="18"/>
                  <w:szCs w:val="18"/>
                  <w:color w:val="0000EE"/>
                  <w:w w:val="94"/>
                </w:rPr>
                <w:t>December 21, 2012, by and among Grand Canyon Education, Inc.,</w:t>
              </w:r>
            </w:hyperlink>
          </w:p>
        </w:tc>
      </w:tr>
      <w:tr>
        <w:trPr>
          <w:trHeight w:val="196"/>
        </w:trPr>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4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0"/>
              </w:rPr>
            </w:pPr>
            <w:hyperlink r:id="rId28">
              <w:r>
                <w:rPr>
                  <w:rFonts w:ascii="Arial" w:cs="Arial" w:eastAsia="Arial" w:hAnsi="Arial"/>
                  <w:sz w:val="18"/>
                  <w:szCs w:val="18"/>
                  <w:color w:val="0000EE"/>
                  <w:w w:val="90"/>
                </w:rPr>
                <w:t>Bank of America, N.A., and the other parties named therein.†</w:t>
              </w:r>
            </w:hyperlink>
          </w:p>
        </w:tc>
        <w:tc>
          <w:tcPr>
            <w:tcW w:w="360" w:type="dxa"/>
            <w:vAlign w:val="bottom"/>
            <w:tcBorders>
              <w:top w:val="single" w:sz="8" w:color="0000EE"/>
            </w:tcBorders>
            <w:gridSpan w:val="4"/>
          </w:tcPr>
          <w:p>
            <w:pPr>
              <w:spacing w:after="0"/>
              <w:rPr>
                <w:sz w:val="17"/>
                <w:szCs w:val="17"/>
                <w:color w:val="auto"/>
              </w:rPr>
            </w:pPr>
          </w:p>
        </w:tc>
        <w:tc>
          <w:tcPr>
            <w:tcW w:w="240" w:type="dxa"/>
            <w:vAlign w:val="bottom"/>
            <w:gridSpan w:val="3"/>
          </w:tcPr>
          <w:p>
            <w:pPr>
              <w:spacing w:after="0"/>
              <w:rPr>
                <w:sz w:val="17"/>
                <w:szCs w:val="17"/>
                <w:color w:val="auto"/>
              </w:rPr>
            </w:pPr>
          </w:p>
        </w:tc>
      </w:tr>
      <w:tr>
        <w:trPr>
          <w:trHeight w:val="453"/>
        </w:trPr>
        <w:tc>
          <w:tcPr>
            <w:tcW w:w="880" w:type="dxa"/>
            <w:vAlign w:val="bottom"/>
          </w:tcPr>
          <w:p>
            <w:pPr>
              <w:spacing w:after="0"/>
              <w:rPr>
                <w:sz w:val="24"/>
                <w:szCs w:val="24"/>
                <w:color w:val="auto"/>
              </w:rPr>
            </w:pPr>
          </w:p>
        </w:tc>
        <w:tc>
          <w:tcPr>
            <w:tcW w:w="4940" w:type="dxa"/>
            <w:vAlign w:val="bottom"/>
            <w:gridSpan w:val="16"/>
          </w:tcPr>
          <w:p>
            <w:pPr>
              <w:jc w:val="right"/>
              <w:ind w:right="6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000"/>
        <w:spacing w:after="0"/>
        <w:rPr>
          <w:sz w:val="20"/>
          <w:szCs w:val="20"/>
          <w:color w:val="auto"/>
        </w:rPr>
      </w:pPr>
      <w:r>
        <w:rPr>
          <w:rFonts w:ascii="Arial" w:cs="Arial" w:eastAsia="Arial" w:hAnsi="Arial"/>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31984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138"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Previously filed with the Quarterly Report on Form 10 Q for the quarter ended September 30, 2018, filed with the SEC on November 8, 2018.</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3.1 to Amendment No. 6 to the University’s Registration Statement on Form S-1 filed with the SEC on November 12, 2008.</w:t>
      </w:r>
    </w:p>
    <w:p>
      <w:pPr>
        <w:spacing w:after="0" w:line="18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Incorporated by reference to Appendix A to the University’s Proxy Statement for its 2016 Annual Meeting of Stockholders, filed with the SEC on April 29, 2016.</w:t>
      </w:r>
    </w:p>
    <w:p>
      <w:pPr>
        <w:spacing w:after="0" w:line="181"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Incorporated by reference to Exhibit 3.1 to the University’s Current Report on Form 8-K filed with the SEC on October 29, 2014.</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4.1 to Amendment No. 2 to the University’s Registration Statement on Form S-1 filed with the SEC on September 29, 2008.</w:t>
      </w:r>
    </w:p>
    <w:p>
      <w:pPr>
        <w:spacing w:after="0" w:line="18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Previously filed with the Quarterly Report on Form 10 Q for the quarter ended September 30, 2018, filed with the SEC on November 8, 2018.</w:t>
      </w:r>
    </w:p>
    <w:p>
      <w:pPr>
        <w:spacing w:after="0" w:line="18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Previously filed with the Quarterly Report on Form 10 Q for the quarter ended September 30, 2018, filed with the SEC on November 8, 2018.</w:t>
      </w:r>
    </w:p>
    <w:p>
      <w:pPr>
        <w:spacing w:after="0" w:line="18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Previously filed with the Quarterly Report on Form 10 Q for the quarter ended September 30, 2018, filed with the SEC on November 8, 2018.</w:t>
      </w:r>
    </w:p>
    <w:p>
      <w:pPr>
        <w:spacing w:after="0" w:line="18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Previously filed with the Quarterly Report on Form 10 Q for the quarter ended September 30, 2018, filed with the SEC on November 8, 2018.</w:t>
      </w:r>
    </w:p>
    <w:p>
      <w:pPr>
        <w:spacing w:after="0" w:line="18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Previously filed with the Quarterly Report on Form 10 Q for the quarter ended September 30, 2018, filed with the SEC on November 8, 2018.</w:t>
      </w:r>
    </w:p>
    <w:p>
      <w:pPr>
        <w:spacing w:after="0" w:line="18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Previously filed with the Quarterly Report on Form 10 Q for the quarter ended September 30, 2018, filed with the SEC on November 8, 2018.</w:t>
      </w:r>
    </w:p>
    <w:p>
      <w:pPr>
        <w:sectPr>
          <w:pgSz w:w="11900" w:h="16838" w:orient="portrait"/>
          <w:cols w:equalWidth="0" w:num="2">
            <w:col w:w="6200" w:space="180"/>
            <w:col w:w="4900"/>
          </w:cols>
          <w:pgMar w:left="240" w:top="337" w:right="3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20"/>
                <w:szCs w:val="20"/>
                <w:color w:val="auto"/>
              </w:rPr>
            </w:pPr>
            <w:r>
              <w:rPr>
                <w:rFonts w:ascii="Arial" w:cs="Arial" w:eastAsia="Arial" w:hAnsi="Arial"/>
                <w:sz w:val="18"/>
                <w:szCs w:val="18"/>
                <w:color w:val="auto"/>
              </w:rPr>
              <w:t>10.7</w:t>
            </w:r>
          </w:p>
        </w:tc>
        <w:tc>
          <w:tcPr>
            <w:tcW w:w="5040" w:type="dxa"/>
            <w:vAlign w:val="bottom"/>
            <w:tcBorders>
              <w:bottom w:val="single" w:sz="8" w:color="0000EE"/>
            </w:tcBorders>
            <w:gridSpan w:val="13"/>
          </w:tcPr>
          <w:p>
            <w:pPr>
              <w:spacing w:after="0"/>
              <w:rPr>
                <w:rFonts w:ascii="Arial" w:cs="Arial" w:eastAsia="Arial" w:hAnsi="Arial"/>
                <w:sz w:val="18"/>
                <w:szCs w:val="18"/>
                <w:color w:val="0000EE"/>
                <w:w w:val="90"/>
              </w:rPr>
            </w:pPr>
            <w:hyperlink r:id="rId31">
              <w:r>
                <w:rPr>
                  <w:rFonts w:ascii="Arial" w:cs="Arial" w:eastAsia="Arial" w:hAnsi="Arial"/>
                  <w:sz w:val="18"/>
                  <w:szCs w:val="18"/>
                  <w:color w:val="0000EE"/>
                  <w:w w:val="90"/>
                </w:rPr>
                <w:t>Credit Agreement, dated July 1, 2018, by and between Grand Canyon</w:t>
              </w:r>
            </w:hyperlink>
          </w:p>
        </w:tc>
      </w:tr>
      <w:tr>
        <w:trPr>
          <w:trHeight w:val="196"/>
        </w:trPr>
        <w:tc>
          <w:tcPr>
            <w:tcW w:w="1160" w:type="dxa"/>
            <w:vAlign w:val="bottom"/>
          </w:tcPr>
          <w:p>
            <w:pPr>
              <w:spacing w:after="0"/>
              <w:rPr>
                <w:sz w:val="17"/>
                <w:szCs w:val="17"/>
                <w:color w:val="auto"/>
              </w:rPr>
            </w:pPr>
          </w:p>
        </w:tc>
        <w:tc>
          <w:tcPr>
            <w:tcW w:w="480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r:id="rId31">
              <w:r>
                <w:rPr>
                  <w:rFonts w:ascii="Arial" w:cs="Arial" w:eastAsia="Arial" w:hAnsi="Arial"/>
                  <w:sz w:val="18"/>
                  <w:szCs w:val="18"/>
                  <w:color w:val="0000EE"/>
                  <w:w w:val="92"/>
                </w:rPr>
                <w:t>Education, Inc. and Grand Canyon University (formerly known as</w:t>
              </w:r>
            </w:hyperlink>
          </w:p>
        </w:tc>
        <w:tc>
          <w:tcPr>
            <w:tcW w:w="24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5040" w:type="dxa"/>
            <w:vAlign w:val="bottom"/>
            <w:gridSpan w:val="13"/>
          </w:tcPr>
          <w:p>
            <w:pPr>
              <w:spacing w:after="0" w:line="196" w:lineRule="exact"/>
              <w:rPr>
                <w:rFonts w:ascii="Arial" w:cs="Arial" w:eastAsia="Arial" w:hAnsi="Arial"/>
                <w:sz w:val="18"/>
                <w:szCs w:val="18"/>
                <w:color w:val="0000EE"/>
              </w:rPr>
            </w:pPr>
            <w:hyperlink r:id="rId31">
              <w:r>
                <w:rPr>
                  <w:rFonts w:ascii="Arial" w:cs="Arial" w:eastAsia="Arial" w:hAnsi="Arial"/>
                  <w:sz w:val="18"/>
                  <w:szCs w:val="18"/>
                  <w:color w:val="0000EE"/>
                </w:rPr>
                <w:t>Gazelle University)</w:t>
              </w:r>
            </w:hyperlink>
          </w:p>
        </w:tc>
      </w:tr>
      <w:tr>
        <w:trPr>
          <w:trHeight w:val="20"/>
        </w:trPr>
        <w:tc>
          <w:tcPr>
            <w:tcW w:w="116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12"/>
        </w:trPr>
        <w:tc>
          <w:tcPr>
            <w:tcW w:w="1160" w:type="dxa"/>
            <w:vAlign w:val="bottom"/>
          </w:tcPr>
          <w:p>
            <w:pPr>
              <w:spacing w:after="0"/>
              <w:rPr>
                <w:sz w:val="20"/>
                <w:szCs w:val="20"/>
                <w:color w:val="auto"/>
              </w:rPr>
            </w:pPr>
            <w:r>
              <w:rPr>
                <w:rFonts w:ascii="Arial" w:cs="Arial" w:eastAsia="Arial" w:hAnsi="Arial"/>
                <w:sz w:val="18"/>
                <w:szCs w:val="18"/>
                <w:color w:val="auto"/>
              </w:rPr>
              <w:t>10.8</w:t>
            </w:r>
          </w:p>
        </w:tc>
        <w:tc>
          <w:tcPr>
            <w:tcW w:w="464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Master Services Agreement, dated July 1, 2018, by and between</w:t>
              </w:r>
            </w:hyperlink>
          </w:p>
        </w:tc>
        <w:tc>
          <w:tcPr>
            <w:tcW w:w="400" w:type="dxa"/>
            <w:vAlign w:val="bottom"/>
            <w:gridSpan w:val="6"/>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442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6">
              <w:r>
                <w:rPr>
                  <w:rFonts w:ascii="Arial" w:cs="Arial" w:eastAsia="Arial" w:hAnsi="Arial"/>
                  <w:sz w:val="18"/>
                  <w:szCs w:val="18"/>
                  <w:color w:val="0000EE"/>
                  <w:w w:val="91"/>
                </w:rPr>
                <w:t>Grand Canyon Education, Inc. and Grand Canyon University</w:t>
              </w:r>
            </w:hyperlink>
          </w:p>
        </w:tc>
        <w:tc>
          <w:tcPr>
            <w:tcW w:w="620" w:type="dxa"/>
            <w:vAlign w:val="bottom"/>
            <w:gridSpan w:val="8"/>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5040" w:type="dxa"/>
            <w:vAlign w:val="bottom"/>
            <w:gridSpan w:val="13"/>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(formerly known as Gazelle University)##</w:t>
              </w:r>
            </w:hyperlink>
          </w:p>
        </w:tc>
      </w:tr>
      <w:tr>
        <w:trPr>
          <w:trHeight w:val="20"/>
        </w:trPr>
        <w:tc>
          <w:tcPr>
            <w:tcW w:w="1160" w:type="dxa"/>
            <w:vAlign w:val="bottom"/>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12"/>
        </w:trPr>
        <w:tc>
          <w:tcPr>
            <w:tcW w:w="1160" w:type="dxa"/>
            <w:vAlign w:val="bottom"/>
          </w:tcPr>
          <w:p>
            <w:pPr>
              <w:spacing w:after="0"/>
              <w:rPr>
                <w:sz w:val="20"/>
                <w:szCs w:val="20"/>
                <w:color w:val="auto"/>
              </w:rPr>
            </w:pPr>
            <w:r>
              <w:rPr>
                <w:rFonts w:ascii="Arial" w:cs="Arial" w:eastAsia="Arial" w:hAnsi="Arial"/>
                <w:sz w:val="18"/>
                <w:szCs w:val="18"/>
                <w:color w:val="auto"/>
              </w:rPr>
              <w:t>31.1</w:t>
            </w:r>
          </w:p>
        </w:tc>
        <w:tc>
          <w:tcPr>
            <w:tcW w:w="5040" w:type="dxa"/>
            <w:vAlign w:val="bottom"/>
            <w:gridSpan w:val="13"/>
          </w:tcPr>
          <w:p>
            <w:pPr>
              <w:spacing w:after="0"/>
              <w:rPr>
                <w:rFonts w:ascii="Arial" w:cs="Arial" w:eastAsia="Arial" w:hAnsi="Arial"/>
                <w:sz w:val="18"/>
                <w:szCs w:val="18"/>
                <w:color w:val="0000EE"/>
                <w:w w:val="97"/>
              </w:rPr>
            </w:pPr>
            <w:hyperlink w:anchor="page78">
              <w:r>
                <w:rPr>
                  <w:rFonts w:ascii="Arial" w:cs="Arial" w:eastAsia="Arial" w:hAnsi="Arial"/>
                  <w:sz w:val="18"/>
                  <w:szCs w:val="18"/>
                  <w:color w:val="0000EE"/>
                  <w:w w:val="97"/>
                </w:rPr>
                <w:t>Certification of Principal Executive Officer pursuant to Rules 13a-</w:t>
              </w:r>
            </w:hyperlink>
          </w:p>
        </w:tc>
      </w:tr>
      <w:tr>
        <w:trPr>
          <w:trHeight w:val="196"/>
        </w:trPr>
        <w:tc>
          <w:tcPr>
            <w:tcW w:w="1160" w:type="dxa"/>
            <w:vAlign w:val="bottom"/>
          </w:tcPr>
          <w:p>
            <w:pPr>
              <w:spacing w:after="0"/>
              <w:rPr>
                <w:sz w:val="17"/>
                <w:szCs w:val="17"/>
                <w:color w:val="auto"/>
              </w:rPr>
            </w:pPr>
          </w:p>
        </w:tc>
        <w:tc>
          <w:tcPr>
            <w:tcW w:w="45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w:anchor="page78">
              <w:r>
                <w:rPr>
                  <w:rFonts w:ascii="Arial" w:cs="Arial" w:eastAsia="Arial" w:hAnsi="Arial"/>
                  <w:sz w:val="18"/>
                  <w:szCs w:val="18"/>
                  <w:color w:val="0000EE"/>
                  <w:w w:val="89"/>
                </w:rPr>
                <w:t>14(a) and 15d-14(a), as adopted pursuant to Section 302 of the</w:t>
              </w:r>
            </w:hyperlink>
          </w:p>
        </w:tc>
        <w:tc>
          <w:tcPr>
            <w:tcW w:w="280" w:type="dxa"/>
            <w:vAlign w:val="bottom"/>
            <w:tcBorders>
              <w:top w:val="single" w:sz="8" w:color="0000EE"/>
            </w:tcBorders>
            <w:gridSpan w:val="6"/>
          </w:tcPr>
          <w:p>
            <w:pPr>
              <w:spacing w:after="0"/>
              <w:rPr>
                <w:sz w:val="17"/>
                <w:szCs w:val="17"/>
                <w:color w:val="auto"/>
              </w:rPr>
            </w:pPr>
          </w:p>
        </w:tc>
        <w:tc>
          <w:tcPr>
            <w:tcW w:w="24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5040" w:type="dxa"/>
            <w:vAlign w:val="bottom"/>
            <w:gridSpan w:val="13"/>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Sarbanes-Oxley Act of 2002.</w:t>
              </w:r>
            </w:hyperlink>
          </w:p>
        </w:tc>
      </w:tr>
      <w:tr>
        <w:trPr>
          <w:trHeight w:val="20"/>
        </w:trPr>
        <w:tc>
          <w:tcPr>
            <w:tcW w:w="1160" w:type="dxa"/>
            <w:vAlign w:val="bottom"/>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6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r>
      <w:tr>
        <w:trPr>
          <w:trHeight w:val="412"/>
        </w:trPr>
        <w:tc>
          <w:tcPr>
            <w:tcW w:w="1160" w:type="dxa"/>
            <w:vAlign w:val="bottom"/>
          </w:tcPr>
          <w:p>
            <w:pPr>
              <w:spacing w:after="0"/>
              <w:rPr>
                <w:sz w:val="20"/>
                <w:szCs w:val="20"/>
                <w:color w:val="auto"/>
              </w:rPr>
            </w:pPr>
            <w:r>
              <w:rPr>
                <w:rFonts w:ascii="Arial" w:cs="Arial" w:eastAsia="Arial" w:hAnsi="Arial"/>
                <w:sz w:val="18"/>
                <w:szCs w:val="18"/>
                <w:color w:val="auto"/>
              </w:rPr>
              <w:t>31.2</w:t>
            </w:r>
          </w:p>
        </w:tc>
        <w:tc>
          <w:tcPr>
            <w:tcW w:w="4760" w:type="dxa"/>
            <w:vAlign w:val="bottom"/>
            <w:tcBorders>
              <w:bottom w:val="single" w:sz="8" w:color="0000EE"/>
            </w:tcBorders>
            <w:gridSpan w:val="10"/>
          </w:tcPr>
          <w:p>
            <w:pPr>
              <w:spacing w:after="0"/>
              <w:rPr>
                <w:rFonts w:ascii="Arial" w:cs="Arial" w:eastAsia="Arial" w:hAnsi="Arial"/>
                <w:sz w:val="18"/>
                <w:szCs w:val="18"/>
                <w:color w:val="0000EE"/>
                <w:w w:val="92"/>
              </w:rPr>
            </w:pPr>
            <w:hyperlink w:anchor="page79">
              <w:r>
                <w:rPr>
                  <w:rFonts w:ascii="Arial" w:cs="Arial" w:eastAsia="Arial" w:hAnsi="Arial"/>
                  <w:sz w:val="18"/>
                  <w:szCs w:val="18"/>
                  <w:color w:val="0000EE"/>
                  <w:w w:val="92"/>
                </w:rPr>
                <w:t>Certification of Principal Financial Officer pursuant to Rules 13a-</w:t>
              </w:r>
            </w:hyperlink>
          </w:p>
        </w:tc>
        <w:tc>
          <w:tcPr>
            <w:tcW w:w="280" w:type="dxa"/>
            <w:vAlign w:val="bottom"/>
            <w:gridSpan w:val="3"/>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452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79">
              <w:r>
                <w:rPr>
                  <w:rFonts w:ascii="Arial" w:cs="Arial" w:eastAsia="Arial" w:hAnsi="Arial"/>
                  <w:sz w:val="18"/>
                  <w:szCs w:val="18"/>
                  <w:color w:val="0000EE"/>
                  <w:w w:val="89"/>
                </w:rPr>
                <w:t>14(a) and 15d-14(a), as adopted pursuant to Section 302 of the</w:t>
              </w:r>
            </w:hyperlink>
          </w:p>
        </w:tc>
        <w:tc>
          <w:tcPr>
            <w:tcW w:w="520" w:type="dxa"/>
            <w:vAlign w:val="bottom"/>
            <w:gridSpan w:val="7"/>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5040" w:type="dxa"/>
            <w:vAlign w:val="bottom"/>
            <w:gridSpan w:val="13"/>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Sarbanes-Oxley Act of 2002.</w:t>
              </w:r>
            </w:hyperlink>
          </w:p>
        </w:tc>
      </w:tr>
      <w:tr>
        <w:trPr>
          <w:trHeight w:val="20"/>
        </w:trPr>
        <w:tc>
          <w:tcPr>
            <w:tcW w:w="1160" w:type="dxa"/>
            <w:vAlign w:val="bottom"/>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6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r>
      <w:tr>
        <w:trPr>
          <w:trHeight w:val="412"/>
        </w:trPr>
        <w:tc>
          <w:tcPr>
            <w:tcW w:w="1160" w:type="dxa"/>
            <w:vAlign w:val="bottom"/>
          </w:tcPr>
          <w:p>
            <w:pPr>
              <w:spacing w:after="0"/>
              <w:rPr>
                <w:sz w:val="20"/>
                <w:szCs w:val="20"/>
                <w:color w:val="auto"/>
              </w:rPr>
            </w:pPr>
            <w:r>
              <w:rPr>
                <w:rFonts w:ascii="Arial" w:cs="Arial" w:eastAsia="Arial" w:hAnsi="Arial"/>
                <w:sz w:val="18"/>
                <w:szCs w:val="18"/>
                <w:color w:val="auto"/>
              </w:rPr>
              <w:t>32.1</w:t>
            </w:r>
          </w:p>
        </w:tc>
        <w:tc>
          <w:tcPr>
            <w:tcW w:w="4740" w:type="dxa"/>
            <w:vAlign w:val="bottom"/>
            <w:tcBorders>
              <w:bottom w:val="single" w:sz="8" w:color="0000EE"/>
            </w:tcBorders>
            <w:gridSpan w:val="9"/>
          </w:tcPr>
          <w:p>
            <w:pPr>
              <w:spacing w:after="0"/>
              <w:rPr>
                <w:rFonts w:ascii="Arial" w:cs="Arial" w:eastAsia="Arial" w:hAnsi="Arial"/>
                <w:sz w:val="18"/>
                <w:szCs w:val="18"/>
                <w:color w:val="0000EE"/>
                <w:w w:val="92"/>
              </w:rPr>
            </w:pPr>
            <w:hyperlink r:id="rId32">
              <w:r>
                <w:rPr>
                  <w:rFonts w:ascii="Arial" w:cs="Arial" w:eastAsia="Arial" w:hAnsi="Arial"/>
                  <w:sz w:val="18"/>
                  <w:szCs w:val="18"/>
                  <w:color w:val="0000EE"/>
                  <w:w w:val="92"/>
                </w:rPr>
                <w:t>Certification of Principal Executive Officer pursuant to 18 U.S.C.</w:t>
              </w:r>
            </w:hyperlink>
          </w:p>
        </w:tc>
        <w:tc>
          <w:tcPr>
            <w:tcW w:w="300" w:type="dxa"/>
            <w:vAlign w:val="bottom"/>
            <w:gridSpan w:val="4"/>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478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r:id="rId32">
              <w:r>
                <w:rPr>
                  <w:rFonts w:ascii="Arial" w:cs="Arial" w:eastAsia="Arial" w:hAnsi="Arial"/>
                  <w:sz w:val="18"/>
                  <w:szCs w:val="18"/>
                  <w:color w:val="0000EE"/>
                  <w:w w:val="88"/>
                </w:rPr>
                <w:t>Section 1350, as adopted pursuant to Section 906 of the Sarbanes-</w:t>
              </w:r>
            </w:hyperlink>
          </w:p>
        </w:tc>
        <w:tc>
          <w:tcPr>
            <w:tcW w:w="260" w:type="dxa"/>
            <w:vAlign w:val="bottom"/>
            <w:gridSpan w:val="2"/>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5040" w:type="dxa"/>
            <w:vAlign w:val="bottom"/>
            <w:gridSpan w:val="13"/>
          </w:tcPr>
          <w:p>
            <w:pPr>
              <w:spacing w:after="0" w:line="196" w:lineRule="exact"/>
              <w:rPr>
                <w:rFonts w:ascii="Arial" w:cs="Arial" w:eastAsia="Arial" w:hAnsi="Arial"/>
                <w:sz w:val="18"/>
                <w:szCs w:val="18"/>
                <w:color w:val="0000EE"/>
              </w:rPr>
            </w:pPr>
            <w:hyperlink r:id="rId32">
              <w:r>
                <w:rPr>
                  <w:rFonts w:ascii="Arial" w:cs="Arial" w:eastAsia="Arial" w:hAnsi="Arial"/>
                  <w:sz w:val="18"/>
                  <w:szCs w:val="18"/>
                  <w:color w:val="0000EE"/>
                </w:rPr>
                <w:t>Oxley Act of 2002. ††</w:t>
              </w:r>
            </w:hyperlink>
          </w:p>
        </w:tc>
      </w:tr>
      <w:tr>
        <w:trPr>
          <w:trHeight w:val="20"/>
        </w:trPr>
        <w:tc>
          <w:tcPr>
            <w:tcW w:w="1160" w:type="dxa"/>
            <w:vAlign w:val="bottom"/>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3080" w:type="dxa"/>
            <w:vAlign w:val="bottom"/>
            <w:gridSpan w:val="6"/>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r>
      <w:tr>
        <w:trPr>
          <w:trHeight w:val="412"/>
        </w:trPr>
        <w:tc>
          <w:tcPr>
            <w:tcW w:w="1160" w:type="dxa"/>
            <w:vAlign w:val="bottom"/>
          </w:tcPr>
          <w:p>
            <w:pPr>
              <w:spacing w:after="0"/>
              <w:rPr>
                <w:sz w:val="20"/>
                <w:szCs w:val="20"/>
                <w:color w:val="auto"/>
              </w:rPr>
            </w:pPr>
            <w:r>
              <w:rPr>
                <w:rFonts w:ascii="Arial" w:cs="Arial" w:eastAsia="Arial" w:hAnsi="Arial"/>
                <w:sz w:val="18"/>
                <w:szCs w:val="18"/>
                <w:color w:val="auto"/>
              </w:rPr>
              <w:t>32.2</w:t>
            </w:r>
          </w:p>
        </w:tc>
        <w:tc>
          <w:tcPr>
            <w:tcW w:w="4700" w:type="dxa"/>
            <w:vAlign w:val="bottom"/>
            <w:tcBorders>
              <w:bottom w:val="single" w:sz="8" w:color="0000EE"/>
            </w:tcBorders>
            <w:gridSpan w:val="8"/>
          </w:tcPr>
          <w:p>
            <w:pPr>
              <w:spacing w:after="0"/>
              <w:rPr>
                <w:rFonts w:ascii="Arial" w:cs="Arial" w:eastAsia="Arial" w:hAnsi="Arial"/>
                <w:sz w:val="18"/>
                <w:szCs w:val="18"/>
                <w:color w:val="0000EE"/>
                <w:w w:val="93"/>
              </w:rPr>
            </w:pPr>
            <w:hyperlink r:id="rId33">
              <w:r>
                <w:rPr>
                  <w:rFonts w:ascii="Arial" w:cs="Arial" w:eastAsia="Arial" w:hAnsi="Arial"/>
                  <w:sz w:val="18"/>
                  <w:szCs w:val="18"/>
                  <w:color w:val="0000EE"/>
                  <w:w w:val="93"/>
                </w:rPr>
                <w:t>Certification of Principal Financial Officer pursuant to 18 U.S.C.</w:t>
              </w:r>
            </w:hyperlink>
          </w:p>
        </w:tc>
        <w:tc>
          <w:tcPr>
            <w:tcW w:w="340" w:type="dxa"/>
            <w:vAlign w:val="bottom"/>
            <w:gridSpan w:val="5"/>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478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r:id="rId33">
              <w:r>
                <w:rPr>
                  <w:rFonts w:ascii="Arial" w:cs="Arial" w:eastAsia="Arial" w:hAnsi="Arial"/>
                  <w:sz w:val="18"/>
                  <w:szCs w:val="18"/>
                  <w:color w:val="0000EE"/>
                  <w:w w:val="88"/>
                </w:rPr>
                <w:t>Section 1350, as adopted pursuant to Section 906 of the Sarbanes-</w:t>
              </w:r>
            </w:hyperlink>
          </w:p>
        </w:tc>
        <w:tc>
          <w:tcPr>
            <w:tcW w:w="260" w:type="dxa"/>
            <w:vAlign w:val="bottom"/>
            <w:gridSpan w:val="2"/>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5040" w:type="dxa"/>
            <w:vAlign w:val="bottom"/>
            <w:gridSpan w:val="13"/>
          </w:tcPr>
          <w:p>
            <w:pPr>
              <w:spacing w:after="0" w:line="196" w:lineRule="exact"/>
              <w:rPr>
                <w:rFonts w:ascii="Arial" w:cs="Arial" w:eastAsia="Arial" w:hAnsi="Arial"/>
                <w:sz w:val="18"/>
                <w:szCs w:val="18"/>
                <w:color w:val="0000EE"/>
              </w:rPr>
            </w:pPr>
            <w:hyperlink r:id="rId33">
              <w:r>
                <w:rPr>
                  <w:rFonts w:ascii="Arial" w:cs="Arial" w:eastAsia="Arial" w:hAnsi="Arial"/>
                  <w:sz w:val="18"/>
                  <w:szCs w:val="18"/>
                  <w:color w:val="0000EE"/>
                </w:rPr>
                <w:t>Oxley Act of 2002. ††</w:t>
              </w:r>
            </w:hyperlink>
          </w:p>
        </w:tc>
      </w:tr>
      <w:tr>
        <w:trPr>
          <w:trHeight w:val="20"/>
        </w:trPr>
        <w:tc>
          <w:tcPr>
            <w:tcW w:w="1160" w:type="dxa"/>
            <w:vAlign w:val="bottom"/>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3420" w:type="dxa"/>
            <w:vAlign w:val="bottom"/>
            <w:gridSpan w:val="11"/>
          </w:tcPr>
          <w:p>
            <w:pPr>
              <w:spacing w:after="0" w:line="20" w:lineRule="exact"/>
              <w:rPr>
                <w:sz w:val="1"/>
                <w:szCs w:val="1"/>
                <w:color w:val="auto"/>
              </w:rPr>
            </w:pPr>
          </w:p>
        </w:tc>
      </w:tr>
      <w:tr>
        <w:trPr>
          <w:trHeight w:val="453"/>
        </w:trPr>
        <w:tc>
          <w:tcPr>
            <w:tcW w:w="1160" w:type="dxa"/>
            <w:vAlign w:val="bottom"/>
          </w:tcPr>
          <w:p>
            <w:pPr>
              <w:spacing w:after="0"/>
              <w:rPr>
                <w:sz w:val="20"/>
                <w:szCs w:val="20"/>
                <w:color w:val="auto"/>
              </w:rPr>
            </w:pPr>
            <w:r>
              <w:rPr>
                <w:rFonts w:ascii="Arial" w:cs="Arial" w:eastAsia="Arial" w:hAnsi="Arial"/>
                <w:sz w:val="18"/>
                <w:szCs w:val="18"/>
                <w:color w:val="auto"/>
              </w:rPr>
              <w:t>101.INS</w:t>
            </w:r>
          </w:p>
        </w:tc>
        <w:tc>
          <w:tcPr>
            <w:tcW w:w="5040" w:type="dxa"/>
            <w:vAlign w:val="bottom"/>
            <w:gridSpan w:val="13"/>
          </w:tcPr>
          <w:p>
            <w:pPr>
              <w:spacing w:after="0"/>
              <w:rPr>
                <w:sz w:val="20"/>
                <w:szCs w:val="20"/>
                <w:color w:val="auto"/>
              </w:rPr>
            </w:pPr>
            <w:r>
              <w:rPr>
                <w:rFonts w:ascii="Arial" w:cs="Arial" w:eastAsia="Arial" w:hAnsi="Arial"/>
                <w:sz w:val="18"/>
                <w:szCs w:val="18"/>
                <w:color w:val="auto"/>
              </w:rPr>
              <w:t>XBRL Instance Document</w:t>
            </w:r>
          </w:p>
        </w:tc>
      </w:tr>
    </w:tbl>
    <w:p>
      <w:pPr>
        <w:spacing w:after="0" w:line="20" w:lineRule="exact"/>
        <w:rPr>
          <w:sz w:val="20"/>
          <w:szCs w:val="20"/>
          <w:color w:val="auto"/>
        </w:rPr>
      </w:pPr>
      <w:r>
        <w:rPr>
          <w:sz w:val="20"/>
          <w:szCs w:val="20"/>
          <w:color w:val="auto"/>
        </w:rPr>
        <w:br w:type="column"/>
      </w:r>
    </w:p>
    <w:p>
      <w:pPr>
        <w:ind w:right="240"/>
        <w:spacing w:after="0" w:line="264" w:lineRule="auto"/>
        <w:rPr>
          <w:sz w:val="20"/>
          <w:szCs w:val="20"/>
          <w:color w:val="auto"/>
        </w:rPr>
      </w:pPr>
      <w:r>
        <w:rPr>
          <w:rFonts w:ascii="Arial" w:cs="Arial" w:eastAsia="Arial" w:hAnsi="Arial"/>
          <w:sz w:val="18"/>
          <w:szCs w:val="18"/>
          <w:color w:val="auto"/>
        </w:rPr>
        <w:t>Previously filed with the Quarterly Report on Form 10 Q for the quarter ended September 30, 2018, filed with the SEC on November 8, 2018.</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2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Previously filed with the Quarterly Report on Form 10 Q for the quarter ended September 30, 2018, filed with the SEC on November 8, 2018.</w:t>
      </w:r>
    </w:p>
    <w:p>
      <w:pPr>
        <w:spacing w:after="0" w:line="18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Previously filed with the Quarterly Report on Form 10 Q for the quarter ended September 30, 2018, filed with the SEC on November 8, 2018.</w:t>
      </w:r>
    </w:p>
    <w:p>
      <w:pPr>
        <w:spacing w:after="0" w:line="18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Previously filed with the Quarterly Report on Form 10 Q for the quarter ended September 30, 2018, filed with the SEC on November 8, 2018.</w:t>
      </w:r>
    </w:p>
    <w:p>
      <w:pPr>
        <w:spacing w:after="0" w:line="181" w:lineRule="exact"/>
        <w:rPr>
          <w:sz w:val="20"/>
          <w:szCs w:val="20"/>
          <w:color w:val="auto"/>
        </w:rPr>
      </w:pPr>
    </w:p>
    <w:p>
      <w:pPr>
        <w:sectPr>
          <w:pgSz w:w="11900" w:h="16838" w:orient="portrait"/>
          <w:cols w:equalWidth="0" w:num="2">
            <w:col w:w="6200" w:space="200"/>
            <w:col w:w="4860"/>
          </w:cols>
          <w:pgMar w:left="240" w:top="324" w:right="399" w:bottom="1440" w:gutter="0" w:footer="0" w:header="0"/>
        </w:sect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4720" w:type="dxa"/>
            <w:vAlign w:val="bottom"/>
          </w:tcPr>
          <w:p>
            <w:pPr>
              <w:ind w:left="240"/>
              <w:spacing w:after="0"/>
              <w:rPr>
                <w:sz w:val="20"/>
                <w:szCs w:val="20"/>
                <w:color w:val="auto"/>
              </w:rPr>
            </w:pPr>
            <w:r>
              <w:rPr>
                <w:rFonts w:ascii="Arial" w:cs="Arial" w:eastAsia="Arial" w:hAnsi="Arial"/>
                <w:sz w:val="18"/>
                <w:szCs w:val="18"/>
                <w:color w:val="auto"/>
              </w:rPr>
              <w:t>XBRL Taxonomy Extension Schema</w:t>
            </w:r>
          </w:p>
        </w:tc>
        <w:tc>
          <w:tcPr>
            <w:tcW w:w="5380" w:type="dxa"/>
            <w:vAlign w:val="bottom"/>
          </w:tcPr>
          <w:p>
            <w:pPr>
              <w:ind w:left="760"/>
              <w:spacing w:after="0"/>
              <w:rPr>
                <w:sz w:val="20"/>
                <w:szCs w:val="20"/>
                <w:color w:val="auto"/>
              </w:rPr>
            </w:pPr>
            <w:r>
              <w:rPr>
                <w:rFonts w:ascii="Arial" w:cs="Arial" w:eastAsia="Arial" w:hAnsi="Arial"/>
                <w:sz w:val="18"/>
                <w:szCs w:val="18"/>
                <w:color w:val="auto"/>
                <w:w w:val="92"/>
              </w:rPr>
              <w:t>Previously filed with the Quarterly Report on Form 10 Q for the</w:t>
            </w:r>
          </w:p>
        </w:tc>
      </w:tr>
      <w:tr>
        <w:trPr>
          <w:trHeight w:val="216"/>
        </w:trPr>
        <w:tc>
          <w:tcPr>
            <w:tcW w:w="9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5380" w:type="dxa"/>
            <w:vAlign w:val="bottom"/>
          </w:tcPr>
          <w:p>
            <w:pPr>
              <w:ind w:left="760"/>
              <w:spacing w:after="0"/>
              <w:rPr>
                <w:sz w:val="20"/>
                <w:szCs w:val="20"/>
                <w:color w:val="auto"/>
              </w:rPr>
            </w:pPr>
            <w:r>
              <w:rPr>
                <w:rFonts w:ascii="Arial" w:cs="Arial" w:eastAsia="Arial" w:hAnsi="Arial"/>
                <w:sz w:val="18"/>
                <w:szCs w:val="18"/>
                <w:color w:val="auto"/>
              </w:rPr>
              <w:t>quarter ended September 30, 2018, filed with the SEC on</w:t>
            </w:r>
          </w:p>
        </w:tc>
      </w:tr>
      <w:tr>
        <w:trPr>
          <w:trHeight w:val="230"/>
        </w:trPr>
        <w:tc>
          <w:tcPr>
            <w:tcW w:w="9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5380" w:type="dxa"/>
            <w:vAlign w:val="bottom"/>
          </w:tcPr>
          <w:p>
            <w:pPr>
              <w:ind w:left="760"/>
              <w:spacing w:after="0"/>
              <w:rPr>
                <w:sz w:val="20"/>
                <w:szCs w:val="20"/>
                <w:color w:val="auto"/>
              </w:rPr>
            </w:pPr>
            <w:r>
              <w:rPr>
                <w:rFonts w:ascii="Arial" w:cs="Arial" w:eastAsia="Arial" w:hAnsi="Arial"/>
                <w:sz w:val="18"/>
                <w:szCs w:val="18"/>
                <w:color w:val="auto"/>
              </w:rPr>
              <w:t>November 8, 2018.</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4720" w:type="dxa"/>
            <w:vAlign w:val="bottom"/>
          </w:tcPr>
          <w:p>
            <w:pPr>
              <w:ind w:left="240"/>
              <w:spacing w:after="0"/>
              <w:rPr>
                <w:sz w:val="20"/>
                <w:szCs w:val="20"/>
                <w:color w:val="auto"/>
              </w:rPr>
            </w:pPr>
            <w:r>
              <w:rPr>
                <w:rFonts w:ascii="Arial" w:cs="Arial" w:eastAsia="Arial" w:hAnsi="Arial"/>
                <w:sz w:val="18"/>
                <w:szCs w:val="18"/>
                <w:color w:val="auto"/>
              </w:rPr>
              <w:t>XBRL Taxonomy Extension Calculation Linkbase</w:t>
            </w:r>
          </w:p>
        </w:tc>
        <w:tc>
          <w:tcPr>
            <w:tcW w:w="5380" w:type="dxa"/>
            <w:vAlign w:val="bottom"/>
          </w:tcPr>
          <w:p>
            <w:pPr>
              <w:ind w:left="760"/>
              <w:spacing w:after="0"/>
              <w:rPr>
                <w:sz w:val="20"/>
                <w:szCs w:val="20"/>
                <w:color w:val="auto"/>
              </w:rPr>
            </w:pPr>
            <w:r>
              <w:rPr>
                <w:rFonts w:ascii="Arial" w:cs="Arial" w:eastAsia="Arial" w:hAnsi="Arial"/>
                <w:sz w:val="18"/>
                <w:szCs w:val="18"/>
                <w:color w:val="auto"/>
                <w:w w:val="92"/>
              </w:rPr>
              <w:t>Previously filed with the Quarterly Report on Form 10 Q for the</w:t>
            </w:r>
          </w:p>
        </w:tc>
      </w:tr>
      <w:tr>
        <w:trPr>
          <w:trHeight w:val="216"/>
        </w:trPr>
        <w:tc>
          <w:tcPr>
            <w:tcW w:w="9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5380" w:type="dxa"/>
            <w:vAlign w:val="bottom"/>
          </w:tcPr>
          <w:p>
            <w:pPr>
              <w:ind w:left="760"/>
              <w:spacing w:after="0"/>
              <w:rPr>
                <w:sz w:val="20"/>
                <w:szCs w:val="20"/>
                <w:color w:val="auto"/>
              </w:rPr>
            </w:pPr>
            <w:r>
              <w:rPr>
                <w:rFonts w:ascii="Arial" w:cs="Arial" w:eastAsia="Arial" w:hAnsi="Arial"/>
                <w:sz w:val="18"/>
                <w:szCs w:val="18"/>
                <w:color w:val="auto"/>
              </w:rPr>
              <w:t>quarter ended September 30, 2018, filed with the SEC on</w:t>
            </w:r>
          </w:p>
        </w:tc>
      </w:tr>
      <w:tr>
        <w:trPr>
          <w:trHeight w:val="230"/>
        </w:trPr>
        <w:tc>
          <w:tcPr>
            <w:tcW w:w="9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5380" w:type="dxa"/>
            <w:vAlign w:val="bottom"/>
          </w:tcPr>
          <w:p>
            <w:pPr>
              <w:ind w:left="760"/>
              <w:spacing w:after="0"/>
              <w:rPr>
                <w:sz w:val="20"/>
                <w:szCs w:val="20"/>
                <w:color w:val="auto"/>
              </w:rPr>
            </w:pPr>
            <w:r>
              <w:rPr>
                <w:rFonts w:ascii="Arial" w:cs="Arial" w:eastAsia="Arial" w:hAnsi="Arial"/>
                <w:sz w:val="18"/>
                <w:szCs w:val="18"/>
                <w:color w:val="auto"/>
              </w:rPr>
              <w:t>November 8, 2018.</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4720" w:type="dxa"/>
            <w:vAlign w:val="bottom"/>
          </w:tcPr>
          <w:p>
            <w:pPr>
              <w:ind w:left="240"/>
              <w:spacing w:after="0"/>
              <w:rPr>
                <w:sz w:val="20"/>
                <w:szCs w:val="20"/>
                <w:color w:val="auto"/>
              </w:rPr>
            </w:pPr>
            <w:r>
              <w:rPr>
                <w:rFonts w:ascii="Arial" w:cs="Arial" w:eastAsia="Arial" w:hAnsi="Arial"/>
                <w:sz w:val="18"/>
                <w:szCs w:val="18"/>
                <w:color w:val="auto"/>
              </w:rPr>
              <w:t>XBRL Taxonomy Extension Definition Linkbase</w:t>
            </w:r>
          </w:p>
        </w:tc>
        <w:tc>
          <w:tcPr>
            <w:tcW w:w="5380" w:type="dxa"/>
            <w:vAlign w:val="bottom"/>
          </w:tcPr>
          <w:p>
            <w:pPr>
              <w:ind w:left="760"/>
              <w:spacing w:after="0"/>
              <w:rPr>
                <w:sz w:val="20"/>
                <w:szCs w:val="20"/>
                <w:color w:val="auto"/>
              </w:rPr>
            </w:pPr>
            <w:r>
              <w:rPr>
                <w:rFonts w:ascii="Arial" w:cs="Arial" w:eastAsia="Arial" w:hAnsi="Arial"/>
                <w:sz w:val="18"/>
                <w:szCs w:val="18"/>
                <w:color w:val="auto"/>
                <w:w w:val="92"/>
              </w:rPr>
              <w:t>Previously filed with the Quarterly Report on Form 10 Q for the</w:t>
            </w:r>
          </w:p>
        </w:tc>
      </w:tr>
      <w:tr>
        <w:trPr>
          <w:trHeight w:val="216"/>
        </w:trPr>
        <w:tc>
          <w:tcPr>
            <w:tcW w:w="9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5380" w:type="dxa"/>
            <w:vAlign w:val="bottom"/>
          </w:tcPr>
          <w:p>
            <w:pPr>
              <w:ind w:left="760"/>
              <w:spacing w:after="0"/>
              <w:rPr>
                <w:sz w:val="20"/>
                <w:szCs w:val="20"/>
                <w:color w:val="auto"/>
              </w:rPr>
            </w:pPr>
            <w:r>
              <w:rPr>
                <w:rFonts w:ascii="Arial" w:cs="Arial" w:eastAsia="Arial" w:hAnsi="Arial"/>
                <w:sz w:val="18"/>
                <w:szCs w:val="18"/>
                <w:color w:val="auto"/>
              </w:rPr>
              <w:t>quarter ended September 30, 2018, filed with the SEC on</w:t>
            </w:r>
          </w:p>
        </w:tc>
      </w:tr>
      <w:tr>
        <w:trPr>
          <w:trHeight w:val="230"/>
        </w:trPr>
        <w:tc>
          <w:tcPr>
            <w:tcW w:w="9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5380" w:type="dxa"/>
            <w:vAlign w:val="bottom"/>
          </w:tcPr>
          <w:p>
            <w:pPr>
              <w:ind w:left="760"/>
              <w:spacing w:after="0"/>
              <w:rPr>
                <w:sz w:val="20"/>
                <w:szCs w:val="20"/>
                <w:color w:val="auto"/>
              </w:rPr>
            </w:pPr>
            <w:r>
              <w:rPr>
                <w:rFonts w:ascii="Arial" w:cs="Arial" w:eastAsia="Arial" w:hAnsi="Arial"/>
                <w:sz w:val="18"/>
                <w:szCs w:val="18"/>
                <w:color w:val="auto"/>
              </w:rPr>
              <w:t>November 8, 2018.</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4720" w:type="dxa"/>
            <w:vAlign w:val="bottom"/>
          </w:tcPr>
          <w:p>
            <w:pPr>
              <w:ind w:left="240"/>
              <w:spacing w:after="0"/>
              <w:rPr>
                <w:sz w:val="20"/>
                <w:szCs w:val="20"/>
                <w:color w:val="auto"/>
              </w:rPr>
            </w:pPr>
            <w:r>
              <w:rPr>
                <w:rFonts w:ascii="Arial" w:cs="Arial" w:eastAsia="Arial" w:hAnsi="Arial"/>
                <w:sz w:val="18"/>
                <w:szCs w:val="18"/>
                <w:color w:val="auto"/>
              </w:rPr>
              <w:t>XBRL Taxonomy Extension Label Linkbase</w:t>
            </w:r>
          </w:p>
        </w:tc>
        <w:tc>
          <w:tcPr>
            <w:tcW w:w="5380" w:type="dxa"/>
            <w:vAlign w:val="bottom"/>
          </w:tcPr>
          <w:p>
            <w:pPr>
              <w:ind w:left="760"/>
              <w:spacing w:after="0"/>
              <w:rPr>
                <w:sz w:val="20"/>
                <w:szCs w:val="20"/>
                <w:color w:val="auto"/>
              </w:rPr>
            </w:pPr>
            <w:r>
              <w:rPr>
                <w:rFonts w:ascii="Arial" w:cs="Arial" w:eastAsia="Arial" w:hAnsi="Arial"/>
                <w:sz w:val="18"/>
                <w:szCs w:val="18"/>
                <w:color w:val="auto"/>
                <w:w w:val="92"/>
              </w:rPr>
              <w:t>Previously filed with the Quarterly Report on Form 10 Q for the</w:t>
            </w:r>
          </w:p>
        </w:tc>
      </w:tr>
      <w:tr>
        <w:trPr>
          <w:trHeight w:val="216"/>
        </w:trPr>
        <w:tc>
          <w:tcPr>
            <w:tcW w:w="9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5380" w:type="dxa"/>
            <w:vAlign w:val="bottom"/>
          </w:tcPr>
          <w:p>
            <w:pPr>
              <w:ind w:left="760"/>
              <w:spacing w:after="0"/>
              <w:rPr>
                <w:sz w:val="20"/>
                <w:szCs w:val="20"/>
                <w:color w:val="auto"/>
              </w:rPr>
            </w:pPr>
            <w:r>
              <w:rPr>
                <w:rFonts w:ascii="Arial" w:cs="Arial" w:eastAsia="Arial" w:hAnsi="Arial"/>
                <w:sz w:val="18"/>
                <w:szCs w:val="18"/>
                <w:color w:val="auto"/>
              </w:rPr>
              <w:t>quarter ended September 30, 2018, filed with the SEC on</w:t>
            </w:r>
          </w:p>
        </w:tc>
      </w:tr>
      <w:tr>
        <w:trPr>
          <w:trHeight w:val="230"/>
        </w:trPr>
        <w:tc>
          <w:tcPr>
            <w:tcW w:w="9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5380" w:type="dxa"/>
            <w:vAlign w:val="bottom"/>
          </w:tcPr>
          <w:p>
            <w:pPr>
              <w:ind w:left="760"/>
              <w:spacing w:after="0"/>
              <w:rPr>
                <w:sz w:val="20"/>
                <w:szCs w:val="20"/>
                <w:color w:val="auto"/>
              </w:rPr>
            </w:pPr>
            <w:r>
              <w:rPr>
                <w:rFonts w:ascii="Arial" w:cs="Arial" w:eastAsia="Arial" w:hAnsi="Arial"/>
                <w:sz w:val="18"/>
                <w:szCs w:val="18"/>
                <w:color w:val="auto"/>
              </w:rPr>
              <w:t>November 8, 2018.</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4720" w:type="dxa"/>
            <w:vAlign w:val="bottom"/>
          </w:tcPr>
          <w:p>
            <w:pPr>
              <w:ind w:left="240"/>
              <w:spacing w:after="0"/>
              <w:rPr>
                <w:sz w:val="20"/>
                <w:szCs w:val="20"/>
                <w:color w:val="auto"/>
              </w:rPr>
            </w:pPr>
            <w:r>
              <w:rPr>
                <w:rFonts w:ascii="Arial" w:cs="Arial" w:eastAsia="Arial" w:hAnsi="Arial"/>
                <w:sz w:val="18"/>
                <w:szCs w:val="18"/>
                <w:color w:val="auto"/>
              </w:rPr>
              <w:t>XBRL Taxonomy Extension Presentation Linkbase</w:t>
            </w:r>
          </w:p>
        </w:tc>
        <w:tc>
          <w:tcPr>
            <w:tcW w:w="5380" w:type="dxa"/>
            <w:vAlign w:val="bottom"/>
          </w:tcPr>
          <w:p>
            <w:pPr>
              <w:ind w:left="760"/>
              <w:spacing w:after="0"/>
              <w:rPr>
                <w:sz w:val="20"/>
                <w:szCs w:val="20"/>
                <w:color w:val="auto"/>
              </w:rPr>
            </w:pPr>
            <w:r>
              <w:rPr>
                <w:rFonts w:ascii="Arial" w:cs="Arial" w:eastAsia="Arial" w:hAnsi="Arial"/>
                <w:sz w:val="18"/>
                <w:szCs w:val="18"/>
                <w:color w:val="auto"/>
                <w:w w:val="92"/>
              </w:rPr>
              <w:t>Previously filed with the Quarterly Report on Form 10 Q for the</w:t>
            </w:r>
          </w:p>
        </w:tc>
      </w:tr>
      <w:tr>
        <w:trPr>
          <w:trHeight w:val="216"/>
        </w:trPr>
        <w:tc>
          <w:tcPr>
            <w:tcW w:w="9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5380" w:type="dxa"/>
            <w:vAlign w:val="bottom"/>
          </w:tcPr>
          <w:p>
            <w:pPr>
              <w:ind w:left="760"/>
              <w:spacing w:after="0"/>
              <w:rPr>
                <w:sz w:val="20"/>
                <w:szCs w:val="20"/>
                <w:color w:val="auto"/>
              </w:rPr>
            </w:pPr>
            <w:r>
              <w:rPr>
                <w:rFonts w:ascii="Arial" w:cs="Arial" w:eastAsia="Arial" w:hAnsi="Arial"/>
                <w:sz w:val="18"/>
                <w:szCs w:val="18"/>
                <w:color w:val="auto"/>
              </w:rPr>
              <w:t>quarter ended September 30, 2018, filed with the SEC on</w:t>
            </w:r>
          </w:p>
        </w:tc>
      </w:tr>
      <w:tr>
        <w:trPr>
          <w:trHeight w:val="230"/>
        </w:trPr>
        <w:tc>
          <w:tcPr>
            <w:tcW w:w="9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5380" w:type="dxa"/>
            <w:vAlign w:val="bottom"/>
          </w:tcPr>
          <w:p>
            <w:pPr>
              <w:ind w:left="760"/>
              <w:spacing w:after="0"/>
              <w:rPr>
                <w:sz w:val="20"/>
                <w:szCs w:val="20"/>
                <w:color w:val="auto"/>
              </w:rPr>
            </w:pPr>
            <w:r>
              <w:rPr>
                <w:rFonts w:ascii="Arial" w:cs="Arial" w:eastAsia="Arial" w:hAnsi="Arial"/>
                <w:sz w:val="18"/>
                <w:szCs w:val="18"/>
                <w:color w:val="auto"/>
              </w:rPr>
              <w:t>November 8, 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420" w:hanging="412"/>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Indicates a management contract or any compensatory plan, contract or arrangement.</w:t>
      </w:r>
    </w:p>
    <w:p>
      <w:pPr>
        <w:spacing w:after="0" w:line="23" w:lineRule="exact"/>
        <w:rPr>
          <w:sz w:val="20"/>
          <w:szCs w:val="20"/>
          <w:color w:val="auto"/>
        </w:rPr>
      </w:pPr>
    </w:p>
    <w:p>
      <w:pPr>
        <w:ind w:left="420" w:hanging="412"/>
        <w:spacing w:after="0" w:line="250" w:lineRule="auto"/>
        <w:tabs>
          <w:tab w:leader="none" w:pos="419" w:val="left"/>
        </w:tabs>
        <w:numPr>
          <w:ilvl w:val="0"/>
          <w:numId w:val="4"/>
        </w:numPr>
        <w:rPr>
          <w:rFonts w:ascii="Arial" w:cs="Arial" w:eastAsia="Arial" w:hAnsi="Arial"/>
          <w:sz w:val="18"/>
          <w:szCs w:val="18"/>
          <w:color w:val="auto"/>
        </w:rPr>
      </w:pPr>
      <w:r>
        <w:rPr>
          <w:rFonts w:ascii="Arial" w:cs="Arial" w:eastAsia="Arial" w:hAnsi="Arial"/>
          <w:sz w:val="18"/>
          <w:szCs w:val="18"/>
          <w:color w:val="auto"/>
        </w:rPr>
        <w:t>Schedules and similar attachments have been omitted pursuant to Item 601(b)(2) of Regulation S-K. The Company will furnish supplementally a copy of any omitted schedule or similar attachment to the Securities and Exchange Commission upon request.</w:t>
      </w:r>
    </w:p>
    <w:p>
      <w:pPr>
        <w:spacing w:after="0" w:line="1" w:lineRule="exact"/>
        <w:rPr>
          <w:sz w:val="20"/>
          <w:szCs w:val="20"/>
          <w:color w:val="auto"/>
        </w:rPr>
      </w:pPr>
    </w:p>
    <w:p>
      <w:pPr>
        <w:ind w:left="420" w:hanging="412"/>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Certain portions of this document have been redacted pursuant to Regulation S-K, Item 601(b)(10)(iv).</w:t>
      </w:r>
    </w:p>
    <w:p>
      <w:pPr>
        <w:spacing w:after="0" w:line="9" w:lineRule="exact"/>
        <w:rPr>
          <w:sz w:val="20"/>
          <w:szCs w:val="20"/>
          <w:color w:val="auto"/>
        </w:rPr>
      </w:pPr>
    </w:p>
    <w:p>
      <w:pPr>
        <w:ind w:left="420" w:right="300" w:hanging="412"/>
        <w:spacing w:after="0" w:line="255" w:lineRule="auto"/>
        <w:tabs>
          <w:tab w:leader="none" w:pos="41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certification is being furnished solely to accompany this report pursuant to 18 U.S.C. Section 1350, and is not being filed for purposes of Section 18 of the Exchange Act, and is not to be incorporated by reference into any filings of the University, whether made before or after the date hereof, regardless of any general incorporation language in such filing.</w:t>
      </w:r>
    </w:p>
    <w:p>
      <w:pPr>
        <w:spacing w:after="0" w:line="19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60"/>
          </w:cols>
          <w:pgMar w:left="240" w:top="324" w:right="399" w:bottom="1440" w:gutter="0" w:footer="0" w:header="0"/>
          <w:type w:val="continuous"/>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920" w:firstLine="25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7840" w:type="dxa"/>
            <w:vAlign w:val="bottom"/>
            <w:gridSpan w:val="2"/>
          </w:tcPr>
          <w:p>
            <w:pPr>
              <w:ind w:left="2240"/>
              <w:spacing w:after="0"/>
              <w:rPr>
                <w:sz w:val="20"/>
                <w:szCs w:val="20"/>
                <w:color w:val="auto"/>
              </w:rPr>
            </w:pPr>
            <w:r>
              <w:rPr>
                <w:rFonts w:ascii="Arial" w:cs="Arial" w:eastAsia="Arial" w:hAnsi="Arial"/>
                <w:sz w:val="18"/>
                <w:szCs w:val="18"/>
                <w:b w:val="1"/>
                <w:bCs w:val="1"/>
                <w:color w:val="auto"/>
              </w:rPr>
              <w:t>GRAND CANYON EDUCATION, INC.</w:t>
            </w:r>
          </w:p>
        </w:tc>
        <w:tc>
          <w:tcPr>
            <w:tcW w:w="40" w:type="dxa"/>
            <w:vAlign w:val="bottom"/>
          </w:tcPr>
          <w:p>
            <w:pPr>
              <w:spacing w:after="0"/>
              <w:rPr>
                <w:sz w:val="20"/>
                <w:szCs w:val="20"/>
                <w:color w:val="auto"/>
              </w:rPr>
            </w:pPr>
          </w:p>
        </w:tc>
      </w:tr>
      <w:tr>
        <w:trPr>
          <w:trHeight w:val="432"/>
        </w:trPr>
        <w:tc>
          <w:tcPr>
            <w:tcW w:w="3580" w:type="dxa"/>
            <w:vAlign w:val="bottom"/>
          </w:tcPr>
          <w:p>
            <w:pPr>
              <w:spacing w:after="0"/>
              <w:rPr>
                <w:sz w:val="20"/>
                <w:szCs w:val="20"/>
                <w:color w:val="auto"/>
              </w:rPr>
            </w:pPr>
            <w:r>
              <w:rPr>
                <w:rFonts w:ascii="Arial" w:cs="Arial" w:eastAsia="Arial" w:hAnsi="Arial"/>
                <w:sz w:val="18"/>
                <w:szCs w:val="18"/>
                <w:color w:val="auto"/>
              </w:rPr>
              <w:t>Date: April 23, 2019</w:t>
            </w:r>
          </w:p>
        </w:tc>
        <w:tc>
          <w:tcPr>
            <w:tcW w:w="7840" w:type="dxa"/>
            <w:vAlign w:val="bottom"/>
            <w:gridSpan w:val="2"/>
          </w:tcPr>
          <w:p>
            <w:pPr>
              <w:ind w:left="2620"/>
              <w:spacing w:after="0"/>
              <w:rPr>
                <w:sz w:val="20"/>
                <w:szCs w:val="20"/>
                <w:color w:val="auto"/>
              </w:rPr>
            </w:pPr>
            <w:r>
              <w:rPr>
                <w:rFonts w:ascii="Arial" w:cs="Arial" w:eastAsia="Arial" w:hAnsi="Arial"/>
                <w:sz w:val="18"/>
                <w:szCs w:val="18"/>
                <w:color w:val="auto"/>
              </w:rPr>
              <w:t>By:  /s/ Daniel E. Bachus</w:t>
            </w:r>
          </w:p>
        </w:tc>
        <w:tc>
          <w:tcPr>
            <w:tcW w:w="40" w:type="dxa"/>
            <w:vAlign w:val="bottom"/>
          </w:tcPr>
          <w:p>
            <w:pPr>
              <w:spacing w:after="0"/>
              <w:rPr>
                <w:sz w:val="24"/>
                <w:szCs w:val="24"/>
                <w:color w:val="auto"/>
              </w:rPr>
            </w:pPr>
          </w:p>
        </w:tc>
      </w:tr>
      <w:tr>
        <w:trPr>
          <w:trHeight w:val="182"/>
        </w:trPr>
        <w:tc>
          <w:tcPr>
            <w:tcW w:w="3580" w:type="dxa"/>
            <w:vAlign w:val="bottom"/>
          </w:tcPr>
          <w:p>
            <w:pPr>
              <w:spacing w:after="0"/>
              <w:rPr>
                <w:sz w:val="15"/>
                <w:szCs w:val="15"/>
                <w:color w:val="auto"/>
              </w:rPr>
            </w:pPr>
          </w:p>
        </w:tc>
        <w:tc>
          <w:tcPr>
            <w:tcW w:w="3000" w:type="dxa"/>
            <w:vAlign w:val="bottom"/>
          </w:tcPr>
          <w:p>
            <w:pPr>
              <w:ind w:left="2620"/>
              <w:spacing w:after="0" w:line="182" w:lineRule="exact"/>
              <w:rPr>
                <w:sz w:val="20"/>
                <w:szCs w:val="20"/>
                <w:color w:val="auto"/>
              </w:rPr>
            </w:pPr>
            <w:r>
              <w:rPr>
                <w:rFonts w:ascii="Arial" w:cs="Arial" w:eastAsia="Arial" w:hAnsi="Arial"/>
                <w:sz w:val="18"/>
                <w:szCs w:val="18"/>
                <w:color w:val="auto"/>
                <w:w w:val="70"/>
              </w:rPr>
              <w:t>Daniel</w:t>
            </w:r>
          </w:p>
        </w:tc>
        <w:tc>
          <w:tcPr>
            <w:tcW w:w="4840" w:type="dxa"/>
            <w:vAlign w:val="bottom"/>
            <w:tcBorders>
              <w:top w:val="single" w:sz="8" w:color="auto"/>
            </w:tcBorders>
          </w:tcPr>
          <w:p>
            <w:pPr>
              <w:ind w:left="140"/>
              <w:spacing w:after="0" w:line="182" w:lineRule="exact"/>
              <w:rPr>
                <w:sz w:val="20"/>
                <w:szCs w:val="20"/>
                <w:color w:val="auto"/>
              </w:rPr>
            </w:pPr>
            <w:r>
              <w:rPr>
                <w:rFonts w:ascii="Arial" w:cs="Arial" w:eastAsia="Arial" w:hAnsi="Arial"/>
                <w:sz w:val="18"/>
                <w:szCs w:val="18"/>
                <w:color w:val="auto"/>
              </w:rPr>
              <w:t>E. Bachus</w:t>
            </w:r>
          </w:p>
        </w:tc>
        <w:tc>
          <w:tcPr>
            <w:tcW w:w="40" w:type="dxa"/>
            <w:vAlign w:val="bottom"/>
          </w:tcPr>
          <w:p>
            <w:pPr>
              <w:spacing w:after="0"/>
              <w:rPr>
                <w:sz w:val="15"/>
                <w:szCs w:val="15"/>
                <w:color w:val="auto"/>
              </w:rPr>
            </w:pPr>
          </w:p>
        </w:tc>
      </w:tr>
      <w:tr>
        <w:trPr>
          <w:trHeight w:val="216"/>
        </w:trPr>
        <w:tc>
          <w:tcPr>
            <w:tcW w:w="3580" w:type="dxa"/>
            <w:vAlign w:val="bottom"/>
          </w:tcPr>
          <w:p>
            <w:pPr>
              <w:spacing w:after="0"/>
              <w:rPr>
                <w:sz w:val="18"/>
                <w:szCs w:val="18"/>
                <w:color w:val="auto"/>
              </w:rPr>
            </w:pPr>
          </w:p>
        </w:tc>
        <w:tc>
          <w:tcPr>
            <w:tcW w:w="7840" w:type="dxa"/>
            <w:vAlign w:val="bottom"/>
            <w:gridSpan w:val="2"/>
          </w:tcPr>
          <w:p>
            <w:pPr>
              <w:ind w:left="2620"/>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18"/>
                <w:szCs w:val="18"/>
                <w:color w:val="auto"/>
              </w:rPr>
            </w:pPr>
          </w:p>
        </w:tc>
      </w:tr>
      <w:tr>
        <w:trPr>
          <w:trHeight w:val="230"/>
        </w:trPr>
        <w:tc>
          <w:tcPr>
            <w:tcW w:w="3580" w:type="dxa"/>
            <w:vAlign w:val="bottom"/>
          </w:tcPr>
          <w:p>
            <w:pPr>
              <w:spacing w:after="0"/>
              <w:rPr>
                <w:sz w:val="20"/>
                <w:szCs w:val="20"/>
                <w:color w:val="auto"/>
              </w:rPr>
            </w:pPr>
          </w:p>
        </w:tc>
        <w:tc>
          <w:tcPr>
            <w:tcW w:w="7840" w:type="dxa"/>
            <w:vAlign w:val="bottom"/>
            <w:gridSpan w:val="2"/>
          </w:tcPr>
          <w:p>
            <w:pPr>
              <w:ind w:left="2620"/>
              <w:spacing w:after="0"/>
              <w:rPr>
                <w:sz w:val="20"/>
                <w:szCs w:val="20"/>
                <w:color w:val="auto"/>
              </w:rPr>
            </w:pPr>
            <w:r>
              <w:rPr>
                <w:rFonts w:ascii="Arial" w:cs="Arial" w:eastAsia="Arial" w:hAnsi="Arial"/>
                <w:sz w:val="18"/>
                <w:szCs w:val="18"/>
                <w:color w:val="auto"/>
              </w:rPr>
              <w:t>(Principal Financial Officer and Principal Accounting Officer</w:t>
            </w:r>
          </w:p>
        </w:tc>
        <w:tc>
          <w:tcPr>
            <w:tcW w:w="40" w:type="dxa"/>
            <w:vAlign w:val="bottom"/>
          </w:tcPr>
          <w:p>
            <w:pPr>
              <w:spacing w:after="0"/>
              <w:rPr>
                <w:sz w:val="20"/>
                <w:szCs w:val="20"/>
                <w:color w:val="auto"/>
              </w:rPr>
            </w:pPr>
          </w:p>
        </w:tc>
      </w:tr>
      <w:tr>
        <w:trPr>
          <w:trHeight w:val="432"/>
        </w:trPr>
        <w:tc>
          <w:tcPr>
            <w:tcW w:w="3580" w:type="dxa"/>
            <w:vAlign w:val="bottom"/>
          </w:tcPr>
          <w:p>
            <w:pPr>
              <w:spacing w:after="0"/>
              <w:rPr>
                <w:sz w:val="24"/>
                <w:szCs w:val="24"/>
                <w:color w:val="auto"/>
              </w:rPr>
            </w:pPr>
          </w:p>
        </w:tc>
        <w:tc>
          <w:tcPr>
            <w:tcW w:w="3000" w:type="dxa"/>
            <w:vAlign w:val="bottom"/>
          </w:tcPr>
          <w:p>
            <w:pPr>
              <w:ind w:left="2080"/>
              <w:spacing w:after="0"/>
              <w:rPr>
                <w:sz w:val="20"/>
                <w:szCs w:val="20"/>
                <w:color w:val="auto"/>
              </w:rPr>
            </w:pPr>
            <w:r>
              <w:rPr>
                <w:rFonts w:ascii="Arial" w:cs="Arial" w:eastAsia="Arial" w:hAnsi="Arial"/>
                <w:sz w:val="18"/>
                <w:szCs w:val="18"/>
                <w:color w:val="auto"/>
              </w:rPr>
              <w:t>5</w:t>
            </w:r>
          </w:p>
        </w:tc>
        <w:tc>
          <w:tcPr>
            <w:tcW w:w="4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580" w:type="dxa"/>
            <w:vAlign w:val="bottom"/>
            <w:tcBorders>
              <w:bottom w:val="single" w:sz="8" w:color="808080"/>
            </w:tcBorders>
          </w:tcPr>
          <w:p>
            <w:pPr>
              <w:spacing w:after="0"/>
              <w:rPr>
                <w:sz w:val="11"/>
                <w:szCs w:val="11"/>
                <w:color w:val="auto"/>
              </w:rPr>
            </w:pPr>
          </w:p>
        </w:tc>
        <w:tc>
          <w:tcPr>
            <w:tcW w:w="3000" w:type="dxa"/>
            <w:vAlign w:val="bottom"/>
            <w:tcBorders>
              <w:bottom w:val="single" w:sz="8" w:color="808080"/>
            </w:tcBorders>
          </w:tcPr>
          <w:p>
            <w:pPr>
              <w:spacing w:after="0"/>
              <w:rPr>
                <w:sz w:val="11"/>
                <w:szCs w:val="11"/>
                <w:color w:val="auto"/>
              </w:rPr>
            </w:pPr>
          </w:p>
        </w:tc>
        <w:tc>
          <w:tcPr>
            <w:tcW w:w="48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6" w:name="page7"/>
    <w:bookmarkEnd w:id="6"/>
    <w:p>
      <w:pPr>
        <w:ind w:left="10480"/>
        <w:spacing w:after="0"/>
        <w:rPr>
          <w:sz w:val="20"/>
          <w:szCs w:val="20"/>
          <w:color w:val="auto"/>
        </w:rPr>
      </w:pPr>
      <w:r>
        <w:rPr>
          <w:rFonts w:ascii="Arial" w:cs="Arial" w:eastAsia="Arial" w:hAnsi="Arial"/>
          <w:sz w:val="16"/>
          <w:szCs w:val="16"/>
          <w:b w:val="1"/>
          <w:bCs w:val="1"/>
          <w:color w:val="auto"/>
        </w:rPr>
        <w:t>Exhibit 10.8</w:t>
      </w:r>
    </w:p>
    <w:p>
      <w:pPr>
        <w:spacing w:after="0" w:line="25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Certain material (indicated by three asterisks in brackets [***]) has been omitted from this document because it is both (1) not material and (2) would be competitively harmful if publicly disclosed.</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MASTER SERVICES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GAZELLE UNIVERSITY,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 Arizona nonprofit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renamed Grand Canyon University)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GRAND CANYON EDUCATION,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381000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0" w:type="dxa"/>
            <w:vAlign w:val="bottom"/>
          </w:tcPr>
          <w:p>
            <w:pPr>
              <w:spacing w:after="0"/>
              <w:rPr>
                <w:sz w:val="14"/>
                <w:szCs w:val="14"/>
                <w:color w:val="auto"/>
              </w:rPr>
            </w:pPr>
          </w:p>
        </w:tc>
        <w:tc>
          <w:tcPr>
            <w:tcW w:w="94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Page No.</w:t>
            </w:r>
          </w:p>
        </w:tc>
      </w:tr>
      <w:tr>
        <w:trPr>
          <w:trHeight w:val="426"/>
        </w:trPr>
        <w:tc>
          <w:tcPr>
            <w:tcW w:w="360" w:type="dxa"/>
            <w:vAlign w:val="bottom"/>
          </w:tcPr>
          <w:p>
            <w:pPr>
              <w:jc w:val="right"/>
              <w:ind w:right="130"/>
              <w:spacing w:after="0"/>
              <w:rPr>
                <w:sz w:val="20"/>
                <w:szCs w:val="20"/>
                <w:color w:val="auto"/>
              </w:rPr>
            </w:pPr>
            <w:r>
              <w:rPr>
                <w:rFonts w:ascii="Arial" w:cs="Arial" w:eastAsia="Arial" w:hAnsi="Arial"/>
                <w:sz w:val="18"/>
                <w:szCs w:val="18"/>
                <w:color w:val="auto"/>
                <w:w w:val="79"/>
              </w:rPr>
              <w:t>1.</w:t>
            </w:r>
          </w:p>
        </w:tc>
        <w:tc>
          <w:tcPr>
            <w:tcW w:w="10120" w:type="dxa"/>
            <w:vAlign w:val="bottom"/>
            <w:gridSpan w:val="2"/>
          </w:tcPr>
          <w:p>
            <w:pPr>
              <w:ind w:left="220"/>
              <w:spacing w:after="0"/>
              <w:rPr>
                <w:sz w:val="20"/>
                <w:szCs w:val="20"/>
                <w:color w:val="auto"/>
              </w:rPr>
            </w:pPr>
            <w:r>
              <w:rPr>
                <w:rFonts w:ascii="Arial" w:cs="Arial" w:eastAsia="Arial" w:hAnsi="Arial"/>
                <w:sz w:val="18"/>
                <w:szCs w:val="18"/>
                <w:color w:val="auto"/>
              </w:rPr>
              <w:t>Definitions</w:t>
            </w: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32"/>
        </w:trPr>
        <w:tc>
          <w:tcPr>
            <w:tcW w:w="360" w:type="dxa"/>
            <w:vAlign w:val="bottom"/>
          </w:tcPr>
          <w:p>
            <w:pPr>
              <w:jc w:val="right"/>
              <w:ind w:right="130"/>
              <w:spacing w:after="0"/>
              <w:rPr>
                <w:sz w:val="20"/>
                <w:szCs w:val="20"/>
                <w:color w:val="auto"/>
              </w:rPr>
            </w:pPr>
            <w:r>
              <w:rPr>
                <w:rFonts w:ascii="Arial" w:cs="Arial" w:eastAsia="Arial" w:hAnsi="Arial"/>
                <w:sz w:val="18"/>
                <w:szCs w:val="18"/>
                <w:color w:val="auto"/>
                <w:w w:val="79"/>
              </w:rPr>
              <w:t>2.</w:t>
            </w:r>
          </w:p>
        </w:tc>
        <w:tc>
          <w:tcPr>
            <w:tcW w:w="10120" w:type="dxa"/>
            <w:vAlign w:val="bottom"/>
            <w:gridSpan w:val="2"/>
          </w:tcPr>
          <w:p>
            <w:pPr>
              <w:ind w:left="220"/>
              <w:spacing w:after="0"/>
              <w:rPr>
                <w:sz w:val="20"/>
                <w:szCs w:val="20"/>
                <w:color w:val="auto"/>
              </w:rPr>
            </w:pPr>
            <w:r>
              <w:rPr>
                <w:rFonts w:ascii="Arial" w:cs="Arial" w:eastAsia="Arial" w:hAnsi="Arial"/>
                <w:sz w:val="18"/>
                <w:szCs w:val="18"/>
                <w:color w:val="auto"/>
              </w:rPr>
              <w:t>Certain Representations, Warranties and Covenants of the Parties</w:t>
            </w: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32"/>
        </w:trPr>
        <w:tc>
          <w:tcPr>
            <w:tcW w:w="360" w:type="dxa"/>
            <w:vAlign w:val="bottom"/>
          </w:tcPr>
          <w:p>
            <w:pPr>
              <w:jc w:val="right"/>
              <w:ind w:right="130"/>
              <w:spacing w:after="0"/>
              <w:rPr>
                <w:sz w:val="20"/>
                <w:szCs w:val="20"/>
                <w:color w:val="auto"/>
              </w:rPr>
            </w:pPr>
            <w:r>
              <w:rPr>
                <w:rFonts w:ascii="Arial" w:cs="Arial" w:eastAsia="Arial" w:hAnsi="Arial"/>
                <w:sz w:val="18"/>
                <w:szCs w:val="18"/>
                <w:color w:val="auto"/>
                <w:w w:val="79"/>
              </w:rPr>
              <w:t>3.</w:t>
            </w:r>
          </w:p>
        </w:tc>
        <w:tc>
          <w:tcPr>
            <w:tcW w:w="10120" w:type="dxa"/>
            <w:vAlign w:val="bottom"/>
            <w:gridSpan w:val="2"/>
          </w:tcPr>
          <w:p>
            <w:pPr>
              <w:ind w:left="220"/>
              <w:spacing w:after="0"/>
              <w:rPr>
                <w:sz w:val="20"/>
                <w:szCs w:val="20"/>
                <w:color w:val="auto"/>
              </w:rPr>
            </w:pPr>
            <w:r>
              <w:rPr>
                <w:rFonts w:ascii="Arial" w:cs="Arial" w:eastAsia="Arial" w:hAnsi="Arial"/>
                <w:sz w:val="18"/>
                <w:szCs w:val="18"/>
                <w:color w:val="auto"/>
              </w:rPr>
              <w:t>Services Provided to University</w:t>
            </w: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18"/>
        </w:trPr>
        <w:tc>
          <w:tcPr>
            <w:tcW w:w="360" w:type="dxa"/>
            <w:vAlign w:val="bottom"/>
          </w:tcPr>
          <w:p>
            <w:pPr>
              <w:spacing w:after="0"/>
              <w:rPr>
                <w:sz w:val="24"/>
                <w:szCs w:val="24"/>
                <w:color w:val="auto"/>
              </w:rPr>
            </w:pPr>
          </w:p>
        </w:tc>
        <w:tc>
          <w:tcPr>
            <w:tcW w:w="720" w:type="dxa"/>
            <w:vAlign w:val="bottom"/>
          </w:tcPr>
          <w:p>
            <w:pPr>
              <w:ind w:left="220"/>
              <w:spacing w:after="0"/>
              <w:rPr>
                <w:sz w:val="20"/>
                <w:szCs w:val="20"/>
                <w:color w:val="auto"/>
              </w:rPr>
            </w:pPr>
            <w:r>
              <w:rPr>
                <w:rFonts w:ascii="Arial" w:cs="Arial" w:eastAsia="Arial" w:hAnsi="Arial"/>
                <w:sz w:val="18"/>
                <w:szCs w:val="18"/>
                <w:color w:val="auto"/>
              </w:rPr>
              <w:t>3.1</w:t>
            </w:r>
          </w:p>
        </w:tc>
        <w:tc>
          <w:tcPr>
            <w:tcW w:w="9400" w:type="dxa"/>
            <w:vAlign w:val="bottom"/>
          </w:tcPr>
          <w:p>
            <w:pPr>
              <w:ind w:left="180"/>
              <w:spacing w:after="0"/>
              <w:rPr>
                <w:sz w:val="20"/>
                <w:szCs w:val="20"/>
                <w:color w:val="auto"/>
              </w:rPr>
            </w:pPr>
            <w:r>
              <w:rPr>
                <w:rFonts w:ascii="Arial" w:cs="Arial" w:eastAsia="Arial" w:hAnsi="Arial"/>
                <w:sz w:val="18"/>
                <w:szCs w:val="18"/>
                <w:color w:val="auto"/>
              </w:rPr>
              <w:t>Services to be Provided; Exclusivity</w:t>
            </w: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360" w:type="dxa"/>
            <w:vAlign w:val="bottom"/>
          </w:tcPr>
          <w:p>
            <w:pPr>
              <w:spacing w:after="0"/>
              <w:rPr>
                <w:sz w:val="18"/>
                <w:szCs w:val="18"/>
                <w:color w:val="auto"/>
              </w:rPr>
            </w:pPr>
          </w:p>
        </w:tc>
        <w:tc>
          <w:tcPr>
            <w:tcW w:w="720" w:type="dxa"/>
            <w:vAlign w:val="bottom"/>
          </w:tcPr>
          <w:p>
            <w:pPr>
              <w:ind w:left="220"/>
              <w:spacing w:after="0"/>
              <w:rPr>
                <w:sz w:val="20"/>
                <w:szCs w:val="20"/>
                <w:color w:val="auto"/>
              </w:rPr>
            </w:pPr>
            <w:r>
              <w:rPr>
                <w:rFonts w:ascii="Arial" w:cs="Arial" w:eastAsia="Arial" w:hAnsi="Arial"/>
                <w:sz w:val="18"/>
                <w:szCs w:val="18"/>
                <w:color w:val="auto"/>
              </w:rPr>
              <w:t>3.2</w:t>
            </w:r>
          </w:p>
        </w:tc>
        <w:tc>
          <w:tcPr>
            <w:tcW w:w="9400" w:type="dxa"/>
            <w:vAlign w:val="bottom"/>
          </w:tcPr>
          <w:p>
            <w:pPr>
              <w:ind w:left="180"/>
              <w:spacing w:after="0"/>
              <w:rPr>
                <w:sz w:val="20"/>
                <w:szCs w:val="20"/>
                <w:color w:val="auto"/>
              </w:rPr>
            </w:pPr>
            <w:r>
              <w:rPr>
                <w:rFonts w:ascii="Arial" w:cs="Arial" w:eastAsia="Arial" w:hAnsi="Arial"/>
                <w:sz w:val="18"/>
                <w:szCs w:val="18"/>
                <w:color w:val="auto"/>
              </w:rPr>
              <w:t>Location of Services; Subcontracting</w:t>
            </w: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360" w:type="dxa"/>
            <w:vAlign w:val="bottom"/>
          </w:tcPr>
          <w:p>
            <w:pPr>
              <w:spacing w:after="0"/>
              <w:rPr>
                <w:sz w:val="18"/>
                <w:szCs w:val="18"/>
                <w:color w:val="auto"/>
              </w:rPr>
            </w:pPr>
          </w:p>
        </w:tc>
        <w:tc>
          <w:tcPr>
            <w:tcW w:w="720" w:type="dxa"/>
            <w:vAlign w:val="bottom"/>
          </w:tcPr>
          <w:p>
            <w:pPr>
              <w:ind w:left="220"/>
              <w:spacing w:after="0"/>
              <w:rPr>
                <w:sz w:val="20"/>
                <w:szCs w:val="20"/>
                <w:color w:val="auto"/>
              </w:rPr>
            </w:pPr>
            <w:r>
              <w:rPr>
                <w:rFonts w:ascii="Arial" w:cs="Arial" w:eastAsia="Arial" w:hAnsi="Arial"/>
                <w:sz w:val="18"/>
                <w:szCs w:val="18"/>
                <w:color w:val="auto"/>
              </w:rPr>
              <w:t>3.3</w:t>
            </w:r>
          </w:p>
        </w:tc>
        <w:tc>
          <w:tcPr>
            <w:tcW w:w="9400" w:type="dxa"/>
            <w:vAlign w:val="bottom"/>
          </w:tcPr>
          <w:p>
            <w:pPr>
              <w:ind w:left="180"/>
              <w:spacing w:after="0"/>
              <w:rPr>
                <w:sz w:val="20"/>
                <w:szCs w:val="20"/>
                <w:color w:val="auto"/>
              </w:rPr>
            </w:pPr>
            <w:r>
              <w:rPr>
                <w:rFonts w:ascii="Arial" w:cs="Arial" w:eastAsia="Arial" w:hAnsi="Arial"/>
                <w:sz w:val="18"/>
                <w:szCs w:val="18"/>
                <w:color w:val="auto"/>
              </w:rPr>
              <w:t>Services Addenda</w:t>
            </w: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360" w:type="dxa"/>
            <w:vAlign w:val="bottom"/>
          </w:tcPr>
          <w:p>
            <w:pPr>
              <w:spacing w:after="0"/>
              <w:rPr>
                <w:sz w:val="18"/>
                <w:szCs w:val="18"/>
                <w:color w:val="auto"/>
              </w:rPr>
            </w:pPr>
          </w:p>
        </w:tc>
        <w:tc>
          <w:tcPr>
            <w:tcW w:w="720" w:type="dxa"/>
            <w:vAlign w:val="bottom"/>
          </w:tcPr>
          <w:p>
            <w:pPr>
              <w:ind w:left="220"/>
              <w:spacing w:after="0"/>
              <w:rPr>
                <w:sz w:val="20"/>
                <w:szCs w:val="20"/>
                <w:color w:val="auto"/>
              </w:rPr>
            </w:pPr>
            <w:r>
              <w:rPr>
                <w:rFonts w:ascii="Arial" w:cs="Arial" w:eastAsia="Arial" w:hAnsi="Arial"/>
                <w:sz w:val="18"/>
                <w:szCs w:val="18"/>
                <w:color w:val="auto"/>
              </w:rPr>
              <w:t>3.4</w:t>
            </w:r>
          </w:p>
        </w:tc>
        <w:tc>
          <w:tcPr>
            <w:tcW w:w="9400" w:type="dxa"/>
            <w:vAlign w:val="bottom"/>
          </w:tcPr>
          <w:p>
            <w:pPr>
              <w:ind w:left="180"/>
              <w:spacing w:after="0"/>
              <w:rPr>
                <w:sz w:val="20"/>
                <w:szCs w:val="20"/>
                <w:color w:val="auto"/>
              </w:rPr>
            </w:pPr>
            <w:r>
              <w:rPr>
                <w:rFonts w:ascii="Arial" w:cs="Arial" w:eastAsia="Arial" w:hAnsi="Arial"/>
                <w:sz w:val="18"/>
                <w:szCs w:val="18"/>
                <w:color w:val="auto"/>
              </w:rPr>
              <w:t>Services and Performance Standards</w:t>
            </w: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360" w:type="dxa"/>
            <w:vAlign w:val="bottom"/>
          </w:tcPr>
          <w:p>
            <w:pPr>
              <w:spacing w:after="0"/>
              <w:rPr>
                <w:sz w:val="18"/>
                <w:szCs w:val="18"/>
                <w:color w:val="auto"/>
              </w:rPr>
            </w:pPr>
          </w:p>
        </w:tc>
        <w:tc>
          <w:tcPr>
            <w:tcW w:w="720" w:type="dxa"/>
            <w:vAlign w:val="bottom"/>
          </w:tcPr>
          <w:p>
            <w:pPr>
              <w:ind w:left="220"/>
              <w:spacing w:after="0"/>
              <w:rPr>
                <w:sz w:val="20"/>
                <w:szCs w:val="20"/>
                <w:color w:val="auto"/>
              </w:rPr>
            </w:pPr>
            <w:r>
              <w:rPr>
                <w:rFonts w:ascii="Arial" w:cs="Arial" w:eastAsia="Arial" w:hAnsi="Arial"/>
                <w:sz w:val="18"/>
                <w:szCs w:val="18"/>
                <w:color w:val="auto"/>
              </w:rPr>
              <w:t>3.5</w:t>
            </w:r>
          </w:p>
        </w:tc>
        <w:tc>
          <w:tcPr>
            <w:tcW w:w="9400" w:type="dxa"/>
            <w:vAlign w:val="bottom"/>
          </w:tcPr>
          <w:p>
            <w:pPr>
              <w:ind w:left="180"/>
              <w:spacing w:after="0"/>
              <w:rPr>
                <w:sz w:val="20"/>
                <w:szCs w:val="20"/>
                <w:color w:val="auto"/>
              </w:rPr>
            </w:pPr>
            <w:r>
              <w:rPr>
                <w:rFonts w:ascii="Arial" w:cs="Arial" w:eastAsia="Arial" w:hAnsi="Arial"/>
                <w:sz w:val="18"/>
                <w:szCs w:val="18"/>
                <w:color w:val="auto"/>
              </w:rPr>
              <w:t>Provision of Information; Access</w:t>
            </w: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360" w:type="dxa"/>
            <w:vAlign w:val="bottom"/>
          </w:tcPr>
          <w:p>
            <w:pPr>
              <w:spacing w:after="0"/>
              <w:rPr>
                <w:sz w:val="18"/>
                <w:szCs w:val="18"/>
                <w:color w:val="auto"/>
              </w:rPr>
            </w:pPr>
          </w:p>
        </w:tc>
        <w:tc>
          <w:tcPr>
            <w:tcW w:w="720" w:type="dxa"/>
            <w:vAlign w:val="bottom"/>
          </w:tcPr>
          <w:p>
            <w:pPr>
              <w:ind w:left="220"/>
              <w:spacing w:after="0"/>
              <w:rPr>
                <w:sz w:val="20"/>
                <w:szCs w:val="20"/>
                <w:color w:val="auto"/>
              </w:rPr>
            </w:pPr>
            <w:r>
              <w:rPr>
                <w:rFonts w:ascii="Arial" w:cs="Arial" w:eastAsia="Arial" w:hAnsi="Arial"/>
                <w:sz w:val="18"/>
                <w:szCs w:val="18"/>
                <w:color w:val="auto"/>
              </w:rPr>
              <w:t>3.6</w:t>
            </w:r>
          </w:p>
        </w:tc>
        <w:tc>
          <w:tcPr>
            <w:tcW w:w="9400" w:type="dxa"/>
            <w:vAlign w:val="bottom"/>
          </w:tcPr>
          <w:p>
            <w:pPr>
              <w:ind w:left="180"/>
              <w:spacing w:after="0"/>
              <w:rPr>
                <w:sz w:val="20"/>
                <w:szCs w:val="20"/>
                <w:color w:val="auto"/>
              </w:rPr>
            </w:pPr>
            <w:r>
              <w:rPr>
                <w:rFonts w:ascii="Arial" w:cs="Arial" w:eastAsia="Arial" w:hAnsi="Arial"/>
                <w:sz w:val="18"/>
                <w:szCs w:val="18"/>
                <w:color w:val="auto"/>
              </w:rPr>
              <w:t>Compliance with Laws</w:t>
            </w: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360" w:type="dxa"/>
            <w:vAlign w:val="bottom"/>
          </w:tcPr>
          <w:p>
            <w:pPr>
              <w:spacing w:after="0"/>
              <w:rPr>
                <w:sz w:val="18"/>
                <w:szCs w:val="18"/>
                <w:color w:val="auto"/>
              </w:rPr>
            </w:pPr>
          </w:p>
        </w:tc>
        <w:tc>
          <w:tcPr>
            <w:tcW w:w="720" w:type="dxa"/>
            <w:vAlign w:val="bottom"/>
          </w:tcPr>
          <w:p>
            <w:pPr>
              <w:ind w:left="220"/>
              <w:spacing w:after="0"/>
              <w:rPr>
                <w:sz w:val="20"/>
                <w:szCs w:val="20"/>
                <w:color w:val="auto"/>
              </w:rPr>
            </w:pPr>
            <w:r>
              <w:rPr>
                <w:rFonts w:ascii="Arial" w:cs="Arial" w:eastAsia="Arial" w:hAnsi="Arial"/>
                <w:sz w:val="18"/>
                <w:szCs w:val="18"/>
                <w:color w:val="auto"/>
              </w:rPr>
              <w:t>3.7</w:t>
            </w:r>
          </w:p>
        </w:tc>
        <w:tc>
          <w:tcPr>
            <w:tcW w:w="9400" w:type="dxa"/>
            <w:vAlign w:val="bottom"/>
          </w:tcPr>
          <w:p>
            <w:pPr>
              <w:ind w:left="180"/>
              <w:spacing w:after="0"/>
              <w:rPr>
                <w:sz w:val="20"/>
                <w:szCs w:val="20"/>
                <w:color w:val="auto"/>
              </w:rPr>
            </w:pPr>
            <w:r>
              <w:rPr>
                <w:rFonts w:ascii="Arial" w:cs="Arial" w:eastAsia="Arial" w:hAnsi="Arial"/>
                <w:sz w:val="18"/>
                <w:szCs w:val="18"/>
                <w:color w:val="auto"/>
              </w:rPr>
              <w:t>Provider’s Compliance with Certain Educational Laws</w:t>
            </w: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360" w:type="dxa"/>
            <w:vAlign w:val="bottom"/>
          </w:tcPr>
          <w:p>
            <w:pPr>
              <w:spacing w:after="0"/>
              <w:rPr>
                <w:sz w:val="18"/>
                <w:szCs w:val="18"/>
                <w:color w:val="auto"/>
              </w:rPr>
            </w:pPr>
          </w:p>
        </w:tc>
        <w:tc>
          <w:tcPr>
            <w:tcW w:w="720" w:type="dxa"/>
            <w:vAlign w:val="bottom"/>
          </w:tcPr>
          <w:p>
            <w:pPr>
              <w:ind w:left="220"/>
              <w:spacing w:after="0"/>
              <w:rPr>
                <w:sz w:val="20"/>
                <w:szCs w:val="20"/>
                <w:color w:val="auto"/>
              </w:rPr>
            </w:pPr>
            <w:r>
              <w:rPr>
                <w:rFonts w:ascii="Arial" w:cs="Arial" w:eastAsia="Arial" w:hAnsi="Arial"/>
                <w:sz w:val="18"/>
                <w:szCs w:val="18"/>
                <w:color w:val="auto"/>
              </w:rPr>
              <w:t>3.8</w:t>
            </w:r>
          </w:p>
        </w:tc>
        <w:tc>
          <w:tcPr>
            <w:tcW w:w="9400" w:type="dxa"/>
            <w:vAlign w:val="bottom"/>
          </w:tcPr>
          <w:p>
            <w:pPr>
              <w:ind w:left="180"/>
              <w:spacing w:after="0"/>
              <w:rPr>
                <w:sz w:val="20"/>
                <w:szCs w:val="20"/>
                <w:color w:val="auto"/>
              </w:rPr>
            </w:pPr>
            <w:r>
              <w:rPr>
                <w:rFonts w:ascii="Arial" w:cs="Arial" w:eastAsia="Arial" w:hAnsi="Arial"/>
                <w:sz w:val="18"/>
                <w:szCs w:val="18"/>
                <w:color w:val="auto"/>
              </w:rPr>
              <w:t>Compliance with University Policies and Standards; Fulfillment of University Mission</w:t>
            </w: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360" w:type="dxa"/>
            <w:vAlign w:val="bottom"/>
          </w:tcPr>
          <w:p>
            <w:pPr>
              <w:spacing w:after="0"/>
              <w:rPr>
                <w:sz w:val="18"/>
                <w:szCs w:val="18"/>
                <w:color w:val="auto"/>
              </w:rPr>
            </w:pPr>
          </w:p>
        </w:tc>
        <w:tc>
          <w:tcPr>
            <w:tcW w:w="720" w:type="dxa"/>
            <w:vAlign w:val="bottom"/>
          </w:tcPr>
          <w:p>
            <w:pPr>
              <w:ind w:left="220"/>
              <w:spacing w:after="0"/>
              <w:rPr>
                <w:sz w:val="20"/>
                <w:szCs w:val="20"/>
                <w:color w:val="auto"/>
              </w:rPr>
            </w:pPr>
            <w:r>
              <w:rPr>
                <w:rFonts w:ascii="Arial" w:cs="Arial" w:eastAsia="Arial" w:hAnsi="Arial"/>
                <w:sz w:val="18"/>
                <w:szCs w:val="18"/>
                <w:color w:val="auto"/>
              </w:rPr>
              <w:t>3.9</w:t>
            </w:r>
          </w:p>
        </w:tc>
        <w:tc>
          <w:tcPr>
            <w:tcW w:w="9400" w:type="dxa"/>
            <w:vAlign w:val="bottom"/>
          </w:tcPr>
          <w:p>
            <w:pPr>
              <w:ind w:left="180"/>
              <w:spacing w:after="0"/>
              <w:rPr>
                <w:sz w:val="20"/>
                <w:szCs w:val="20"/>
                <w:color w:val="auto"/>
              </w:rPr>
            </w:pPr>
            <w:r>
              <w:rPr>
                <w:rFonts w:ascii="Arial" w:cs="Arial" w:eastAsia="Arial" w:hAnsi="Arial"/>
                <w:sz w:val="18"/>
                <w:szCs w:val="18"/>
                <w:color w:val="auto"/>
              </w:rPr>
              <w:t>Services Personnel</w:t>
            </w: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360" w:type="dxa"/>
            <w:vAlign w:val="bottom"/>
          </w:tcPr>
          <w:p>
            <w:pPr>
              <w:spacing w:after="0"/>
              <w:rPr>
                <w:sz w:val="18"/>
                <w:szCs w:val="18"/>
                <w:color w:val="auto"/>
              </w:rPr>
            </w:pPr>
          </w:p>
        </w:tc>
        <w:tc>
          <w:tcPr>
            <w:tcW w:w="720" w:type="dxa"/>
            <w:vAlign w:val="bottom"/>
          </w:tcPr>
          <w:p>
            <w:pPr>
              <w:ind w:left="220"/>
              <w:spacing w:after="0"/>
              <w:rPr>
                <w:sz w:val="20"/>
                <w:szCs w:val="20"/>
                <w:color w:val="auto"/>
              </w:rPr>
            </w:pPr>
            <w:r>
              <w:rPr>
                <w:rFonts w:ascii="Arial" w:cs="Arial" w:eastAsia="Arial" w:hAnsi="Arial"/>
                <w:sz w:val="18"/>
                <w:szCs w:val="18"/>
                <w:color w:val="auto"/>
              </w:rPr>
              <w:t>3.10</w:t>
            </w:r>
          </w:p>
        </w:tc>
        <w:tc>
          <w:tcPr>
            <w:tcW w:w="9400" w:type="dxa"/>
            <w:vAlign w:val="bottom"/>
          </w:tcPr>
          <w:p>
            <w:pPr>
              <w:ind w:left="180"/>
              <w:spacing w:after="0"/>
              <w:rPr>
                <w:sz w:val="20"/>
                <w:szCs w:val="20"/>
                <w:color w:val="auto"/>
              </w:rPr>
            </w:pPr>
            <w:r>
              <w:rPr>
                <w:rFonts w:ascii="Arial" w:cs="Arial" w:eastAsia="Arial" w:hAnsi="Arial"/>
                <w:sz w:val="18"/>
                <w:szCs w:val="18"/>
                <w:color w:val="auto"/>
              </w:rPr>
              <w:t>Removal of Personnel</w:t>
            </w:r>
          </w:p>
        </w:tc>
        <w:tc>
          <w:tcPr>
            <w:tcW w:w="9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360" w:type="dxa"/>
            <w:vAlign w:val="bottom"/>
          </w:tcPr>
          <w:p>
            <w:pPr>
              <w:spacing w:after="0"/>
              <w:rPr>
                <w:sz w:val="18"/>
                <w:szCs w:val="18"/>
                <w:color w:val="auto"/>
              </w:rPr>
            </w:pPr>
          </w:p>
        </w:tc>
        <w:tc>
          <w:tcPr>
            <w:tcW w:w="720" w:type="dxa"/>
            <w:vAlign w:val="bottom"/>
          </w:tcPr>
          <w:p>
            <w:pPr>
              <w:ind w:left="220"/>
              <w:spacing w:after="0"/>
              <w:rPr>
                <w:sz w:val="20"/>
                <w:szCs w:val="20"/>
                <w:color w:val="auto"/>
              </w:rPr>
            </w:pPr>
            <w:r>
              <w:rPr>
                <w:rFonts w:ascii="Arial" w:cs="Arial" w:eastAsia="Arial" w:hAnsi="Arial"/>
                <w:sz w:val="18"/>
                <w:szCs w:val="18"/>
                <w:color w:val="auto"/>
              </w:rPr>
              <w:t>3.11</w:t>
            </w:r>
          </w:p>
        </w:tc>
        <w:tc>
          <w:tcPr>
            <w:tcW w:w="9400" w:type="dxa"/>
            <w:vAlign w:val="bottom"/>
          </w:tcPr>
          <w:p>
            <w:pPr>
              <w:ind w:left="180"/>
              <w:spacing w:after="0"/>
              <w:rPr>
                <w:sz w:val="20"/>
                <w:szCs w:val="20"/>
                <w:color w:val="auto"/>
              </w:rPr>
            </w:pPr>
            <w:r>
              <w:rPr>
                <w:rFonts w:ascii="Arial" w:cs="Arial" w:eastAsia="Arial" w:hAnsi="Arial"/>
                <w:sz w:val="18"/>
                <w:szCs w:val="18"/>
                <w:color w:val="auto"/>
              </w:rPr>
              <w:t>Points of Contact; Designees</w:t>
            </w:r>
          </w:p>
        </w:tc>
        <w:tc>
          <w:tcPr>
            <w:tcW w:w="9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360" w:type="dxa"/>
            <w:vAlign w:val="bottom"/>
          </w:tcPr>
          <w:p>
            <w:pPr>
              <w:spacing w:after="0"/>
              <w:rPr>
                <w:sz w:val="20"/>
                <w:szCs w:val="20"/>
                <w:color w:val="auto"/>
              </w:rPr>
            </w:pPr>
          </w:p>
        </w:tc>
        <w:tc>
          <w:tcPr>
            <w:tcW w:w="720" w:type="dxa"/>
            <w:vAlign w:val="bottom"/>
          </w:tcPr>
          <w:p>
            <w:pPr>
              <w:ind w:left="220"/>
              <w:spacing w:after="0"/>
              <w:rPr>
                <w:sz w:val="20"/>
                <w:szCs w:val="20"/>
                <w:color w:val="auto"/>
              </w:rPr>
            </w:pPr>
            <w:r>
              <w:rPr>
                <w:rFonts w:ascii="Arial" w:cs="Arial" w:eastAsia="Arial" w:hAnsi="Arial"/>
                <w:sz w:val="18"/>
                <w:szCs w:val="18"/>
                <w:color w:val="auto"/>
              </w:rPr>
              <w:t>3.12</w:t>
            </w:r>
          </w:p>
        </w:tc>
        <w:tc>
          <w:tcPr>
            <w:tcW w:w="9400" w:type="dxa"/>
            <w:vAlign w:val="bottom"/>
          </w:tcPr>
          <w:p>
            <w:pPr>
              <w:ind w:left="180"/>
              <w:spacing w:after="0"/>
              <w:rPr>
                <w:sz w:val="20"/>
                <w:szCs w:val="20"/>
                <w:color w:val="auto"/>
              </w:rPr>
            </w:pPr>
            <w:r>
              <w:rPr>
                <w:rFonts w:ascii="Arial" w:cs="Arial" w:eastAsia="Arial" w:hAnsi="Arial"/>
                <w:sz w:val="18"/>
                <w:szCs w:val="18"/>
                <w:color w:val="auto"/>
              </w:rPr>
              <w:t>Disclaimer of Warranties</w:t>
            </w:r>
          </w:p>
        </w:tc>
        <w:tc>
          <w:tcPr>
            <w:tcW w:w="9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32"/>
        </w:trPr>
        <w:tc>
          <w:tcPr>
            <w:tcW w:w="360" w:type="dxa"/>
            <w:vAlign w:val="bottom"/>
          </w:tcPr>
          <w:p>
            <w:pPr>
              <w:jc w:val="right"/>
              <w:ind w:right="130"/>
              <w:spacing w:after="0"/>
              <w:rPr>
                <w:sz w:val="20"/>
                <w:szCs w:val="20"/>
                <w:color w:val="auto"/>
              </w:rPr>
            </w:pPr>
            <w:r>
              <w:rPr>
                <w:rFonts w:ascii="Arial" w:cs="Arial" w:eastAsia="Arial" w:hAnsi="Arial"/>
                <w:sz w:val="18"/>
                <w:szCs w:val="18"/>
                <w:color w:val="auto"/>
                <w:w w:val="79"/>
              </w:rPr>
              <w:t>4.</w:t>
            </w:r>
          </w:p>
        </w:tc>
        <w:tc>
          <w:tcPr>
            <w:tcW w:w="10120" w:type="dxa"/>
            <w:vAlign w:val="bottom"/>
            <w:gridSpan w:val="2"/>
          </w:tcPr>
          <w:p>
            <w:pPr>
              <w:ind w:left="220"/>
              <w:spacing w:after="0"/>
              <w:rPr>
                <w:sz w:val="20"/>
                <w:szCs w:val="20"/>
                <w:color w:val="auto"/>
              </w:rPr>
            </w:pPr>
            <w:r>
              <w:rPr>
                <w:rFonts w:ascii="Arial" w:cs="Arial" w:eastAsia="Arial" w:hAnsi="Arial"/>
                <w:sz w:val="18"/>
                <w:szCs w:val="18"/>
                <w:color w:val="auto"/>
              </w:rPr>
              <w:t>University Roles and Responsibilities</w:t>
            </w:r>
          </w:p>
        </w:tc>
        <w:tc>
          <w:tcPr>
            <w:tcW w:w="9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18"/>
        </w:trPr>
        <w:tc>
          <w:tcPr>
            <w:tcW w:w="360" w:type="dxa"/>
            <w:vAlign w:val="bottom"/>
          </w:tcPr>
          <w:p>
            <w:pPr>
              <w:spacing w:after="0"/>
              <w:rPr>
                <w:sz w:val="24"/>
                <w:szCs w:val="24"/>
                <w:color w:val="auto"/>
              </w:rPr>
            </w:pPr>
          </w:p>
        </w:tc>
        <w:tc>
          <w:tcPr>
            <w:tcW w:w="720" w:type="dxa"/>
            <w:vAlign w:val="bottom"/>
          </w:tcPr>
          <w:p>
            <w:pPr>
              <w:ind w:left="220"/>
              <w:spacing w:after="0"/>
              <w:rPr>
                <w:sz w:val="20"/>
                <w:szCs w:val="20"/>
                <w:color w:val="auto"/>
              </w:rPr>
            </w:pPr>
            <w:r>
              <w:rPr>
                <w:rFonts w:ascii="Arial" w:cs="Arial" w:eastAsia="Arial" w:hAnsi="Arial"/>
                <w:sz w:val="18"/>
                <w:szCs w:val="18"/>
                <w:color w:val="auto"/>
              </w:rPr>
              <w:t>4.1</w:t>
            </w:r>
          </w:p>
        </w:tc>
        <w:tc>
          <w:tcPr>
            <w:tcW w:w="9400" w:type="dxa"/>
            <w:vAlign w:val="bottom"/>
          </w:tcPr>
          <w:p>
            <w:pPr>
              <w:ind w:left="180"/>
              <w:spacing w:after="0"/>
              <w:rPr>
                <w:sz w:val="20"/>
                <w:szCs w:val="20"/>
                <w:color w:val="auto"/>
              </w:rPr>
            </w:pPr>
            <w:r>
              <w:rPr>
                <w:rFonts w:ascii="Arial" w:cs="Arial" w:eastAsia="Arial" w:hAnsi="Arial"/>
                <w:sz w:val="18"/>
                <w:szCs w:val="18"/>
                <w:color w:val="auto"/>
              </w:rPr>
              <w:t>Sole Control Over University and Academic Matters</w:t>
            </w:r>
          </w:p>
        </w:tc>
        <w:tc>
          <w:tcPr>
            <w:tcW w:w="9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360" w:type="dxa"/>
            <w:vAlign w:val="bottom"/>
          </w:tcPr>
          <w:p>
            <w:pPr>
              <w:spacing w:after="0"/>
              <w:rPr>
                <w:sz w:val="18"/>
                <w:szCs w:val="18"/>
                <w:color w:val="auto"/>
              </w:rPr>
            </w:pPr>
          </w:p>
        </w:tc>
        <w:tc>
          <w:tcPr>
            <w:tcW w:w="720" w:type="dxa"/>
            <w:vAlign w:val="bottom"/>
          </w:tcPr>
          <w:p>
            <w:pPr>
              <w:ind w:left="220"/>
              <w:spacing w:after="0"/>
              <w:rPr>
                <w:sz w:val="20"/>
                <w:szCs w:val="20"/>
                <w:color w:val="auto"/>
              </w:rPr>
            </w:pPr>
            <w:r>
              <w:rPr>
                <w:rFonts w:ascii="Arial" w:cs="Arial" w:eastAsia="Arial" w:hAnsi="Arial"/>
                <w:sz w:val="18"/>
                <w:szCs w:val="18"/>
                <w:color w:val="auto"/>
              </w:rPr>
              <w:t>4.2</w:t>
            </w:r>
          </w:p>
        </w:tc>
        <w:tc>
          <w:tcPr>
            <w:tcW w:w="9400" w:type="dxa"/>
            <w:vAlign w:val="bottom"/>
          </w:tcPr>
          <w:p>
            <w:pPr>
              <w:ind w:left="180"/>
              <w:spacing w:after="0"/>
              <w:rPr>
                <w:sz w:val="20"/>
                <w:szCs w:val="20"/>
                <w:color w:val="auto"/>
              </w:rPr>
            </w:pPr>
            <w:r>
              <w:rPr>
                <w:rFonts w:ascii="Arial" w:cs="Arial" w:eastAsia="Arial" w:hAnsi="Arial"/>
                <w:sz w:val="18"/>
                <w:szCs w:val="18"/>
                <w:color w:val="auto"/>
              </w:rPr>
              <w:t>Reporting of Approvals</w:t>
            </w:r>
          </w:p>
        </w:tc>
        <w:tc>
          <w:tcPr>
            <w:tcW w:w="9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360" w:type="dxa"/>
            <w:vAlign w:val="bottom"/>
          </w:tcPr>
          <w:p>
            <w:pPr>
              <w:spacing w:after="0"/>
              <w:rPr>
                <w:sz w:val="18"/>
                <w:szCs w:val="18"/>
                <w:color w:val="auto"/>
              </w:rPr>
            </w:pPr>
          </w:p>
        </w:tc>
        <w:tc>
          <w:tcPr>
            <w:tcW w:w="720" w:type="dxa"/>
            <w:vAlign w:val="bottom"/>
          </w:tcPr>
          <w:p>
            <w:pPr>
              <w:ind w:left="220"/>
              <w:spacing w:after="0"/>
              <w:rPr>
                <w:sz w:val="20"/>
                <w:szCs w:val="20"/>
                <w:color w:val="auto"/>
              </w:rPr>
            </w:pPr>
            <w:r>
              <w:rPr>
                <w:rFonts w:ascii="Arial" w:cs="Arial" w:eastAsia="Arial" w:hAnsi="Arial"/>
                <w:sz w:val="18"/>
                <w:szCs w:val="18"/>
                <w:color w:val="auto"/>
              </w:rPr>
              <w:t>4.3</w:t>
            </w:r>
          </w:p>
        </w:tc>
        <w:tc>
          <w:tcPr>
            <w:tcW w:w="9400" w:type="dxa"/>
            <w:vAlign w:val="bottom"/>
          </w:tcPr>
          <w:p>
            <w:pPr>
              <w:ind w:left="180"/>
              <w:spacing w:after="0"/>
              <w:rPr>
                <w:sz w:val="20"/>
                <w:szCs w:val="20"/>
                <w:color w:val="auto"/>
              </w:rPr>
            </w:pPr>
            <w:r>
              <w:rPr>
                <w:rFonts w:ascii="Arial" w:cs="Arial" w:eastAsia="Arial" w:hAnsi="Arial"/>
                <w:sz w:val="18"/>
                <w:szCs w:val="18"/>
                <w:color w:val="auto"/>
              </w:rPr>
              <w:t>Feedback and Complaints</w:t>
            </w:r>
          </w:p>
        </w:tc>
        <w:tc>
          <w:tcPr>
            <w:tcW w:w="9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360" w:type="dxa"/>
            <w:vAlign w:val="bottom"/>
          </w:tcPr>
          <w:p>
            <w:pPr>
              <w:spacing w:after="0"/>
              <w:rPr>
                <w:sz w:val="20"/>
                <w:szCs w:val="20"/>
                <w:color w:val="auto"/>
              </w:rPr>
            </w:pPr>
          </w:p>
        </w:tc>
        <w:tc>
          <w:tcPr>
            <w:tcW w:w="720" w:type="dxa"/>
            <w:vAlign w:val="bottom"/>
          </w:tcPr>
          <w:p>
            <w:pPr>
              <w:ind w:left="220"/>
              <w:spacing w:after="0"/>
              <w:rPr>
                <w:sz w:val="20"/>
                <w:szCs w:val="20"/>
                <w:color w:val="auto"/>
              </w:rPr>
            </w:pPr>
            <w:r>
              <w:rPr>
                <w:rFonts w:ascii="Arial" w:cs="Arial" w:eastAsia="Arial" w:hAnsi="Arial"/>
                <w:sz w:val="18"/>
                <w:szCs w:val="18"/>
                <w:color w:val="auto"/>
              </w:rPr>
              <w:t>4.4</w:t>
            </w:r>
          </w:p>
        </w:tc>
        <w:tc>
          <w:tcPr>
            <w:tcW w:w="9400" w:type="dxa"/>
            <w:vAlign w:val="bottom"/>
          </w:tcPr>
          <w:p>
            <w:pPr>
              <w:ind w:left="180"/>
              <w:spacing w:after="0"/>
              <w:rPr>
                <w:sz w:val="20"/>
                <w:szCs w:val="20"/>
                <w:color w:val="auto"/>
              </w:rPr>
            </w:pPr>
            <w:r>
              <w:rPr>
                <w:rFonts w:ascii="Arial" w:cs="Arial" w:eastAsia="Arial" w:hAnsi="Arial"/>
                <w:sz w:val="18"/>
                <w:szCs w:val="18"/>
                <w:color w:val="auto"/>
              </w:rPr>
              <w:t>Other Responsibilities</w:t>
            </w:r>
          </w:p>
        </w:tc>
        <w:tc>
          <w:tcPr>
            <w:tcW w:w="9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32"/>
        </w:trPr>
        <w:tc>
          <w:tcPr>
            <w:tcW w:w="360" w:type="dxa"/>
            <w:vAlign w:val="bottom"/>
          </w:tcPr>
          <w:p>
            <w:pPr>
              <w:jc w:val="right"/>
              <w:ind w:right="130"/>
              <w:spacing w:after="0"/>
              <w:rPr>
                <w:sz w:val="20"/>
                <w:szCs w:val="20"/>
                <w:color w:val="auto"/>
              </w:rPr>
            </w:pPr>
            <w:r>
              <w:rPr>
                <w:rFonts w:ascii="Arial" w:cs="Arial" w:eastAsia="Arial" w:hAnsi="Arial"/>
                <w:sz w:val="18"/>
                <w:szCs w:val="18"/>
                <w:color w:val="auto"/>
                <w:w w:val="79"/>
              </w:rPr>
              <w:t>5.</w:t>
            </w:r>
          </w:p>
        </w:tc>
        <w:tc>
          <w:tcPr>
            <w:tcW w:w="10120" w:type="dxa"/>
            <w:vAlign w:val="bottom"/>
            <w:gridSpan w:val="2"/>
          </w:tcPr>
          <w:p>
            <w:pPr>
              <w:ind w:left="220"/>
              <w:spacing w:after="0"/>
              <w:rPr>
                <w:sz w:val="20"/>
                <w:szCs w:val="20"/>
                <w:color w:val="auto"/>
              </w:rPr>
            </w:pPr>
            <w:r>
              <w:rPr>
                <w:rFonts w:ascii="Arial" w:cs="Arial" w:eastAsia="Arial" w:hAnsi="Arial"/>
                <w:sz w:val="18"/>
                <w:szCs w:val="18"/>
                <w:color w:val="auto"/>
              </w:rPr>
              <w:t>Fees and Payments</w:t>
            </w:r>
          </w:p>
        </w:tc>
        <w:tc>
          <w:tcPr>
            <w:tcW w:w="9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18"/>
        </w:trPr>
        <w:tc>
          <w:tcPr>
            <w:tcW w:w="360" w:type="dxa"/>
            <w:vAlign w:val="bottom"/>
          </w:tcPr>
          <w:p>
            <w:pPr>
              <w:spacing w:after="0"/>
              <w:rPr>
                <w:sz w:val="24"/>
                <w:szCs w:val="24"/>
                <w:color w:val="auto"/>
              </w:rPr>
            </w:pPr>
          </w:p>
        </w:tc>
        <w:tc>
          <w:tcPr>
            <w:tcW w:w="720" w:type="dxa"/>
            <w:vAlign w:val="bottom"/>
          </w:tcPr>
          <w:p>
            <w:pPr>
              <w:ind w:left="220"/>
              <w:spacing w:after="0"/>
              <w:rPr>
                <w:sz w:val="20"/>
                <w:szCs w:val="20"/>
                <w:color w:val="auto"/>
              </w:rPr>
            </w:pPr>
            <w:r>
              <w:rPr>
                <w:rFonts w:ascii="Arial" w:cs="Arial" w:eastAsia="Arial" w:hAnsi="Arial"/>
                <w:sz w:val="18"/>
                <w:szCs w:val="18"/>
                <w:color w:val="auto"/>
              </w:rPr>
              <w:t>5.1</w:t>
            </w:r>
          </w:p>
        </w:tc>
        <w:tc>
          <w:tcPr>
            <w:tcW w:w="9400" w:type="dxa"/>
            <w:vAlign w:val="bottom"/>
          </w:tcPr>
          <w:p>
            <w:pPr>
              <w:ind w:left="180"/>
              <w:spacing w:after="0"/>
              <w:rPr>
                <w:sz w:val="20"/>
                <w:szCs w:val="20"/>
                <w:color w:val="auto"/>
              </w:rPr>
            </w:pPr>
            <w:r>
              <w:rPr>
                <w:rFonts w:ascii="Arial" w:cs="Arial" w:eastAsia="Arial" w:hAnsi="Arial"/>
                <w:sz w:val="18"/>
                <w:szCs w:val="18"/>
                <w:color w:val="auto"/>
              </w:rPr>
              <w:t>Services Fees; Payment Terms</w:t>
            </w:r>
          </w:p>
        </w:tc>
        <w:tc>
          <w:tcPr>
            <w:tcW w:w="9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360" w:type="dxa"/>
            <w:vAlign w:val="bottom"/>
          </w:tcPr>
          <w:p>
            <w:pPr>
              <w:spacing w:after="0"/>
              <w:rPr>
                <w:sz w:val="18"/>
                <w:szCs w:val="18"/>
                <w:color w:val="auto"/>
              </w:rPr>
            </w:pPr>
          </w:p>
        </w:tc>
        <w:tc>
          <w:tcPr>
            <w:tcW w:w="720" w:type="dxa"/>
            <w:vAlign w:val="bottom"/>
          </w:tcPr>
          <w:p>
            <w:pPr>
              <w:ind w:left="220"/>
              <w:spacing w:after="0"/>
              <w:rPr>
                <w:sz w:val="20"/>
                <w:szCs w:val="20"/>
                <w:color w:val="auto"/>
              </w:rPr>
            </w:pPr>
            <w:r>
              <w:rPr>
                <w:rFonts w:ascii="Arial" w:cs="Arial" w:eastAsia="Arial" w:hAnsi="Arial"/>
                <w:sz w:val="18"/>
                <w:szCs w:val="18"/>
                <w:color w:val="auto"/>
              </w:rPr>
              <w:t>5.2</w:t>
            </w:r>
          </w:p>
        </w:tc>
        <w:tc>
          <w:tcPr>
            <w:tcW w:w="9400" w:type="dxa"/>
            <w:vAlign w:val="bottom"/>
          </w:tcPr>
          <w:p>
            <w:pPr>
              <w:ind w:left="180"/>
              <w:spacing w:after="0"/>
              <w:rPr>
                <w:sz w:val="20"/>
                <w:szCs w:val="20"/>
                <w:color w:val="auto"/>
              </w:rPr>
            </w:pPr>
            <w:r>
              <w:rPr>
                <w:rFonts w:ascii="Arial" w:cs="Arial" w:eastAsia="Arial" w:hAnsi="Arial"/>
                <w:sz w:val="18"/>
                <w:szCs w:val="18"/>
                <w:color w:val="auto"/>
              </w:rPr>
              <w:t>Delinquent Payments</w:t>
            </w:r>
          </w:p>
        </w:tc>
        <w:tc>
          <w:tcPr>
            <w:tcW w:w="9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360" w:type="dxa"/>
            <w:vAlign w:val="bottom"/>
          </w:tcPr>
          <w:p>
            <w:pPr>
              <w:spacing w:after="0"/>
              <w:rPr>
                <w:sz w:val="18"/>
                <w:szCs w:val="18"/>
                <w:color w:val="auto"/>
              </w:rPr>
            </w:pPr>
          </w:p>
        </w:tc>
        <w:tc>
          <w:tcPr>
            <w:tcW w:w="720" w:type="dxa"/>
            <w:vAlign w:val="bottom"/>
          </w:tcPr>
          <w:p>
            <w:pPr>
              <w:ind w:left="220"/>
              <w:spacing w:after="0"/>
              <w:rPr>
                <w:sz w:val="20"/>
                <w:szCs w:val="20"/>
                <w:color w:val="auto"/>
              </w:rPr>
            </w:pPr>
            <w:r>
              <w:rPr>
                <w:rFonts w:ascii="Arial" w:cs="Arial" w:eastAsia="Arial" w:hAnsi="Arial"/>
                <w:sz w:val="18"/>
                <w:szCs w:val="18"/>
                <w:color w:val="auto"/>
              </w:rPr>
              <w:t>5.3</w:t>
            </w:r>
          </w:p>
        </w:tc>
        <w:tc>
          <w:tcPr>
            <w:tcW w:w="9400" w:type="dxa"/>
            <w:vAlign w:val="bottom"/>
          </w:tcPr>
          <w:p>
            <w:pPr>
              <w:ind w:left="180"/>
              <w:spacing w:after="0"/>
              <w:rPr>
                <w:sz w:val="20"/>
                <w:szCs w:val="20"/>
                <w:color w:val="auto"/>
              </w:rPr>
            </w:pPr>
            <w:r>
              <w:rPr>
                <w:rFonts w:ascii="Arial" w:cs="Arial" w:eastAsia="Arial" w:hAnsi="Arial"/>
                <w:sz w:val="18"/>
                <w:szCs w:val="18"/>
                <w:color w:val="auto"/>
              </w:rPr>
              <w:t>Books and Records; Audited Financial Statements</w:t>
            </w:r>
          </w:p>
        </w:tc>
        <w:tc>
          <w:tcPr>
            <w:tcW w:w="9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360" w:type="dxa"/>
            <w:vAlign w:val="bottom"/>
          </w:tcPr>
          <w:p>
            <w:pPr>
              <w:spacing w:after="0"/>
              <w:rPr>
                <w:sz w:val="20"/>
                <w:szCs w:val="20"/>
                <w:color w:val="auto"/>
              </w:rPr>
            </w:pPr>
          </w:p>
        </w:tc>
        <w:tc>
          <w:tcPr>
            <w:tcW w:w="720" w:type="dxa"/>
            <w:vAlign w:val="bottom"/>
          </w:tcPr>
          <w:p>
            <w:pPr>
              <w:ind w:left="220"/>
              <w:spacing w:after="0"/>
              <w:rPr>
                <w:sz w:val="20"/>
                <w:szCs w:val="20"/>
                <w:color w:val="auto"/>
              </w:rPr>
            </w:pPr>
            <w:r>
              <w:rPr>
                <w:rFonts w:ascii="Arial" w:cs="Arial" w:eastAsia="Arial" w:hAnsi="Arial"/>
                <w:sz w:val="18"/>
                <w:szCs w:val="18"/>
                <w:color w:val="auto"/>
              </w:rPr>
              <w:t>5.4</w:t>
            </w:r>
          </w:p>
        </w:tc>
        <w:tc>
          <w:tcPr>
            <w:tcW w:w="9400" w:type="dxa"/>
            <w:vAlign w:val="bottom"/>
          </w:tcPr>
          <w:p>
            <w:pPr>
              <w:ind w:left="180"/>
              <w:spacing w:after="0"/>
              <w:rPr>
                <w:sz w:val="20"/>
                <w:szCs w:val="20"/>
                <w:color w:val="auto"/>
              </w:rPr>
            </w:pPr>
            <w:r>
              <w:rPr>
                <w:rFonts w:ascii="Arial" w:cs="Arial" w:eastAsia="Arial" w:hAnsi="Arial"/>
                <w:sz w:val="18"/>
                <w:szCs w:val="18"/>
                <w:color w:val="auto"/>
              </w:rPr>
              <w:t>Examinations</w:t>
            </w:r>
          </w:p>
        </w:tc>
        <w:tc>
          <w:tcPr>
            <w:tcW w:w="9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32"/>
        </w:trPr>
        <w:tc>
          <w:tcPr>
            <w:tcW w:w="360" w:type="dxa"/>
            <w:vAlign w:val="bottom"/>
          </w:tcPr>
          <w:p>
            <w:pPr>
              <w:jc w:val="right"/>
              <w:ind w:right="130"/>
              <w:spacing w:after="0"/>
              <w:rPr>
                <w:sz w:val="20"/>
                <w:szCs w:val="20"/>
                <w:color w:val="auto"/>
              </w:rPr>
            </w:pPr>
            <w:r>
              <w:rPr>
                <w:rFonts w:ascii="Arial" w:cs="Arial" w:eastAsia="Arial" w:hAnsi="Arial"/>
                <w:sz w:val="18"/>
                <w:szCs w:val="18"/>
                <w:color w:val="auto"/>
                <w:w w:val="79"/>
              </w:rPr>
              <w:t>6.</w:t>
            </w:r>
          </w:p>
        </w:tc>
        <w:tc>
          <w:tcPr>
            <w:tcW w:w="10120" w:type="dxa"/>
            <w:vAlign w:val="bottom"/>
            <w:gridSpan w:val="2"/>
          </w:tcPr>
          <w:p>
            <w:pPr>
              <w:ind w:left="220"/>
              <w:spacing w:after="0"/>
              <w:rPr>
                <w:sz w:val="20"/>
                <w:szCs w:val="20"/>
                <w:color w:val="auto"/>
              </w:rPr>
            </w:pPr>
            <w:r>
              <w:rPr>
                <w:rFonts w:ascii="Arial" w:cs="Arial" w:eastAsia="Arial" w:hAnsi="Arial"/>
                <w:sz w:val="18"/>
                <w:szCs w:val="18"/>
                <w:color w:val="auto"/>
              </w:rPr>
              <w:t>Term, Termination</w:t>
            </w:r>
          </w:p>
        </w:tc>
        <w:tc>
          <w:tcPr>
            <w:tcW w:w="9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18"/>
        </w:trPr>
        <w:tc>
          <w:tcPr>
            <w:tcW w:w="360" w:type="dxa"/>
            <w:vAlign w:val="bottom"/>
          </w:tcPr>
          <w:p>
            <w:pPr>
              <w:spacing w:after="0"/>
              <w:rPr>
                <w:sz w:val="24"/>
                <w:szCs w:val="24"/>
                <w:color w:val="auto"/>
              </w:rPr>
            </w:pPr>
          </w:p>
        </w:tc>
        <w:tc>
          <w:tcPr>
            <w:tcW w:w="720" w:type="dxa"/>
            <w:vAlign w:val="bottom"/>
          </w:tcPr>
          <w:p>
            <w:pPr>
              <w:ind w:left="220"/>
              <w:spacing w:after="0"/>
              <w:rPr>
                <w:sz w:val="20"/>
                <w:szCs w:val="20"/>
                <w:color w:val="auto"/>
              </w:rPr>
            </w:pPr>
            <w:r>
              <w:rPr>
                <w:rFonts w:ascii="Arial" w:cs="Arial" w:eastAsia="Arial" w:hAnsi="Arial"/>
                <w:sz w:val="18"/>
                <w:szCs w:val="18"/>
                <w:color w:val="auto"/>
              </w:rPr>
              <w:t>6.1</w:t>
            </w:r>
          </w:p>
        </w:tc>
        <w:tc>
          <w:tcPr>
            <w:tcW w:w="9400" w:type="dxa"/>
            <w:vAlign w:val="bottom"/>
          </w:tcPr>
          <w:p>
            <w:pPr>
              <w:ind w:left="180"/>
              <w:spacing w:after="0"/>
              <w:rPr>
                <w:sz w:val="20"/>
                <w:szCs w:val="20"/>
                <w:color w:val="auto"/>
              </w:rPr>
            </w:pPr>
            <w:r>
              <w:rPr>
                <w:rFonts w:ascii="Arial" w:cs="Arial" w:eastAsia="Arial" w:hAnsi="Arial"/>
                <w:sz w:val="18"/>
                <w:szCs w:val="18"/>
                <w:color w:val="auto"/>
              </w:rPr>
              <w:t>Term</w:t>
            </w:r>
          </w:p>
        </w:tc>
        <w:tc>
          <w:tcPr>
            <w:tcW w:w="9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360" w:type="dxa"/>
            <w:vAlign w:val="bottom"/>
          </w:tcPr>
          <w:p>
            <w:pPr>
              <w:spacing w:after="0"/>
              <w:rPr>
                <w:sz w:val="18"/>
                <w:szCs w:val="18"/>
                <w:color w:val="auto"/>
              </w:rPr>
            </w:pPr>
          </w:p>
        </w:tc>
        <w:tc>
          <w:tcPr>
            <w:tcW w:w="720" w:type="dxa"/>
            <w:vAlign w:val="bottom"/>
          </w:tcPr>
          <w:p>
            <w:pPr>
              <w:ind w:left="220"/>
              <w:spacing w:after="0"/>
              <w:rPr>
                <w:sz w:val="20"/>
                <w:szCs w:val="20"/>
                <w:color w:val="auto"/>
              </w:rPr>
            </w:pPr>
            <w:r>
              <w:rPr>
                <w:rFonts w:ascii="Arial" w:cs="Arial" w:eastAsia="Arial" w:hAnsi="Arial"/>
                <w:sz w:val="18"/>
                <w:szCs w:val="18"/>
                <w:color w:val="auto"/>
              </w:rPr>
              <w:t>6.2</w:t>
            </w:r>
          </w:p>
        </w:tc>
        <w:tc>
          <w:tcPr>
            <w:tcW w:w="9400" w:type="dxa"/>
            <w:vAlign w:val="bottom"/>
          </w:tcPr>
          <w:p>
            <w:pPr>
              <w:ind w:left="180"/>
              <w:spacing w:after="0"/>
              <w:rPr>
                <w:sz w:val="20"/>
                <w:szCs w:val="20"/>
                <w:color w:val="auto"/>
              </w:rPr>
            </w:pPr>
            <w:r>
              <w:rPr>
                <w:rFonts w:ascii="Arial" w:cs="Arial" w:eastAsia="Arial" w:hAnsi="Arial"/>
                <w:sz w:val="18"/>
                <w:szCs w:val="18"/>
                <w:color w:val="auto"/>
              </w:rPr>
              <w:t>Non-Renewal of Initial Term or Any Renewal Term; Fee Payable</w:t>
            </w:r>
          </w:p>
        </w:tc>
        <w:tc>
          <w:tcPr>
            <w:tcW w:w="9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360" w:type="dxa"/>
            <w:vAlign w:val="bottom"/>
          </w:tcPr>
          <w:p>
            <w:pPr>
              <w:spacing w:after="0"/>
              <w:rPr>
                <w:sz w:val="18"/>
                <w:szCs w:val="18"/>
                <w:color w:val="auto"/>
              </w:rPr>
            </w:pPr>
          </w:p>
        </w:tc>
        <w:tc>
          <w:tcPr>
            <w:tcW w:w="720" w:type="dxa"/>
            <w:vAlign w:val="bottom"/>
          </w:tcPr>
          <w:p>
            <w:pPr>
              <w:ind w:left="220"/>
              <w:spacing w:after="0"/>
              <w:rPr>
                <w:sz w:val="20"/>
                <w:szCs w:val="20"/>
                <w:color w:val="auto"/>
              </w:rPr>
            </w:pPr>
            <w:r>
              <w:rPr>
                <w:rFonts w:ascii="Arial" w:cs="Arial" w:eastAsia="Arial" w:hAnsi="Arial"/>
                <w:sz w:val="18"/>
                <w:szCs w:val="18"/>
                <w:color w:val="auto"/>
              </w:rPr>
              <w:t>6.3</w:t>
            </w:r>
          </w:p>
        </w:tc>
        <w:tc>
          <w:tcPr>
            <w:tcW w:w="9400" w:type="dxa"/>
            <w:vAlign w:val="bottom"/>
          </w:tcPr>
          <w:p>
            <w:pPr>
              <w:ind w:left="180"/>
              <w:spacing w:after="0"/>
              <w:rPr>
                <w:sz w:val="20"/>
                <w:szCs w:val="20"/>
                <w:color w:val="auto"/>
              </w:rPr>
            </w:pPr>
            <w:r>
              <w:rPr>
                <w:rFonts w:ascii="Arial" w:cs="Arial" w:eastAsia="Arial" w:hAnsi="Arial"/>
                <w:sz w:val="18"/>
                <w:szCs w:val="18"/>
                <w:color w:val="auto"/>
              </w:rPr>
              <w:t>Early Termination of Initial Term; Fee Payable</w:t>
            </w:r>
          </w:p>
        </w:tc>
        <w:tc>
          <w:tcPr>
            <w:tcW w:w="9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360" w:type="dxa"/>
            <w:vAlign w:val="bottom"/>
          </w:tcPr>
          <w:p>
            <w:pPr>
              <w:spacing w:after="0"/>
              <w:rPr>
                <w:sz w:val="18"/>
                <w:szCs w:val="18"/>
                <w:color w:val="auto"/>
              </w:rPr>
            </w:pPr>
          </w:p>
        </w:tc>
        <w:tc>
          <w:tcPr>
            <w:tcW w:w="720" w:type="dxa"/>
            <w:vAlign w:val="bottom"/>
          </w:tcPr>
          <w:p>
            <w:pPr>
              <w:ind w:left="220"/>
              <w:spacing w:after="0"/>
              <w:rPr>
                <w:sz w:val="20"/>
                <w:szCs w:val="20"/>
                <w:color w:val="auto"/>
              </w:rPr>
            </w:pPr>
            <w:r>
              <w:rPr>
                <w:rFonts w:ascii="Arial" w:cs="Arial" w:eastAsia="Arial" w:hAnsi="Arial"/>
                <w:sz w:val="18"/>
                <w:szCs w:val="18"/>
                <w:color w:val="auto"/>
              </w:rPr>
              <w:t>6.4</w:t>
            </w:r>
          </w:p>
        </w:tc>
        <w:tc>
          <w:tcPr>
            <w:tcW w:w="9400" w:type="dxa"/>
            <w:vAlign w:val="bottom"/>
          </w:tcPr>
          <w:p>
            <w:pPr>
              <w:ind w:left="180"/>
              <w:spacing w:after="0"/>
              <w:rPr>
                <w:sz w:val="20"/>
                <w:szCs w:val="20"/>
                <w:color w:val="auto"/>
              </w:rPr>
            </w:pPr>
            <w:r>
              <w:rPr>
                <w:rFonts w:ascii="Arial" w:cs="Arial" w:eastAsia="Arial" w:hAnsi="Arial"/>
                <w:sz w:val="18"/>
                <w:szCs w:val="18"/>
                <w:color w:val="auto"/>
              </w:rPr>
              <w:t>Termination of Agreement for Breach</w:t>
            </w:r>
          </w:p>
        </w:tc>
        <w:tc>
          <w:tcPr>
            <w:tcW w:w="9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360" w:type="dxa"/>
            <w:vAlign w:val="bottom"/>
          </w:tcPr>
          <w:p>
            <w:pPr>
              <w:spacing w:after="0"/>
              <w:rPr>
                <w:sz w:val="18"/>
                <w:szCs w:val="18"/>
                <w:color w:val="auto"/>
              </w:rPr>
            </w:pPr>
          </w:p>
        </w:tc>
        <w:tc>
          <w:tcPr>
            <w:tcW w:w="720" w:type="dxa"/>
            <w:vAlign w:val="bottom"/>
          </w:tcPr>
          <w:p>
            <w:pPr>
              <w:ind w:left="220"/>
              <w:spacing w:after="0"/>
              <w:rPr>
                <w:sz w:val="20"/>
                <w:szCs w:val="20"/>
                <w:color w:val="auto"/>
              </w:rPr>
            </w:pPr>
            <w:r>
              <w:rPr>
                <w:rFonts w:ascii="Arial" w:cs="Arial" w:eastAsia="Arial" w:hAnsi="Arial"/>
                <w:sz w:val="18"/>
                <w:szCs w:val="18"/>
                <w:color w:val="auto"/>
              </w:rPr>
              <w:t>6.5</w:t>
            </w:r>
          </w:p>
        </w:tc>
        <w:tc>
          <w:tcPr>
            <w:tcW w:w="9400" w:type="dxa"/>
            <w:vAlign w:val="bottom"/>
          </w:tcPr>
          <w:p>
            <w:pPr>
              <w:ind w:left="180"/>
              <w:spacing w:after="0"/>
              <w:rPr>
                <w:sz w:val="20"/>
                <w:szCs w:val="20"/>
                <w:color w:val="auto"/>
              </w:rPr>
            </w:pPr>
            <w:r>
              <w:rPr>
                <w:rFonts w:ascii="Arial" w:cs="Arial" w:eastAsia="Arial" w:hAnsi="Arial"/>
                <w:sz w:val="18"/>
                <w:szCs w:val="18"/>
                <w:color w:val="auto"/>
              </w:rPr>
              <w:t>Termination of Particular Service</w:t>
            </w:r>
          </w:p>
        </w:tc>
        <w:tc>
          <w:tcPr>
            <w:tcW w:w="9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360" w:type="dxa"/>
            <w:vAlign w:val="bottom"/>
          </w:tcPr>
          <w:p>
            <w:pPr>
              <w:spacing w:after="0"/>
              <w:rPr>
                <w:sz w:val="18"/>
                <w:szCs w:val="18"/>
                <w:color w:val="auto"/>
              </w:rPr>
            </w:pPr>
          </w:p>
        </w:tc>
        <w:tc>
          <w:tcPr>
            <w:tcW w:w="720" w:type="dxa"/>
            <w:vAlign w:val="bottom"/>
          </w:tcPr>
          <w:p>
            <w:pPr>
              <w:ind w:left="220"/>
              <w:spacing w:after="0"/>
              <w:rPr>
                <w:sz w:val="20"/>
                <w:szCs w:val="20"/>
                <w:color w:val="auto"/>
              </w:rPr>
            </w:pPr>
            <w:r>
              <w:rPr>
                <w:rFonts w:ascii="Arial" w:cs="Arial" w:eastAsia="Arial" w:hAnsi="Arial"/>
                <w:sz w:val="18"/>
                <w:szCs w:val="18"/>
                <w:color w:val="auto"/>
              </w:rPr>
              <w:t>6.6</w:t>
            </w:r>
          </w:p>
        </w:tc>
        <w:tc>
          <w:tcPr>
            <w:tcW w:w="9400" w:type="dxa"/>
            <w:vAlign w:val="bottom"/>
          </w:tcPr>
          <w:p>
            <w:pPr>
              <w:ind w:left="180"/>
              <w:spacing w:after="0"/>
              <w:rPr>
                <w:sz w:val="20"/>
                <w:szCs w:val="20"/>
                <w:color w:val="auto"/>
              </w:rPr>
            </w:pPr>
            <w:r>
              <w:rPr>
                <w:rFonts w:ascii="Arial" w:cs="Arial" w:eastAsia="Arial" w:hAnsi="Arial"/>
                <w:sz w:val="18"/>
                <w:szCs w:val="18"/>
                <w:color w:val="auto"/>
              </w:rPr>
              <w:t>Special Termination Right</w:t>
            </w:r>
          </w:p>
        </w:tc>
        <w:tc>
          <w:tcPr>
            <w:tcW w:w="9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360" w:type="dxa"/>
            <w:vAlign w:val="bottom"/>
          </w:tcPr>
          <w:p>
            <w:pPr>
              <w:spacing w:after="0"/>
              <w:rPr>
                <w:sz w:val="18"/>
                <w:szCs w:val="18"/>
                <w:color w:val="auto"/>
              </w:rPr>
            </w:pPr>
          </w:p>
        </w:tc>
        <w:tc>
          <w:tcPr>
            <w:tcW w:w="720" w:type="dxa"/>
            <w:vAlign w:val="bottom"/>
          </w:tcPr>
          <w:p>
            <w:pPr>
              <w:ind w:left="220"/>
              <w:spacing w:after="0"/>
              <w:rPr>
                <w:sz w:val="20"/>
                <w:szCs w:val="20"/>
                <w:color w:val="auto"/>
              </w:rPr>
            </w:pPr>
            <w:r>
              <w:rPr>
                <w:rFonts w:ascii="Arial" w:cs="Arial" w:eastAsia="Arial" w:hAnsi="Arial"/>
                <w:sz w:val="18"/>
                <w:szCs w:val="18"/>
                <w:color w:val="auto"/>
              </w:rPr>
              <w:t>6.7</w:t>
            </w:r>
          </w:p>
        </w:tc>
        <w:tc>
          <w:tcPr>
            <w:tcW w:w="9400" w:type="dxa"/>
            <w:vAlign w:val="bottom"/>
          </w:tcPr>
          <w:p>
            <w:pPr>
              <w:ind w:left="180"/>
              <w:spacing w:after="0"/>
              <w:rPr>
                <w:sz w:val="20"/>
                <w:szCs w:val="20"/>
                <w:color w:val="auto"/>
              </w:rPr>
            </w:pPr>
            <w:r>
              <w:rPr>
                <w:rFonts w:ascii="Arial" w:cs="Arial" w:eastAsia="Arial" w:hAnsi="Arial"/>
                <w:sz w:val="18"/>
                <w:szCs w:val="18"/>
                <w:color w:val="auto"/>
              </w:rPr>
              <w:t>Effect of Termination</w:t>
            </w:r>
          </w:p>
        </w:tc>
        <w:tc>
          <w:tcPr>
            <w:tcW w:w="9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360" w:type="dxa"/>
            <w:vAlign w:val="bottom"/>
          </w:tcPr>
          <w:p>
            <w:pPr>
              <w:spacing w:after="0"/>
              <w:rPr>
                <w:sz w:val="18"/>
                <w:szCs w:val="18"/>
                <w:color w:val="auto"/>
              </w:rPr>
            </w:pPr>
          </w:p>
        </w:tc>
        <w:tc>
          <w:tcPr>
            <w:tcW w:w="720" w:type="dxa"/>
            <w:vAlign w:val="bottom"/>
          </w:tcPr>
          <w:p>
            <w:pPr>
              <w:ind w:left="220"/>
              <w:spacing w:after="0"/>
              <w:rPr>
                <w:sz w:val="20"/>
                <w:szCs w:val="20"/>
                <w:color w:val="auto"/>
              </w:rPr>
            </w:pPr>
            <w:r>
              <w:rPr>
                <w:rFonts w:ascii="Arial" w:cs="Arial" w:eastAsia="Arial" w:hAnsi="Arial"/>
                <w:sz w:val="18"/>
                <w:szCs w:val="18"/>
                <w:color w:val="auto"/>
              </w:rPr>
              <w:t>6.8</w:t>
            </w:r>
          </w:p>
        </w:tc>
        <w:tc>
          <w:tcPr>
            <w:tcW w:w="9400" w:type="dxa"/>
            <w:vAlign w:val="bottom"/>
          </w:tcPr>
          <w:p>
            <w:pPr>
              <w:ind w:left="180"/>
              <w:spacing w:after="0"/>
              <w:rPr>
                <w:sz w:val="20"/>
                <w:szCs w:val="20"/>
                <w:color w:val="auto"/>
              </w:rPr>
            </w:pPr>
            <w:r>
              <w:rPr>
                <w:rFonts w:ascii="Arial" w:cs="Arial" w:eastAsia="Arial" w:hAnsi="Arial"/>
                <w:sz w:val="18"/>
                <w:szCs w:val="18"/>
                <w:color w:val="auto"/>
              </w:rPr>
              <w:t>Transition Services</w:t>
            </w:r>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360" w:type="dxa"/>
            <w:vAlign w:val="bottom"/>
          </w:tcPr>
          <w:p>
            <w:pPr>
              <w:spacing w:after="0"/>
              <w:rPr>
                <w:sz w:val="20"/>
                <w:szCs w:val="20"/>
                <w:color w:val="auto"/>
              </w:rPr>
            </w:pPr>
          </w:p>
        </w:tc>
        <w:tc>
          <w:tcPr>
            <w:tcW w:w="720" w:type="dxa"/>
            <w:vAlign w:val="bottom"/>
          </w:tcPr>
          <w:p>
            <w:pPr>
              <w:ind w:left="220"/>
              <w:spacing w:after="0"/>
              <w:rPr>
                <w:sz w:val="20"/>
                <w:szCs w:val="20"/>
                <w:color w:val="auto"/>
              </w:rPr>
            </w:pPr>
            <w:r>
              <w:rPr>
                <w:rFonts w:ascii="Arial" w:cs="Arial" w:eastAsia="Arial" w:hAnsi="Arial"/>
                <w:sz w:val="18"/>
                <w:szCs w:val="18"/>
                <w:color w:val="auto"/>
              </w:rPr>
              <w:t>6.9</w:t>
            </w:r>
          </w:p>
        </w:tc>
        <w:tc>
          <w:tcPr>
            <w:tcW w:w="9400" w:type="dxa"/>
            <w:vAlign w:val="bottom"/>
          </w:tcPr>
          <w:p>
            <w:pPr>
              <w:ind w:left="180"/>
              <w:spacing w:after="0"/>
              <w:rPr>
                <w:sz w:val="20"/>
                <w:szCs w:val="20"/>
                <w:color w:val="auto"/>
              </w:rPr>
            </w:pPr>
            <w:r>
              <w:rPr>
                <w:rFonts w:ascii="Arial" w:cs="Arial" w:eastAsia="Arial" w:hAnsi="Arial"/>
                <w:sz w:val="18"/>
                <w:szCs w:val="18"/>
                <w:color w:val="auto"/>
              </w:rPr>
              <w:t>Assumption of Certain Services Functions</w:t>
            </w:r>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360" w:type="dxa"/>
            <w:vAlign w:val="bottom"/>
          </w:tcPr>
          <w:p>
            <w:pPr>
              <w:jc w:val="center"/>
              <w:ind w:right="70"/>
              <w:spacing w:after="0"/>
              <w:rPr>
                <w:sz w:val="20"/>
                <w:szCs w:val="20"/>
                <w:color w:val="auto"/>
              </w:rPr>
            </w:pPr>
            <w:r>
              <w:rPr>
                <w:rFonts w:ascii="Arial" w:cs="Arial" w:eastAsia="Arial" w:hAnsi="Arial"/>
                <w:sz w:val="18"/>
                <w:szCs w:val="18"/>
                <w:b w:val="1"/>
                <w:bCs w:val="1"/>
                <w:color w:val="auto"/>
                <w:w w:val="98"/>
              </w:rPr>
              <w:t>TABLE OF CONTENTS</w:t>
            </w: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360" w:type="dxa"/>
            <w:vAlign w:val="bottom"/>
          </w:tcPr>
          <w:p>
            <w:pPr>
              <w:jc w:val="center"/>
              <w:ind w:right="90"/>
              <w:spacing w:after="0"/>
              <w:rPr>
                <w:sz w:val="20"/>
                <w:szCs w:val="20"/>
                <w:color w:val="auto"/>
              </w:rPr>
            </w:pPr>
            <w:r>
              <w:rPr>
                <w:rFonts w:ascii="Arial" w:cs="Arial" w:eastAsia="Arial" w:hAnsi="Arial"/>
                <w:sz w:val="18"/>
                <w:szCs w:val="18"/>
                <w:b w:val="1"/>
                <w:bCs w:val="1"/>
                <w:color w:val="auto"/>
                <w:w w:val="95"/>
              </w:rPr>
              <w:t>(Cont’d)</w:t>
            </w: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65"/>
        </w:trPr>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360" w:type="dxa"/>
            <w:vAlign w:val="bottom"/>
          </w:tcPr>
          <w:p>
            <w:pPr>
              <w:spacing w:after="0"/>
              <w:rPr>
                <w:sz w:val="24"/>
                <w:szCs w:val="24"/>
                <w:color w:val="auto"/>
              </w:rPr>
            </w:pPr>
          </w:p>
        </w:tc>
        <w:tc>
          <w:tcPr>
            <w:tcW w:w="9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Page No.</w:t>
            </w:r>
          </w:p>
        </w:tc>
        <w:tc>
          <w:tcPr>
            <w:tcW w:w="40" w:type="dxa"/>
            <w:vAlign w:val="bottom"/>
          </w:tcPr>
          <w:p>
            <w:pPr>
              <w:spacing w:after="0"/>
              <w:rPr>
                <w:sz w:val="24"/>
                <w:szCs w:val="24"/>
                <w:color w:val="auto"/>
              </w:rPr>
            </w:pPr>
          </w:p>
        </w:tc>
      </w:tr>
      <w:tr>
        <w:trPr>
          <w:trHeight w:val="426"/>
        </w:trPr>
        <w:tc>
          <w:tcPr>
            <w:tcW w:w="420" w:type="dxa"/>
            <w:vAlign w:val="bottom"/>
          </w:tcPr>
          <w:p>
            <w:pPr>
              <w:spacing w:after="0"/>
              <w:rPr>
                <w:sz w:val="20"/>
                <w:szCs w:val="20"/>
                <w:color w:val="auto"/>
              </w:rPr>
            </w:pPr>
            <w:r>
              <w:rPr>
                <w:rFonts w:ascii="Arial" w:cs="Arial" w:eastAsia="Arial" w:hAnsi="Arial"/>
                <w:sz w:val="18"/>
                <w:szCs w:val="18"/>
                <w:color w:val="auto"/>
              </w:rPr>
              <w:t>7.</w:t>
            </w:r>
          </w:p>
        </w:tc>
        <w:tc>
          <w:tcPr>
            <w:tcW w:w="10060" w:type="dxa"/>
            <w:vAlign w:val="bottom"/>
            <w:gridSpan w:val="2"/>
          </w:tcPr>
          <w:p>
            <w:pPr>
              <w:ind w:left="160"/>
              <w:spacing w:after="0"/>
              <w:rPr>
                <w:sz w:val="20"/>
                <w:szCs w:val="20"/>
                <w:color w:val="auto"/>
              </w:rPr>
            </w:pPr>
            <w:r>
              <w:rPr>
                <w:rFonts w:ascii="Arial" w:cs="Arial" w:eastAsia="Arial" w:hAnsi="Arial"/>
                <w:sz w:val="18"/>
                <w:szCs w:val="18"/>
                <w:color w:val="auto"/>
              </w:rPr>
              <w:t>Tax Matters</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r>
      <w:tr>
        <w:trPr>
          <w:trHeight w:val="418"/>
        </w:trPr>
        <w:tc>
          <w:tcPr>
            <w:tcW w:w="420" w:type="dxa"/>
            <w:vAlign w:val="bottom"/>
          </w:tcPr>
          <w:p>
            <w:pPr>
              <w:spacing w:after="0"/>
              <w:rPr>
                <w:sz w:val="24"/>
                <w:szCs w:val="24"/>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7.1</w:t>
            </w:r>
          </w:p>
        </w:tc>
        <w:tc>
          <w:tcPr>
            <w:tcW w:w="9360" w:type="dxa"/>
            <w:vAlign w:val="bottom"/>
          </w:tcPr>
          <w:p>
            <w:pPr>
              <w:ind w:left="140"/>
              <w:spacing w:after="0"/>
              <w:rPr>
                <w:sz w:val="20"/>
                <w:szCs w:val="20"/>
                <w:color w:val="auto"/>
              </w:rPr>
            </w:pPr>
            <w:r>
              <w:rPr>
                <w:rFonts w:ascii="Arial" w:cs="Arial" w:eastAsia="Arial" w:hAnsi="Arial"/>
                <w:sz w:val="18"/>
                <w:szCs w:val="18"/>
                <w:color w:val="auto"/>
              </w:rPr>
              <w:t>Tax</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r>
      <w:tr>
        <w:trPr>
          <w:trHeight w:val="216"/>
        </w:trPr>
        <w:tc>
          <w:tcPr>
            <w:tcW w:w="420" w:type="dxa"/>
            <w:vAlign w:val="bottom"/>
          </w:tcPr>
          <w:p>
            <w:pPr>
              <w:spacing w:after="0"/>
              <w:rPr>
                <w:sz w:val="18"/>
                <w:szCs w:val="18"/>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7.2</w:t>
            </w:r>
          </w:p>
        </w:tc>
        <w:tc>
          <w:tcPr>
            <w:tcW w:w="9360" w:type="dxa"/>
            <w:vAlign w:val="bottom"/>
          </w:tcPr>
          <w:p>
            <w:pPr>
              <w:ind w:left="140"/>
              <w:spacing w:after="0"/>
              <w:rPr>
                <w:sz w:val="20"/>
                <w:szCs w:val="20"/>
                <w:color w:val="auto"/>
              </w:rPr>
            </w:pPr>
            <w:r>
              <w:rPr>
                <w:rFonts w:ascii="Arial" w:cs="Arial" w:eastAsia="Arial" w:hAnsi="Arial"/>
                <w:sz w:val="18"/>
                <w:szCs w:val="18"/>
                <w:color w:val="auto"/>
              </w:rPr>
              <w:t>Tax Withholding</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r>
      <w:tr>
        <w:trPr>
          <w:trHeight w:val="230"/>
        </w:trPr>
        <w:tc>
          <w:tcPr>
            <w:tcW w:w="420" w:type="dxa"/>
            <w:vAlign w:val="bottom"/>
          </w:tcPr>
          <w:p>
            <w:pPr>
              <w:spacing w:after="0"/>
              <w:rPr>
                <w:sz w:val="20"/>
                <w:szCs w:val="20"/>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7.3</w:t>
            </w:r>
          </w:p>
        </w:tc>
        <w:tc>
          <w:tcPr>
            <w:tcW w:w="9360" w:type="dxa"/>
            <w:vAlign w:val="bottom"/>
          </w:tcPr>
          <w:p>
            <w:pPr>
              <w:ind w:left="140"/>
              <w:spacing w:after="0"/>
              <w:rPr>
                <w:sz w:val="20"/>
                <w:szCs w:val="20"/>
                <w:color w:val="auto"/>
              </w:rPr>
            </w:pPr>
            <w:r>
              <w:rPr>
                <w:rFonts w:ascii="Arial" w:cs="Arial" w:eastAsia="Arial" w:hAnsi="Arial"/>
                <w:sz w:val="18"/>
                <w:szCs w:val="18"/>
                <w:color w:val="auto"/>
              </w:rPr>
              <w:t>Tax Indemnity</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r>
      <w:tr>
        <w:trPr>
          <w:trHeight w:val="432"/>
        </w:trPr>
        <w:tc>
          <w:tcPr>
            <w:tcW w:w="420" w:type="dxa"/>
            <w:vAlign w:val="bottom"/>
          </w:tcPr>
          <w:p>
            <w:pPr>
              <w:spacing w:after="0"/>
              <w:rPr>
                <w:sz w:val="20"/>
                <w:szCs w:val="20"/>
                <w:color w:val="auto"/>
              </w:rPr>
            </w:pPr>
            <w:r>
              <w:rPr>
                <w:rFonts w:ascii="Arial" w:cs="Arial" w:eastAsia="Arial" w:hAnsi="Arial"/>
                <w:sz w:val="18"/>
                <w:szCs w:val="18"/>
                <w:color w:val="auto"/>
              </w:rPr>
              <w:t>8.</w:t>
            </w:r>
          </w:p>
        </w:tc>
        <w:tc>
          <w:tcPr>
            <w:tcW w:w="10060" w:type="dxa"/>
            <w:vAlign w:val="bottom"/>
            <w:gridSpan w:val="2"/>
          </w:tcPr>
          <w:p>
            <w:pPr>
              <w:ind w:left="160"/>
              <w:spacing w:after="0"/>
              <w:rPr>
                <w:sz w:val="20"/>
                <w:szCs w:val="20"/>
                <w:color w:val="auto"/>
              </w:rPr>
            </w:pPr>
            <w:r>
              <w:rPr>
                <w:rFonts w:ascii="Arial" w:cs="Arial" w:eastAsia="Arial" w:hAnsi="Arial"/>
                <w:sz w:val="18"/>
                <w:szCs w:val="18"/>
                <w:color w:val="auto"/>
              </w:rPr>
              <w:t>Indemnification for Third Party Claims</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r>
      <w:tr>
        <w:trPr>
          <w:trHeight w:val="418"/>
        </w:trPr>
        <w:tc>
          <w:tcPr>
            <w:tcW w:w="420" w:type="dxa"/>
            <w:vAlign w:val="bottom"/>
          </w:tcPr>
          <w:p>
            <w:pPr>
              <w:spacing w:after="0"/>
              <w:rPr>
                <w:sz w:val="24"/>
                <w:szCs w:val="24"/>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8.1</w:t>
            </w:r>
          </w:p>
        </w:tc>
        <w:tc>
          <w:tcPr>
            <w:tcW w:w="9360" w:type="dxa"/>
            <w:vAlign w:val="bottom"/>
          </w:tcPr>
          <w:p>
            <w:pPr>
              <w:ind w:left="140"/>
              <w:spacing w:after="0"/>
              <w:rPr>
                <w:sz w:val="20"/>
                <w:szCs w:val="20"/>
                <w:color w:val="auto"/>
              </w:rPr>
            </w:pPr>
            <w:r>
              <w:rPr>
                <w:rFonts w:ascii="Arial" w:cs="Arial" w:eastAsia="Arial" w:hAnsi="Arial"/>
                <w:sz w:val="18"/>
                <w:szCs w:val="18"/>
                <w:color w:val="auto"/>
              </w:rPr>
              <w:t>Indemnification of University</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r>
      <w:tr>
        <w:trPr>
          <w:trHeight w:val="216"/>
        </w:trPr>
        <w:tc>
          <w:tcPr>
            <w:tcW w:w="420" w:type="dxa"/>
            <w:vAlign w:val="bottom"/>
          </w:tcPr>
          <w:p>
            <w:pPr>
              <w:spacing w:after="0"/>
              <w:rPr>
                <w:sz w:val="18"/>
                <w:szCs w:val="18"/>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8.2</w:t>
            </w:r>
          </w:p>
        </w:tc>
        <w:tc>
          <w:tcPr>
            <w:tcW w:w="9360" w:type="dxa"/>
            <w:vAlign w:val="bottom"/>
          </w:tcPr>
          <w:p>
            <w:pPr>
              <w:ind w:left="140"/>
              <w:spacing w:after="0"/>
              <w:rPr>
                <w:sz w:val="20"/>
                <w:szCs w:val="20"/>
                <w:color w:val="auto"/>
              </w:rPr>
            </w:pPr>
            <w:r>
              <w:rPr>
                <w:rFonts w:ascii="Arial" w:cs="Arial" w:eastAsia="Arial" w:hAnsi="Arial"/>
                <w:sz w:val="18"/>
                <w:szCs w:val="18"/>
                <w:color w:val="auto"/>
              </w:rPr>
              <w:t>Indemnification of Provider</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r>
      <w:tr>
        <w:trPr>
          <w:trHeight w:val="230"/>
        </w:trPr>
        <w:tc>
          <w:tcPr>
            <w:tcW w:w="420" w:type="dxa"/>
            <w:vAlign w:val="bottom"/>
          </w:tcPr>
          <w:p>
            <w:pPr>
              <w:spacing w:after="0"/>
              <w:rPr>
                <w:sz w:val="20"/>
                <w:szCs w:val="20"/>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8.3</w:t>
            </w:r>
          </w:p>
        </w:tc>
        <w:tc>
          <w:tcPr>
            <w:tcW w:w="9360" w:type="dxa"/>
            <w:vAlign w:val="bottom"/>
          </w:tcPr>
          <w:p>
            <w:pPr>
              <w:ind w:left="140"/>
              <w:spacing w:after="0"/>
              <w:rPr>
                <w:sz w:val="20"/>
                <w:szCs w:val="20"/>
                <w:color w:val="auto"/>
              </w:rPr>
            </w:pPr>
            <w:r>
              <w:rPr>
                <w:rFonts w:ascii="Arial" w:cs="Arial" w:eastAsia="Arial" w:hAnsi="Arial"/>
                <w:sz w:val="18"/>
                <w:szCs w:val="18"/>
                <w:color w:val="auto"/>
              </w:rPr>
              <w:t>Conditions</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r>
      <w:tr>
        <w:trPr>
          <w:trHeight w:val="432"/>
        </w:trPr>
        <w:tc>
          <w:tcPr>
            <w:tcW w:w="420" w:type="dxa"/>
            <w:vAlign w:val="bottom"/>
          </w:tcPr>
          <w:p>
            <w:pPr>
              <w:spacing w:after="0"/>
              <w:rPr>
                <w:sz w:val="20"/>
                <w:szCs w:val="20"/>
                <w:color w:val="auto"/>
              </w:rPr>
            </w:pPr>
            <w:r>
              <w:rPr>
                <w:rFonts w:ascii="Arial" w:cs="Arial" w:eastAsia="Arial" w:hAnsi="Arial"/>
                <w:sz w:val="18"/>
                <w:szCs w:val="18"/>
                <w:color w:val="auto"/>
              </w:rPr>
              <w:t>9.</w:t>
            </w:r>
          </w:p>
        </w:tc>
        <w:tc>
          <w:tcPr>
            <w:tcW w:w="10060" w:type="dxa"/>
            <w:vAlign w:val="bottom"/>
            <w:gridSpan w:val="2"/>
          </w:tcPr>
          <w:p>
            <w:pPr>
              <w:ind w:left="160"/>
              <w:spacing w:after="0"/>
              <w:rPr>
                <w:sz w:val="20"/>
                <w:szCs w:val="20"/>
                <w:color w:val="auto"/>
              </w:rPr>
            </w:pPr>
            <w:r>
              <w:rPr>
                <w:rFonts w:ascii="Arial" w:cs="Arial" w:eastAsia="Arial" w:hAnsi="Arial"/>
                <w:sz w:val="18"/>
                <w:szCs w:val="18"/>
                <w:color w:val="auto"/>
              </w:rPr>
              <w:t>Confidentiality</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r>
      <w:tr>
        <w:trPr>
          <w:trHeight w:val="418"/>
        </w:trPr>
        <w:tc>
          <w:tcPr>
            <w:tcW w:w="420" w:type="dxa"/>
            <w:vAlign w:val="bottom"/>
          </w:tcPr>
          <w:p>
            <w:pPr>
              <w:spacing w:after="0"/>
              <w:rPr>
                <w:sz w:val="24"/>
                <w:szCs w:val="24"/>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9.1</w:t>
            </w:r>
          </w:p>
        </w:tc>
        <w:tc>
          <w:tcPr>
            <w:tcW w:w="9360" w:type="dxa"/>
            <w:vAlign w:val="bottom"/>
          </w:tcPr>
          <w:p>
            <w:pPr>
              <w:ind w:left="140"/>
              <w:spacing w:after="0"/>
              <w:rPr>
                <w:sz w:val="20"/>
                <w:szCs w:val="20"/>
                <w:color w:val="auto"/>
              </w:rPr>
            </w:pPr>
            <w:r>
              <w:rPr>
                <w:rFonts w:ascii="Arial" w:cs="Arial" w:eastAsia="Arial" w:hAnsi="Arial"/>
                <w:sz w:val="18"/>
                <w:szCs w:val="18"/>
                <w:color w:val="auto"/>
              </w:rPr>
              <w:t>Definition</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r>
      <w:tr>
        <w:trPr>
          <w:trHeight w:val="216"/>
        </w:trPr>
        <w:tc>
          <w:tcPr>
            <w:tcW w:w="420" w:type="dxa"/>
            <w:vAlign w:val="bottom"/>
          </w:tcPr>
          <w:p>
            <w:pPr>
              <w:spacing w:after="0"/>
              <w:rPr>
                <w:sz w:val="18"/>
                <w:szCs w:val="18"/>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9.2</w:t>
            </w:r>
          </w:p>
        </w:tc>
        <w:tc>
          <w:tcPr>
            <w:tcW w:w="9360" w:type="dxa"/>
            <w:vAlign w:val="bottom"/>
          </w:tcPr>
          <w:p>
            <w:pPr>
              <w:ind w:left="140"/>
              <w:spacing w:after="0"/>
              <w:rPr>
                <w:sz w:val="20"/>
                <w:szCs w:val="20"/>
                <w:color w:val="auto"/>
              </w:rPr>
            </w:pPr>
            <w:r>
              <w:rPr>
                <w:rFonts w:ascii="Arial" w:cs="Arial" w:eastAsia="Arial" w:hAnsi="Arial"/>
                <w:sz w:val="18"/>
                <w:szCs w:val="18"/>
                <w:color w:val="auto"/>
              </w:rPr>
              <w:t>Obligations</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r>
      <w:tr>
        <w:trPr>
          <w:trHeight w:val="216"/>
        </w:trPr>
        <w:tc>
          <w:tcPr>
            <w:tcW w:w="420" w:type="dxa"/>
            <w:vAlign w:val="bottom"/>
          </w:tcPr>
          <w:p>
            <w:pPr>
              <w:spacing w:after="0"/>
              <w:rPr>
                <w:sz w:val="18"/>
                <w:szCs w:val="18"/>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9.3</w:t>
            </w:r>
          </w:p>
        </w:tc>
        <w:tc>
          <w:tcPr>
            <w:tcW w:w="9360" w:type="dxa"/>
            <w:vAlign w:val="bottom"/>
          </w:tcPr>
          <w:p>
            <w:pPr>
              <w:ind w:left="140"/>
              <w:spacing w:after="0"/>
              <w:rPr>
                <w:sz w:val="20"/>
                <w:szCs w:val="20"/>
                <w:color w:val="auto"/>
              </w:rPr>
            </w:pPr>
            <w:r>
              <w:rPr>
                <w:rFonts w:ascii="Arial" w:cs="Arial" w:eastAsia="Arial" w:hAnsi="Arial"/>
                <w:sz w:val="18"/>
                <w:szCs w:val="18"/>
                <w:color w:val="auto"/>
              </w:rPr>
              <w:t>Permitted Disclosures</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r>
      <w:tr>
        <w:trPr>
          <w:trHeight w:val="216"/>
        </w:trPr>
        <w:tc>
          <w:tcPr>
            <w:tcW w:w="420" w:type="dxa"/>
            <w:vAlign w:val="bottom"/>
          </w:tcPr>
          <w:p>
            <w:pPr>
              <w:spacing w:after="0"/>
              <w:rPr>
                <w:sz w:val="18"/>
                <w:szCs w:val="18"/>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9.4</w:t>
            </w:r>
          </w:p>
        </w:tc>
        <w:tc>
          <w:tcPr>
            <w:tcW w:w="9360" w:type="dxa"/>
            <w:vAlign w:val="bottom"/>
          </w:tcPr>
          <w:p>
            <w:pPr>
              <w:ind w:left="140"/>
              <w:spacing w:after="0"/>
              <w:rPr>
                <w:sz w:val="20"/>
                <w:szCs w:val="20"/>
                <w:color w:val="auto"/>
              </w:rPr>
            </w:pPr>
            <w:r>
              <w:rPr>
                <w:rFonts w:ascii="Arial" w:cs="Arial" w:eastAsia="Arial" w:hAnsi="Arial"/>
                <w:sz w:val="18"/>
                <w:szCs w:val="18"/>
                <w:color w:val="auto"/>
              </w:rPr>
              <w:t>Exclusions</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r>
      <w:tr>
        <w:trPr>
          <w:trHeight w:val="216"/>
        </w:trPr>
        <w:tc>
          <w:tcPr>
            <w:tcW w:w="420" w:type="dxa"/>
            <w:vAlign w:val="bottom"/>
          </w:tcPr>
          <w:p>
            <w:pPr>
              <w:spacing w:after="0"/>
              <w:rPr>
                <w:sz w:val="18"/>
                <w:szCs w:val="18"/>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9.5</w:t>
            </w:r>
          </w:p>
        </w:tc>
        <w:tc>
          <w:tcPr>
            <w:tcW w:w="9360" w:type="dxa"/>
            <w:vAlign w:val="bottom"/>
          </w:tcPr>
          <w:p>
            <w:pPr>
              <w:ind w:left="140"/>
              <w:spacing w:after="0"/>
              <w:rPr>
                <w:sz w:val="20"/>
                <w:szCs w:val="20"/>
                <w:color w:val="auto"/>
              </w:rPr>
            </w:pPr>
            <w:r>
              <w:rPr>
                <w:rFonts w:ascii="Arial" w:cs="Arial" w:eastAsia="Arial" w:hAnsi="Arial"/>
                <w:sz w:val="18"/>
                <w:szCs w:val="18"/>
                <w:color w:val="auto"/>
              </w:rPr>
              <w:t>Loss of Confidential Information</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r>
      <w:tr>
        <w:trPr>
          <w:trHeight w:val="216"/>
        </w:trPr>
        <w:tc>
          <w:tcPr>
            <w:tcW w:w="420" w:type="dxa"/>
            <w:vAlign w:val="bottom"/>
          </w:tcPr>
          <w:p>
            <w:pPr>
              <w:spacing w:after="0"/>
              <w:rPr>
                <w:sz w:val="18"/>
                <w:szCs w:val="18"/>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9.6</w:t>
            </w:r>
          </w:p>
        </w:tc>
        <w:tc>
          <w:tcPr>
            <w:tcW w:w="9360" w:type="dxa"/>
            <w:vAlign w:val="bottom"/>
          </w:tcPr>
          <w:p>
            <w:pPr>
              <w:ind w:left="140"/>
              <w:spacing w:after="0"/>
              <w:rPr>
                <w:sz w:val="20"/>
                <w:szCs w:val="20"/>
                <w:color w:val="auto"/>
              </w:rPr>
            </w:pPr>
            <w:r>
              <w:rPr>
                <w:rFonts w:ascii="Arial" w:cs="Arial" w:eastAsia="Arial" w:hAnsi="Arial"/>
                <w:sz w:val="18"/>
                <w:szCs w:val="18"/>
                <w:color w:val="auto"/>
              </w:rPr>
              <w:t>Period of Confidentiality</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r>
      <w:tr>
        <w:trPr>
          <w:trHeight w:val="230"/>
        </w:trPr>
        <w:tc>
          <w:tcPr>
            <w:tcW w:w="420" w:type="dxa"/>
            <w:vAlign w:val="bottom"/>
          </w:tcPr>
          <w:p>
            <w:pPr>
              <w:spacing w:after="0"/>
              <w:rPr>
                <w:sz w:val="20"/>
                <w:szCs w:val="20"/>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9.7</w:t>
            </w:r>
          </w:p>
        </w:tc>
        <w:tc>
          <w:tcPr>
            <w:tcW w:w="9360" w:type="dxa"/>
            <w:vAlign w:val="bottom"/>
          </w:tcPr>
          <w:p>
            <w:pPr>
              <w:ind w:left="140"/>
              <w:spacing w:after="0"/>
              <w:rPr>
                <w:sz w:val="20"/>
                <w:szCs w:val="20"/>
                <w:color w:val="auto"/>
              </w:rPr>
            </w:pPr>
            <w:r>
              <w:rPr>
                <w:rFonts w:ascii="Arial" w:cs="Arial" w:eastAsia="Arial" w:hAnsi="Arial"/>
                <w:sz w:val="18"/>
                <w:szCs w:val="18"/>
                <w:color w:val="auto"/>
              </w:rPr>
              <w:t>Return of Confidential Information</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r>
      <w:tr>
        <w:trPr>
          <w:trHeight w:val="432"/>
        </w:trPr>
        <w:tc>
          <w:tcPr>
            <w:tcW w:w="420" w:type="dxa"/>
            <w:vAlign w:val="bottom"/>
          </w:tcPr>
          <w:p>
            <w:pPr>
              <w:spacing w:after="0"/>
              <w:rPr>
                <w:sz w:val="20"/>
                <w:szCs w:val="20"/>
                <w:color w:val="auto"/>
              </w:rPr>
            </w:pPr>
            <w:r>
              <w:rPr>
                <w:rFonts w:ascii="Arial" w:cs="Arial" w:eastAsia="Arial" w:hAnsi="Arial"/>
                <w:sz w:val="18"/>
                <w:szCs w:val="18"/>
                <w:color w:val="auto"/>
              </w:rPr>
              <w:t>10.</w:t>
            </w:r>
          </w:p>
        </w:tc>
        <w:tc>
          <w:tcPr>
            <w:tcW w:w="10060" w:type="dxa"/>
            <w:vAlign w:val="bottom"/>
            <w:gridSpan w:val="2"/>
          </w:tcPr>
          <w:p>
            <w:pPr>
              <w:ind w:left="160"/>
              <w:spacing w:after="0"/>
              <w:rPr>
                <w:sz w:val="20"/>
                <w:szCs w:val="20"/>
                <w:color w:val="auto"/>
              </w:rPr>
            </w:pPr>
            <w:r>
              <w:rPr>
                <w:rFonts w:ascii="Arial" w:cs="Arial" w:eastAsia="Arial" w:hAnsi="Arial"/>
                <w:sz w:val="18"/>
                <w:szCs w:val="18"/>
                <w:color w:val="auto"/>
              </w:rPr>
              <w:t>Intellectual Property Rights</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r>
      <w:tr>
        <w:trPr>
          <w:trHeight w:val="418"/>
        </w:trPr>
        <w:tc>
          <w:tcPr>
            <w:tcW w:w="420" w:type="dxa"/>
            <w:vAlign w:val="bottom"/>
          </w:tcPr>
          <w:p>
            <w:pPr>
              <w:spacing w:after="0"/>
              <w:rPr>
                <w:sz w:val="24"/>
                <w:szCs w:val="24"/>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10.1</w:t>
            </w:r>
          </w:p>
        </w:tc>
        <w:tc>
          <w:tcPr>
            <w:tcW w:w="9360" w:type="dxa"/>
            <w:vAlign w:val="bottom"/>
          </w:tcPr>
          <w:p>
            <w:pPr>
              <w:ind w:left="140"/>
              <w:spacing w:after="0"/>
              <w:rPr>
                <w:sz w:val="20"/>
                <w:szCs w:val="20"/>
                <w:color w:val="auto"/>
              </w:rPr>
            </w:pPr>
            <w:r>
              <w:rPr>
                <w:rFonts w:ascii="Arial" w:cs="Arial" w:eastAsia="Arial" w:hAnsi="Arial"/>
                <w:sz w:val="18"/>
                <w:szCs w:val="18"/>
                <w:color w:val="auto"/>
              </w:rPr>
              <w:t>Definitions</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r>
      <w:tr>
        <w:trPr>
          <w:trHeight w:val="216"/>
        </w:trPr>
        <w:tc>
          <w:tcPr>
            <w:tcW w:w="420" w:type="dxa"/>
            <w:vAlign w:val="bottom"/>
          </w:tcPr>
          <w:p>
            <w:pPr>
              <w:spacing w:after="0"/>
              <w:rPr>
                <w:sz w:val="18"/>
                <w:szCs w:val="18"/>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10.2</w:t>
            </w:r>
          </w:p>
        </w:tc>
        <w:tc>
          <w:tcPr>
            <w:tcW w:w="9360" w:type="dxa"/>
            <w:vAlign w:val="bottom"/>
          </w:tcPr>
          <w:p>
            <w:pPr>
              <w:ind w:left="140"/>
              <w:spacing w:after="0"/>
              <w:rPr>
                <w:sz w:val="20"/>
                <w:szCs w:val="20"/>
                <w:color w:val="auto"/>
              </w:rPr>
            </w:pPr>
            <w:r>
              <w:rPr>
                <w:rFonts w:ascii="Arial" w:cs="Arial" w:eastAsia="Arial" w:hAnsi="Arial"/>
                <w:sz w:val="18"/>
                <w:szCs w:val="18"/>
                <w:color w:val="auto"/>
              </w:rPr>
              <w:t>Ownership</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r>
      <w:tr>
        <w:trPr>
          <w:trHeight w:val="216"/>
        </w:trPr>
        <w:tc>
          <w:tcPr>
            <w:tcW w:w="420" w:type="dxa"/>
            <w:vAlign w:val="bottom"/>
          </w:tcPr>
          <w:p>
            <w:pPr>
              <w:spacing w:after="0"/>
              <w:rPr>
                <w:sz w:val="18"/>
                <w:szCs w:val="18"/>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10.3</w:t>
            </w:r>
          </w:p>
        </w:tc>
        <w:tc>
          <w:tcPr>
            <w:tcW w:w="9360" w:type="dxa"/>
            <w:vAlign w:val="bottom"/>
          </w:tcPr>
          <w:p>
            <w:pPr>
              <w:ind w:left="140"/>
              <w:spacing w:after="0"/>
              <w:rPr>
                <w:sz w:val="20"/>
                <w:szCs w:val="20"/>
                <w:color w:val="auto"/>
              </w:rPr>
            </w:pPr>
            <w:r>
              <w:rPr>
                <w:rFonts w:ascii="Arial" w:cs="Arial" w:eastAsia="Arial" w:hAnsi="Arial"/>
                <w:sz w:val="18"/>
                <w:szCs w:val="18"/>
                <w:color w:val="auto"/>
              </w:rPr>
              <w:t>License to Course Materials</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r>
      <w:tr>
        <w:trPr>
          <w:trHeight w:val="216"/>
        </w:trPr>
        <w:tc>
          <w:tcPr>
            <w:tcW w:w="420" w:type="dxa"/>
            <w:vAlign w:val="bottom"/>
          </w:tcPr>
          <w:p>
            <w:pPr>
              <w:spacing w:after="0"/>
              <w:rPr>
                <w:sz w:val="18"/>
                <w:szCs w:val="18"/>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10.4</w:t>
            </w:r>
          </w:p>
        </w:tc>
        <w:tc>
          <w:tcPr>
            <w:tcW w:w="9360" w:type="dxa"/>
            <w:vAlign w:val="bottom"/>
          </w:tcPr>
          <w:p>
            <w:pPr>
              <w:ind w:left="140"/>
              <w:spacing w:after="0"/>
              <w:rPr>
                <w:sz w:val="20"/>
                <w:szCs w:val="20"/>
                <w:color w:val="auto"/>
              </w:rPr>
            </w:pPr>
            <w:r>
              <w:rPr>
                <w:rFonts w:ascii="Arial" w:cs="Arial" w:eastAsia="Arial" w:hAnsi="Arial"/>
                <w:sz w:val="18"/>
                <w:szCs w:val="18"/>
                <w:color w:val="auto"/>
              </w:rPr>
              <w:t>License to Other University Intellectual Property</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r>
      <w:tr>
        <w:trPr>
          <w:trHeight w:val="216"/>
        </w:trPr>
        <w:tc>
          <w:tcPr>
            <w:tcW w:w="420" w:type="dxa"/>
            <w:vAlign w:val="bottom"/>
          </w:tcPr>
          <w:p>
            <w:pPr>
              <w:spacing w:after="0"/>
              <w:rPr>
                <w:sz w:val="18"/>
                <w:szCs w:val="18"/>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10.5</w:t>
            </w:r>
          </w:p>
        </w:tc>
        <w:tc>
          <w:tcPr>
            <w:tcW w:w="9360" w:type="dxa"/>
            <w:vAlign w:val="bottom"/>
          </w:tcPr>
          <w:p>
            <w:pPr>
              <w:ind w:left="140"/>
              <w:spacing w:after="0"/>
              <w:rPr>
                <w:sz w:val="20"/>
                <w:szCs w:val="20"/>
                <w:color w:val="auto"/>
              </w:rPr>
            </w:pPr>
            <w:r>
              <w:rPr>
                <w:rFonts w:ascii="Arial" w:cs="Arial" w:eastAsia="Arial" w:hAnsi="Arial"/>
                <w:sz w:val="18"/>
                <w:szCs w:val="18"/>
                <w:color w:val="auto"/>
              </w:rPr>
              <w:t>License to University Marks</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r>
      <w:tr>
        <w:trPr>
          <w:trHeight w:val="216"/>
        </w:trPr>
        <w:tc>
          <w:tcPr>
            <w:tcW w:w="420" w:type="dxa"/>
            <w:vAlign w:val="bottom"/>
          </w:tcPr>
          <w:p>
            <w:pPr>
              <w:spacing w:after="0"/>
              <w:rPr>
                <w:sz w:val="18"/>
                <w:szCs w:val="18"/>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10.6</w:t>
            </w:r>
          </w:p>
        </w:tc>
        <w:tc>
          <w:tcPr>
            <w:tcW w:w="9360" w:type="dxa"/>
            <w:vAlign w:val="bottom"/>
          </w:tcPr>
          <w:p>
            <w:pPr>
              <w:ind w:left="140"/>
              <w:spacing w:after="0"/>
              <w:rPr>
                <w:sz w:val="20"/>
                <w:szCs w:val="20"/>
                <w:color w:val="auto"/>
              </w:rPr>
            </w:pPr>
            <w:r>
              <w:rPr>
                <w:rFonts w:ascii="Arial" w:cs="Arial" w:eastAsia="Arial" w:hAnsi="Arial"/>
                <w:sz w:val="18"/>
                <w:szCs w:val="18"/>
                <w:color w:val="auto"/>
              </w:rPr>
              <w:t>Reservation of Rights</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r>
      <w:tr>
        <w:trPr>
          <w:trHeight w:val="216"/>
        </w:trPr>
        <w:tc>
          <w:tcPr>
            <w:tcW w:w="420" w:type="dxa"/>
            <w:vAlign w:val="bottom"/>
          </w:tcPr>
          <w:p>
            <w:pPr>
              <w:spacing w:after="0"/>
              <w:rPr>
                <w:sz w:val="18"/>
                <w:szCs w:val="18"/>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10.7</w:t>
            </w:r>
          </w:p>
        </w:tc>
        <w:tc>
          <w:tcPr>
            <w:tcW w:w="9360" w:type="dxa"/>
            <w:vAlign w:val="bottom"/>
          </w:tcPr>
          <w:p>
            <w:pPr>
              <w:ind w:left="140"/>
              <w:spacing w:after="0"/>
              <w:rPr>
                <w:sz w:val="20"/>
                <w:szCs w:val="20"/>
                <w:color w:val="auto"/>
              </w:rPr>
            </w:pPr>
            <w:r>
              <w:rPr>
                <w:rFonts w:ascii="Arial" w:cs="Arial" w:eastAsia="Arial" w:hAnsi="Arial"/>
                <w:sz w:val="18"/>
                <w:szCs w:val="18"/>
                <w:color w:val="auto"/>
              </w:rPr>
              <w:t>Domain Names; Additional Trademarks</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r>
      <w:tr>
        <w:trPr>
          <w:trHeight w:val="216"/>
        </w:trPr>
        <w:tc>
          <w:tcPr>
            <w:tcW w:w="420" w:type="dxa"/>
            <w:vAlign w:val="bottom"/>
          </w:tcPr>
          <w:p>
            <w:pPr>
              <w:spacing w:after="0"/>
              <w:rPr>
                <w:sz w:val="18"/>
                <w:szCs w:val="18"/>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10.8</w:t>
            </w:r>
          </w:p>
        </w:tc>
        <w:tc>
          <w:tcPr>
            <w:tcW w:w="9360" w:type="dxa"/>
            <w:vAlign w:val="bottom"/>
          </w:tcPr>
          <w:p>
            <w:pPr>
              <w:ind w:left="140"/>
              <w:spacing w:after="0"/>
              <w:rPr>
                <w:sz w:val="20"/>
                <w:szCs w:val="20"/>
                <w:color w:val="auto"/>
              </w:rPr>
            </w:pPr>
            <w:r>
              <w:rPr>
                <w:rFonts w:ascii="Arial" w:cs="Arial" w:eastAsia="Arial" w:hAnsi="Arial"/>
                <w:sz w:val="18"/>
                <w:szCs w:val="18"/>
                <w:color w:val="auto"/>
              </w:rPr>
              <w:t>Restrictions on Trademark Usage</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r>
      <w:tr>
        <w:trPr>
          <w:trHeight w:val="216"/>
        </w:trPr>
        <w:tc>
          <w:tcPr>
            <w:tcW w:w="420" w:type="dxa"/>
            <w:vAlign w:val="bottom"/>
          </w:tcPr>
          <w:p>
            <w:pPr>
              <w:spacing w:after="0"/>
              <w:rPr>
                <w:sz w:val="18"/>
                <w:szCs w:val="18"/>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10.9</w:t>
            </w:r>
          </w:p>
        </w:tc>
        <w:tc>
          <w:tcPr>
            <w:tcW w:w="9360" w:type="dxa"/>
            <w:vAlign w:val="bottom"/>
          </w:tcPr>
          <w:p>
            <w:pPr>
              <w:ind w:left="140"/>
              <w:spacing w:after="0"/>
              <w:rPr>
                <w:sz w:val="20"/>
                <w:szCs w:val="20"/>
                <w:color w:val="auto"/>
              </w:rPr>
            </w:pPr>
            <w:r>
              <w:rPr>
                <w:rFonts w:ascii="Arial" w:cs="Arial" w:eastAsia="Arial" w:hAnsi="Arial"/>
                <w:sz w:val="18"/>
                <w:szCs w:val="18"/>
                <w:color w:val="auto"/>
              </w:rPr>
              <w:t>Quality Control</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r>
      <w:tr>
        <w:trPr>
          <w:trHeight w:val="216"/>
        </w:trPr>
        <w:tc>
          <w:tcPr>
            <w:tcW w:w="420" w:type="dxa"/>
            <w:vAlign w:val="bottom"/>
          </w:tcPr>
          <w:p>
            <w:pPr>
              <w:spacing w:after="0"/>
              <w:rPr>
                <w:sz w:val="18"/>
                <w:szCs w:val="18"/>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10.10</w:t>
            </w:r>
          </w:p>
        </w:tc>
        <w:tc>
          <w:tcPr>
            <w:tcW w:w="9360" w:type="dxa"/>
            <w:vAlign w:val="bottom"/>
          </w:tcPr>
          <w:p>
            <w:pPr>
              <w:ind w:left="140"/>
              <w:spacing w:after="0"/>
              <w:rPr>
                <w:sz w:val="20"/>
                <w:szCs w:val="20"/>
                <w:color w:val="auto"/>
              </w:rPr>
            </w:pPr>
            <w:r>
              <w:rPr>
                <w:rFonts w:ascii="Arial" w:cs="Arial" w:eastAsia="Arial" w:hAnsi="Arial"/>
                <w:sz w:val="18"/>
                <w:szCs w:val="18"/>
                <w:color w:val="auto"/>
              </w:rPr>
              <w:t>License to Provider Intellectual Property</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r>
      <w:tr>
        <w:trPr>
          <w:trHeight w:val="216"/>
        </w:trPr>
        <w:tc>
          <w:tcPr>
            <w:tcW w:w="420" w:type="dxa"/>
            <w:vAlign w:val="bottom"/>
          </w:tcPr>
          <w:p>
            <w:pPr>
              <w:spacing w:after="0"/>
              <w:rPr>
                <w:sz w:val="18"/>
                <w:szCs w:val="18"/>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10.11</w:t>
            </w:r>
          </w:p>
        </w:tc>
        <w:tc>
          <w:tcPr>
            <w:tcW w:w="9360" w:type="dxa"/>
            <w:vAlign w:val="bottom"/>
          </w:tcPr>
          <w:p>
            <w:pPr>
              <w:ind w:left="140"/>
              <w:spacing w:after="0"/>
              <w:rPr>
                <w:sz w:val="20"/>
                <w:szCs w:val="20"/>
                <w:color w:val="auto"/>
              </w:rPr>
            </w:pPr>
            <w:r>
              <w:rPr>
                <w:rFonts w:ascii="Arial" w:cs="Arial" w:eastAsia="Arial" w:hAnsi="Arial"/>
                <w:sz w:val="18"/>
                <w:szCs w:val="18"/>
                <w:color w:val="auto"/>
              </w:rPr>
              <w:t>Licenses to Plans and Plan Information</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r>
      <w:tr>
        <w:trPr>
          <w:trHeight w:val="216"/>
        </w:trPr>
        <w:tc>
          <w:tcPr>
            <w:tcW w:w="420" w:type="dxa"/>
            <w:vAlign w:val="bottom"/>
          </w:tcPr>
          <w:p>
            <w:pPr>
              <w:spacing w:after="0"/>
              <w:rPr>
                <w:sz w:val="18"/>
                <w:szCs w:val="18"/>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10.12</w:t>
            </w:r>
          </w:p>
        </w:tc>
        <w:tc>
          <w:tcPr>
            <w:tcW w:w="9360" w:type="dxa"/>
            <w:vAlign w:val="bottom"/>
          </w:tcPr>
          <w:p>
            <w:pPr>
              <w:ind w:left="140"/>
              <w:spacing w:after="0"/>
              <w:rPr>
                <w:sz w:val="20"/>
                <w:szCs w:val="20"/>
                <w:color w:val="auto"/>
              </w:rPr>
            </w:pPr>
            <w:r>
              <w:rPr>
                <w:rFonts w:ascii="Arial" w:cs="Arial" w:eastAsia="Arial" w:hAnsi="Arial"/>
                <w:sz w:val="18"/>
                <w:szCs w:val="18"/>
                <w:color w:val="auto"/>
              </w:rPr>
              <w:t>No Additional Rights</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r>
      <w:tr>
        <w:trPr>
          <w:trHeight w:val="230"/>
        </w:trPr>
        <w:tc>
          <w:tcPr>
            <w:tcW w:w="420" w:type="dxa"/>
            <w:vAlign w:val="bottom"/>
          </w:tcPr>
          <w:p>
            <w:pPr>
              <w:spacing w:after="0"/>
              <w:rPr>
                <w:sz w:val="20"/>
                <w:szCs w:val="20"/>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10.13</w:t>
            </w:r>
          </w:p>
        </w:tc>
        <w:tc>
          <w:tcPr>
            <w:tcW w:w="9360" w:type="dxa"/>
            <w:vAlign w:val="bottom"/>
          </w:tcPr>
          <w:p>
            <w:pPr>
              <w:ind w:left="140"/>
              <w:spacing w:after="0"/>
              <w:rPr>
                <w:sz w:val="20"/>
                <w:szCs w:val="20"/>
                <w:color w:val="auto"/>
              </w:rPr>
            </w:pPr>
            <w:r>
              <w:rPr>
                <w:rFonts w:ascii="Arial" w:cs="Arial" w:eastAsia="Arial" w:hAnsi="Arial"/>
                <w:sz w:val="18"/>
                <w:szCs w:val="18"/>
                <w:color w:val="auto"/>
              </w:rPr>
              <w:t>Aggregated Data Sets</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r>
      <w:tr>
        <w:trPr>
          <w:trHeight w:val="432"/>
        </w:trPr>
        <w:tc>
          <w:tcPr>
            <w:tcW w:w="420" w:type="dxa"/>
            <w:vAlign w:val="bottom"/>
          </w:tcPr>
          <w:p>
            <w:pPr>
              <w:spacing w:after="0"/>
              <w:rPr>
                <w:sz w:val="20"/>
                <w:szCs w:val="20"/>
                <w:color w:val="auto"/>
              </w:rPr>
            </w:pPr>
            <w:r>
              <w:rPr>
                <w:rFonts w:ascii="Arial" w:cs="Arial" w:eastAsia="Arial" w:hAnsi="Arial"/>
                <w:sz w:val="18"/>
                <w:szCs w:val="18"/>
                <w:color w:val="auto"/>
              </w:rPr>
              <w:t>11.</w:t>
            </w:r>
          </w:p>
        </w:tc>
        <w:tc>
          <w:tcPr>
            <w:tcW w:w="10060" w:type="dxa"/>
            <w:vAlign w:val="bottom"/>
            <w:gridSpan w:val="2"/>
          </w:tcPr>
          <w:p>
            <w:pPr>
              <w:ind w:left="160"/>
              <w:spacing w:after="0"/>
              <w:rPr>
                <w:sz w:val="20"/>
                <w:szCs w:val="20"/>
                <w:color w:val="auto"/>
              </w:rPr>
            </w:pPr>
            <w:r>
              <w:rPr>
                <w:rFonts w:ascii="Arial" w:cs="Arial" w:eastAsia="Arial" w:hAnsi="Arial"/>
                <w:sz w:val="18"/>
                <w:szCs w:val="18"/>
                <w:color w:val="auto"/>
              </w:rPr>
              <w:t>Limitation of Liability</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r>
      <w:tr>
        <w:trPr>
          <w:trHeight w:val="432"/>
        </w:trPr>
        <w:tc>
          <w:tcPr>
            <w:tcW w:w="420" w:type="dxa"/>
            <w:vAlign w:val="bottom"/>
          </w:tcPr>
          <w:p>
            <w:pPr>
              <w:spacing w:after="0"/>
              <w:rPr>
                <w:sz w:val="20"/>
                <w:szCs w:val="20"/>
                <w:color w:val="auto"/>
              </w:rPr>
            </w:pPr>
            <w:r>
              <w:rPr>
                <w:rFonts w:ascii="Arial" w:cs="Arial" w:eastAsia="Arial" w:hAnsi="Arial"/>
                <w:sz w:val="18"/>
                <w:szCs w:val="18"/>
                <w:color w:val="auto"/>
              </w:rPr>
              <w:t>12.</w:t>
            </w:r>
          </w:p>
        </w:tc>
        <w:tc>
          <w:tcPr>
            <w:tcW w:w="10060" w:type="dxa"/>
            <w:vAlign w:val="bottom"/>
            <w:gridSpan w:val="2"/>
          </w:tcPr>
          <w:p>
            <w:pPr>
              <w:ind w:left="160"/>
              <w:spacing w:after="0"/>
              <w:rPr>
                <w:sz w:val="20"/>
                <w:szCs w:val="20"/>
                <w:color w:val="auto"/>
              </w:rPr>
            </w:pPr>
            <w:r>
              <w:rPr>
                <w:rFonts w:ascii="Arial" w:cs="Arial" w:eastAsia="Arial" w:hAnsi="Arial"/>
                <w:sz w:val="18"/>
                <w:szCs w:val="18"/>
                <w:color w:val="auto"/>
              </w:rPr>
              <w:t>Force Majeure</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r>
      <w:tr>
        <w:trPr>
          <w:trHeight w:val="432"/>
        </w:trPr>
        <w:tc>
          <w:tcPr>
            <w:tcW w:w="420" w:type="dxa"/>
            <w:vAlign w:val="bottom"/>
          </w:tcPr>
          <w:p>
            <w:pPr>
              <w:spacing w:after="0"/>
              <w:rPr>
                <w:sz w:val="20"/>
                <w:szCs w:val="20"/>
                <w:color w:val="auto"/>
              </w:rPr>
            </w:pPr>
            <w:r>
              <w:rPr>
                <w:rFonts w:ascii="Arial" w:cs="Arial" w:eastAsia="Arial" w:hAnsi="Arial"/>
                <w:sz w:val="18"/>
                <w:szCs w:val="18"/>
                <w:color w:val="auto"/>
              </w:rPr>
              <w:t>13.</w:t>
            </w:r>
          </w:p>
        </w:tc>
        <w:tc>
          <w:tcPr>
            <w:tcW w:w="10060" w:type="dxa"/>
            <w:vAlign w:val="bottom"/>
            <w:gridSpan w:val="2"/>
          </w:tcPr>
          <w:p>
            <w:pPr>
              <w:ind w:left="160"/>
              <w:spacing w:after="0"/>
              <w:rPr>
                <w:sz w:val="20"/>
                <w:szCs w:val="20"/>
                <w:color w:val="auto"/>
              </w:rPr>
            </w:pPr>
            <w:r>
              <w:rPr>
                <w:rFonts w:ascii="Arial" w:cs="Arial" w:eastAsia="Arial" w:hAnsi="Arial"/>
                <w:sz w:val="18"/>
                <w:szCs w:val="18"/>
                <w:color w:val="auto"/>
              </w:rPr>
              <w:t>Available Remedies</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r>
      <w:tr>
        <w:trPr>
          <w:trHeight w:val="432"/>
        </w:trPr>
        <w:tc>
          <w:tcPr>
            <w:tcW w:w="420" w:type="dxa"/>
            <w:vAlign w:val="bottom"/>
          </w:tcPr>
          <w:p>
            <w:pPr>
              <w:spacing w:after="0"/>
              <w:rPr>
                <w:sz w:val="20"/>
                <w:szCs w:val="20"/>
                <w:color w:val="auto"/>
              </w:rPr>
            </w:pPr>
            <w:r>
              <w:rPr>
                <w:rFonts w:ascii="Arial" w:cs="Arial" w:eastAsia="Arial" w:hAnsi="Arial"/>
                <w:sz w:val="18"/>
                <w:szCs w:val="18"/>
                <w:color w:val="auto"/>
              </w:rPr>
              <w:t>14.</w:t>
            </w:r>
          </w:p>
        </w:tc>
        <w:tc>
          <w:tcPr>
            <w:tcW w:w="10060" w:type="dxa"/>
            <w:vAlign w:val="bottom"/>
            <w:gridSpan w:val="2"/>
          </w:tcPr>
          <w:p>
            <w:pPr>
              <w:ind w:left="160"/>
              <w:spacing w:after="0"/>
              <w:rPr>
                <w:sz w:val="20"/>
                <w:szCs w:val="20"/>
                <w:color w:val="auto"/>
              </w:rPr>
            </w:pPr>
            <w:r>
              <w:rPr>
                <w:rFonts w:ascii="Arial" w:cs="Arial" w:eastAsia="Arial" w:hAnsi="Arial"/>
                <w:sz w:val="18"/>
                <w:szCs w:val="18"/>
                <w:color w:val="auto"/>
              </w:rPr>
              <w:t>Relationship of the Parties</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r>
      <w:tr>
        <w:trPr>
          <w:trHeight w:val="432"/>
        </w:trPr>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360" w:type="dxa"/>
            <w:vAlign w:val="bottom"/>
          </w:tcPr>
          <w:p>
            <w:pPr>
              <w:jc w:val="center"/>
              <w:ind w:right="90"/>
              <w:spacing w:after="0"/>
              <w:rPr>
                <w:sz w:val="20"/>
                <w:szCs w:val="20"/>
                <w:color w:val="auto"/>
              </w:rPr>
            </w:pPr>
            <w:r>
              <w:rPr>
                <w:rFonts w:ascii="Arial" w:cs="Arial" w:eastAsia="Arial" w:hAnsi="Arial"/>
                <w:sz w:val="18"/>
                <w:szCs w:val="18"/>
                <w:color w:val="auto"/>
              </w:rPr>
              <w:t>ii</w:t>
            </w: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42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936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7420" w:type="dxa"/>
            <w:vAlign w:val="bottom"/>
            <w:gridSpan w:val="2"/>
          </w:tcPr>
          <w:p>
            <w:pPr>
              <w:jc w:val="right"/>
              <w:ind w:right="4668"/>
              <w:spacing w:after="0"/>
              <w:rPr>
                <w:sz w:val="20"/>
                <w:szCs w:val="20"/>
                <w:color w:val="auto"/>
              </w:rPr>
            </w:pPr>
            <w:r>
              <w:rPr>
                <w:rFonts w:ascii="Arial" w:cs="Arial" w:eastAsia="Arial" w:hAnsi="Arial"/>
                <w:sz w:val="18"/>
                <w:szCs w:val="18"/>
                <w:b w:val="1"/>
                <w:bCs w:val="1"/>
                <w:color w:val="auto"/>
              </w:rPr>
              <w:t>TABLE OF CONTENTS</w:t>
            </w:r>
          </w:p>
        </w:tc>
      </w:tr>
      <w:tr>
        <w:trPr>
          <w:trHeight w:val="234"/>
        </w:trPr>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7420" w:type="dxa"/>
            <w:vAlign w:val="bottom"/>
            <w:gridSpan w:val="2"/>
          </w:tcPr>
          <w:p>
            <w:pPr>
              <w:jc w:val="right"/>
              <w:ind w:right="5308"/>
              <w:spacing w:after="0"/>
              <w:rPr>
                <w:sz w:val="20"/>
                <w:szCs w:val="20"/>
                <w:color w:val="auto"/>
              </w:rPr>
            </w:pPr>
            <w:r>
              <w:rPr>
                <w:rFonts w:ascii="Arial" w:cs="Arial" w:eastAsia="Arial" w:hAnsi="Arial"/>
                <w:sz w:val="18"/>
                <w:szCs w:val="18"/>
                <w:b w:val="1"/>
                <w:bCs w:val="1"/>
                <w:color w:val="auto"/>
              </w:rPr>
              <w:t>(Cont’d)</w:t>
            </w:r>
          </w:p>
        </w:tc>
      </w:tr>
      <w:tr>
        <w:trPr>
          <w:trHeight w:val="365"/>
        </w:trPr>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9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Page No.</w:t>
            </w:r>
          </w:p>
        </w:tc>
      </w:tr>
      <w:tr>
        <w:trPr>
          <w:trHeight w:val="426"/>
        </w:trPr>
        <w:tc>
          <w:tcPr>
            <w:tcW w:w="420" w:type="dxa"/>
            <w:vAlign w:val="bottom"/>
          </w:tcPr>
          <w:p>
            <w:pPr>
              <w:jc w:val="right"/>
              <w:ind w:right="90"/>
              <w:spacing w:after="0"/>
              <w:rPr>
                <w:sz w:val="20"/>
                <w:szCs w:val="20"/>
                <w:color w:val="auto"/>
              </w:rPr>
            </w:pPr>
            <w:r>
              <w:rPr>
                <w:rFonts w:ascii="Arial" w:cs="Arial" w:eastAsia="Arial" w:hAnsi="Arial"/>
                <w:sz w:val="18"/>
                <w:szCs w:val="18"/>
                <w:color w:val="auto"/>
                <w:w w:val="87"/>
              </w:rPr>
              <w:t>15.</w:t>
            </w:r>
          </w:p>
        </w:tc>
        <w:tc>
          <w:tcPr>
            <w:tcW w:w="3580" w:type="dxa"/>
            <w:vAlign w:val="bottom"/>
            <w:gridSpan w:val="2"/>
          </w:tcPr>
          <w:p>
            <w:pPr>
              <w:ind w:left="160"/>
              <w:spacing w:after="0"/>
              <w:rPr>
                <w:sz w:val="20"/>
                <w:szCs w:val="20"/>
                <w:color w:val="auto"/>
              </w:rPr>
            </w:pPr>
            <w:r>
              <w:rPr>
                <w:rFonts w:ascii="Arial" w:cs="Arial" w:eastAsia="Arial" w:hAnsi="Arial"/>
                <w:sz w:val="18"/>
                <w:szCs w:val="18"/>
                <w:color w:val="auto"/>
              </w:rPr>
              <w:t>Duty to Cooperate</w:t>
            </w:r>
          </w:p>
        </w:tc>
        <w:tc>
          <w:tcPr>
            <w:tcW w:w="7420" w:type="dxa"/>
            <w:vAlign w:val="bottom"/>
            <w:gridSpan w:val="2"/>
          </w:tcPr>
          <w:p>
            <w:pPr>
              <w:jc w:val="right"/>
              <w:spacing w:after="0"/>
              <w:rPr>
                <w:sz w:val="20"/>
                <w:szCs w:val="20"/>
                <w:color w:val="auto"/>
              </w:rPr>
            </w:pPr>
            <w:r>
              <w:rPr>
                <w:rFonts w:ascii="Arial" w:cs="Arial" w:eastAsia="Arial" w:hAnsi="Arial"/>
                <w:sz w:val="18"/>
                <w:szCs w:val="18"/>
                <w:color w:val="auto"/>
              </w:rPr>
              <w:t>27</w:t>
            </w:r>
          </w:p>
        </w:tc>
      </w:tr>
      <w:tr>
        <w:trPr>
          <w:trHeight w:val="432"/>
        </w:trPr>
        <w:tc>
          <w:tcPr>
            <w:tcW w:w="420" w:type="dxa"/>
            <w:vAlign w:val="bottom"/>
          </w:tcPr>
          <w:p>
            <w:pPr>
              <w:jc w:val="right"/>
              <w:ind w:right="90"/>
              <w:spacing w:after="0"/>
              <w:rPr>
                <w:sz w:val="20"/>
                <w:szCs w:val="20"/>
                <w:color w:val="auto"/>
              </w:rPr>
            </w:pPr>
            <w:r>
              <w:rPr>
                <w:rFonts w:ascii="Arial" w:cs="Arial" w:eastAsia="Arial" w:hAnsi="Arial"/>
                <w:sz w:val="18"/>
                <w:szCs w:val="18"/>
                <w:color w:val="auto"/>
                <w:w w:val="87"/>
              </w:rPr>
              <w:t>16.</w:t>
            </w:r>
          </w:p>
        </w:tc>
        <w:tc>
          <w:tcPr>
            <w:tcW w:w="3580" w:type="dxa"/>
            <w:vAlign w:val="bottom"/>
            <w:gridSpan w:val="2"/>
          </w:tcPr>
          <w:p>
            <w:pPr>
              <w:ind w:left="160"/>
              <w:spacing w:after="0"/>
              <w:rPr>
                <w:sz w:val="20"/>
                <w:szCs w:val="20"/>
                <w:color w:val="auto"/>
              </w:rPr>
            </w:pPr>
            <w:r>
              <w:rPr>
                <w:rFonts w:ascii="Arial" w:cs="Arial" w:eastAsia="Arial" w:hAnsi="Arial"/>
                <w:sz w:val="18"/>
                <w:szCs w:val="18"/>
                <w:color w:val="auto"/>
              </w:rPr>
              <w:t>Survival of Obligations</w:t>
            </w:r>
          </w:p>
        </w:tc>
        <w:tc>
          <w:tcPr>
            <w:tcW w:w="7420" w:type="dxa"/>
            <w:vAlign w:val="bottom"/>
            <w:gridSpan w:val="2"/>
          </w:tcPr>
          <w:p>
            <w:pPr>
              <w:jc w:val="right"/>
              <w:spacing w:after="0"/>
              <w:rPr>
                <w:sz w:val="20"/>
                <w:szCs w:val="20"/>
                <w:color w:val="auto"/>
              </w:rPr>
            </w:pPr>
            <w:r>
              <w:rPr>
                <w:rFonts w:ascii="Arial" w:cs="Arial" w:eastAsia="Arial" w:hAnsi="Arial"/>
                <w:sz w:val="18"/>
                <w:szCs w:val="18"/>
                <w:color w:val="auto"/>
              </w:rPr>
              <w:t>27</w:t>
            </w:r>
          </w:p>
        </w:tc>
      </w:tr>
      <w:tr>
        <w:trPr>
          <w:trHeight w:val="432"/>
        </w:trPr>
        <w:tc>
          <w:tcPr>
            <w:tcW w:w="420" w:type="dxa"/>
            <w:vAlign w:val="bottom"/>
          </w:tcPr>
          <w:p>
            <w:pPr>
              <w:jc w:val="right"/>
              <w:ind w:right="90"/>
              <w:spacing w:after="0"/>
              <w:rPr>
                <w:sz w:val="20"/>
                <w:szCs w:val="20"/>
                <w:color w:val="auto"/>
              </w:rPr>
            </w:pPr>
            <w:r>
              <w:rPr>
                <w:rFonts w:ascii="Arial" w:cs="Arial" w:eastAsia="Arial" w:hAnsi="Arial"/>
                <w:sz w:val="18"/>
                <w:szCs w:val="18"/>
                <w:color w:val="auto"/>
                <w:w w:val="87"/>
              </w:rPr>
              <w:t>17.</w:t>
            </w:r>
          </w:p>
        </w:tc>
        <w:tc>
          <w:tcPr>
            <w:tcW w:w="3580" w:type="dxa"/>
            <w:vAlign w:val="bottom"/>
            <w:gridSpan w:val="2"/>
          </w:tcPr>
          <w:p>
            <w:pPr>
              <w:ind w:left="160"/>
              <w:spacing w:after="0"/>
              <w:rPr>
                <w:sz w:val="20"/>
                <w:szCs w:val="20"/>
                <w:color w:val="auto"/>
              </w:rPr>
            </w:pPr>
            <w:r>
              <w:rPr>
                <w:rFonts w:ascii="Arial" w:cs="Arial" w:eastAsia="Arial" w:hAnsi="Arial"/>
                <w:sz w:val="18"/>
                <w:szCs w:val="18"/>
                <w:color w:val="auto"/>
              </w:rPr>
              <w:t>Insurance</w:t>
            </w:r>
          </w:p>
        </w:tc>
        <w:tc>
          <w:tcPr>
            <w:tcW w:w="7420" w:type="dxa"/>
            <w:vAlign w:val="bottom"/>
            <w:gridSpan w:val="2"/>
          </w:tcPr>
          <w:p>
            <w:pPr>
              <w:jc w:val="right"/>
              <w:spacing w:after="0"/>
              <w:rPr>
                <w:sz w:val="20"/>
                <w:szCs w:val="20"/>
                <w:color w:val="auto"/>
              </w:rPr>
            </w:pPr>
            <w:r>
              <w:rPr>
                <w:rFonts w:ascii="Arial" w:cs="Arial" w:eastAsia="Arial" w:hAnsi="Arial"/>
                <w:sz w:val="18"/>
                <w:szCs w:val="18"/>
                <w:color w:val="auto"/>
              </w:rPr>
              <w:t>27</w:t>
            </w:r>
          </w:p>
        </w:tc>
      </w:tr>
      <w:tr>
        <w:trPr>
          <w:trHeight w:val="432"/>
        </w:trPr>
        <w:tc>
          <w:tcPr>
            <w:tcW w:w="420" w:type="dxa"/>
            <w:vAlign w:val="bottom"/>
          </w:tcPr>
          <w:p>
            <w:pPr>
              <w:jc w:val="right"/>
              <w:ind w:right="90"/>
              <w:spacing w:after="0"/>
              <w:rPr>
                <w:sz w:val="20"/>
                <w:szCs w:val="20"/>
                <w:color w:val="auto"/>
              </w:rPr>
            </w:pPr>
            <w:r>
              <w:rPr>
                <w:rFonts w:ascii="Arial" w:cs="Arial" w:eastAsia="Arial" w:hAnsi="Arial"/>
                <w:sz w:val="18"/>
                <w:szCs w:val="18"/>
                <w:color w:val="auto"/>
                <w:w w:val="87"/>
              </w:rPr>
              <w:t>18.</w:t>
            </w:r>
          </w:p>
        </w:tc>
        <w:tc>
          <w:tcPr>
            <w:tcW w:w="3580" w:type="dxa"/>
            <w:vAlign w:val="bottom"/>
            <w:gridSpan w:val="2"/>
          </w:tcPr>
          <w:p>
            <w:pPr>
              <w:ind w:left="160"/>
              <w:spacing w:after="0"/>
              <w:rPr>
                <w:sz w:val="20"/>
                <w:szCs w:val="20"/>
                <w:color w:val="auto"/>
              </w:rPr>
            </w:pPr>
            <w:r>
              <w:rPr>
                <w:rFonts w:ascii="Arial" w:cs="Arial" w:eastAsia="Arial" w:hAnsi="Arial"/>
                <w:sz w:val="18"/>
                <w:szCs w:val="18"/>
                <w:color w:val="auto"/>
              </w:rPr>
              <w:t>Miscellaneous</w:t>
            </w:r>
          </w:p>
        </w:tc>
        <w:tc>
          <w:tcPr>
            <w:tcW w:w="742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418"/>
        </w:trPr>
        <w:tc>
          <w:tcPr>
            <w:tcW w:w="420" w:type="dxa"/>
            <w:vAlign w:val="bottom"/>
          </w:tcPr>
          <w:p>
            <w:pPr>
              <w:spacing w:after="0"/>
              <w:rPr>
                <w:sz w:val="24"/>
                <w:szCs w:val="24"/>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18.1</w:t>
            </w:r>
          </w:p>
        </w:tc>
        <w:tc>
          <w:tcPr>
            <w:tcW w:w="2880" w:type="dxa"/>
            <w:vAlign w:val="bottom"/>
          </w:tcPr>
          <w:p>
            <w:pPr>
              <w:ind w:left="140"/>
              <w:spacing w:after="0"/>
              <w:rPr>
                <w:sz w:val="20"/>
                <w:szCs w:val="20"/>
                <w:color w:val="auto"/>
              </w:rPr>
            </w:pPr>
            <w:r>
              <w:rPr>
                <w:rFonts w:ascii="Arial" w:cs="Arial" w:eastAsia="Arial" w:hAnsi="Arial"/>
                <w:sz w:val="18"/>
                <w:szCs w:val="18"/>
                <w:color w:val="auto"/>
              </w:rPr>
              <w:t>Notices</w:t>
            </w:r>
          </w:p>
        </w:tc>
        <w:tc>
          <w:tcPr>
            <w:tcW w:w="742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420" w:type="dxa"/>
            <w:vAlign w:val="bottom"/>
          </w:tcPr>
          <w:p>
            <w:pPr>
              <w:spacing w:after="0"/>
              <w:rPr>
                <w:sz w:val="18"/>
                <w:szCs w:val="18"/>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18.2</w:t>
            </w:r>
          </w:p>
        </w:tc>
        <w:tc>
          <w:tcPr>
            <w:tcW w:w="2880" w:type="dxa"/>
            <w:vAlign w:val="bottom"/>
          </w:tcPr>
          <w:p>
            <w:pPr>
              <w:ind w:left="140"/>
              <w:spacing w:after="0"/>
              <w:rPr>
                <w:sz w:val="20"/>
                <w:szCs w:val="20"/>
                <w:color w:val="auto"/>
              </w:rPr>
            </w:pPr>
            <w:r>
              <w:rPr>
                <w:rFonts w:ascii="Arial" w:cs="Arial" w:eastAsia="Arial" w:hAnsi="Arial"/>
                <w:sz w:val="18"/>
                <w:szCs w:val="18"/>
                <w:color w:val="auto"/>
              </w:rPr>
              <w:t>Amendment; Waiver</w:t>
            </w:r>
          </w:p>
        </w:tc>
        <w:tc>
          <w:tcPr>
            <w:tcW w:w="742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420" w:type="dxa"/>
            <w:vAlign w:val="bottom"/>
          </w:tcPr>
          <w:p>
            <w:pPr>
              <w:spacing w:after="0"/>
              <w:rPr>
                <w:sz w:val="18"/>
                <w:szCs w:val="18"/>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18.3</w:t>
            </w:r>
          </w:p>
        </w:tc>
        <w:tc>
          <w:tcPr>
            <w:tcW w:w="2880" w:type="dxa"/>
            <w:vAlign w:val="bottom"/>
          </w:tcPr>
          <w:p>
            <w:pPr>
              <w:ind w:left="140"/>
              <w:spacing w:after="0"/>
              <w:rPr>
                <w:sz w:val="20"/>
                <w:szCs w:val="20"/>
                <w:color w:val="auto"/>
              </w:rPr>
            </w:pPr>
            <w:r>
              <w:rPr>
                <w:rFonts w:ascii="Arial" w:cs="Arial" w:eastAsia="Arial" w:hAnsi="Arial"/>
                <w:sz w:val="18"/>
                <w:szCs w:val="18"/>
                <w:color w:val="auto"/>
              </w:rPr>
              <w:t>Assignment</w:t>
            </w:r>
          </w:p>
        </w:tc>
        <w:tc>
          <w:tcPr>
            <w:tcW w:w="742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420" w:type="dxa"/>
            <w:vAlign w:val="bottom"/>
          </w:tcPr>
          <w:p>
            <w:pPr>
              <w:spacing w:after="0"/>
              <w:rPr>
                <w:sz w:val="18"/>
                <w:szCs w:val="18"/>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18.4</w:t>
            </w:r>
          </w:p>
        </w:tc>
        <w:tc>
          <w:tcPr>
            <w:tcW w:w="2880" w:type="dxa"/>
            <w:vAlign w:val="bottom"/>
          </w:tcPr>
          <w:p>
            <w:pPr>
              <w:ind w:left="140"/>
              <w:spacing w:after="0"/>
              <w:rPr>
                <w:sz w:val="20"/>
                <w:szCs w:val="20"/>
                <w:color w:val="auto"/>
              </w:rPr>
            </w:pPr>
            <w:r>
              <w:rPr>
                <w:rFonts w:ascii="Arial" w:cs="Arial" w:eastAsia="Arial" w:hAnsi="Arial"/>
                <w:sz w:val="18"/>
                <w:szCs w:val="18"/>
                <w:color w:val="auto"/>
              </w:rPr>
              <w:t>Third Party Rights</w:t>
            </w:r>
          </w:p>
        </w:tc>
        <w:tc>
          <w:tcPr>
            <w:tcW w:w="742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420" w:type="dxa"/>
            <w:vAlign w:val="bottom"/>
          </w:tcPr>
          <w:p>
            <w:pPr>
              <w:spacing w:after="0"/>
              <w:rPr>
                <w:sz w:val="18"/>
                <w:szCs w:val="18"/>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18.5</w:t>
            </w:r>
          </w:p>
        </w:tc>
        <w:tc>
          <w:tcPr>
            <w:tcW w:w="2880" w:type="dxa"/>
            <w:vAlign w:val="bottom"/>
          </w:tcPr>
          <w:p>
            <w:pPr>
              <w:ind w:left="140"/>
              <w:spacing w:after="0"/>
              <w:rPr>
                <w:sz w:val="20"/>
                <w:szCs w:val="20"/>
                <w:color w:val="auto"/>
              </w:rPr>
            </w:pPr>
            <w:r>
              <w:rPr>
                <w:rFonts w:ascii="Arial" w:cs="Arial" w:eastAsia="Arial" w:hAnsi="Arial"/>
                <w:sz w:val="18"/>
                <w:szCs w:val="18"/>
                <w:color w:val="auto"/>
              </w:rPr>
              <w:t>Choice of Law</w:t>
            </w:r>
          </w:p>
        </w:tc>
        <w:tc>
          <w:tcPr>
            <w:tcW w:w="742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420" w:type="dxa"/>
            <w:vAlign w:val="bottom"/>
          </w:tcPr>
          <w:p>
            <w:pPr>
              <w:spacing w:after="0"/>
              <w:rPr>
                <w:sz w:val="18"/>
                <w:szCs w:val="18"/>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18.6</w:t>
            </w:r>
          </w:p>
        </w:tc>
        <w:tc>
          <w:tcPr>
            <w:tcW w:w="2880" w:type="dxa"/>
            <w:vAlign w:val="bottom"/>
          </w:tcPr>
          <w:p>
            <w:pPr>
              <w:ind w:left="140"/>
              <w:spacing w:after="0"/>
              <w:rPr>
                <w:sz w:val="20"/>
                <w:szCs w:val="20"/>
                <w:color w:val="auto"/>
              </w:rPr>
            </w:pPr>
            <w:r>
              <w:rPr>
                <w:rFonts w:ascii="Arial" w:cs="Arial" w:eastAsia="Arial" w:hAnsi="Arial"/>
                <w:sz w:val="18"/>
                <w:szCs w:val="18"/>
                <w:color w:val="auto"/>
              </w:rPr>
              <w:t>Headings</w:t>
            </w:r>
          </w:p>
        </w:tc>
        <w:tc>
          <w:tcPr>
            <w:tcW w:w="742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420" w:type="dxa"/>
            <w:vAlign w:val="bottom"/>
          </w:tcPr>
          <w:p>
            <w:pPr>
              <w:spacing w:after="0"/>
              <w:rPr>
                <w:sz w:val="18"/>
                <w:szCs w:val="18"/>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18.7</w:t>
            </w:r>
          </w:p>
        </w:tc>
        <w:tc>
          <w:tcPr>
            <w:tcW w:w="2880" w:type="dxa"/>
            <w:vAlign w:val="bottom"/>
          </w:tcPr>
          <w:p>
            <w:pPr>
              <w:ind w:left="140"/>
              <w:spacing w:after="0"/>
              <w:rPr>
                <w:sz w:val="20"/>
                <w:szCs w:val="20"/>
                <w:color w:val="auto"/>
              </w:rPr>
            </w:pPr>
            <w:r>
              <w:rPr>
                <w:rFonts w:ascii="Arial" w:cs="Arial" w:eastAsia="Arial" w:hAnsi="Arial"/>
                <w:sz w:val="18"/>
                <w:szCs w:val="18"/>
                <w:color w:val="auto"/>
              </w:rPr>
              <w:t>Entire Agreement</w:t>
            </w:r>
          </w:p>
        </w:tc>
        <w:tc>
          <w:tcPr>
            <w:tcW w:w="742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420" w:type="dxa"/>
            <w:vAlign w:val="bottom"/>
          </w:tcPr>
          <w:p>
            <w:pPr>
              <w:spacing w:after="0"/>
              <w:rPr>
                <w:sz w:val="18"/>
                <w:szCs w:val="18"/>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18.8</w:t>
            </w:r>
          </w:p>
        </w:tc>
        <w:tc>
          <w:tcPr>
            <w:tcW w:w="2880" w:type="dxa"/>
            <w:vAlign w:val="bottom"/>
          </w:tcPr>
          <w:p>
            <w:pPr>
              <w:ind w:left="140"/>
              <w:spacing w:after="0"/>
              <w:rPr>
                <w:sz w:val="20"/>
                <w:szCs w:val="20"/>
                <w:color w:val="auto"/>
              </w:rPr>
            </w:pPr>
            <w:r>
              <w:rPr>
                <w:rFonts w:ascii="Arial" w:cs="Arial" w:eastAsia="Arial" w:hAnsi="Arial"/>
                <w:sz w:val="18"/>
                <w:szCs w:val="18"/>
                <w:color w:val="auto"/>
              </w:rPr>
              <w:t>Severability</w:t>
            </w:r>
          </w:p>
        </w:tc>
        <w:tc>
          <w:tcPr>
            <w:tcW w:w="742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420" w:type="dxa"/>
            <w:vAlign w:val="bottom"/>
          </w:tcPr>
          <w:p>
            <w:pPr>
              <w:spacing w:after="0"/>
              <w:rPr>
                <w:sz w:val="18"/>
                <w:szCs w:val="18"/>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18.9</w:t>
            </w:r>
          </w:p>
        </w:tc>
        <w:tc>
          <w:tcPr>
            <w:tcW w:w="2880" w:type="dxa"/>
            <w:vAlign w:val="bottom"/>
          </w:tcPr>
          <w:p>
            <w:pPr>
              <w:ind w:left="140"/>
              <w:spacing w:after="0"/>
              <w:rPr>
                <w:sz w:val="20"/>
                <w:szCs w:val="20"/>
                <w:color w:val="auto"/>
              </w:rPr>
            </w:pPr>
            <w:r>
              <w:rPr>
                <w:rFonts w:ascii="Arial" w:cs="Arial" w:eastAsia="Arial" w:hAnsi="Arial"/>
                <w:sz w:val="18"/>
                <w:szCs w:val="18"/>
                <w:color w:val="auto"/>
              </w:rPr>
              <w:t>Counterparts</w:t>
            </w:r>
          </w:p>
        </w:tc>
        <w:tc>
          <w:tcPr>
            <w:tcW w:w="742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420" w:type="dxa"/>
            <w:vAlign w:val="bottom"/>
          </w:tcPr>
          <w:p>
            <w:pPr>
              <w:spacing w:after="0"/>
              <w:rPr>
                <w:sz w:val="18"/>
                <w:szCs w:val="18"/>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18.10</w:t>
            </w:r>
          </w:p>
        </w:tc>
        <w:tc>
          <w:tcPr>
            <w:tcW w:w="2880" w:type="dxa"/>
            <w:vAlign w:val="bottom"/>
          </w:tcPr>
          <w:p>
            <w:pPr>
              <w:ind w:left="140"/>
              <w:spacing w:after="0"/>
              <w:rPr>
                <w:sz w:val="20"/>
                <w:szCs w:val="20"/>
                <w:color w:val="auto"/>
              </w:rPr>
            </w:pPr>
            <w:r>
              <w:rPr>
                <w:rFonts w:ascii="Arial" w:cs="Arial" w:eastAsia="Arial" w:hAnsi="Arial"/>
                <w:sz w:val="18"/>
                <w:szCs w:val="18"/>
                <w:color w:val="auto"/>
              </w:rPr>
              <w:t>Further Assurances</w:t>
            </w:r>
          </w:p>
        </w:tc>
        <w:tc>
          <w:tcPr>
            <w:tcW w:w="742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420" w:type="dxa"/>
            <w:vAlign w:val="bottom"/>
          </w:tcPr>
          <w:p>
            <w:pPr>
              <w:spacing w:after="0"/>
              <w:rPr>
                <w:sz w:val="18"/>
                <w:szCs w:val="18"/>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18.11</w:t>
            </w:r>
          </w:p>
        </w:tc>
        <w:tc>
          <w:tcPr>
            <w:tcW w:w="2880" w:type="dxa"/>
            <w:vAlign w:val="bottom"/>
          </w:tcPr>
          <w:p>
            <w:pPr>
              <w:ind w:left="140"/>
              <w:spacing w:after="0"/>
              <w:rPr>
                <w:sz w:val="20"/>
                <w:szCs w:val="20"/>
                <w:color w:val="auto"/>
              </w:rPr>
            </w:pPr>
            <w:r>
              <w:rPr>
                <w:rFonts w:ascii="Arial" w:cs="Arial" w:eastAsia="Arial" w:hAnsi="Arial"/>
                <w:sz w:val="18"/>
                <w:szCs w:val="18"/>
                <w:color w:val="auto"/>
              </w:rPr>
              <w:t>Dispute Resolution</w:t>
            </w:r>
          </w:p>
        </w:tc>
        <w:tc>
          <w:tcPr>
            <w:tcW w:w="742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420" w:type="dxa"/>
            <w:vAlign w:val="bottom"/>
          </w:tcPr>
          <w:p>
            <w:pPr>
              <w:spacing w:after="0"/>
              <w:rPr>
                <w:sz w:val="20"/>
                <w:szCs w:val="20"/>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18.12</w:t>
            </w:r>
          </w:p>
        </w:tc>
        <w:tc>
          <w:tcPr>
            <w:tcW w:w="2880" w:type="dxa"/>
            <w:vAlign w:val="bottom"/>
          </w:tcPr>
          <w:p>
            <w:pPr>
              <w:ind w:left="140"/>
              <w:spacing w:after="0"/>
              <w:rPr>
                <w:sz w:val="20"/>
                <w:szCs w:val="20"/>
                <w:color w:val="auto"/>
              </w:rPr>
            </w:pPr>
            <w:r>
              <w:rPr>
                <w:rFonts w:ascii="Arial" w:cs="Arial" w:eastAsia="Arial" w:hAnsi="Arial"/>
                <w:sz w:val="18"/>
                <w:szCs w:val="18"/>
                <w:color w:val="auto"/>
              </w:rPr>
              <w:t>Certain Interpretive Matters</w:t>
            </w:r>
          </w:p>
        </w:tc>
        <w:tc>
          <w:tcPr>
            <w:tcW w:w="7420" w:type="dxa"/>
            <w:vAlign w:val="bottom"/>
            <w:gridSpan w:val="2"/>
          </w:tcPr>
          <w:p>
            <w:pPr>
              <w:jc w:val="right"/>
              <w:spacing w:after="0"/>
              <w:rPr>
                <w:sz w:val="20"/>
                <w:szCs w:val="20"/>
                <w:color w:val="auto"/>
              </w:rPr>
            </w:pPr>
            <w:r>
              <w:rPr>
                <w:rFonts w:ascii="Arial" w:cs="Arial" w:eastAsia="Arial" w:hAnsi="Arial"/>
                <w:sz w:val="18"/>
                <w:szCs w:val="18"/>
                <w:color w:val="auto"/>
              </w:rPr>
              <w:t>32</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A - Definitions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Exhibit B - Description of 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C - Form of Services Addendum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D - Pricing and Payment Terms; Other Agreements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E - University Marks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MASTER SERVICES AGREEMENT</w:t>
      </w:r>
    </w:p>
    <w:p>
      <w:pPr>
        <w:spacing w:after="0" w:line="225" w:lineRule="exact"/>
        <w:rPr>
          <w:sz w:val="20"/>
          <w:szCs w:val="20"/>
          <w:color w:val="auto"/>
        </w:rPr>
      </w:pPr>
    </w:p>
    <w:p>
      <w:pPr>
        <w:ind w:right="460" w:firstLine="648"/>
        <w:spacing w:after="0" w:line="266" w:lineRule="auto"/>
        <w:rPr>
          <w:sz w:val="20"/>
          <w:szCs w:val="20"/>
          <w:color w:val="auto"/>
        </w:rPr>
      </w:pPr>
      <w:r>
        <w:rPr>
          <w:rFonts w:ascii="Arial" w:cs="Arial" w:eastAsia="Arial" w:hAnsi="Arial"/>
          <w:sz w:val="18"/>
          <w:szCs w:val="18"/>
          <w:b w:val="1"/>
          <w:bCs w:val="1"/>
          <w:color w:val="auto"/>
        </w:rPr>
        <w:t xml:space="preserve">THIS MASTER SERVICES AGREEMENT </w:t>
      </w:r>
      <w:r>
        <w:rPr>
          <w:rFonts w:ascii="Arial" w:cs="Arial" w:eastAsia="Arial" w:hAnsi="Arial"/>
          <w:sz w:val="18"/>
          <w:szCs w:val="18"/>
          <w:color w:val="auto"/>
        </w:rPr>
        <w:t>(the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entered into as of this 1st day of July, 2018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by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between </w:t>
      </w:r>
      <w:r>
        <w:rPr>
          <w:rFonts w:ascii="Arial" w:cs="Arial" w:eastAsia="Arial" w:hAnsi="Arial"/>
          <w:sz w:val="18"/>
          <w:szCs w:val="18"/>
          <w:b w:val="1"/>
          <w:bCs w:val="1"/>
          <w:color w:val="auto"/>
        </w:rPr>
        <w:t>GRAND CANYON EDUCATION, INC.</w:t>
      </w:r>
      <w:r>
        <w:rPr>
          <w:rFonts w:ascii="Arial" w:cs="Arial" w:eastAsia="Arial" w:hAnsi="Arial"/>
          <w:sz w:val="18"/>
          <w:szCs w:val="18"/>
          <w:color w:val="auto"/>
        </w:rPr>
        <w:t>, a Delaware corporation (“</w:t>
      </w:r>
      <w:r>
        <w:rPr>
          <w:rFonts w:ascii="Arial" w:cs="Arial" w:eastAsia="Arial" w:hAnsi="Arial"/>
          <w:sz w:val="18"/>
          <w:szCs w:val="18"/>
          <w:b w:val="1"/>
          <w:bCs w:val="1"/>
          <w:i w:val="1"/>
          <w:iCs w:val="1"/>
          <w:color w:val="auto"/>
        </w:rPr>
        <w:t>Provider</w:t>
      </w:r>
      <w:r>
        <w:rPr>
          <w:rFonts w:ascii="Arial" w:cs="Arial" w:eastAsia="Arial" w:hAnsi="Arial"/>
          <w:sz w:val="18"/>
          <w:szCs w:val="18"/>
          <w:color w:val="auto"/>
        </w:rPr>
        <w:t xml:space="preserve">”), and </w:t>
      </w:r>
      <w:r>
        <w:rPr>
          <w:rFonts w:ascii="Arial" w:cs="Arial" w:eastAsia="Arial" w:hAnsi="Arial"/>
          <w:sz w:val="18"/>
          <w:szCs w:val="18"/>
          <w:b w:val="1"/>
          <w:bCs w:val="1"/>
          <w:color w:val="auto"/>
        </w:rPr>
        <w:t>GAZELLE UNIVERSITY</w:t>
      </w:r>
      <w:r>
        <w:rPr>
          <w:rFonts w:ascii="Arial" w:cs="Arial" w:eastAsia="Arial" w:hAnsi="Arial"/>
          <w:sz w:val="18"/>
          <w:szCs w:val="18"/>
          <w:color w:val="auto"/>
        </w:rPr>
        <w:t>, an Arizona non-profit corporation (to be renamed Grand Canyon University) (“</w:t>
      </w:r>
      <w:r>
        <w:rPr>
          <w:rFonts w:ascii="Arial" w:cs="Arial" w:eastAsia="Arial" w:hAnsi="Arial"/>
          <w:sz w:val="18"/>
          <w:szCs w:val="18"/>
          <w:b w:val="1"/>
          <w:bCs w:val="1"/>
          <w:i w:val="1"/>
          <w:iCs w:val="1"/>
          <w:color w:val="auto"/>
        </w:rPr>
        <w:t>University</w:t>
      </w:r>
      <w:r>
        <w:rPr>
          <w:rFonts w:ascii="Arial" w:cs="Arial" w:eastAsia="Arial" w:hAnsi="Arial"/>
          <w:sz w:val="18"/>
          <w:szCs w:val="18"/>
          <w:color w:val="auto"/>
        </w:rPr>
        <w:t>”) (each, a “</w:t>
      </w:r>
      <w:r>
        <w:rPr>
          <w:rFonts w:ascii="Arial" w:cs="Arial" w:eastAsia="Arial" w:hAnsi="Arial"/>
          <w:sz w:val="18"/>
          <w:szCs w:val="18"/>
          <w:b w:val="1"/>
          <w:bCs w:val="1"/>
          <w:i w:val="1"/>
          <w:iCs w:val="1"/>
          <w:color w:val="auto"/>
        </w:rPr>
        <w:t>Party</w:t>
      </w:r>
      <w:r>
        <w:rPr>
          <w:rFonts w:ascii="Arial" w:cs="Arial" w:eastAsia="Arial" w:hAnsi="Arial"/>
          <w:sz w:val="18"/>
          <w:szCs w:val="18"/>
          <w:color w:val="auto"/>
        </w:rPr>
        <w:t>” and, collectively, the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w:t>
      </w:r>
    </w:p>
    <w:p>
      <w:pPr>
        <w:spacing w:after="0" w:line="180" w:lineRule="exact"/>
        <w:rPr>
          <w:sz w:val="20"/>
          <w:szCs w:val="20"/>
          <w:color w:val="auto"/>
        </w:rPr>
      </w:pPr>
    </w:p>
    <w:p>
      <w:pPr>
        <w:ind w:right="260" w:firstLine="656"/>
        <w:spacing w:after="0" w:line="264" w:lineRule="auto"/>
        <w:tabs>
          <w:tab w:leader="none" w:pos="1309" w:val="left"/>
        </w:tabs>
        <w:numPr>
          <w:ilvl w:val="1"/>
          <w:numId w:val="7"/>
        </w:numPr>
        <w:rPr>
          <w:rFonts w:ascii="Arial" w:cs="Arial" w:eastAsia="Arial" w:hAnsi="Arial"/>
          <w:sz w:val="18"/>
          <w:szCs w:val="18"/>
          <w:b w:val="1"/>
          <w:bCs w:val="1"/>
          <w:color w:val="auto"/>
        </w:rPr>
      </w:pPr>
      <w:r>
        <w:rPr>
          <w:rFonts w:ascii="Arial" w:cs="Arial" w:eastAsia="Arial" w:hAnsi="Arial"/>
          <w:sz w:val="18"/>
          <w:szCs w:val="18"/>
          <w:color w:val="auto"/>
        </w:rPr>
        <w:t>On the date hereof, University and Provider consummated certain transactions contemplated by an Asset Purchase Agreement, dated the date hereof (the “</w:t>
      </w:r>
      <w:r>
        <w:rPr>
          <w:rFonts w:ascii="Arial" w:cs="Arial" w:eastAsia="Arial" w:hAnsi="Arial"/>
          <w:sz w:val="18"/>
          <w:szCs w:val="18"/>
          <w:b w:val="1"/>
          <w:bCs w:val="1"/>
          <w:i w:val="1"/>
          <w:iCs w:val="1"/>
          <w:color w:val="auto"/>
        </w:rPr>
        <w:t>Asset Purchase Agreement</w:t>
      </w:r>
      <w:r>
        <w:rPr>
          <w:rFonts w:ascii="Arial" w:cs="Arial" w:eastAsia="Arial" w:hAnsi="Arial"/>
          <w:sz w:val="18"/>
          <w:szCs w:val="18"/>
          <w:color w:val="auto"/>
        </w:rPr>
        <w:t>”), pursuant to which University acquired the School Assets (as defined in the Asset Purchase Agreement) previously owned by Provider.</w:t>
      </w:r>
    </w:p>
    <w:p>
      <w:pPr>
        <w:spacing w:after="0" w:line="181" w:lineRule="exact"/>
        <w:rPr>
          <w:rFonts w:ascii="Arial" w:cs="Arial" w:eastAsia="Arial" w:hAnsi="Arial"/>
          <w:sz w:val="18"/>
          <w:szCs w:val="18"/>
          <w:b w:val="1"/>
          <w:bCs w:val="1"/>
          <w:color w:val="auto"/>
        </w:rPr>
      </w:pPr>
    </w:p>
    <w:p>
      <w:pPr>
        <w:ind w:right="20" w:firstLine="656"/>
        <w:spacing w:after="0" w:line="277" w:lineRule="auto"/>
        <w:tabs>
          <w:tab w:leader="none" w:pos="1299" w:val="left"/>
        </w:tabs>
        <w:numPr>
          <w:ilvl w:val="1"/>
          <w:numId w:val="7"/>
        </w:numPr>
        <w:rPr>
          <w:rFonts w:ascii="Arial" w:cs="Arial" w:eastAsia="Arial" w:hAnsi="Arial"/>
          <w:sz w:val="18"/>
          <w:szCs w:val="18"/>
          <w:b w:val="1"/>
          <w:bCs w:val="1"/>
          <w:color w:val="auto"/>
        </w:rPr>
      </w:pPr>
      <w:r>
        <w:rPr>
          <w:rFonts w:ascii="Arial" w:cs="Arial" w:eastAsia="Arial" w:hAnsi="Arial"/>
          <w:sz w:val="18"/>
          <w:szCs w:val="18"/>
          <w:color w:val="auto"/>
        </w:rPr>
        <w:t>Effective immediately following the consummation of the transactions contemplated by the Asset Purchase Agreement, University changed its name to “Grand Canyon University.”</w:t>
      </w:r>
    </w:p>
    <w:p>
      <w:pPr>
        <w:spacing w:after="0" w:line="170" w:lineRule="exact"/>
        <w:rPr>
          <w:rFonts w:ascii="Arial" w:cs="Arial" w:eastAsia="Arial" w:hAnsi="Arial"/>
          <w:sz w:val="18"/>
          <w:szCs w:val="18"/>
          <w:b w:val="1"/>
          <w:bCs w:val="1"/>
          <w:color w:val="auto"/>
        </w:rPr>
      </w:pPr>
    </w:p>
    <w:p>
      <w:pPr>
        <w:ind w:left="1320" w:hanging="664"/>
        <w:spacing w:after="0"/>
        <w:tabs>
          <w:tab w:leader="none" w:pos="1320" w:val="left"/>
        </w:tabs>
        <w:numPr>
          <w:ilvl w:val="1"/>
          <w:numId w:val="7"/>
        </w:numPr>
        <w:rPr>
          <w:rFonts w:ascii="Arial" w:cs="Arial" w:eastAsia="Arial" w:hAnsi="Arial"/>
          <w:sz w:val="16"/>
          <w:szCs w:val="16"/>
          <w:b w:val="1"/>
          <w:bCs w:val="1"/>
          <w:color w:val="auto"/>
        </w:rPr>
      </w:pPr>
      <w:r>
        <w:rPr>
          <w:rFonts w:ascii="Arial" w:cs="Arial" w:eastAsia="Arial" w:hAnsi="Arial"/>
          <w:sz w:val="16"/>
          <w:szCs w:val="16"/>
          <w:color w:val="auto"/>
        </w:rPr>
        <w:t>University operates the postsecondary educational institution known as “Grand Canyon University” and conducts Educational Activities on</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the Campus.</w:t>
      </w:r>
    </w:p>
    <w:p>
      <w:pPr>
        <w:spacing w:after="0" w:line="210" w:lineRule="exact"/>
        <w:rPr>
          <w:rFonts w:ascii="Arial" w:cs="Arial" w:eastAsia="Arial" w:hAnsi="Arial"/>
          <w:sz w:val="16"/>
          <w:szCs w:val="16"/>
          <w:b w:val="1"/>
          <w:bCs w:val="1"/>
          <w:color w:val="auto"/>
        </w:rPr>
      </w:pPr>
    </w:p>
    <w:p>
      <w:pPr>
        <w:ind w:right="340" w:firstLine="656"/>
        <w:spacing w:after="0" w:line="291" w:lineRule="auto"/>
        <w:tabs>
          <w:tab w:leader="none" w:pos="1309" w:val="left"/>
        </w:tabs>
        <w:numPr>
          <w:ilvl w:val="1"/>
          <w:numId w:val="7"/>
        </w:numPr>
        <w:rPr>
          <w:rFonts w:ascii="Arial" w:cs="Arial" w:eastAsia="Arial" w:hAnsi="Arial"/>
          <w:sz w:val="16"/>
          <w:szCs w:val="16"/>
          <w:b w:val="1"/>
          <w:bCs w:val="1"/>
          <w:color w:val="auto"/>
        </w:rPr>
      </w:pPr>
      <w:r>
        <w:rPr>
          <w:rFonts w:ascii="Arial" w:cs="Arial" w:eastAsia="Arial" w:hAnsi="Arial"/>
          <w:sz w:val="16"/>
          <w:szCs w:val="16"/>
          <w:color w:val="auto"/>
        </w:rPr>
        <w:t>University has determined that it is in the best interests of University and its students, faculty and staff to engage Provider to provide to University certain Services as such Services are (i) set forth in this Agreement, (ii) set forth in one or more Services Addenda to this Agreement, or</w:t>
      </w:r>
    </w:p>
    <w:p>
      <w:pPr>
        <w:ind w:firstLine="8"/>
        <w:spacing w:after="0" w:line="261" w:lineRule="auto"/>
        <w:tabs>
          <w:tab w:leader="none" w:pos="315" w:val="left"/>
        </w:tabs>
        <w:numPr>
          <w:ilvl w:val="0"/>
          <w:numId w:val="8"/>
        </w:numPr>
        <w:rPr>
          <w:rFonts w:ascii="Arial" w:cs="Arial" w:eastAsia="Arial" w:hAnsi="Arial"/>
          <w:sz w:val="18"/>
          <w:szCs w:val="18"/>
          <w:color w:val="auto"/>
        </w:rPr>
      </w:pPr>
      <w:r>
        <w:rPr>
          <w:rFonts w:ascii="Arial" w:cs="Arial" w:eastAsia="Arial" w:hAnsi="Arial"/>
          <w:sz w:val="18"/>
          <w:szCs w:val="18"/>
          <w:color w:val="auto"/>
        </w:rPr>
        <w:t>mutually agreed by the Parties in writing, and has further determined that the terms of this Agreement, including the Services Fees payable hereunder, are fair to the University.</w:t>
      </w:r>
    </w:p>
    <w:p>
      <w:pPr>
        <w:spacing w:after="0" w:line="183" w:lineRule="exact"/>
        <w:rPr>
          <w:rFonts w:ascii="Arial" w:cs="Arial" w:eastAsia="Arial" w:hAnsi="Arial"/>
          <w:sz w:val="18"/>
          <w:szCs w:val="18"/>
          <w:color w:val="auto"/>
        </w:rPr>
      </w:pPr>
    </w:p>
    <w:p>
      <w:pPr>
        <w:ind w:left="80" w:right="180" w:firstLine="576"/>
        <w:spacing w:after="0" w:line="264" w:lineRule="auto"/>
        <w:tabs>
          <w:tab w:leader="none" w:pos="1314" w:val="left"/>
        </w:tabs>
        <w:numPr>
          <w:ilvl w:val="1"/>
          <w:numId w:val="8"/>
        </w:numPr>
        <w:rPr>
          <w:rFonts w:ascii="Arial" w:cs="Arial" w:eastAsia="Arial" w:hAnsi="Arial"/>
          <w:sz w:val="18"/>
          <w:szCs w:val="18"/>
          <w:b w:val="1"/>
          <w:bCs w:val="1"/>
          <w:color w:val="auto"/>
        </w:rPr>
      </w:pPr>
      <w:r>
        <w:rPr>
          <w:rFonts w:ascii="Arial" w:cs="Arial" w:eastAsia="Arial" w:hAnsi="Arial"/>
          <w:sz w:val="18"/>
          <w:szCs w:val="18"/>
          <w:color w:val="auto"/>
        </w:rPr>
        <w:t>University has further determined that the implementation of the services relationship between University and Provider as set forth in this Agreement is in alignment with University’s mission and that the Services to be provided by Provider to University hereunder will assist University in fulfilling that mission.</w:t>
      </w:r>
    </w:p>
    <w:p>
      <w:pPr>
        <w:spacing w:after="0" w:line="181" w:lineRule="exact"/>
        <w:rPr>
          <w:rFonts w:ascii="Arial" w:cs="Arial" w:eastAsia="Arial" w:hAnsi="Arial"/>
          <w:sz w:val="18"/>
          <w:szCs w:val="18"/>
          <w:b w:val="1"/>
          <w:bCs w:val="1"/>
          <w:color w:val="auto"/>
        </w:rPr>
      </w:pPr>
    </w:p>
    <w:p>
      <w:pPr>
        <w:ind w:left="1300" w:hanging="644"/>
        <w:spacing w:after="0"/>
        <w:tabs>
          <w:tab w:leader="none" w:pos="1300" w:val="left"/>
        </w:tabs>
        <w:numPr>
          <w:ilvl w:val="1"/>
          <w:numId w:val="8"/>
        </w:numPr>
        <w:rPr>
          <w:rFonts w:ascii="Arial" w:cs="Arial" w:eastAsia="Arial" w:hAnsi="Arial"/>
          <w:sz w:val="18"/>
          <w:szCs w:val="18"/>
          <w:b w:val="1"/>
          <w:bCs w:val="1"/>
          <w:color w:val="auto"/>
        </w:rPr>
      </w:pPr>
      <w:r>
        <w:rPr>
          <w:rFonts w:ascii="Arial" w:cs="Arial" w:eastAsia="Arial" w:hAnsi="Arial"/>
          <w:sz w:val="18"/>
          <w:szCs w:val="18"/>
          <w:color w:val="auto"/>
        </w:rPr>
        <w:t>Provider desires to provide such Services to University.</w:t>
      </w:r>
    </w:p>
    <w:p>
      <w:pPr>
        <w:spacing w:after="0" w:line="221"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and the mutual covenants herein contained and for other good and valuable consideration,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receipt and sufficiency of which are hereby acknowledged, the Parties agree as follows:</w:t>
      </w:r>
    </w:p>
    <w:p>
      <w:pPr>
        <w:spacing w:after="0" w:line="162" w:lineRule="exact"/>
        <w:rPr>
          <w:sz w:val="20"/>
          <w:szCs w:val="20"/>
          <w:color w:val="auto"/>
        </w:rPr>
      </w:pPr>
    </w:p>
    <w:p>
      <w:pPr>
        <w:ind w:firstLine="656"/>
        <w:spacing w:after="0" w:line="282" w:lineRule="auto"/>
        <w:tabs>
          <w:tab w:leader="none" w:pos="1296"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 xml:space="preserve">. </w:t>
      </w:r>
      <w:r>
        <w:rPr>
          <w:rFonts w:ascii="Arial" w:cs="Arial" w:eastAsia="Arial" w:hAnsi="Arial"/>
          <w:sz w:val="18"/>
          <w:szCs w:val="18"/>
          <w:color w:val="auto"/>
        </w:rPr>
        <w:t>Capitalized terms used in this Agreement and not otherwise defined herein shall have the respective meanings ascribed to such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terms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this Agreement or given to them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to this Agreement.</w:t>
      </w:r>
    </w:p>
    <w:p>
      <w:pPr>
        <w:spacing w:after="0" w:line="161" w:lineRule="exact"/>
        <w:rPr>
          <w:rFonts w:ascii="Arial" w:cs="Arial" w:eastAsia="Arial" w:hAnsi="Arial"/>
          <w:sz w:val="18"/>
          <w:szCs w:val="18"/>
          <w:b w:val="1"/>
          <w:bCs w:val="1"/>
          <w:color w:val="auto"/>
        </w:rPr>
      </w:pPr>
    </w:p>
    <w:p>
      <w:pPr>
        <w:ind w:right="120" w:firstLine="656"/>
        <w:spacing w:after="0" w:line="281" w:lineRule="auto"/>
        <w:tabs>
          <w:tab w:leader="none" w:pos="1296"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Certain Representations, Warranties and Covenants of the Parties</w:t>
      </w:r>
      <w:r>
        <w:rPr>
          <w:rFonts w:ascii="Arial" w:cs="Arial" w:eastAsia="Arial" w:hAnsi="Arial"/>
          <w:sz w:val="17"/>
          <w:szCs w:val="17"/>
          <w:color w:val="auto"/>
        </w:rPr>
        <w:t>. Each Party hereby represents, warrants and covenants that, during</w:t>
      </w:r>
      <w:r>
        <w:rPr>
          <w:rFonts w:ascii="Arial" w:cs="Arial" w:eastAsia="Arial" w:hAnsi="Arial"/>
          <w:sz w:val="17"/>
          <w:szCs w:val="17"/>
          <w:b w:val="1"/>
          <w:bCs w:val="1"/>
          <w:color w:val="auto"/>
        </w:rPr>
        <w:t xml:space="preserve"> </w:t>
      </w:r>
      <w:r>
        <w:rPr>
          <w:rFonts w:ascii="Arial" w:cs="Arial" w:eastAsia="Arial" w:hAnsi="Arial"/>
          <w:sz w:val="17"/>
          <w:szCs w:val="17"/>
          <w:color w:val="auto"/>
        </w:rPr>
        <w:t>the Initial Term of this Agreement and any Renewal Term: (a) it has the requisite corporate power and authority to enter into this Agreement; (b) the performance by such Party of its obligations under this Agreement shall not constitute a material breach of, or otherwise contravene the terms of, any other agreement to which it is a party or under which it is otherwise bound; and (c) it has obtained or will obtain all third party consents,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182880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1" w:name="page12"/>
    <w:bookmarkEnd w:id="11"/>
    <w:p>
      <w:pPr>
        <w:ind w:right="360"/>
        <w:spacing w:after="0" w:line="277" w:lineRule="auto"/>
        <w:rPr>
          <w:sz w:val="20"/>
          <w:szCs w:val="20"/>
          <w:color w:val="auto"/>
        </w:rPr>
      </w:pPr>
      <w:r>
        <w:rPr>
          <w:rFonts w:ascii="Arial" w:cs="Arial" w:eastAsia="Arial" w:hAnsi="Arial"/>
          <w:sz w:val="18"/>
          <w:szCs w:val="18"/>
          <w:color w:val="auto"/>
        </w:rPr>
        <w:t>authorizations and approvals (including Educational Approvals in the case of University) necessary for it to perform its obligations and exercise its rights under this Agreement.</w:t>
      </w:r>
    </w:p>
    <w:p>
      <w:pPr>
        <w:spacing w:after="0" w:line="166"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Services Provided to University</w:t>
      </w:r>
      <w:r>
        <w:rPr>
          <w:rFonts w:ascii="Arial" w:cs="Arial" w:eastAsia="Arial" w:hAnsi="Arial"/>
          <w:sz w:val="18"/>
          <w:szCs w:val="18"/>
          <w:color w:val="auto"/>
        </w:rPr>
        <w:t>.</w:t>
      </w:r>
    </w:p>
    <w:p>
      <w:pPr>
        <w:spacing w:after="0" w:line="225" w:lineRule="exact"/>
        <w:rPr>
          <w:sz w:val="20"/>
          <w:szCs w:val="20"/>
          <w:color w:val="auto"/>
        </w:rPr>
      </w:pPr>
    </w:p>
    <w:p>
      <w:pPr>
        <w:ind w:right="20" w:firstLine="1297"/>
        <w:spacing w:after="0" w:line="270" w:lineRule="auto"/>
        <w:rPr>
          <w:sz w:val="20"/>
          <w:szCs w:val="20"/>
          <w:color w:val="auto"/>
        </w:rPr>
      </w:pPr>
      <w:r>
        <w:rPr>
          <w:rFonts w:ascii="Arial" w:cs="Arial" w:eastAsia="Arial" w:hAnsi="Arial"/>
          <w:sz w:val="17"/>
          <w:szCs w:val="17"/>
          <w:b w:val="1"/>
          <w:bCs w:val="1"/>
          <w:color w:val="auto"/>
        </w:rPr>
        <w:t xml:space="preserve">3.1 </w:t>
      </w:r>
      <w:r>
        <w:rPr>
          <w:rFonts w:ascii="Arial" w:cs="Arial" w:eastAsia="Arial" w:hAnsi="Arial"/>
          <w:sz w:val="17"/>
          <w:szCs w:val="17"/>
          <w:b w:val="1"/>
          <w:bCs w:val="1"/>
          <w:u w:val="single" w:color="auto"/>
          <w:color w:val="auto"/>
        </w:rPr>
        <w:t>Services to be Provided; Exclusivity</w:t>
      </w:r>
      <w:r>
        <w:rPr>
          <w:rFonts w:ascii="Arial" w:cs="Arial" w:eastAsia="Arial" w:hAnsi="Arial"/>
          <w:sz w:val="17"/>
          <w:szCs w:val="17"/>
          <w:color w:val="auto"/>
        </w:rPr>
        <w:t>. Provider shall, subject to the terms and conditions in this Agreement and any applicable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Services Addenda, provide to University the specific set of technological, marketing, promotional, development and/or support Services as are set forth on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to this Agreement and in any Services Addenda. Additional Services (and the terms thereof) may be added pursuant to the execution of a Services Addendum. Services may be terminated as provided in this Agreement or in the applicable Services Addendum. Subject to Provider’s performance of its obligations hereunder and to Provider’s right to cure any failure by Provider to perform after receipt of written notice from University and except as otherwise provided herein, [***]. University will not contract with any third party for the performance of any Exclusive Services, in each case without the prior written consent of Provider to be granted in Provider’s sole discretion. The Parties also acknowledge the exclusive nature of certain of the licenses granted to Provider in Section 10 (Intellectual Property Rights). University’s determination to seek a third party provider to provide Services, other than the Exclusive Services, shall have no effect on University’s obligation to pay the Services Fees pursuant to Section 5 (Fees and Payments) and as set forth and calculated on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to this Agreement.</w:t>
      </w:r>
    </w:p>
    <w:p>
      <w:pPr>
        <w:spacing w:after="0" w:line="178" w:lineRule="exact"/>
        <w:rPr>
          <w:sz w:val="20"/>
          <w:szCs w:val="20"/>
          <w:color w:val="auto"/>
        </w:rPr>
      </w:pPr>
    </w:p>
    <w:p>
      <w:pPr>
        <w:ind w:right="180" w:firstLine="1297"/>
        <w:spacing w:after="0" w:line="295" w:lineRule="auto"/>
        <w:rPr>
          <w:sz w:val="20"/>
          <w:szCs w:val="20"/>
          <w:color w:val="auto"/>
        </w:rPr>
      </w:pPr>
      <w:r>
        <w:rPr>
          <w:rFonts w:ascii="Arial" w:cs="Arial" w:eastAsia="Arial" w:hAnsi="Arial"/>
          <w:sz w:val="16"/>
          <w:szCs w:val="16"/>
          <w:b w:val="1"/>
          <w:bCs w:val="1"/>
          <w:color w:val="auto"/>
        </w:rPr>
        <w:t xml:space="preserve">3.2 </w:t>
      </w:r>
      <w:r>
        <w:rPr>
          <w:rFonts w:ascii="Arial" w:cs="Arial" w:eastAsia="Arial" w:hAnsi="Arial"/>
          <w:sz w:val="16"/>
          <w:szCs w:val="16"/>
          <w:b w:val="1"/>
          <w:bCs w:val="1"/>
          <w:u w:val="single" w:color="auto"/>
          <w:color w:val="auto"/>
        </w:rPr>
        <w:t>Location of Services; Subcontracting</w:t>
      </w:r>
      <w:r>
        <w:rPr>
          <w:rFonts w:ascii="Arial" w:cs="Arial" w:eastAsia="Arial" w:hAnsi="Arial"/>
          <w:sz w:val="16"/>
          <w:szCs w:val="16"/>
          <w:color w:val="auto"/>
        </w:rPr>
        <w:t>. Provider shall provide the Services from, and using Services Personnel located at,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Provider’s premises; provided that Provider may provide certain Services at the Campus as contemplated by this Agreement and as reasonably necessary or appropriate for Provider to provide the Services. Notwithstanding the foregoing, Provider may subcontract the performance of any one or more of the Services to third parties (a) to the same extent that any such Services were subcontracted to third parties in the normal course of Provider’s business prior to the Effective Date and (b) as otherwise determined by Provider; provided that Provider shall remain responsible and liable for the performance, acts and omissions of all such third party subcontractors;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Provider shall not subcontract the performance of substantially all the Services.</w:t>
      </w:r>
    </w:p>
    <w:p>
      <w:pPr>
        <w:spacing w:after="0" w:line="156" w:lineRule="exact"/>
        <w:rPr>
          <w:sz w:val="20"/>
          <w:szCs w:val="20"/>
          <w:color w:val="auto"/>
        </w:rPr>
      </w:pPr>
    </w:p>
    <w:p>
      <w:pPr>
        <w:ind w:firstLine="1297"/>
        <w:spacing w:after="0" w:line="270" w:lineRule="auto"/>
        <w:rPr>
          <w:sz w:val="20"/>
          <w:szCs w:val="20"/>
          <w:color w:val="auto"/>
        </w:rPr>
      </w:pPr>
      <w:r>
        <w:rPr>
          <w:rFonts w:ascii="Arial" w:cs="Arial" w:eastAsia="Arial" w:hAnsi="Arial"/>
          <w:sz w:val="17"/>
          <w:szCs w:val="17"/>
          <w:b w:val="1"/>
          <w:bCs w:val="1"/>
          <w:color w:val="auto"/>
        </w:rPr>
        <w:t xml:space="preserve">3.3 </w:t>
      </w:r>
      <w:r>
        <w:rPr>
          <w:rFonts w:ascii="Arial" w:cs="Arial" w:eastAsia="Arial" w:hAnsi="Arial"/>
          <w:sz w:val="17"/>
          <w:szCs w:val="17"/>
          <w:b w:val="1"/>
          <w:bCs w:val="1"/>
          <w:u w:val="single" w:color="auto"/>
          <w:color w:val="auto"/>
        </w:rPr>
        <w:t>Services Addenda</w:t>
      </w:r>
      <w:r>
        <w:rPr>
          <w:rFonts w:ascii="Arial" w:cs="Arial" w:eastAsia="Arial" w:hAnsi="Arial"/>
          <w:sz w:val="17"/>
          <w:szCs w:val="17"/>
          <w:color w:val="auto"/>
        </w:rPr>
        <w:t>. To add Services in addition to those described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Exhibit B</w:t>
      </w:r>
      <w:r>
        <w:rPr>
          <w:rFonts w:ascii="Arial" w:cs="Arial" w:eastAsia="Arial" w:hAnsi="Arial"/>
          <w:sz w:val="17"/>
          <w:szCs w:val="17"/>
          <w:color w:val="auto"/>
        </w:rPr>
        <w:t>, or to delete or materially change Services set forth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the Parties shall enter into one or more services addenda substantially in the form attached hereto as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Services Addenda</w:t>
      </w:r>
      <w:r>
        <w:rPr>
          <w:rFonts w:ascii="Arial" w:cs="Arial" w:eastAsia="Arial" w:hAnsi="Arial"/>
          <w:sz w:val="17"/>
          <w:szCs w:val="17"/>
          <w:color w:val="auto"/>
        </w:rPr>
        <w:t xml:space="preserve">”) which Services Addenda shall be numbered sequentially (e.g., Services Addendum C-1, Services Addendum C-2, etc.). Each Services Addendum will be effective only when signed by authorized representatives of the Parties and once finalized and signed by the Parties, shall be incorporated by reference and deemed part of this Agreement. In the event of a conflict between the terms of any Services Addendum and the body of the Agreement, the terms and conditions of the Agreement shall control to the extent of the conflict (unless the Services Addendum specifically identifies and overrides the conflicting term(s), in which event, the terms of the Services Addendum shall control for such Services Addendum). Notwithstanding anything to the contrary, the term “Services Addenda” will also include any other written documents exchanged by the Parties pursuant to which the Parties agree that Provider will provide Services in addition to those described in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to University. For purposes of clarity, the Parties acknowledge and agree that any and all editions, versions, formats, improvements, enhancements, updates, or</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 w:name="page13"/>
    <w:bookmarkEnd w:id="12"/>
    <w:p>
      <w:pPr>
        <w:spacing w:after="0" w:line="254" w:lineRule="auto"/>
        <w:rPr>
          <w:sz w:val="20"/>
          <w:szCs w:val="20"/>
          <w:color w:val="auto"/>
        </w:rPr>
      </w:pPr>
      <w:r>
        <w:rPr>
          <w:rFonts w:ascii="Arial" w:cs="Arial" w:eastAsia="Arial" w:hAnsi="Arial"/>
          <w:sz w:val="18"/>
          <w:szCs w:val="18"/>
          <w:color w:val="auto"/>
        </w:rPr>
        <w:t>other changes of or to the Provider Intellectual Property (including the Platform) (collectively, “</w:t>
      </w:r>
      <w:r>
        <w:rPr>
          <w:rFonts w:ascii="Arial" w:cs="Arial" w:eastAsia="Arial" w:hAnsi="Arial"/>
          <w:sz w:val="18"/>
          <w:szCs w:val="18"/>
          <w:b w:val="1"/>
          <w:bCs w:val="1"/>
          <w:i w:val="1"/>
          <w:iCs w:val="1"/>
          <w:color w:val="auto"/>
        </w:rPr>
        <w:t>Updates</w:t>
      </w:r>
      <w:r>
        <w:rPr>
          <w:rFonts w:ascii="Arial" w:cs="Arial" w:eastAsia="Arial" w:hAnsi="Arial"/>
          <w:sz w:val="18"/>
          <w:szCs w:val="18"/>
          <w:color w:val="auto"/>
        </w:rPr>
        <w:t xml:space="preserve">”) that (a) are developed by Provider in the ordinary course (whether on Provider’s own initiative, at the specific request of University, or otherwise) in connection with providing the Services hereunder shall be promptly provided to University as part of the Services set forth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to this Agreement, shall not be deemed to constitute additional Services, shall not require a Services Addenda, and shall not otherwise result in an additional fee or other charge to University, and (b) are (i) independently developed by Provider otherwise than in connection with providing the Services hereunder (including any such Updates as may be developed in the course of providing services to other third parties), or (ii) developed by Provider, other than in the ordinary course, at the specific request of University, shall, in each case, be deemed to constitute additional Services and, if desired by University, shall require a Services Addenda and shall be subject to additional fees or other charges as mutually negotiated by the Parties.</w:t>
      </w:r>
    </w:p>
    <w:p>
      <w:pPr>
        <w:spacing w:after="0" w:line="188" w:lineRule="exact"/>
        <w:rPr>
          <w:sz w:val="20"/>
          <w:szCs w:val="20"/>
          <w:color w:val="auto"/>
        </w:rPr>
      </w:pPr>
    </w:p>
    <w:p>
      <w:pPr>
        <w:ind w:right="20" w:firstLine="1297"/>
        <w:spacing w:after="0" w:line="281" w:lineRule="auto"/>
        <w:rPr>
          <w:sz w:val="20"/>
          <w:szCs w:val="20"/>
          <w:color w:val="auto"/>
        </w:rPr>
      </w:pPr>
      <w:r>
        <w:rPr>
          <w:rFonts w:ascii="Arial" w:cs="Arial" w:eastAsia="Arial" w:hAnsi="Arial"/>
          <w:sz w:val="17"/>
          <w:szCs w:val="17"/>
          <w:b w:val="1"/>
          <w:bCs w:val="1"/>
          <w:color w:val="auto"/>
        </w:rPr>
        <w:t xml:space="preserve">3.4 </w:t>
      </w:r>
      <w:r>
        <w:rPr>
          <w:rFonts w:ascii="Arial" w:cs="Arial" w:eastAsia="Arial" w:hAnsi="Arial"/>
          <w:sz w:val="17"/>
          <w:szCs w:val="17"/>
          <w:b w:val="1"/>
          <w:bCs w:val="1"/>
          <w:u w:val="single" w:color="auto"/>
          <w:color w:val="auto"/>
        </w:rPr>
        <w:t>Services and Performance Standards</w:t>
      </w:r>
      <w:r>
        <w:rPr>
          <w:rFonts w:ascii="Arial" w:cs="Arial" w:eastAsia="Arial" w:hAnsi="Arial"/>
          <w:sz w:val="17"/>
          <w:szCs w:val="17"/>
          <w:color w:val="auto"/>
        </w:rPr>
        <w:t>. Pursuant to the terms and conditions of this Agreement, Provider will use commercially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reasonable efforts to provide to University the Services in accordance herewith and any applicable performance standards set forth on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and in the applicable Services Addendum. Provider shall perform the Services in a good and workmanlike manner and (subject to Section 3.6 (Compliance with Laws)) in accordance with all Applicable Laws. University will use commercially reasonable efforts to perform its obligations under this Agreement.</w:t>
      </w:r>
    </w:p>
    <w:p>
      <w:pPr>
        <w:spacing w:after="0" w:line="165" w:lineRule="exact"/>
        <w:rPr>
          <w:sz w:val="20"/>
          <w:szCs w:val="20"/>
          <w:color w:val="auto"/>
        </w:rPr>
      </w:pPr>
    </w:p>
    <w:p>
      <w:pPr>
        <w:ind w:right="100" w:firstLine="1297"/>
        <w:spacing w:after="0" w:line="287" w:lineRule="auto"/>
        <w:rPr>
          <w:sz w:val="20"/>
          <w:szCs w:val="20"/>
          <w:color w:val="auto"/>
        </w:rPr>
      </w:pPr>
      <w:r>
        <w:rPr>
          <w:rFonts w:ascii="Arial" w:cs="Arial" w:eastAsia="Arial" w:hAnsi="Arial"/>
          <w:sz w:val="16"/>
          <w:szCs w:val="16"/>
          <w:b w:val="1"/>
          <w:bCs w:val="1"/>
          <w:color w:val="auto"/>
        </w:rPr>
        <w:t xml:space="preserve">3.5 </w:t>
      </w:r>
      <w:r>
        <w:rPr>
          <w:rFonts w:ascii="Arial" w:cs="Arial" w:eastAsia="Arial" w:hAnsi="Arial"/>
          <w:sz w:val="16"/>
          <w:szCs w:val="16"/>
          <w:b w:val="1"/>
          <w:bCs w:val="1"/>
          <w:u w:val="single" w:color="auto"/>
          <w:color w:val="auto"/>
        </w:rPr>
        <w:t>Provision of Information; Access</w:t>
      </w:r>
      <w:r>
        <w:rPr>
          <w:rFonts w:ascii="Arial" w:cs="Arial" w:eastAsia="Arial" w:hAnsi="Arial"/>
          <w:sz w:val="16"/>
          <w:szCs w:val="16"/>
          <w:color w:val="auto"/>
        </w:rPr>
        <w:t>. University shall, during the Initial Term of this Agreement and any Renewal Term, make</w:t>
      </w:r>
      <w:r>
        <w:rPr>
          <w:rFonts w:ascii="Arial" w:cs="Arial" w:eastAsia="Arial" w:hAnsi="Arial"/>
          <w:sz w:val="16"/>
          <w:szCs w:val="16"/>
          <w:b w:val="1"/>
          <w:bCs w:val="1"/>
          <w:color w:val="auto"/>
        </w:rPr>
        <w:t xml:space="preserve"> </w:t>
      </w:r>
      <w:r>
        <w:rPr>
          <w:rFonts w:ascii="Arial" w:cs="Arial" w:eastAsia="Arial" w:hAnsi="Arial"/>
          <w:sz w:val="16"/>
          <w:szCs w:val="16"/>
          <w:color w:val="auto"/>
        </w:rPr>
        <w:t>available to Provider on a timely basis all Books and Records within University’s reasonable control, and provide Access to Provider’s personnel, to the extent reasonably necessary for Provider to perform each of the Services. In furtherance of the foregoing, and subject to Provider’s compliance with the terms of this Agreement, University shall provide Provider with immediate and ongoing Access to University’s enrollment, marketing and other data in Provider-hosted systems as necessary to facilitate the provision of the Services. The Parties agree that Provider shall have no liability for any failure to perform, or for the late performance of, any Services to the extent such Services require Books and Records possessed, prepared or generated by University, or Access to be given to Provider’s personnel, to the extent that University shall have failed to provide or make available the same or to cause the same to be provided or made available to Provider in accordance with Provider’s reasonable written or oral (if promptly confirmed in writing) requests, and such failure by University is the cause of Provider’s lack of or delay in performance. Provider shall require that the Services Personnel comply with all business, administrative, security and other policies of University that otherwise would apply to University personnel in roles providing such Services and that are provided by University to Provider in writing. Provider shall use such Access only as reasonably necessary in connection with providing the Services and shall not use such Access for any purpose or activity unrelated to providing the Services.</w:t>
      </w:r>
    </w:p>
    <w:p>
      <w:pPr>
        <w:spacing w:after="0" w:line="169" w:lineRule="exact"/>
        <w:rPr>
          <w:sz w:val="20"/>
          <w:szCs w:val="20"/>
          <w:color w:val="auto"/>
        </w:rPr>
      </w:pPr>
    </w:p>
    <w:p>
      <w:pPr>
        <w:ind w:right="160" w:firstLine="1297"/>
        <w:spacing w:after="0" w:line="281" w:lineRule="auto"/>
        <w:rPr>
          <w:sz w:val="20"/>
          <w:szCs w:val="20"/>
          <w:color w:val="auto"/>
        </w:rPr>
      </w:pPr>
      <w:r>
        <w:rPr>
          <w:rFonts w:ascii="Arial" w:cs="Arial" w:eastAsia="Arial" w:hAnsi="Arial"/>
          <w:sz w:val="17"/>
          <w:szCs w:val="17"/>
          <w:b w:val="1"/>
          <w:bCs w:val="1"/>
          <w:color w:val="auto"/>
        </w:rPr>
        <w:t xml:space="preserve">3.6 </w:t>
      </w:r>
      <w:r>
        <w:rPr>
          <w:rFonts w:ascii="Arial" w:cs="Arial" w:eastAsia="Arial" w:hAnsi="Arial"/>
          <w:sz w:val="17"/>
          <w:szCs w:val="17"/>
          <w:b w:val="1"/>
          <w:bCs w:val="1"/>
          <w:u w:val="single" w:color="auto"/>
          <w:color w:val="auto"/>
        </w:rPr>
        <w:t>Compliance with Laws</w:t>
      </w:r>
      <w:r>
        <w:rPr>
          <w:rFonts w:ascii="Arial" w:cs="Arial" w:eastAsia="Arial" w:hAnsi="Arial"/>
          <w:sz w:val="17"/>
          <w:szCs w:val="17"/>
          <w:color w:val="auto"/>
        </w:rPr>
        <w:t>. The Parties agree that each Party shall perform its respective obligations hereunder in compliance with</w:t>
      </w:r>
      <w:r>
        <w:rPr>
          <w:rFonts w:ascii="Arial" w:cs="Arial" w:eastAsia="Arial" w:hAnsi="Arial"/>
          <w:sz w:val="17"/>
          <w:szCs w:val="17"/>
          <w:b w:val="1"/>
          <w:bCs w:val="1"/>
          <w:color w:val="auto"/>
        </w:rPr>
        <w:t xml:space="preserve"> </w:t>
      </w:r>
      <w:r>
        <w:rPr>
          <w:rFonts w:ascii="Arial" w:cs="Arial" w:eastAsia="Arial" w:hAnsi="Arial"/>
          <w:sz w:val="17"/>
          <w:szCs w:val="17"/>
          <w:color w:val="auto"/>
        </w:rPr>
        <w:t>the Applicable Laws that apply to such Party’s performance under this Agreement. For the avoidance of doubt, Provider shall not be responsible for University’s compliance with the Applicable Laws that apply to University’s Educational Activities (including the Educational Laws), even if the performance of the Services relate to such Applicable Laws, unless (a) Provider failed to provide specific Services expressly</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3" w:name="page14"/>
    <w:bookmarkEnd w:id="13"/>
    <w:p>
      <w:pPr>
        <w:ind w:right="20"/>
        <w:spacing w:after="0" w:line="289" w:lineRule="auto"/>
        <w:rPr>
          <w:sz w:val="20"/>
          <w:szCs w:val="20"/>
          <w:color w:val="auto"/>
        </w:rPr>
      </w:pPr>
      <w:r>
        <w:rPr>
          <w:rFonts w:ascii="Arial" w:cs="Arial" w:eastAsia="Arial" w:hAnsi="Arial"/>
          <w:sz w:val="16"/>
          <w:szCs w:val="16"/>
          <w:color w:val="auto"/>
        </w:rPr>
        <w:t>set forth herein or in a Services Addendum in accordance with the terms hereof or such Services Addendum, (b) such failure was the result of the gross negligence or willful misconduct of Provider (or Provider’s Services Personnel or Services Personnel of subcontractors used by Provider), (c) such failure directly causes University’s failure to comply with Applicable Laws, or (d) such failure results from Provider’s non-compliance with certain Educational Laws applicable to Provider as set forth in Section 3.7 (Provider’s Compliance with Certain Educational Laws) below. Neither Provider nor its Affiliates (nor its subcontractors) shall be required to provide any Services to the extent that providing such Services would require Provider or its Affiliates or subcontractors to violate any Applicable Law; provided, that promptly upon learning of such Applicable Law, Provider shall deliver reasonable written notice thereof to University, and Provider shall reasonably cooperate with University to mitigate the impact of Provider being unable to provide such Services, including the development and implementation of a reasonable work-around or reasonable revision to such Services as necessary to comply with such Applicable Law, which work-around or revisions shall be set forth in an amendment to this Agreement or in a Services Addendum, as applicable.</w:t>
      </w:r>
    </w:p>
    <w:p>
      <w:pPr>
        <w:spacing w:after="0" w:line="163" w:lineRule="exact"/>
        <w:rPr>
          <w:sz w:val="20"/>
          <w:szCs w:val="20"/>
          <w:color w:val="auto"/>
        </w:rPr>
      </w:pPr>
    </w:p>
    <w:p>
      <w:pPr>
        <w:ind w:right="940" w:firstLine="1297"/>
        <w:spacing w:after="0" w:line="282" w:lineRule="auto"/>
        <w:rPr>
          <w:sz w:val="20"/>
          <w:szCs w:val="20"/>
          <w:color w:val="auto"/>
        </w:rPr>
      </w:pPr>
      <w:r>
        <w:rPr>
          <w:rFonts w:ascii="Arial" w:cs="Arial" w:eastAsia="Arial" w:hAnsi="Arial"/>
          <w:sz w:val="18"/>
          <w:szCs w:val="18"/>
          <w:b w:val="1"/>
          <w:bCs w:val="1"/>
          <w:color w:val="auto"/>
        </w:rPr>
        <w:t xml:space="preserve">3.7 </w:t>
      </w:r>
      <w:r>
        <w:rPr>
          <w:rFonts w:ascii="Arial" w:cs="Arial" w:eastAsia="Arial" w:hAnsi="Arial"/>
          <w:sz w:val="18"/>
          <w:szCs w:val="18"/>
          <w:b w:val="1"/>
          <w:bCs w:val="1"/>
          <w:u w:val="single" w:color="auto"/>
          <w:color w:val="auto"/>
        </w:rPr>
        <w:t>Provider’s Compliance with Certain Educational Laws</w:t>
      </w:r>
      <w:r>
        <w:rPr>
          <w:rFonts w:ascii="Arial" w:cs="Arial" w:eastAsia="Arial" w:hAnsi="Arial"/>
          <w:sz w:val="18"/>
          <w:szCs w:val="18"/>
          <w:color w:val="auto"/>
        </w:rPr>
        <w:t>. In furtherance of Provider’s obligations under Section 3.6</w:t>
      </w:r>
      <w:r>
        <w:rPr>
          <w:rFonts w:ascii="Arial" w:cs="Arial" w:eastAsia="Arial" w:hAnsi="Arial"/>
          <w:sz w:val="18"/>
          <w:szCs w:val="18"/>
          <w:b w:val="1"/>
          <w:bCs w:val="1"/>
          <w:color w:val="auto"/>
        </w:rPr>
        <w:t xml:space="preserve"> </w:t>
      </w:r>
      <w:r>
        <w:rPr>
          <w:rFonts w:ascii="Arial" w:cs="Arial" w:eastAsia="Arial" w:hAnsi="Arial"/>
          <w:sz w:val="18"/>
          <w:szCs w:val="18"/>
          <w:color w:val="auto"/>
        </w:rPr>
        <w:t>(Compliance with Laws):</w:t>
      </w:r>
    </w:p>
    <w:p>
      <w:pPr>
        <w:spacing w:after="0" w:line="162" w:lineRule="exact"/>
        <w:rPr>
          <w:sz w:val="20"/>
          <w:szCs w:val="20"/>
          <w:color w:val="auto"/>
        </w:rPr>
      </w:pPr>
    </w:p>
    <w:p>
      <w:pPr>
        <w:ind w:firstLine="1945"/>
        <w:spacing w:after="0" w:line="286" w:lineRule="auto"/>
        <w:rPr>
          <w:sz w:val="20"/>
          <w:szCs w:val="20"/>
          <w:color w:val="auto"/>
        </w:rPr>
      </w:pPr>
      <w:r>
        <w:rPr>
          <w:rFonts w:ascii="Arial" w:cs="Arial" w:eastAsia="Arial" w:hAnsi="Arial"/>
          <w:sz w:val="16"/>
          <w:szCs w:val="16"/>
          <w:b w:val="1"/>
          <w:bCs w:val="1"/>
          <w:color w:val="auto"/>
        </w:rPr>
        <w:t xml:space="preserve">3.7.1 </w:t>
      </w:r>
      <w:r>
        <w:rPr>
          <w:rFonts w:ascii="Arial" w:cs="Arial" w:eastAsia="Arial" w:hAnsi="Arial"/>
          <w:sz w:val="16"/>
          <w:szCs w:val="16"/>
          <w:b w:val="1"/>
          <w:bCs w:val="1"/>
          <w:u w:val="single" w:color="auto"/>
          <w:color w:val="auto"/>
        </w:rPr>
        <w:t>Personal Information and Privacy</w:t>
      </w:r>
      <w:r>
        <w:rPr>
          <w:rFonts w:ascii="Arial" w:cs="Arial" w:eastAsia="Arial" w:hAnsi="Arial"/>
          <w:sz w:val="16"/>
          <w:szCs w:val="16"/>
          <w:color w:val="auto"/>
        </w:rPr>
        <w:t>. Provider acknowledges that University is subject to internal policies, laws, and</w:t>
      </w:r>
      <w:r>
        <w:rPr>
          <w:rFonts w:ascii="Arial" w:cs="Arial" w:eastAsia="Arial" w:hAnsi="Arial"/>
          <w:sz w:val="16"/>
          <w:szCs w:val="16"/>
          <w:b w:val="1"/>
          <w:bCs w:val="1"/>
          <w:color w:val="auto"/>
        </w:rPr>
        <w:t xml:space="preserve"> </w:t>
      </w:r>
      <w:r>
        <w:rPr>
          <w:rFonts w:ascii="Arial" w:cs="Arial" w:eastAsia="Arial" w:hAnsi="Arial"/>
          <w:sz w:val="16"/>
          <w:szCs w:val="16"/>
          <w:color w:val="auto"/>
        </w:rPr>
        <w:t>regulations that govern and restrict the collection, storage, processing, dissemination, and use of education records, including non-public personal information that relates to applicants to University and its Programs, internship participants and University’s students and personnel that could be used, either directly or indirectly, to identify such person (collectively, “</w:t>
      </w:r>
      <w:r>
        <w:rPr>
          <w:rFonts w:ascii="Arial" w:cs="Arial" w:eastAsia="Arial" w:hAnsi="Arial"/>
          <w:sz w:val="16"/>
          <w:szCs w:val="16"/>
          <w:b w:val="1"/>
          <w:bCs w:val="1"/>
          <w:i w:val="1"/>
          <w:iCs w:val="1"/>
          <w:color w:val="auto"/>
        </w:rPr>
        <w:t>Personal Information</w:t>
      </w:r>
      <w:r>
        <w:rPr>
          <w:rFonts w:ascii="Arial" w:cs="Arial" w:eastAsia="Arial" w:hAnsi="Arial"/>
          <w:sz w:val="16"/>
          <w:szCs w:val="16"/>
          <w:color w:val="auto"/>
        </w:rPr>
        <w:t>”). In the performance of Provider’s obligations under this Agreement, Provider shall and shall cause its employees, agents, servants, principals, and any subcontractors to, at all times, comply with all Applicable Law, including Educational Laws, and University policies, including privacy and information security laws and regulations and University policies regarding Personal Information. Without limiting the generality of the foregoing and subject to University’s oversight, Provider agrees (a) not to collect, store, process, disseminate, or use any such Personal Information obtained from University except to the extent expressly permitted or required in the performance of its Services under this Agreement, (b) to store all such Personal Information only in encrypted or otherwise secure form on Provider’s computer systems, and (c) except as permitted in this Agreement, not to sell, distribute, release or disclose lists or compilations of any items of Personal Information without the prior written consent of University or of the subject(s) of the Personal Information to be released or disclosed. Any disclosure of Personal Information by Provider in the performance of its obligations hereunder shall be made only on a “need-to-know” basis and subject to an applicable confidentiality agreement or other obligation substantially similar to the confidentiality, privacy and information security requirements imposed on Provider under this Agreement and Applicable Law. To the extent Provider utilizes subcontractors to perform Services under this Agreement, Provider shall require each such subcontractor to agree in writing to substantively similar terms, obligations, and restrictions contained in this Agreement.</w:t>
      </w:r>
    </w:p>
    <w:p>
      <w:pPr>
        <w:spacing w:after="0" w:line="169" w:lineRule="exact"/>
        <w:rPr>
          <w:sz w:val="20"/>
          <w:szCs w:val="20"/>
          <w:color w:val="auto"/>
        </w:rPr>
      </w:pPr>
    </w:p>
    <w:p>
      <w:pPr>
        <w:ind w:right="520" w:firstLine="1945"/>
        <w:spacing w:after="0" w:line="313" w:lineRule="auto"/>
        <w:rPr>
          <w:sz w:val="20"/>
          <w:szCs w:val="20"/>
          <w:color w:val="auto"/>
        </w:rPr>
      </w:pPr>
      <w:r>
        <w:rPr>
          <w:rFonts w:ascii="Arial" w:cs="Arial" w:eastAsia="Arial" w:hAnsi="Arial"/>
          <w:sz w:val="17"/>
          <w:szCs w:val="17"/>
          <w:b w:val="1"/>
          <w:bCs w:val="1"/>
          <w:color w:val="auto"/>
        </w:rPr>
        <w:t xml:space="preserve">3.7.2 </w:t>
      </w:r>
      <w:r>
        <w:rPr>
          <w:rFonts w:ascii="Arial" w:cs="Arial" w:eastAsia="Arial" w:hAnsi="Arial"/>
          <w:sz w:val="17"/>
          <w:szCs w:val="17"/>
          <w:b w:val="1"/>
          <w:bCs w:val="1"/>
          <w:u w:val="single" w:color="auto"/>
          <w:color w:val="auto"/>
        </w:rPr>
        <w:t>Student Privacy Rights</w:t>
      </w:r>
      <w:r>
        <w:rPr>
          <w:rFonts w:ascii="Arial" w:cs="Arial" w:eastAsia="Arial" w:hAnsi="Arial"/>
          <w:sz w:val="17"/>
          <w:szCs w:val="17"/>
          <w:color w:val="auto"/>
        </w:rPr>
        <w:t>. Without limitation of its obligations under Section 3.7.1 above, (a) Provider shall take all</w:t>
      </w:r>
      <w:r>
        <w:rPr>
          <w:rFonts w:ascii="Arial" w:cs="Arial" w:eastAsia="Arial" w:hAnsi="Arial"/>
          <w:sz w:val="17"/>
          <w:szCs w:val="17"/>
          <w:b w:val="1"/>
          <w:bCs w:val="1"/>
          <w:color w:val="auto"/>
        </w:rPr>
        <w:t xml:space="preserve"> </w:t>
      </w:r>
      <w:r>
        <w:rPr>
          <w:rFonts w:ascii="Arial" w:cs="Arial" w:eastAsia="Arial" w:hAnsi="Arial"/>
          <w:sz w:val="17"/>
          <w:szCs w:val="17"/>
          <w:color w:val="auto"/>
        </w:rPr>
        <w:t>commercially reasonable measures to protect the Personal Information of University students consistent with the Family Education Rights and</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4" w:name="page15"/>
    <w:bookmarkEnd w:id="14"/>
    <w:p>
      <w:pPr>
        <w:ind w:right="120"/>
        <w:spacing w:after="0" w:line="291" w:lineRule="auto"/>
        <w:rPr>
          <w:sz w:val="20"/>
          <w:szCs w:val="20"/>
          <w:color w:val="auto"/>
        </w:rPr>
      </w:pPr>
      <w:r>
        <w:rPr>
          <w:rFonts w:ascii="Arial" w:cs="Arial" w:eastAsia="Arial" w:hAnsi="Arial"/>
          <w:sz w:val="16"/>
          <w:szCs w:val="16"/>
          <w:color w:val="auto"/>
        </w:rPr>
        <w:t>Privacy Act, as amended, and the rules and regulations thereunder (“</w:t>
      </w:r>
      <w:r>
        <w:rPr>
          <w:rFonts w:ascii="Arial" w:cs="Arial" w:eastAsia="Arial" w:hAnsi="Arial"/>
          <w:sz w:val="16"/>
          <w:szCs w:val="16"/>
          <w:b w:val="1"/>
          <w:bCs w:val="1"/>
          <w:i w:val="1"/>
          <w:iCs w:val="1"/>
          <w:color w:val="auto"/>
        </w:rPr>
        <w:t>FERPA</w:t>
      </w:r>
      <w:r>
        <w:rPr>
          <w:rFonts w:ascii="Arial" w:cs="Arial" w:eastAsia="Arial" w:hAnsi="Arial"/>
          <w:sz w:val="16"/>
          <w:szCs w:val="16"/>
          <w:color w:val="auto"/>
        </w:rPr>
        <w:t>”) and other Applicable Law, (b) Provider shall furnish University a copy of Provider’s information security procedures for the storage and handling of education records and other Personal Information prior to the commencement of Provider’s handling and processing of such records and information, (c) Provider shall furnish University a copy of any update or other modification of such security procedures, and (d) such security procedures and all updates and modifications thereof shall be subject to University’s written approval. Provider shall not disclose, release, or otherwise authorize access to Personal Information without written authority of University and/or the students to the extent required under FERPA, or as may be required by judicial order or lawfully issued subpoena. Upon request, Provider shall meet and confer with University to discuss Provider’s information security procedures for the storage and handling of Personal Information.</w:t>
      </w:r>
    </w:p>
    <w:p>
      <w:pPr>
        <w:spacing w:after="0" w:line="163" w:lineRule="exact"/>
        <w:rPr>
          <w:sz w:val="20"/>
          <w:szCs w:val="20"/>
          <w:color w:val="auto"/>
        </w:rPr>
      </w:pPr>
    </w:p>
    <w:p>
      <w:pPr>
        <w:ind w:right="160" w:firstLine="1945"/>
        <w:spacing w:after="0" w:line="281" w:lineRule="auto"/>
        <w:rPr>
          <w:sz w:val="20"/>
          <w:szCs w:val="20"/>
          <w:color w:val="auto"/>
        </w:rPr>
      </w:pPr>
      <w:r>
        <w:rPr>
          <w:rFonts w:ascii="Arial" w:cs="Arial" w:eastAsia="Arial" w:hAnsi="Arial"/>
          <w:sz w:val="17"/>
          <w:szCs w:val="17"/>
          <w:b w:val="1"/>
          <w:bCs w:val="1"/>
          <w:color w:val="auto"/>
        </w:rPr>
        <w:t xml:space="preserve">3.7.3 </w:t>
      </w:r>
      <w:r>
        <w:rPr>
          <w:rFonts w:ascii="Arial" w:cs="Arial" w:eastAsia="Arial" w:hAnsi="Arial"/>
          <w:sz w:val="17"/>
          <w:szCs w:val="17"/>
          <w:b w:val="1"/>
          <w:bCs w:val="1"/>
          <w:u w:val="single" w:color="auto"/>
          <w:color w:val="auto"/>
        </w:rPr>
        <w:t>Agency Regarding Student Information</w:t>
      </w:r>
      <w:r>
        <w:rPr>
          <w:rFonts w:ascii="Arial" w:cs="Arial" w:eastAsia="Arial" w:hAnsi="Arial"/>
          <w:sz w:val="17"/>
          <w:szCs w:val="17"/>
          <w:color w:val="auto"/>
        </w:rPr>
        <w:t>. In order to satisfy FERPA and regulatory requirements applicable to</w:t>
      </w:r>
      <w:r>
        <w:rPr>
          <w:rFonts w:ascii="Arial" w:cs="Arial" w:eastAsia="Arial" w:hAnsi="Arial"/>
          <w:sz w:val="17"/>
          <w:szCs w:val="17"/>
          <w:b w:val="1"/>
          <w:bCs w:val="1"/>
          <w:color w:val="auto"/>
        </w:rPr>
        <w:t xml:space="preserve"> </w:t>
      </w:r>
      <w:r>
        <w:rPr>
          <w:rFonts w:ascii="Arial" w:cs="Arial" w:eastAsia="Arial" w:hAnsi="Arial"/>
          <w:sz w:val="17"/>
          <w:szCs w:val="17"/>
          <w:color w:val="auto"/>
        </w:rPr>
        <w:t>University, Provider is hereby appointed as an agent of University’s Office of Academic Records for the use of student education records and other Personal Information solely for the purpose of providing the Services hereunder throughout such students’ tenures at University and attendance in its Programs and thereafter, including, without limitation, counseling of prospective students and continuing contact with graduates of University.</w:t>
      </w:r>
    </w:p>
    <w:p>
      <w:pPr>
        <w:spacing w:after="0" w:line="165" w:lineRule="exact"/>
        <w:rPr>
          <w:sz w:val="20"/>
          <w:szCs w:val="20"/>
          <w:color w:val="auto"/>
        </w:rPr>
      </w:pPr>
    </w:p>
    <w:p>
      <w:pPr>
        <w:ind w:right="100" w:firstLine="1945"/>
        <w:spacing w:after="0" w:line="258" w:lineRule="auto"/>
        <w:rPr>
          <w:sz w:val="20"/>
          <w:szCs w:val="20"/>
          <w:color w:val="auto"/>
        </w:rPr>
      </w:pPr>
      <w:r>
        <w:rPr>
          <w:rFonts w:ascii="Arial" w:cs="Arial" w:eastAsia="Arial" w:hAnsi="Arial"/>
          <w:sz w:val="18"/>
          <w:szCs w:val="18"/>
          <w:b w:val="1"/>
          <w:bCs w:val="1"/>
          <w:color w:val="auto"/>
        </w:rPr>
        <w:t xml:space="preserve">3.7.4 </w:t>
      </w:r>
      <w:r>
        <w:rPr>
          <w:rFonts w:ascii="Arial" w:cs="Arial" w:eastAsia="Arial" w:hAnsi="Arial"/>
          <w:sz w:val="18"/>
          <w:szCs w:val="18"/>
          <w:b w:val="1"/>
          <w:bCs w:val="1"/>
          <w:u w:val="single" w:color="auto"/>
          <w:color w:val="auto"/>
        </w:rPr>
        <w:t>Timely Notice of Breach</w:t>
      </w:r>
      <w:r>
        <w:rPr>
          <w:rFonts w:ascii="Arial" w:cs="Arial" w:eastAsia="Arial" w:hAnsi="Arial"/>
          <w:sz w:val="18"/>
          <w:szCs w:val="18"/>
          <w:color w:val="auto"/>
        </w:rPr>
        <w:t>. Provider shall promptly notify the University Registrar of any unauthorized access, use, or</w:t>
      </w:r>
      <w:r>
        <w:rPr>
          <w:rFonts w:ascii="Arial" w:cs="Arial" w:eastAsia="Arial" w:hAnsi="Arial"/>
          <w:sz w:val="18"/>
          <w:szCs w:val="18"/>
          <w:b w:val="1"/>
          <w:bCs w:val="1"/>
          <w:color w:val="auto"/>
        </w:rPr>
        <w:t xml:space="preserve"> </w:t>
      </w:r>
      <w:r>
        <w:rPr>
          <w:rFonts w:ascii="Arial" w:cs="Arial" w:eastAsia="Arial" w:hAnsi="Arial"/>
          <w:sz w:val="18"/>
          <w:szCs w:val="18"/>
          <w:color w:val="auto"/>
        </w:rPr>
        <w:t>disclosure (“</w:t>
      </w:r>
      <w:r>
        <w:rPr>
          <w:rFonts w:ascii="Arial" w:cs="Arial" w:eastAsia="Arial" w:hAnsi="Arial"/>
          <w:sz w:val="18"/>
          <w:szCs w:val="18"/>
          <w:b w:val="1"/>
          <w:bCs w:val="1"/>
          <w:i w:val="1"/>
          <w:iCs w:val="1"/>
          <w:color w:val="auto"/>
        </w:rPr>
        <w:t>Breach</w:t>
      </w:r>
      <w:r>
        <w:rPr>
          <w:rFonts w:ascii="Arial" w:cs="Arial" w:eastAsia="Arial" w:hAnsi="Arial"/>
          <w:sz w:val="18"/>
          <w:szCs w:val="18"/>
          <w:color w:val="auto"/>
        </w:rPr>
        <w:t>”) of any Personal Information or of University’s Confidential Information of which it becomes aware. Provider shall take reasonable steps to limit and investigate a Breach occurring as a result of Provider’s action or inaction, and Provider shall be responsible to the extent of Provider’s fault for the cost of notifying individuals whose Personal Information have been Breached as a direct result of Provider’s action or inaction, and any reasonable or court-ordered remedial action.</w:t>
      </w:r>
    </w:p>
    <w:p>
      <w:pPr>
        <w:spacing w:after="0" w:line="184" w:lineRule="exact"/>
        <w:rPr>
          <w:sz w:val="20"/>
          <w:szCs w:val="20"/>
          <w:color w:val="auto"/>
        </w:rPr>
      </w:pPr>
    </w:p>
    <w:p>
      <w:pPr>
        <w:ind w:right="120" w:firstLine="1945"/>
        <w:spacing w:after="0" w:line="303" w:lineRule="auto"/>
        <w:rPr>
          <w:sz w:val="20"/>
          <w:szCs w:val="20"/>
          <w:color w:val="auto"/>
        </w:rPr>
      </w:pPr>
      <w:r>
        <w:rPr>
          <w:rFonts w:ascii="Arial" w:cs="Arial" w:eastAsia="Arial" w:hAnsi="Arial"/>
          <w:sz w:val="16"/>
          <w:szCs w:val="16"/>
          <w:b w:val="1"/>
          <w:bCs w:val="1"/>
          <w:color w:val="auto"/>
        </w:rPr>
        <w:t xml:space="preserve">3.7.5 </w:t>
      </w:r>
      <w:r>
        <w:rPr>
          <w:rFonts w:ascii="Arial" w:cs="Arial" w:eastAsia="Arial" w:hAnsi="Arial"/>
          <w:sz w:val="16"/>
          <w:szCs w:val="16"/>
          <w:b w:val="1"/>
          <w:bCs w:val="1"/>
          <w:u w:val="single" w:color="auto"/>
          <w:color w:val="auto"/>
        </w:rPr>
        <w:t>HEA Section 495 Compliance</w:t>
      </w:r>
      <w:r>
        <w:rPr>
          <w:rFonts w:ascii="Arial" w:cs="Arial" w:eastAsia="Arial" w:hAnsi="Arial"/>
          <w:sz w:val="16"/>
          <w:szCs w:val="16"/>
          <w:color w:val="auto"/>
        </w:rPr>
        <w:t>. Provider shall remain in compliance with HEA Section 495. Without limiting the</w:t>
      </w:r>
      <w:r>
        <w:rPr>
          <w:rFonts w:ascii="Arial" w:cs="Arial" w:eastAsia="Arial" w:hAnsi="Arial"/>
          <w:sz w:val="16"/>
          <w:szCs w:val="16"/>
          <w:b w:val="1"/>
          <w:bCs w:val="1"/>
          <w:color w:val="auto"/>
        </w:rPr>
        <w:t xml:space="preserve"> </w:t>
      </w:r>
      <w:r>
        <w:rPr>
          <w:rFonts w:ascii="Arial" w:cs="Arial" w:eastAsia="Arial" w:hAnsi="Arial"/>
          <w:sz w:val="16"/>
          <w:szCs w:val="16"/>
          <w:color w:val="auto"/>
        </w:rPr>
        <w:t>foregoing, Provider shall have and maintain security mechanisms in place to ensure that each student registering for a Course is the same student who participates in the Course or receives Course credit. Such security mechanisms shall include one or more of the following methods: (a) a login and pass code procedure; (b) proctored examinations; and (c) new or other technologies and practices that are effective in verifying student identification.</w:t>
      </w:r>
    </w:p>
    <w:p>
      <w:pPr>
        <w:spacing w:after="0" w:line="151" w:lineRule="exact"/>
        <w:rPr>
          <w:sz w:val="20"/>
          <w:szCs w:val="20"/>
          <w:color w:val="auto"/>
        </w:rPr>
      </w:pPr>
    </w:p>
    <w:p>
      <w:pPr>
        <w:ind w:firstLine="1945"/>
        <w:spacing w:after="0" w:line="295" w:lineRule="auto"/>
        <w:rPr>
          <w:sz w:val="20"/>
          <w:szCs w:val="20"/>
          <w:color w:val="auto"/>
        </w:rPr>
      </w:pPr>
      <w:r>
        <w:rPr>
          <w:rFonts w:ascii="Arial" w:cs="Arial" w:eastAsia="Arial" w:hAnsi="Arial"/>
          <w:sz w:val="16"/>
          <w:szCs w:val="16"/>
          <w:b w:val="1"/>
          <w:bCs w:val="1"/>
          <w:color w:val="auto"/>
        </w:rPr>
        <w:t xml:space="preserve">3.7.6 </w:t>
      </w:r>
      <w:r>
        <w:rPr>
          <w:rFonts w:ascii="Arial" w:cs="Arial" w:eastAsia="Arial" w:hAnsi="Arial"/>
          <w:sz w:val="16"/>
          <w:szCs w:val="16"/>
          <w:b w:val="1"/>
          <w:bCs w:val="1"/>
          <w:u w:val="single" w:color="auto"/>
          <w:color w:val="auto"/>
        </w:rPr>
        <w:t>Marketing Laws and Regulations; No Misrepresentation</w:t>
      </w:r>
      <w:r>
        <w:rPr>
          <w:rFonts w:ascii="Arial" w:cs="Arial" w:eastAsia="Arial" w:hAnsi="Arial"/>
          <w:sz w:val="16"/>
          <w:szCs w:val="16"/>
          <w:color w:val="auto"/>
        </w:rPr>
        <w:t>. Provider agrees to comply with all federal, state or local</w:t>
      </w:r>
      <w:r>
        <w:rPr>
          <w:rFonts w:ascii="Arial" w:cs="Arial" w:eastAsia="Arial" w:hAnsi="Arial"/>
          <w:sz w:val="16"/>
          <w:szCs w:val="16"/>
          <w:b w:val="1"/>
          <w:bCs w:val="1"/>
          <w:color w:val="auto"/>
        </w:rPr>
        <w:t xml:space="preserve"> </w:t>
      </w:r>
      <w:r>
        <w:rPr>
          <w:rFonts w:ascii="Arial" w:cs="Arial" w:eastAsia="Arial" w:hAnsi="Arial"/>
          <w:sz w:val="16"/>
          <w:szCs w:val="16"/>
          <w:color w:val="auto"/>
        </w:rPr>
        <w:t>laws, statutes, rules and regulations concerning consumer and student marketing, including but not limited to the DOE misrepresentation regulations (34 C.F.R. §668.71-75), the CAN-SPAM Act of 2003, the Telephone Consumer Protection Act, the Telemarketing and Consumer Fraud and Abuse Prevention Act, the Telecommunications Act, Section 5 of the Federal Trade Commission Act and any amendments thereto, and any regulations promulgated thereunder. Any communications with prospective or exiting students shall follow scripts or use advertising or web materials approved by University. Provider shall make no misrepresentation concerning University, including about any of its Programs, financial charges or the employability of its graduates.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5" w:name="page16"/>
    <w:bookmarkEnd w:id="15"/>
    <w:p>
      <w:pPr>
        <w:ind w:right="100" w:firstLine="1945"/>
        <w:spacing w:after="0" w:line="273" w:lineRule="auto"/>
        <w:rPr>
          <w:sz w:val="20"/>
          <w:szCs w:val="20"/>
          <w:color w:val="auto"/>
        </w:rPr>
      </w:pPr>
      <w:r>
        <w:rPr>
          <w:rFonts w:ascii="Arial" w:cs="Arial" w:eastAsia="Arial" w:hAnsi="Arial"/>
          <w:sz w:val="17"/>
          <w:szCs w:val="17"/>
          <w:b w:val="1"/>
          <w:bCs w:val="1"/>
          <w:color w:val="auto"/>
        </w:rPr>
        <w:t xml:space="preserve">3.7.7 </w:t>
      </w:r>
      <w:r>
        <w:rPr>
          <w:rFonts w:ascii="Arial" w:cs="Arial" w:eastAsia="Arial" w:hAnsi="Arial"/>
          <w:sz w:val="17"/>
          <w:szCs w:val="17"/>
          <w:b w:val="1"/>
          <w:bCs w:val="1"/>
          <w:u w:val="single" w:color="auto"/>
          <w:color w:val="auto"/>
        </w:rPr>
        <w:t>Incentive Compensation Rule</w:t>
      </w:r>
      <w:r>
        <w:rPr>
          <w:rFonts w:ascii="Arial" w:cs="Arial" w:eastAsia="Arial" w:hAnsi="Arial"/>
          <w:sz w:val="17"/>
          <w:szCs w:val="17"/>
          <w:color w:val="auto"/>
        </w:rPr>
        <w:t>. Provider shall compensate its employees and agents engaged in the recruitment of</w:t>
      </w:r>
      <w:r>
        <w:rPr>
          <w:rFonts w:ascii="Arial" w:cs="Arial" w:eastAsia="Arial" w:hAnsi="Arial"/>
          <w:sz w:val="17"/>
          <w:szCs w:val="17"/>
          <w:b w:val="1"/>
          <w:bCs w:val="1"/>
          <w:color w:val="auto"/>
        </w:rPr>
        <w:t xml:space="preserve"> </w:t>
      </w:r>
      <w:r>
        <w:rPr>
          <w:rFonts w:ascii="Arial" w:cs="Arial" w:eastAsia="Arial" w:hAnsi="Arial"/>
          <w:sz w:val="17"/>
          <w:szCs w:val="17"/>
          <w:color w:val="auto"/>
        </w:rPr>
        <w:t>University’s students and in the awarding of financial aid, and those responsible for such employees and agents, only in accordance with the provisions of HEA Section 487(a)(20) (20 U.S.C. § 1094(a)(20)), or any successor provision, and the regulations promulgated thereunder by the DOE (currently located at 34 C.F.R. § 668.14(b)(22)), commonly referred to as the Incentive Compensation Rule. Provider represents and warrants that this Agreement falls under Example 2-B, page 12 of the Dear Colleague letter titled “Implementation of Program Integrity Regulations” from the U.S. Department of Education issued on March 17, 2011 (including any amended or successor DOE guidance, the “Guidance”). Provider further covenants and agrees that it will fully comply with the Guidance during the Initial Term and any Renewal Terms.</w:t>
      </w:r>
    </w:p>
    <w:p>
      <w:pPr>
        <w:spacing w:after="0" w:line="172"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b w:val="1"/>
          <w:bCs w:val="1"/>
          <w:color w:val="auto"/>
        </w:rPr>
        <w:t>3.8</w:t>
      </w:r>
      <w:r>
        <w:rPr>
          <w:sz w:val="20"/>
          <w:szCs w:val="20"/>
          <w:color w:val="auto"/>
        </w:rPr>
        <w:tab/>
      </w:r>
      <w:r>
        <w:rPr>
          <w:rFonts w:ascii="Arial" w:cs="Arial" w:eastAsia="Arial" w:hAnsi="Arial"/>
          <w:sz w:val="16"/>
          <w:szCs w:val="16"/>
          <w:b w:val="1"/>
          <w:bCs w:val="1"/>
          <w:u w:val="single" w:color="auto"/>
          <w:color w:val="auto"/>
        </w:rPr>
        <w:t>Compliance with University Policies and Standards; Fulfillment of University Mission</w:t>
      </w:r>
      <w:r>
        <w:rPr>
          <w:rFonts w:ascii="Arial" w:cs="Arial" w:eastAsia="Arial" w:hAnsi="Arial"/>
          <w:sz w:val="16"/>
          <w:szCs w:val="16"/>
          <w:color w:val="auto"/>
        </w:rPr>
        <w:t>.</w:t>
      </w:r>
    </w:p>
    <w:p>
      <w:pPr>
        <w:spacing w:after="0" w:line="225" w:lineRule="exact"/>
        <w:rPr>
          <w:sz w:val="20"/>
          <w:szCs w:val="20"/>
          <w:color w:val="auto"/>
        </w:rPr>
      </w:pPr>
    </w:p>
    <w:p>
      <w:pPr>
        <w:ind w:firstLine="1945"/>
        <w:spacing w:after="0" w:line="277" w:lineRule="auto"/>
        <w:rPr>
          <w:sz w:val="20"/>
          <w:szCs w:val="20"/>
          <w:color w:val="auto"/>
        </w:rPr>
      </w:pPr>
      <w:r>
        <w:rPr>
          <w:rFonts w:ascii="Arial" w:cs="Arial" w:eastAsia="Arial" w:hAnsi="Arial"/>
          <w:sz w:val="17"/>
          <w:szCs w:val="17"/>
          <w:b w:val="1"/>
          <w:bCs w:val="1"/>
          <w:color w:val="auto"/>
        </w:rPr>
        <w:t xml:space="preserve">3.8.1 </w:t>
      </w:r>
      <w:r>
        <w:rPr>
          <w:rFonts w:ascii="Arial" w:cs="Arial" w:eastAsia="Arial" w:hAnsi="Arial"/>
          <w:sz w:val="17"/>
          <w:szCs w:val="17"/>
          <w:color w:val="auto"/>
        </w:rPr>
        <w:t>Provider acknowledges that University has established, and maintains and enforces, policies with regard to fair and ethical</w:t>
      </w:r>
      <w:r>
        <w:rPr>
          <w:rFonts w:ascii="Arial" w:cs="Arial" w:eastAsia="Arial" w:hAnsi="Arial"/>
          <w:sz w:val="17"/>
          <w:szCs w:val="17"/>
          <w:b w:val="1"/>
          <w:bCs w:val="1"/>
          <w:color w:val="auto"/>
        </w:rPr>
        <w:t xml:space="preserve"> </w:t>
      </w:r>
      <w:r>
        <w:rPr>
          <w:rFonts w:ascii="Arial" w:cs="Arial" w:eastAsia="Arial" w:hAnsi="Arial"/>
          <w:sz w:val="17"/>
          <w:szCs w:val="17"/>
          <w:color w:val="auto"/>
        </w:rPr>
        <w:t>behavior in its day-to-day operations, copies of which have been provided to Provider. Provider agrees that it shall perform the Services and otherwise abide by its obligations under this Agreement in full compliance with any such generally applicable ethics policies, as the same may be updated from time to time. University agrees to notify Provider promptly in writing if University updates or amends such policies and to provide Provider with reasonable advance notice of the implementation of such updates or amendments to enable Provider to achieve compliance therewith.</w:t>
      </w:r>
    </w:p>
    <w:p>
      <w:pPr>
        <w:spacing w:after="0" w:line="168" w:lineRule="exact"/>
        <w:rPr>
          <w:sz w:val="20"/>
          <w:szCs w:val="20"/>
          <w:color w:val="auto"/>
        </w:rPr>
      </w:pPr>
    </w:p>
    <w:p>
      <w:pPr>
        <w:jc w:val="both"/>
        <w:ind w:right="120" w:firstLine="1945"/>
        <w:spacing w:after="0" w:line="303" w:lineRule="auto"/>
        <w:rPr>
          <w:sz w:val="20"/>
          <w:szCs w:val="20"/>
          <w:color w:val="auto"/>
        </w:rPr>
      </w:pPr>
      <w:r>
        <w:rPr>
          <w:rFonts w:ascii="Arial" w:cs="Arial" w:eastAsia="Arial" w:hAnsi="Arial"/>
          <w:sz w:val="16"/>
          <w:szCs w:val="16"/>
          <w:b w:val="1"/>
          <w:bCs w:val="1"/>
          <w:color w:val="auto"/>
        </w:rPr>
        <w:t xml:space="preserve">3.8.2 </w:t>
      </w:r>
      <w:r>
        <w:rPr>
          <w:rFonts w:ascii="Arial" w:cs="Arial" w:eastAsia="Arial" w:hAnsi="Arial"/>
          <w:sz w:val="16"/>
          <w:szCs w:val="16"/>
          <w:color w:val="auto"/>
        </w:rPr>
        <w:t>In addition to the matters described in Section 3.8.1, Provider acknowledges that certain Services, as listed and described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are to be provided subject to University’s oversight and approval, or pursuant to written plans and procedures approved by University (such as quality control standards governing the provision of student support services counseling under Section 3 of </w:t>
      </w:r>
      <w:r>
        <w:rPr>
          <w:rFonts w:ascii="Arial" w:cs="Arial" w:eastAsia="Arial" w:hAnsi="Arial"/>
          <w:sz w:val="16"/>
          <w:szCs w:val="16"/>
          <w:u w:val="single" w:color="auto"/>
          <w:color w:val="auto"/>
        </w:rPr>
        <w:t>Exhibit B</w:t>
      </w:r>
      <w:r>
        <w:rPr>
          <w:rFonts w:ascii="Arial" w:cs="Arial" w:eastAsia="Arial" w:hAnsi="Arial"/>
          <w:sz w:val="16"/>
          <w:szCs w:val="16"/>
          <w:color w:val="auto"/>
        </w:rPr>
        <w:t>). Provider agrees that, in its provision of the Services, it shall accept such oversight and/or approval requirements and abide by any such written plans and procedures.</w:t>
      </w:r>
    </w:p>
    <w:p>
      <w:pPr>
        <w:spacing w:after="0" w:line="151" w:lineRule="exact"/>
        <w:rPr>
          <w:sz w:val="20"/>
          <w:szCs w:val="20"/>
          <w:color w:val="auto"/>
        </w:rPr>
      </w:pPr>
    </w:p>
    <w:p>
      <w:pPr>
        <w:ind w:right="20" w:firstLine="1945"/>
        <w:spacing w:after="0" w:line="261" w:lineRule="auto"/>
        <w:rPr>
          <w:sz w:val="20"/>
          <w:szCs w:val="20"/>
          <w:color w:val="auto"/>
        </w:rPr>
      </w:pPr>
      <w:r>
        <w:rPr>
          <w:rFonts w:ascii="Arial" w:cs="Arial" w:eastAsia="Arial" w:hAnsi="Arial"/>
          <w:sz w:val="18"/>
          <w:szCs w:val="18"/>
          <w:b w:val="1"/>
          <w:bCs w:val="1"/>
          <w:color w:val="auto"/>
        </w:rPr>
        <w:t xml:space="preserve">3.8.3 </w:t>
      </w:r>
      <w:r>
        <w:rPr>
          <w:rFonts w:ascii="Arial" w:cs="Arial" w:eastAsia="Arial" w:hAnsi="Arial"/>
          <w:sz w:val="18"/>
          <w:szCs w:val="18"/>
          <w:color w:val="auto"/>
        </w:rPr>
        <w:t>Provider is aware of University’s mission and, in the performance of the Services hereunder, will use its reasonable efforts</w:t>
      </w:r>
      <w:r>
        <w:rPr>
          <w:rFonts w:ascii="Arial" w:cs="Arial" w:eastAsia="Arial" w:hAnsi="Arial"/>
          <w:sz w:val="18"/>
          <w:szCs w:val="18"/>
          <w:b w:val="1"/>
          <w:bCs w:val="1"/>
          <w:color w:val="auto"/>
        </w:rPr>
        <w:t xml:space="preserve"> </w:t>
      </w:r>
      <w:r>
        <w:rPr>
          <w:rFonts w:ascii="Arial" w:cs="Arial" w:eastAsia="Arial" w:hAnsi="Arial"/>
          <w:sz w:val="18"/>
          <w:szCs w:val="18"/>
          <w:color w:val="auto"/>
        </w:rPr>
        <w:t>to assist University in fulfilling that mission. Provider shall have no authority pursuant to this Agreement with respect to (a) the election or appointment of University’s board of trustees or corporate officers, (b) the engagement, dismissal, reprimand, or other management of University faculty or personnel, or (c) any aspect of University’s internal human resources, business or administrative policies.</w:t>
      </w:r>
    </w:p>
    <w:p>
      <w:pPr>
        <w:spacing w:after="0" w:line="180" w:lineRule="exact"/>
        <w:rPr>
          <w:sz w:val="20"/>
          <w:szCs w:val="20"/>
          <w:color w:val="auto"/>
        </w:rPr>
      </w:pPr>
    </w:p>
    <w:p>
      <w:pPr>
        <w:ind w:right="100" w:firstLine="1297"/>
        <w:spacing w:after="0" w:line="298" w:lineRule="auto"/>
        <w:rPr>
          <w:sz w:val="20"/>
          <w:szCs w:val="20"/>
          <w:color w:val="auto"/>
        </w:rPr>
      </w:pPr>
      <w:r>
        <w:rPr>
          <w:rFonts w:ascii="Arial" w:cs="Arial" w:eastAsia="Arial" w:hAnsi="Arial"/>
          <w:sz w:val="16"/>
          <w:szCs w:val="16"/>
          <w:b w:val="1"/>
          <w:bCs w:val="1"/>
          <w:color w:val="auto"/>
        </w:rPr>
        <w:t xml:space="preserve">3.9 </w:t>
      </w:r>
      <w:r>
        <w:rPr>
          <w:rFonts w:ascii="Arial" w:cs="Arial" w:eastAsia="Arial" w:hAnsi="Arial"/>
          <w:sz w:val="16"/>
          <w:szCs w:val="16"/>
          <w:b w:val="1"/>
          <w:bCs w:val="1"/>
          <w:u w:val="single" w:color="auto"/>
          <w:color w:val="auto"/>
        </w:rPr>
        <w:t>Services Personnel</w:t>
      </w:r>
      <w:r>
        <w:rPr>
          <w:rFonts w:ascii="Arial" w:cs="Arial" w:eastAsia="Arial" w:hAnsi="Arial"/>
          <w:sz w:val="16"/>
          <w:szCs w:val="16"/>
          <w:color w:val="auto"/>
        </w:rPr>
        <w:t>. Provider shall determine the appropriate personnel (the “</w:t>
      </w:r>
      <w:r>
        <w:rPr>
          <w:rFonts w:ascii="Arial" w:cs="Arial" w:eastAsia="Arial" w:hAnsi="Arial"/>
          <w:sz w:val="16"/>
          <w:szCs w:val="16"/>
          <w:b w:val="1"/>
          <w:bCs w:val="1"/>
          <w:i w:val="1"/>
          <w:iCs w:val="1"/>
          <w:color w:val="auto"/>
        </w:rPr>
        <w:t>Services Personnel</w:t>
      </w:r>
      <w:r>
        <w:rPr>
          <w:rFonts w:ascii="Arial" w:cs="Arial" w:eastAsia="Arial" w:hAnsi="Arial"/>
          <w:sz w:val="16"/>
          <w:szCs w:val="16"/>
          <w:color w:val="auto"/>
        </w:rPr>
        <w:t>”) to provide the Services.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Provider will have full and complete authority to engage, dismiss, reprimand, or otherwise manage all Services Personnel; provided, that, if and to the extent Provider is hiring or providing Services Personnel to provide student support services counseling under Section 3 of </w:t>
      </w:r>
      <w:r>
        <w:rPr>
          <w:rFonts w:ascii="Arial" w:cs="Arial" w:eastAsia="Arial" w:hAnsi="Arial"/>
          <w:sz w:val="16"/>
          <w:szCs w:val="16"/>
          <w:u w:val="single" w:color="auto"/>
          <w:color w:val="auto"/>
        </w:rPr>
        <w:t>Exhibit B</w:t>
      </w:r>
      <w:r>
        <w:rPr>
          <w:rFonts w:ascii="Arial" w:cs="Arial" w:eastAsia="Arial" w:hAnsi="Arial"/>
          <w:sz w:val="16"/>
          <w:szCs w:val="16"/>
          <w:color w:val="auto"/>
        </w:rPr>
        <w:t>, such Services Personnel shall meet the same or superior qualifications as such personnel hired directly by University, as determined by University in its reasonable discretion. University expressly understands and agrees that any actions by Provider with respect to the Services Personnel shall be in accordance with Provider’s internal human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6" w:name="page17"/>
    <w:bookmarkEnd w:id="16"/>
    <w:p>
      <w:pPr>
        <w:ind w:right="180"/>
        <w:spacing w:after="0" w:line="277" w:lineRule="auto"/>
        <w:rPr>
          <w:sz w:val="20"/>
          <w:szCs w:val="20"/>
          <w:color w:val="auto"/>
        </w:rPr>
      </w:pPr>
      <w:r>
        <w:rPr>
          <w:rFonts w:ascii="Arial" w:cs="Arial" w:eastAsia="Arial" w:hAnsi="Arial"/>
          <w:sz w:val="18"/>
          <w:szCs w:val="18"/>
          <w:color w:val="auto"/>
        </w:rPr>
        <w:t>resources, business or administrative policies in effect from time to time and that University shall have no authority pursuant to this Agreement with respect to any aspect of such policies of Provider.</w:t>
      </w:r>
    </w:p>
    <w:p>
      <w:pPr>
        <w:spacing w:after="0" w:line="166"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b w:val="1"/>
          <w:bCs w:val="1"/>
          <w:color w:val="auto"/>
        </w:rPr>
        <w:t xml:space="preserve">3.10 </w:t>
      </w:r>
      <w:r>
        <w:rPr>
          <w:rFonts w:ascii="Arial" w:cs="Arial" w:eastAsia="Arial" w:hAnsi="Arial"/>
          <w:sz w:val="18"/>
          <w:szCs w:val="18"/>
          <w:b w:val="1"/>
          <w:bCs w:val="1"/>
          <w:u w:val="single" w:color="auto"/>
          <w:color w:val="auto"/>
        </w:rPr>
        <w:t>Removal of Personnel</w:t>
      </w:r>
      <w:r>
        <w:rPr>
          <w:rFonts w:ascii="Arial" w:cs="Arial" w:eastAsia="Arial" w:hAnsi="Arial"/>
          <w:sz w:val="18"/>
          <w:szCs w:val="18"/>
          <w:color w:val="auto"/>
        </w:rPr>
        <w:t>. If University shall reasonably determine that one or more of the Services Personnel providing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hereunder (including Services Personnel of any subcontractor used by Provider) are ineffective or otherwise unsuitable to perform the Services, University may send written notice to Provider identifying such Services Personnel and the nature of the ineffectiveness or lack of suitability (e.g., offensive behavior, security concerns, lack of qualifications or the like). Upon University’s reasonable written request, Provider shall, in its discretion, as promptly as is practical, provide substitute Services Personnel or take appropriate steps to ensure that the Services Personnel performing the Services perform said Services effectively. Nothing in this Section or this Agreement shall require Provider to (a) hire additional employees or consultants to serve as Services Personnel, or (b) terminate the employment of any Services Personnel.</w:t>
      </w:r>
    </w:p>
    <w:p>
      <w:pPr>
        <w:spacing w:after="0" w:line="189" w:lineRule="exact"/>
        <w:rPr>
          <w:sz w:val="20"/>
          <w:szCs w:val="20"/>
          <w:color w:val="auto"/>
        </w:rPr>
      </w:pPr>
    </w:p>
    <w:p>
      <w:pPr>
        <w:ind w:firstLine="1297"/>
        <w:spacing w:after="0" w:line="269" w:lineRule="auto"/>
        <w:rPr>
          <w:sz w:val="20"/>
          <w:szCs w:val="20"/>
          <w:color w:val="auto"/>
        </w:rPr>
      </w:pPr>
      <w:r>
        <w:rPr>
          <w:rFonts w:ascii="Arial" w:cs="Arial" w:eastAsia="Arial" w:hAnsi="Arial"/>
          <w:sz w:val="17"/>
          <w:szCs w:val="17"/>
          <w:b w:val="1"/>
          <w:bCs w:val="1"/>
          <w:color w:val="auto"/>
        </w:rPr>
        <w:t xml:space="preserve">3.11 </w:t>
      </w:r>
      <w:r>
        <w:rPr>
          <w:rFonts w:ascii="Arial" w:cs="Arial" w:eastAsia="Arial" w:hAnsi="Arial"/>
          <w:sz w:val="17"/>
          <w:szCs w:val="17"/>
          <w:b w:val="1"/>
          <w:bCs w:val="1"/>
          <w:u w:val="single" w:color="auto"/>
          <w:color w:val="auto"/>
        </w:rPr>
        <w:t>Points of Contact; Designees</w:t>
      </w:r>
      <w:r>
        <w:rPr>
          <w:rFonts w:ascii="Arial" w:cs="Arial" w:eastAsia="Arial" w:hAnsi="Arial"/>
          <w:sz w:val="17"/>
          <w:szCs w:val="17"/>
          <w:color w:val="auto"/>
        </w:rPr>
        <w:t>. Each of Provider and University will name a point of contact for the Services that are the subject of</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or any Services Addendum (each, a “</w:t>
      </w:r>
      <w:r>
        <w:rPr>
          <w:rFonts w:ascii="Arial" w:cs="Arial" w:eastAsia="Arial" w:hAnsi="Arial"/>
          <w:sz w:val="17"/>
          <w:szCs w:val="17"/>
          <w:b w:val="1"/>
          <w:bCs w:val="1"/>
          <w:i w:val="1"/>
          <w:iCs w:val="1"/>
          <w:color w:val="auto"/>
        </w:rPr>
        <w:t>Designee</w:t>
      </w:r>
      <w:r>
        <w:rPr>
          <w:rFonts w:ascii="Arial" w:cs="Arial" w:eastAsia="Arial" w:hAnsi="Arial"/>
          <w:sz w:val="17"/>
          <w:szCs w:val="17"/>
          <w:color w:val="auto"/>
        </w:rPr>
        <w:t>”). Each Party may also designate one or more alternate Designees (each, an “</w:t>
      </w:r>
      <w:r>
        <w:rPr>
          <w:rFonts w:ascii="Arial" w:cs="Arial" w:eastAsia="Arial" w:hAnsi="Arial"/>
          <w:sz w:val="17"/>
          <w:szCs w:val="17"/>
          <w:b w:val="1"/>
          <w:bCs w:val="1"/>
          <w:i w:val="1"/>
          <w:iCs w:val="1"/>
          <w:color w:val="auto"/>
        </w:rPr>
        <w:t>Alternate</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Designee</w:t>
      </w:r>
      <w:r>
        <w:rPr>
          <w:rFonts w:ascii="Arial" w:cs="Arial" w:eastAsia="Arial" w:hAnsi="Arial"/>
          <w:sz w:val="17"/>
          <w:szCs w:val="17"/>
          <w:color w:val="auto"/>
        </w:rPr>
        <w:t>”) empowered to act in the place of the Designee if the Designee is unavailable, and while acting in such capacity the Alternate Designee will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deemed the Designee for purposes of this Agreement. University’s Designee and any Alternate Designee of University shall be free of any conflict of interest with respect to Provider and this Agreement as determined under University’s conflict of interest policy. Additionally, University’s Designee shall report to the MSA Committee established under the University Bylaws. Designees shall be responsible for supervising and coordinating the performance of the Services, including using good faith efforts to resolve any disputes or issues that may arise during the performance of the Services hereunder on a day-to-day basis. Any dispute among the Parties relating to any Services or this Agreement shall be handled as provided in Section 18.11 (Dispute Resolution). Each Party shall designate an initial Designee by written notice to the other Party and may designate a successor Designee by written notice to the other Party. In addition, each Service Addendum may identify Designees for the Services described in such Service Addendum and such Designees will be the Designees for such Service Addendum. University shall at all times maintain the University Bylaws and other policies as necessary to comply with this Section 3.11 (Points of Contact; Designees).</w:t>
      </w:r>
    </w:p>
    <w:p>
      <w:pPr>
        <w:spacing w:after="0" w:line="180" w:lineRule="exact"/>
        <w:rPr>
          <w:sz w:val="20"/>
          <w:szCs w:val="20"/>
          <w:color w:val="auto"/>
        </w:rPr>
      </w:pPr>
    </w:p>
    <w:p>
      <w:pPr>
        <w:ind w:firstLine="1297"/>
        <w:spacing w:after="0" w:line="274" w:lineRule="auto"/>
        <w:rPr>
          <w:sz w:val="20"/>
          <w:szCs w:val="20"/>
          <w:color w:val="auto"/>
        </w:rPr>
      </w:pPr>
      <w:r>
        <w:rPr>
          <w:rFonts w:ascii="Arial" w:cs="Arial" w:eastAsia="Arial" w:hAnsi="Arial"/>
          <w:sz w:val="17"/>
          <w:szCs w:val="17"/>
          <w:b w:val="1"/>
          <w:bCs w:val="1"/>
          <w:color w:val="auto"/>
        </w:rPr>
        <w:t xml:space="preserve">3.12 </w:t>
      </w:r>
      <w:r>
        <w:rPr>
          <w:rFonts w:ascii="Arial" w:cs="Arial" w:eastAsia="Arial" w:hAnsi="Arial"/>
          <w:sz w:val="17"/>
          <w:szCs w:val="17"/>
          <w:b w:val="1"/>
          <w:bCs w:val="1"/>
          <w:u w:val="single" w:color="auto"/>
          <w:color w:val="auto"/>
        </w:rPr>
        <w:t>Disclaimer of Warranties</w:t>
      </w:r>
      <w:r>
        <w:rPr>
          <w:rFonts w:ascii="Arial" w:cs="Arial" w:eastAsia="Arial" w:hAnsi="Arial"/>
          <w:sz w:val="17"/>
          <w:szCs w:val="17"/>
          <w:color w:val="auto"/>
        </w:rPr>
        <w:t>. EXCEPT FOR THE EXPRESS WARRANTIES SET FORTH IN SECTION 2 (REPRESENTATIONS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 THE PARTIES) AND SECTION 3.4 (SERVICES AND PERFORMANCE STANDARD), OR AS SPECIFICALLY SET FORTH IN </w:t>
      </w:r>
      <w:r>
        <w:rPr>
          <w:rFonts w:ascii="Arial" w:cs="Arial" w:eastAsia="Arial" w:hAnsi="Arial"/>
          <w:sz w:val="17"/>
          <w:szCs w:val="17"/>
          <w:u w:val="single" w:color="auto"/>
          <w:color w:val="auto"/>
        </w:rPr>
        <w:t>EXHIBIT B</w:t>
      </w:r>
      <w:r>
        <w:rPr>
          <w:rFonts w:ascii="Arial" w:cs="Arial" w:eastAsia="Arial" w:hAnsi="Arial"/>
          <w:sz w:val="17"/>
          <w:szCs w:val="17"/>
          <w:color w:val="auto"/>
        </w:rPr>
        <w:t>, PROVIDER MAKES NO REPRESENTATIONS OR WARRANTIES IN RESPECT OF THE SERVICES OR ANY ITEMS TO BE DELIVERED OR PROVIDED TO UNIVERSITY OF ANY KIND, NATURE OR DESCRIPTION, EXPRESS OR IMPLIED, INCLUDING ANY WARRANTY OF MERCHANTABILITY, FITNESS FOR A PARTICULAR PURPOSE OR NON-INFRINGEMENT, OR ANY WARRANTY ARISING FROM COURSE OF DEALING, COURSE OF PERFORMANCE OR USAGE OF TRADE, AND PROVIDER HEREBY DISCLAIMS THE SAME.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7" w:name="page18"/>
    <w:bookmarkEnd w:id="17"/>
    <w:p>
      <w:pPr>
        <w:ind w:left="1300" w:hanging="644"/>
        <w:spacing w:after="0"/>
        <w:tabs>
          <w:tab w:leader="none" w:pos="13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University Roles and Responsibilities</w:t>
      </w:r>
      <w:r>
        <w:rPr>
          <w:rFonts w:ascii="Arial" w:cs="Arial" w:eastAsia="Arial" w:hAnsi="Arial"/>
          <w:sz w:val="18"/>
          <w:szCs w:val="18"/>
          <w:color w:val="auto"/>
        </w:rPr>
        <w:t>.</w:t>
      </w:r>
    </w:p>
    <w:p>
      <w:pPr>
        <w:spacing w:after="0" w:line="225" w:lineRule="exact"/>
        <w:rPr>
          <w:sz w:val="20"/>
          <w:szCs w:val="20"/>
          <w:color w:val="auto"/>
        </w:rPr>
      </w:pPr>
    </w:p>
    <w:p>
      <w:pPr>
        <w:ind w:right="100" w:firstLine="1297"/>
        <w:spacing w:after="0" w:line="298" w:lineRule="auto"/>
        <w:rPr>
          <w:sz w:val="20"/>
          <w:szCs w:val="20"/>
          <w:color w:val="auto"/>
        </w:rPr>
      </w:pPr>
      <w:r>
        <w:rPr>
          <w:rFonts w:ascii="Arial" w:cs="Arial" w:eastAsia="Arial" w:hAnsi="Arial"/>
          <w:sz w:val="16"/>
          <w:szCs w:val="16"/>
          <w:b w:val="1"/>
          <w:bCs w:val="1"/>
          <w:color w:val="auto"/>
        </w:rPr>
        <w:t xml:space="preserve">4.1 </w:t>
      </w:r>
      <w:r>
        <w:rPr>
          <w:rFonts w:ascii="Arial" w:cs="Arial" w:eastAsia="Arial" w:hAnsi="Arial"/>
          <w:sz w:val="16"/>
          <w:szCs w:val="16"/>
          <w:b w:val="1"/>
          <w:bCs w:val="1"/>
          <w:u w:val="single" w:color="auto"/>
          <w:color w:val="auto"/>
        </w:rPr>
        <w:t>Sole Control Over University and Academic Matters</w:t>
      </w:r>
      <w:r>
        <w:rPr>
          <w:rFonts w:ascii="Arial" w:cs="Arial" w:eastAsia="Arial" w:hAnsi="Arial"/>
          <w:sz w:val="16"/>
          <w:szCs w:val="16"/>
          <w:color w:val="auto"/>
        </w:rPr>
        <w:t>. Anything herein to the contrary notwithstanding, the Parties</w:t>
      </w:r>
      <w:r>
        <w:rPr>
          <w:rFonts w:ascii="Arial" w:cs="Arial" w:eastAsia="Arial" w:hAnsi="Arial"/>
          <w:sz w:val="16"/>
          <w:szCs w:val="16"/>
          <w:b w:val="1"/>
          <w:bCs w:val="1"/>
          <w:color w:val="auto"/>
        </w:rPr>
        <w:t xml:space="preserve"> </w:t>
      </w:r>
      <w:r>
        <w:rPr>
          <w:rFonts w:ascii="Arial" w:cs="Arial" w:eastAsia="Arial" w:hAnsi="Arial"/>
          <w:sz w:val="16"/>
          <w:szCs w:val="16"/>
          <w:color w:val="auto"/>
        </w:rPr>
        <w:t>acknowledge and agree that University is solely responsible for, and will provide and perform at its sole cost and expense, and within its sole discretion and oversight, during the Initial Term and any Renewal Term, the following roles and responsibilities as they relate to Programs and Courses offered by University and Educational Activities conducted by University, as well as such other roles and responsibilities as may be required to be performed solely by University under Applicable Laws (including Educational Laws and requirements of Accrediting Bodies and Educational Agencies):</w:t>
      </w:r>
    </w:p>
    <w:p>
      <w:pPr>
        <w:spacing w:after="0" w:line="154" w:lineRule="exact"/>
        <w:rPr>
          <w:sz w:val="20"/>
          <w:szCs w:val="20"/>
          <w:color w:val="auto"/>
        </w:rPr>
      </w:pPr>
    </w:p>
    <w:p>
      <w:pPr>
        <w:ind w:left="1960"/>
        <w:spacing w:after="0"/>
        <w:tabs>
          <w:tab w:leader="none" w:pos="2580" w:val="left"/>
        </w:tabs>
        <w:rPr>
          <w:sz w:val="20"/>
          <w:szCs w:val="20"/>
          <w:color w:val="auto"/>
        </w:rPr>
      </w:pPr>
      <w:r>
        <w:rPr>
          <w:rFonts w:ascii="Arial" w:cs="Arial" w:eastAsia="Arial" w:hAnsi="Arial"/>
          <w:sz w:val="18"/>
          <w:szCs w:val="18"/>
          <w:b w:val="1"/>
          <w:bCs w:val="1"/>
          <w:color w:val="auto"/>
        </w:rPr>
        <w:t>4.1.1</w:t>
      </w:r>
      <w:r>
        <w:rPr>
          <w:sz w:val="20"/>
          <w:szCs w:val="20"/>
          <w:color w:val="auto"/>
        </w:rPr>
        <w:tab/>
      </w:r>
      <w:r>
        <w:rPr>
          <w:rFonts w:ascii="Arial" w:cs="Arial" w:eastAsia="Arial" w:hAnsi="Arial"/>
          <w:sz w:val="16"/>
          <w:szCs w:val="16"/>
          <w:color w:val="auto"/>
        </w:rPr>
        <w:t>Seeking and obtaining any required Educational Approvals or Educational Consents;</w:t>
      </w:r>
    </w:p>
    <w:p>
      <w:pPr>
        <w:spacing w:after="0" w:line="225" w:lineRule="exact"/>
        <w:rPr>
          <w:sz w:val="20"/>
          <w:szCs w:val="20"/>
          <w:color w:val="auto"/>
        </w:rPr>
      </w:pPr>
    </w:p>
    <w:p>
      <w:pPr>
        <w:ind w:right="160" w:firstLine="1945"/>
        <w:spacing w:after="0" w:line="314" w:lineRule="auto"/>
        <w:rPr>
          <w:sz w:val="20"/>
          <w:szCs w:val="20"/>
          <w:color w:val="auto"/>
        </w:rPr>
      </w:pPr>
      <w:r>
        <w:rPr>
          <w:rFonts w:ascii="Arial" w:cs="Arial" w:eastAsia="Arial" w:hAnsi="Arial"/>
          <w:sz w:val="16"/>
          <w:szCs w:val="16"/>
          <w:b w:val="1"/>
          <w:bCs w:val="1"/>
          <w:color w:val="auto"/>
        </w:rPr>
        <w:t xml:space="preserve">4.1.2 </w:t>
      </w:r>
      <w:r>
        <w:rPr>
          <w:rFonts w:ascii="Arial" w:cs="Arial" w:eastAsia="Arial" w:hAnsi="Arial"/>
          <w:sz w:val="16"/>
          <w:szCs w:val="16"/>
          <w:color w:val="auto"/>
        </w:rPr>
        <w:t>Setting the qualifications for, overseeing the verification of the credentials of, and hiring, appointing, training (and</w:t>
      </w:r>
      <w:r>
        <w:rPr>
          <w:rFonts w:ascii="Arial" w:cs="Arial" w:eastAsia="Arial" w:hAnsi="Arial"/>
          <w:sz w:val="16"/>
          <w:szCs w:val="16"/>
          <w:b w:val="1"/>
          <w:bCs w:val="1"/>
          <w:color w:val="auto"/>
        </w:rPr>
        <w:t xml:space="preserve"> </w:t>
      </w:r>
      <w:r>
        <w:rPr>
          <w:rFonts w:ascii="Arial" w:cs="Arial" w:eastAsia="Arial" w:hAnsi="Arial"/>
          <w:sz w:val="16"/>
          <w:szCs w:val="16"/>
          <w:color w:val="auto"/>
        </w:rPr>
        <w:t>creating related training content), compensating, and supervising faculty to teach the Courses comprising the Programs and providing reasonably sufficient faculty and staff as necessary to offer the Programs, conduct the Educational Activities and perform University’s responsibilities under this Agreement;</w:t>
      </w:r>
    </w:p>
    <w:p>
      <w:pPr>
        <w:spacing w:after="0" w:line="142" w:lineRule="exact"/>
        <w:rPr>
          <w:sz w:val="20"/>
          <w:szCs w:val="20"/>
          <w:color w:val="auto"/>
        </w:rPr>
      </w:pPr>
    </w:p>
    <w:p>
      <w:pPr>
        <w:ind w:firstLine="1945"/>
        <w:spacing w:after="0" w:line="266" w:lineRule="auto"/>
        <w:rPr>
          <w:sz w:val="20"/>
          <w:szCs w:val="20"/>
          <w:color w:val="auto"/>
        </w:rPr>
      </w:pPr>
      <w:r>
        <w:rPr>
          <w:rFonts w:ascii="Arial" w:cs="Arial" w:eastAsia="Arial" w:hAnsi="Arial"/>
          <w:sz w:val="18"/>
          <w:szCs w:val="18"/>
          <w:b w:val="1"/>
          <w:bCs w:val="1"/>
          <w:color w:val="auto"/>
        </w:rPr>
        <w:t xml:space="preserve">4.1.3 </w:t>
      </w:r>
      <w:r>
        <w:rPr>
          <w:rFonts w:ascii="Arial" w:cs="Arial" w:eastAsia="Arial" w:hAnsi="Arial"/>
          <w:sz w:val="18"/>
          <w:szCs w:val="18"/>
          <w:color w:val="auto"/>
        </w:rPr>
        <w:t>Reviewing, selecting, structuring and adopting, and ensuring the quality of, the curricula and related Course Materials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Courses in the Programs, establishing the modalities by which to deliver the Courses, and providing institutional and academic guidance, evaluation and oversight for the Programs;</w:t>
      </w:r>
    </w:p>
    <w:p>
      <w:pPr>
        <w:spacing w:after="0" w:line="176" w:lineRule="exact"/>
        <w:rPr>
          <w:sz w:val="20"/>
          <w:szCs w:val="20"/>
          <w:color w:val="auto"/>
        </w:rPr>
      </w:pPr>
    </w:p>
    <w:p>
      <w:pPr>
        <w:ind w:right="460" w:firstLine="1945"/>
        <w:spacing w:after="0" w:line="282" w:lineRule="auto"/>
        <w:rPr>
          <w:sz w:val="20"/>
          <w:szCs w:val="20"/>
          <w:color w:val="auto"/>
        </w:rPr>
      </w:pPr>
      <w:r>
        <w:rPr>
          <w:rFonts w:ascii="Arial" w:cs="Arial" w:eastAsia="Arial" w:hAnsi="Arial"/>
          <w:sz w:val="18"/>
          <w:szCs w:val="18"/>
          <w:b w:val="1"/>
          <w:bCs w:val="1"/>
          <w:color w:val="auto"/>
        </w:rPr>
        <w:t xml:space="preserve">4.1.4 </w:t>
      </w:r>
      <w:r>
        <w:rPr>
          <w:rFonts w:ascii="Arial" w:cs="Arial" w:eastAsia="Arial" w:hAnsi="Arial"/>
          <w:sz w:val="18"/>
          <w:szCs w:val="18"/>
          <w:color w:val="auto"/>
        </w:rPr>
        <w:t>Overseeing the development, maintenance, and operation of the Programs and ensuring an appropriate number and</w:t>
      </w:r>
      <w:r>
        <w:rPr>
          <w:rFonts w:ascii="Arial" w:cs="Arial" w:eastAsia="Arial" w:hAnsi="Arial"/>
          <w:sz w:val="18"/>
          <w:szCs w:val="18"/>
          <w:b w:val="1"/>
          <w:bCs w:val="1"/>
          <w:color w:val="auto"/>
        </w:rPr>
        <w:t xml:space="preserve"> </w:t>
      </w:r>
      <w:r>
        <w:rPr>
          <w:rFonts w:ascii="Arial" w:cs="Arial" w:eastAsia="Arial" w:hAnsi="Arial"/>
          <w:sz w:val="18"/>
          <w:szCs w:val="18"/>
          <w:color w:val="auto"/>
        </w:rPr>
        <w:t>selection of Programs and Courses;</w:t>
      </w:r>
    </w:p>
    <w:p>
      <w:pPr>
        <w:spacing w:after="0" w:line="162" w:lineRule="exact"/>
        <w:rPr>
          <w:sz w:val="20"/>
          <w:szCs w:val="20"/>
          <w:color w:val="auto"/>
        </w:rPr>
      </w:pPr>
    </w:p>
    <w:p>
      <w:pPr>
        <w:ind w:right="200" w:firstLine="1945"/>
        <w:spacing w:after="0" w:line="289" w:lineRule="auto"/>
        <w:rPr>
          <w:sz w:val="20"/>
          <w:szCs w:val="20"/>
          <w:color w:val="auto"/>
        </w:rPr>
      </w:pPr>
      <w:r>
        <w:rPr>
          <w:rFonts w:ascii="Arial" w:cs="Arial" w:eastAsia="Arial" w:hAnsi="Arial"/>
          <w:sz w:val="17"/>
          <w:szCs w:val="17"/>
          <w:b w:val="1"/>
          <w:bCs w:val="1"/>
          <w:color w:val="auto"/>
        </w:rPr>
        <w:t xml:space="preserve">4.1.5 </w:t>
      </w:r>
      <w:r>
        <w:rPr>
          <w:rFonts w:ascii="Arial" w:cs="Arial" w:eastAsia="Arial" w:hAnsi="Arial"/>
          <w:sz w:val="17"/>
          <w:szCs w:val="17"/>
          <w:color w:val="auto"/>
        </w:rPr>
        <w:t>Setting appropriate standards for admission to, and implementing the admissions policies applicable to, University and</w:t>
      </w:r>
      <w:r>
        <w:rPr>
          <w:rFonts w:ascii="Arial" w:cs="Arial" w:eastAsia="Arial" w:hAnsi="Arial"/>
          <w:sz w:val="17"/>
          <w:szCs w:val="17"/>
          <w:b w:val="1"/>
          <w:bCs w:val="1"/>
          <w:color w:val="auto"/>
        </w:rPr>
        <w:t xml:space="preserve"> </w:t>
      </w:r>
      <w:r>
        <w:rPr>
          <w:rFonts w:ascii="Arial" w:cs="Arial" w:eastAsia="Arial" w:hAnsi="Arial"/>
          <w:sz w:val="17"/>
          <w:szCs w:val="17"/>
          <w:color w:val="auto"/>
        </w:rPr>
        <w:t>any particular Program, including overseeing the application and enrollment process and making decisions as to the admission to University and any particular Program of applicants who meet the requisite admission standards, in compliance with Applicable Law;</w:t>
      </w:r>
    </w:p>
    <w:p>
      <w:pPr>
        <w:spacing w:after="0" w:line="158" w:lineRule="exact"/>
        <w:rPr>
          <w:sz w:val="20"/>
          <w:szCs w:val="20"/>
          <w:color w:val="auto"/>
        </w:rPr>
      </w:pPr>
    </w:p>
    <w:p>
      <w:pPr>
        <w:ind w:left="1960"/>
        <w:spacing w:after="0"/>
        <w:tabs>
          <w:tab w:leader="none" w:pos="2580" w:val="left"/>
        </w:tabs>
        <w:rPr>
          <w:sz w:val="20"/>
          <w:szCs w:val="20"/>
          <w:color w:val="auto"/>
        </w:rPr>
      </w:pPr>
      <w:r>
        <w:rPr>
          <w:rFonts w:ascii="Arial" w:cs="Arial" w:eastAsia="Arial" w:hAnsi="Arial"/>
          <w:sz w:val="18"/>
          <w:szCs w:val="18"/>
          <w:b w:val="1"/>
          <w:bCs w:val="1"/>
          <w:color w:val="auto"/>
        </w:rPr>
        <w:t>4.1.6</w:t>
      </w:r>
      <w:r>
        <w:rPr>
          <w:sz w:val="20"/>
          <w:szCs w:val="20"/>
          <w:color w:val="auto"/>
        </w:rPr>
        <w:tab/>
      </w:r>
      <w:r>
        <w:rPr>
          <w:rFonts w:ascii="Arial" w:cs="Arial" w:eastAsia="Arial" w:hAnsi="Arial"/>
          <w:sz w:val="16"/>
          <w:szCs w:val="16"/>
          <w:color w:val="auto"/>
        </w:rPr>
        <w:t>Overseeing the instruction of Courses and related student and academic support activities and functions;</w:t>
      </w:r>
    </w:p>
    <w:p>
      <w:pPr>
        <w:spacing w:after="0" w:line="225" w:lineRule="exact"/>
        <w:rPr>
          <w:sz w:val="20"/>
          <w:szCs w:val="20"/>
          <w:color w:val="auto"/>
        </w:rPr>
      </w:pPr>
    </w:p>
    <w:p>
      <w:pPr>
        <w:ind w:right="220" w:firstLine="1945"/>
        <w:spacing w:after="0" w:line="282" w:lineRule="auto"/>
        <w:rPr>
          <w:sz w:val="20"/>
          <w:szCs w:val="20"/>
          <w:color w:val="auto"/>
        </w:rPr>
      </w:pPr>
      <w:r>
        <w:rPr>
          <w:rFonts w:ascii="Arial" w:cs="Arial" w:eastAsia="Arial" w:hAnsi="Arial"/>
          <w:sz w:val="18"/>
          <w:szCs w:val="18"/>
          <w:b w:val="1"/>
          <w:bCs w:val="1"/>
          <w:color w:val="auto"/>
        </w:rPr>
        <w:t xml:space="preserve">4.1.7 </w:t>
      </w:r>
      <w:r>
        <w:rPr>
          <w:rFonts w:ascii="Arial" w:cs="Arial" w:eastAsia="Arial" w:hAnsi="Arial"/>
          <w:sz w:val="18"/>
          <w:szCs w:val="18"/>
          <w:color w:val="auto"/>
        </w:rPr>
        <w:t>Setting standards for student performance and the evaluation of that performance, including through the monitoring of</w:t>
      </w:r>
      <w:r>
        <w:rPr>
          <w:rFonts w:ascii="Arial" w:cs="Arial" w:eastAsia="Arial" w:hAnsi="Arial"/>
          <w:sz w:val="18"/>
          <w:szCs w:val="18"/>
          <w:b w:val="1"/>
          <w:bCs w:val="1"/>
          <w:color w:val="auto"/>
        </w:rPr>
        <w:t xml:space="preserve"> </w:t>
      </w:r>
      <w:r>
        <w:rPr>
          <w:rFonts w:ascii="Arial" w:cs="Arial" w:eastAsia="Arial" w:hAnsi="Arial"/>
          <w:sz w:val="18"/>
          <w:szCs w:val="18"/>
          <w:color w:val="auto"/>
        </w:rPr>
        <w:t>student progression and outcomes;</w:t>
      </w:r>
    </w:p>
    <w:p>
      <w:pPr>
        <w:spacing w:after="0" w:line="162" w:lineRule="exact"/>
        <w:rPr>
          <w:sz w:val="20"/>
          <w:szCs w:val="20"/>
          <w:color w:val="auto"/>
        </w:rPr>
      </w:pPr>
    </w:p>
    <w:p>
      <w:pPr>
        <w:ind w:right="20" w:firstLine="1945"/>
        <w:spacing w:after="0" w:line="266" w:lineRule="auto"/>
        <w:rPr>
          <w:sz w:val="20"/>
          <w:szCs w:val="20"/>
          <w:color w:val="auto"/>
        </w:rPr>
      </w:pPr>
      <w:r>
        <w:rPr>
          <w:rFonts w:ascii="Arial" w:cs="Arial" w:eastAsia="Arial" w:hAnsi="Arial"/>
          <w:sz w:val="18"/>
          <w:szCs w:val="18"/>
          <w:b w:val="1"/>
          <w:bCs w:val="1"/>
          <w:color w:val="auto"/>
        </w:rPr>
        <w:t xml:space="preserve">4.1.8 </w:t>
      </w:r>
      <w:r>
        <w:rPr>
          <w:rFonts w:ascii="Arial" w:cs="Arial" w:eastAsia="Arial" w:hAnsi="Arial"/>
          <w:sz w:val="18"/>
          <w:szCs w:val="18"/>
          <w:color w:val="auto"/>
        </w:rPr>
        <w:t>Setting the requirements for the achievement of credit for Courses successfully completed, the achievement of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degrees following completion of a Program, determining those students who qualify to receive such credit or such degrees, granting such degrees, and determining graduation requirements;</w:t>
      </w:r>
    </w:p>
    <w:p>
      <w:pPr>
        <w:spacing w:after="0" w:line="176" w:lineRule="exact"/>
        <w:rPr>
          <w:sz w:val="20"/>
          <w:szCs w:val="20"/>
          <w:color w:val="auto"/>
        </w:rPr>
      </w:pPr>
    </w:p>
    <w:p>
      <w:pPr>
        <w:ind w:right="20" w:firstLine="1945"/>
        <w:spacing w:after="0" w:line="282" w:lineRule="auto"/>
        <w:rPr>
          <w:sz w:val="20"/>
          <w:szCs w:val="20"/>
          <w:color w:val="auto"/>
        </w:rPr>
      </w:pPr>
      <w:r>
        <w:rPr>
          <w:rFonts w:ascii="Arial" w:cs="Arial" w:eastAsia="Arial" w:hAnsi="Arial"/>
          <w:sz w:val="18"/>
          <w:szCs w:val="18"/>
          <w:b w:val="1"/>
          <w:bCs w:val="1"/>
          <w:color w:val="auto"/>
        </w:rPr>
        <w:t xml:space="preserve">4.1.9 </w:t>
      </w:r>
      <w:r>
        <w:rPr>
          <w:rFonts w:ascii="Arial" w:cs="Arial" w:eastAsia="Arial" w:hAnsi="Arial"/>
          <w:sz w:val="18"/>
          <w:szCs w:val="18"/>
          <w:color w:val="auto"/>
        </w:rPr>
        <w:t>Entering into all agreements and other necessary documentation with students regarding their enrollment in the Programs</w:t>
      </w:r>
      <w:r>
        <w:rPr>
          <w:rFonts w:ascii="Arial" w:cs="Arial" w:eastAsia="Arial" w:hAnsi="Arial"/>
          <w:sz w:val="18"/>
          <w:szCs w:val="18"/>
          <w:b w:val="1"/>
          <w:bCs w:val="1"/>
          <w:color w:val="auto"/>
        </w:rPr>
        <w:t xml:space="preserve"> </w:t>
      </w:r>
      <w:r>
        <w:rPr>
          <w:rFonts w:ascii="Arial" w:cs="Arial" w:eastAsia="Arial" w:hAnsi="Arial"/>
          <w:sz w:val="18"/>
          <w:szCs w:val="18"/>
          <w:color w:val="auto"/>
        </w:rPr>
        <w:t>and their receipt of student financial aid pursuant to applicable Title IV Programs or other financial assistance programs;</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37" w:right="319" w:bottom="1440" w:gutter="0" w:footer="0" w:header="0"/>
        </w:sectPr>
      </w:pPr>
    </w:p>
    <w:bookmarkStart w:id="18" w:name="page19"/>
    <w:bookmarkEnd w:id="18"/>
    <w:p>
      <w:pPr>
        <w:ind w:left="1960"/>
        <w:spacing w:after="0"/>
        <w:tabs>
          <w:tab w:leader="none" w:pos="2580" w:val="left"/>
        </w:tabs>
        <w:rPr>
          <w:sz w:val="20"/>
          <w:szCs w:val="20"/>
          <w:color w:val="auto"/>
        </w:rPr>
      </w:pPr>
      <w:r>
        <w:rPr>
          <w:rFonts w:ascii="Arial" w:cs="Arial" w:eastAsia="Arial" w:hAnsi="Arial"/>
          <w:sz w:val="18"/>
          <w:szCs w:val="18"/>
          <w:b w:val="1"/>
          <w:bCs w:val="1"/>
          <w:color w:val="auto"/>
        </w:rPr>
        <w:t>4.1.10</w:t>
      </w:r>
      <w:r>
        <w:rPr>
          <w:sz w:val="20"/>
          <w:szCs w:val="20"/>
          <w:color w:val="auto"/>
        </w:rPr>
        <w:tab/>
      </w:r>
      <w:r>
        <w:rPr>
          <w:rFonts w:ascii="Arial" w:cs="Arial" w:eastAsia="Arial" w:hAnsi="Arial"/>
          <w:sz w:val="16"/>
          <w:szCs w:val="16"/>
          <w:color w:val="auto"/>
        </w:rPr>
        <w:t>Receiving all tuition, fees and other amounts (such as room and board) from, or on behalf of, students;</w:t>
      </w:r>
    </w:p>
    <w:p>
      <w:pPr>
        <w:spacing w:after="0" w:line="225" w:lineRule="exact"/>
        <w:rPr>
          <w:sz w:val="20"/>
          <w:szCs w:val="20"/>
          <w:color w:val="auto"/>
        </w:rPr>
      </w:pPr>
    </w:p>
    <w:p>
      <w:pPr>
        <w:ind w:left="1960"/>
        <w:spacing w:after="0"/>
        <w:tabs>
          <w:tab w:leader="none" w:pos="2560" w:val="left"/>
        </w:tabs>
        <w:rPr>
          <w:sz w:val="20"/>
          <w:szCs w:val="20"/>
          <w:color w:val="auto"/>
        </w:rPr>
      </w:pPr>
      <w:r>
        <w:rPr>
          <w:rFonts w:ascii="Arial" w:cs="Arial" w:eastAsia="Arial" w:hAnsi="Arial"/>
          <w:sz w:val="18"/>
          <w:szCs w:val="18"/>
          <w:b w:val="1"/>
          <w:bCs w:val="1"/>
          <w:color w:val="auto"/>
        </w:rPr>
        <w:t>4.1.11</w:t>
      </w:r>
      <w:r>
        <w:rPr>
          <w:sz w:val="20"/>
          <w:szCs w:val="20"/>
          <w:color w:val="auto"/>
        </w:rPr>
        <w:tab/>
      </w:r>
      <w:r>
        <w:rPr>
          <w:rFonts w:ascii="Arial" w:cs="Arial" w:eastAsia="Arial" w:hAnsi="Arial"/>
          <w:sz w:val="16"/>
          <w:szCs w:val="16"/>
          <w:color w:val="auto"/>
        </w:rPr>
        <w:t>Overseeing all matters related to student discipline and the establishment and administration of appropriate processes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related thereto;</w:t>
      </w:r>
    </w:p>
    <w:p>
      <w:pPr>
        <w:spacing w:after="0" w:line="207" w:lineRule="exact"/>
        <w:rPr>
          <w:sz w:val="20"/>
          <w:szCs w:val="20"/>
          <w:color w:val="auto"/>
        </w:rPr>
      </w:pPr>
    </w:p>
    <w:p>
      <w:pPr>
        <w:ind w:left="1960"/>
        <w:spacing w:after="0"/>
        <w:tabs>
          <w:tab w:leader="none" w:pos="2580" w:val="left"/>
        </w:tabs>
        <w:rPr>
          <w:sz w:val="20"/>
          <w:szCs w:val="20"/>
          <w:color w:val="auto"/>
        </w:rPr>
      </w:pPr>
      <w:r>
        <w:rPr>
          <w:rFonts w:ascii="Arial" w:cs="Arial" w:eastAsia="Arial" w:hAnsi="Arial"/>
          <w:sz w:val="18"/>
          <w:szCs w:val="18"/>
          <w:b w:val="1"/>
          <w:bCs w:val="1"/>
          <w:color w:val="auto"/>
        </w:rPr>
        <w:t>4.1.12</w:t>
      </w:r>
      <w:r>
        <w:rPr>
          <w:sz w:val="20"/>
          <w:szCs w:val="20"/>
          <w:color w:val="auto"/>
        </w:rPr>
        <w:tab/>
      </w:r>
      <w:r>
        <w:rPr>
          <w:rFonts w:ascii="Arial" w:cs="Arial" w:eastAsia="Arial" w:hAnsi="Arial"/>
          <w:sz w:val="16"/>
          <w:szCs w:val="16"/>
          <w:color w:val="auto"/>
        </w:rPr>
        <w:t>Maintaining all academic and administrative records for students who are enrolled in or seeking enrollment in a Program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at University; and</w:t>
      </w:r>
    </w:p>
    <w:p>
      <w:pPr>
        <w:spacing w:after="0" w:line="207" w:lineRule="exact"/>
        <w:rPr>
          <w:sz w:val="20"/>
          <w:szCs w:val="20"/>
          <w:color w:val="auto"/>
        </w:rPr>
      </w:pPr>
    </w:p>
    <w:p>
      <w:pPr>
        <w:ind w:right="120" w:firstLine="1945"/>
        <w:spacing w:after="0" w:line="282" w:lineRule="auto"/>
        <w:rPr>
          <w:sz w:val="20"/>
          <w:szCs w:val="20"/>
          <w:color w:val="auto"/>
        </w:rPr>
      </w:pPr>
      <w:r>
        <w:rPr>
          <w:rFonts w:ascii="Arial" w:cs="Arial" w:eastAsia="Arial" w:hAnsi="Arial"/>
          <w:sz w:val="18"/>
          <w:szCs w:val="18"/>
          <w:b w:val="1"/>
          <w:bCs w:val="1"/>
          <w:color w:val="auto"/>
        </w:rPr>
        <w:t xml:space="preserve">4.1.13 </w:t>
      </w:r>
      <w:r>
        <w:rPr>
          <w:rFonts w:ascii="Arial" w:cs="Arial" w:eastAsia="Arial" w:hAnsi="Arial"/>
          <w:sz w:val="18"/>
          <w:szCs w:val="18"/>
          <w:color w:val="auto"/>
        </w:rPr>
        <w:t>Providing students with appropriate academic facilities on the Campus or at other locations determined by University, as</w:t>
      </w:r>
      <w:r>
        <w:rPr>
          <w:rFonts w:ascii="Arial" w:cs="Arial" w:eastAsia="Arial" w:hAnsi="Arial"/>
          <w:sz w:val="18"/>
          <w:szCs w:val="18"/>
          <w:b w:val="1"/>
          <w:bCs w:val="1"/>
          <w:color w:val="auto"/>
        </w:rPr>
        <w:t xml:space="preserve"> </w:t>
      </w:r>
      <w:r>
        <w:rPr>
          <w:rFonts w:ascii="Arial" w:cs="Arial" w:eastAsia="Arial" w:hAnsi="Arial"/>
          <w:sz w:val="18"/>
          <w:szCs w:val="18"/>
          <w:color w:val="auto"/>
        </w:rPr>
        <w:t>well as housing to students in accordance with its ordinary course practices.</w:t>
      </w:r>
    </w:p>
    <w:p>
      <w:pPr>
        <w:spacing w:after="0" w:line="162" w:lineRule="exact"/>
        <w:rPr>
          <w:sz w:val="20"/>
          <w:szCs w:val="20"/>
          <w:color w:val="auto"/>
        </w:rPr>
      </w:pPr>
    </w:p>
    <w:p>
      <w:pPr>
        <w:ind w:right="120" w:firstLine="1297"/>
        <w:spacing w:after="0" w:line="266" w:lineRule="auto"/>
        <w:rPr>
          <w:sz w:val="20"/>
          <w:szCs w:val="20"/>
          <w:color w:val="auto"/>
        </w:rPr>
      </w:pPr>
      <w:r>
        <w:rPr>
          <w:rFonts w:ascii="Arial" w:cs="Arial" w:eastAsia="Arial" w:hAnsi="Arial"/>
          <w:sz w:val="18"/>
          <w:szCs w:val="18"/>
          <w:b w:val="1"/>
          <w:bCs w:val="1"/>
          <w:color w:val="auto"/>
        </w:rPr>
        <w:t xml:space="preserve">4.2 </w:t>
      </w:r>
      <w:r>
        <w:rPr>
          <w:rFonts w:ascii="Arial" w:cs="Arial" w:eastAsia="Arial" w:hAnsi="Arial"/>
          <w:sz w:val="18"/>
          <w:szCs w:val="18"/>
          <w:b w:val="1"/>
          <w:bCs w:val="1"/>
          <w:u w:val="single" w:color="auto"/>
          <w:color w:val="auto"/>
        </w:rPr>
        <w:t>Reporting of Approvals</w:t>
      </w:r>
      <w:r>
        <w:rPr>
          <w:rFonts w:ascii="Arial" w:cs="Arial" w:eastAsia="Arial" w:hAnsi="Arial"/>
          <w:sz w:val="18"/>
          <w:szCs w:val="18"/>
          <w:color w:val="auto"/>
        </w:rPr>
        <w:t>. If reasonably requested by Provider in writing, University will provide to Provider a regulatory</w:t>
      </w:r>
      <w:r>
        <w:rPr>
          <w:rFonts w:ascii="Arial" w:cs="Arial" w:eastAsia="Arial" w:hAnsi="Arial"/>
          <w:sz w:val="18"/>
          <w:szCs w:val="18"/>
          <w:b w:val="1"/>
          <w:bCs w:val="1"/>
          <w:color w:val="auto"/>
        </w:rPr>
        <w:t xml:space="preserve"> </w:t>
      </w:r>
      <w:r>
        <w:rPr>
          <w:rFonts w:ascii="Arial" w:cs="Arial" w:eastAsia="Arial" w:hAnsi="Arial"/>
          <w:sz w:val="18"/>
          <w:szCs w:val="18"/>
          <w:color w:val="auto"/>
        </w:rPr>
        <w:t>compliance report reflecting the ongoing status of any Educational Approvals being sought by University and obtained by University in order for University to offer each of the Courses and Programs.</w:t>
      </w:r>
    </w:p>
    <w:p>
      <w:pPr>
        <w:spacing w:after="0" w:line="176" w:lineRule="exact"/>
        <w:rPr>
          <w:sz w:val="20"/>
          <w:szCs w:val="20"/>
          <w:color w:val="auto"/>
        </w:rPr>
      </w:pPr>
    </w:p>
    <w:p>
      <w:pPr>
        <w:ind w:right="240" w:firstLine="1297"/>
        <w:spacing w:after="0" w:line="272" w:lineRule="auto"/>
        <w:rPr>
          <w:sz w:val="20"/>
          <w:szCs w:val="20"/>
          <w:color w:val="auto"/>
        </w:rPr>
      </w:pPr>
      <w:r>
        <w:rPr>
          <w:rFonts w:ascii="Arial" w:cs="Arial" w:eastAsia="Arial" w:hAnsi="Arial"/>
          <w:sz w:val="17"/>
          <w:szCs w:val="17"/>
          <w:b w:val="1"/>
          <w:bCs w:val="1"/>
          <w:color w:val="auto"/>
        </w:rPr>
        <w:t xml:space="preserve">4.3 </w:t>
      </w:r>
      <w:r>
        <w:rPr>
          <w:rFonts w:ascii="Arial" w:cs="Arial" w:eastAsia="Arial" w:hAnsi="Arial"/>
          <w:sz w:val="17"/>
          <w:szCs w:val="17"/>
          <w:b w:val="1"/>
          <w:bCs w:val="1"/>
          <w:u w:val="single" w:color="auto"/>
          <w:color w:val="auto"/>
        </w:rPr>
        <w:t>Feedback and Complaints</w:t>
      </w:r>
      <w:r>
        <w:rPr>
          <w:rFonts w:ascii="Arial" w:cs="Arial" w:eastAsia="Arial" w:hAnsi="Arial"/>
          <w:sz w:val="17"/>
          <w:szCs w:val="17"/>
          <w:color w:val="auto"/>
        </w:rPr>
        <w:t>. University has or will develop appropriate mechanisms by which it will solicit feedback from</w:t>
      </w:r>
      <w:r>
        <w:rPr>
          <w:rFonts w:ascii="Arial" w:cs="Arial" w:eastAsia="Arial" w:hAnsi="Arial"/>
          <w:sz w:val="17"/>
          <w:szCs w:val="17"/>
          <w:b w:val="1"/>
          <w:bCs w:val="1"/>
          <w:color w:val="auto"/>
        </w:rPr>
        <w:t xml:space="preserve"> </w:t>
      </w:r>
      <w:r>
        <w:rPr>
          <w:rFonts w:ascii="Arial" w:cs="Arial" w:eastAsia="Arial" w:hAnsi="Arial"/>
          <w:sz w:val="17"/>
          <w:szCs w:val="17"/>
          <w:color w:val="auto"/>
        </w:rPr>
        <w:t>students receiving the Services as well as from University faculty and staff who receive or are otherwise involved in overseeing the Services, and will also have in place a process to review any complaints from faculty or students about the Services and Provider’s performance thereof, which process shall be similar to, and consistent with, University’s established complaint policies and procedures. The Parties agree to utilize the information obtained from such feedback and from such complaint process to determine whether any changes may be required to the Services or the performance standards herein, which changes may be made in the manner provided in Section 3.3 (Services Addenda), Section 18.2 (Amendment; Waiver) or otherwise in the Agreement. In addition, the information obtained from such feedback and such complaint process shall be considered in connection with any examination performed pursuant to Section 5.4 (Examination) of the Agreement.</w:t>
      </w:r>
    </w:p>
    <w:p>
      <w:pPr>
        <w:spacing w:after="0" w:line="172" w:lineRule="exact"/>
        <w:rPr>
          <w:sz w:val="20"/>
          <w:szCs w:val="20"/>
          <w:color w:val="auto"/>
        </w:rPr>
      </w:pPr>
    </w:p>
    <w:p>
      <w:pPr>
        <w:ind w:right="20" w:firstLine="1297"/>
        <w:spacing w:after="0" w:line="282" w:lineRule="auto"/>
        <w:rPr>
          <w:sz w:val="20"/>
          <w:szCs w:val="20"/>
          <w:color w:val="auto"/>
        </w:rPr>
      </w:pPr>
      <w:r>
        <w:rPr>
          <w:rFonts w:ascii="Arial" w:cs="Arial" w:eastAsia="Arial" w:hAnsi="Arial"/>
          <w:sz w:val="18"/>
          <w:szCs w:val="18"/>
          <w:b w:val="1"/>
          <w:bCs w:val="1"/>
          <w:color w:val="auto"/>
        </w:rPr>
        <w:t xml:space="preserve">4.4 </w:t>
      </w:r>
      <w:r>
        <w:rPr>
          <w:rFonts w:ascii="Arial" w:cs="Arial" w:eastAsia="Arial" w:hAnsi="Arial"/>
          <w:sz w:val="18"/>
          <w:szCs w:val="18"/>
          <w:b w:val="1"/>
          <w:bCs w:val="1"/>
          <w:u w:val="single" w:color="auto"/>
          <w:color w:val="auto"/>
        </w:rPr>
        <w:t>Other Responsibilities</w:t>
      </w:r>
      <w:r>
        <w:rPr>
          <w:rFonts w:ascii="Arial" w:cs="Arial" w:eastAsia="Arial" w:hAnsi="Arial"/>
          <w:sz w:val="18"/>
          <w:szCs w:val="18"/>
          <w:color w:val="auto"/>
        </w:rPr>
        <w:t>. University shall have other responsibilities related to the provision of Services by Provider, as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and in any Services Addenda.</w:t>
      </w:r>
    </w:p>
    <w:p>
      <w:pPr>
        <w:spacing w:after="0" w:line="162"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Fees and Payments</w:t>
      </w:r>
      <w:r>
        <w:rPr>
          <w:rFonts w:ascii="Arial" w:cs="Arial" w:eastAsia="Arial" w:hAnsi="Arial"/>
          <w:sz w:val="18"/>
          <w:szCs w:val="18"/>
          <w:color w:val="auto"/>
        </w:rPr>
        <w:t>.</w:t>
      </w:r>
    </w:p>
    <w:p>
      <w:pPr>
        <w:spacing w:after="0" w:line="225"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b w:val="1"/>
          <w:bCs w:val="1"/>
          <w:color w:val="auto"/>
        </w:rPr>
        <w:t xml:space="preserve">5.1 </w:t>
      </w:r>
      <w:r>
        <w:rPr>
          <w:rFonts w:ascii="Arial" w:cs="Arial" w:eastAsia="Arial" w:hAnsi="Arial"/>
          <w:sz w:val="18"/>
          <w:szCs w:val="18"/>
          <w:b w:val="1"/>
          <w:bCs w:val="1"/>
          <w:u w:val="single" w:color="auto"/>
          <w:color w:val="auto"/>
        </w:rPr>
        <w:t>Services Fees; Payment Terms</w:t>
      </w:r>
      <w:r>
        <w:rPr>
          <w:rFonts w:ascii="Arial" w:cs="Arial" w:eastAsia="Arial" w:hAnsi="Arial"/>
          <w:sz w:val="18"/>
          <w:szCs w:val="18"/>
          <w:color w:val="auto"/>
        </w:rPr>
        <w:t>. The fees payable by University to Provider in respect of the Services provided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Agreement (such fees, the “Services Fees”) shall be determined and paid in accordance with (a) the terms set forth in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as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may be amended by written agreement of the Parties from time to time, and (b) the terms in any applicable Services Addendum. Notwithstanding anything to the contrary in this Agreement, if Provider provides services to University that are not set forth in this Agreement or on a Services Addendum, such services shall nevertheless be “Services” for purposes of this Agreement and the Parties shall endeavor, as promptly as possible, to add such new services to a Services Addendum; provided that, unless otherwise agreed in such Services Addendum, payment for such new services shall covered by the amounts paid by University to Provider as set forth on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to this Agreement.</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9" w:name="page20"/>
    <w:bookmarkEnd w:id="19"/>
    <w:p>
      <w:pPr>
        <w:ind w:right="20" w:firstLine="1297"/>
        <w:spacing w:after="0" w:line="270" w:lineRule="auto"/>
        <w:rPr>
          <w:sz w:val="20"/>
          <w:szCs w:val="20"/>
          <w:color w:val="auto"/>
        </w:rPr>
      </w:pPr>
      <w:r>
        <w:rPr>
          <w:rFonts w:ascii="Arial" w:cs="Arial" w:eastAsia="Arial" w:hAnsi="Arial"/>
          <w:sz w:val="17"/>
          <w:szCs w:val="17"/>
          <w:b w:val="1"/>
          <w:bCs w:val="1"/>
          <w:color w:val="auto"/>
        </w:rPr>
        <w:t xml:space="preserve">5.2 </w:t>
      </w:r>
      <w:r>
        <w:rPr>
          <w:rFonts w:ascii="Arial" w:cs="Arial" w:eastAsia="Arial" w:hAnsi="Arial"/>
          <w:sz w:val="17"/>
          <w:szCs w:val="17"/>
          <w:b w:val="1"/>
          <w:bCs w:val="1"/>
          <w:u w:val="single" w:color="auto"/>
          <w:color w:val="auto"/>
        </w:rPr>
        <w:t>Delinquent Payments</w:t>
      </w:r>
      <w:r>
        <w:rPr>
          <w:rFonts w:ascii="Arial" w:cs="Arial" w:eastAsia="Arial" w:hAnsi="Arial"/>
          <w:sz w:val="17"/>
          <w:szCs w:val="17"/>
          <w:color w:val="auto"/>
        </w:rPr>
        <w:t>. Services Fees due under this Agreement that are not paid or not reasonably and in good faith disputed by</w:t>
      </w:r>
      <w:r>
        <w:rPr>
          <w:rFonts w:ascii="Arial" w:cs="Arial" w:eastAsia="Arial" w:hAnsi="Arial"/>
          <w:sz w:val="17"/>
          <w:szCs w:val="17"/>
          <w:b w:val="1"/>
          <w:bCs w:val="1"/>
          <w:color w:val="auto"/>
        </w:rPr>
        <w:t xml:space="preserve"> </w:t>
      </w:r>
      <w:r>
        <w:rPr>
          <w:rFonts w:ascii="Arial" w:cs="Arial" w:eastAsia="Arial" w:hAnsi="Arial"/>
          <w:sz w:val="17"/>
          <w:szCs w:val="17"/>
          <w:color w:val="auto"/>
        </w:rPr>
        <w:t>University in writing within thirty (30) days of the date of an invoice therefor, with such written notice detailing why such disputed fees are not due, shall accrue simple interest at the prime rate as quoted in the Wall Street Journal plus one percent (1.0%) per annum or, if lower, the maximum rate permitted by Applicable Law, from the date due until paid in full. If University does not reasonably and in good faith dispute in writing the fees invoiced by Provider within sixty (60) days of the date of the applicable invoice, with such written notice detailing why such disputed fees are not due, Provider may suspend performance of all or a subset of the Services, may terminate this Agreement by written notice (including after any such suspension), and may seek any other remedies available to it, whether legal, contractual, equitable or otherwise. For the avoidance of doubt, undisputed fees on an invoice shall be payable as provided in this Agreement, and University may only withhold the amounts disputed in good faith as set forth in University’s written notice disputing fees invoiced. In the event that University disputes the Services Fees invoiced as provided above, the Parties will expeditiously work together in good faith to resolve such dispute. Disputes related to Services Fees arising in connection with examinations conducted under Section 5.4 (Examinations) shall be administered as provided under that Section.</w:t>
      </w:r>
    </w:p>
    <w:p>
      <w:pPr>
        <w:spacing w:after="0" w:line="174"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6"/>
          <w:szCs w:val="16"/>
          <w:b w:val="1"/>
          <w:bCs w:val="1"/>
          <w:u w:val="single" w:color="auto"/>
          <w:color w:val="auto"/>
        </w:rPr>
        <w:t>Books and Records; Audited Financial Statements</w:t>
      </w:r>
      <w:r>
        <w:rPr>
          <w:rFonts w:ascii="Arial" w:cs="Arial" w:eastAsia="Arial" w:hAnsi="Arial"/>
          <w:sz w:val="16"/>
          <w:szCs w:val="16"/>
          <w:color w:val="auto"/>
        </w:rPr>
        <w:t>.</w:t>
      </w:r>
    </w:p>
    <w:p>
      <w:pPr>
        <w:spacing w:after="0" w:line="225" w:lineRule="exact"/>
        <w:rPr>
          <w:sz w:val="20"/>
          <w:szCs w:val="20"/>
          <w:color w:val="auto"/>
        </w:rPr>
      </w:pPr>
    </w:p>
    <w:p>
      <w:pPr>
        <w:ind w:left="1960"/>
        <w:spacing w:after="0"/>
        <w:tabs>
          <w:tab w:leader="none" w:pos="2580" w:val="left"/>
        </w:tabs>
        <w:rPr>
          <w:sz w:val="20"/>
          <w:szCs w:val="20"/>
          <w:color w:val="auto"/>
        </w:rPr>
      </w:pPr>
      <w:r>
        <w:rPr>
          <w:rFonts w:ascii="Arial" w:cs="Arial" w:eastAsia="Arial" w:hAnsi="Arial"/>
          <w:sz w:val="18"/>
          <w:szCs w:val="18"/>
          <w:b w:val="1"/>
          <w:bCs w:val="1"/>
          <w:color w:val="auto"/>
        </w:rPr>
        <w:t>5.3.1</w:t>
      </w:r>
      <w:r>
        <w:rPr>
          <w:sz w:val="20"/>
          <w:szCs w:val="20"/>
          <w:color w:val="auto"/>
        </w:rPr>
        <w:tab/>
      </w:r>
      <w:r>
        <w:rPr>
          <w:rFonts w:ascii="Arial" w:cs="Arial" w:eastAsia="Arial" w:hAnsi="Arial"/>
          <w:sz w:val="16"/>
          <w:szCs w:val="16"/>
          <w:b w:val="1"/>
          <w:bCs w:val="1"/>
          <w:u w:val="single" w:color="auto"/>
          <w:color w:val="auto"/>
        </w:rPr>
        <w:t>Books and Records</w:t>
      </w:r>
      <w:r>
        <w:rPr>
          <w:rFonts w:ascii="Arial" w:cs="Arial" w:eastAsia="Arial" w:hAnsi="Arial"/>
          <w:sz w:val="16"/>
          <w:szCs w:val="16"/>
          <w:color w:val="auto"/>
        </w:rPr>
        <w:t>. Each Party shall maintain consistently applied, accurate and complete Books and Records,</w:t>
      </w:r>
    </w:p>
    <w:p>
      <w:pPr>
        <w:spacing w:after="0" w:line="2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 xml:space="preserve">including as are necessary: (a) to substantiate the Services Fees paid by University to Provider, (b) to substantiate the information in any reports required to be delivered pursuant to this Agreement, including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and (c) to perform any reconciliation under Section 3 of </w:t>
      </w:r>
      <w:r>
        <w:rPr>
          <w:rFonts w:ascii="Arial" w:cs="Arial" w:eastAsia="Arial" w:hAnsi="Arial"/>
          <w:sz w:val="18"/>
          <w:szCs w:val="18"/>
          <w:u w:val="single" w:color="auto"/>
          <w:color w:val="auto"/>
        </w:rPr>
        <w:t>Exhibit D</w:t>
      </w:r>
      <w:r>
        <w:rPr>
          <w:rFonts w:ascii="Arial" w:cs="Arial" w:eastAsia="Arial" w:hAnsi="Arial"/>
          <w:sz w:val="18"/>
          <w:szCs w:val="18"/>
          <w:color w:val="auto"/>
        </w:rPr>
        <w:t>. Each Party shall maintain such Books and Records at, or accessible from, such Party’s principal place of business for the period of time required under Applicable Law, but not less than ten (10) years after creation.</w:t>
      </w:r>
    </w:p>
    <w:p>
      <w:pPr>
        <w:spacing w:after="0" w:line="186" w:lineRule="exact"/>
        <w:rPr>
          <w:sz w:val="20"/>
          <w:szCs w:val="20"/>
          <w:color w:val="auto"/>
        </w:rPr>
      </w:pPr>
    </w:p>
    <w:p>
      <w:pPr>
        <w:ind w:firstLine="1945"/>
        <w:spacing w:after="0" w:line="261" w:lineRule="auto"/>
        <w:rPr>
          <w:sz w:val="20"/>
          <w:szCs w:val="20"/>
          <w:color w:val="auto"/>
        </w:rPr>
      </w:pPr>
      <w:r>
        <w:rPr>
          <w:rFonts w:ascii="Arial" w:cs="Arial" w:eastAsia="Arial" w:hAnsi="Arial"/>
          <w:sz w:val="18"/>
          <w:szCs w:val="18"/>
          <w:b w:val="1"/>
          <w:bCs w:val="1"/>
          <w:color w:val="auto"/>
        </w:rPr>
        <w:t xml:space="preserve">5.3.2 </w:t>
      </w:r>
      <w:r>
        <w:rPr>
          <w:rFonts w:ascii="Arial" w:cs="Arial" w:eastAsia="Arial" w:hAnsi="Arial"/>
          <w:sz w:val="18"/>
          <w:szCs w:val="18"/>
          <w:b w:val="1"/>
          <w:bCs w:val="1"/>
          <w:u w:val="single" w:color="auto"/>
          <w:color w:val="auto"/>
        </w:rPr>
        <w:t>Audited Financial Statements</w:t>
      </w:r>
      <w:r>
        <w:rPr>
          <w:rFonts w:ascii="Arial" w:cs="Arial" w:eastAsia="Arial" w:hAnsi="Arial"/>
          <w:sz w:val="18"/>
          <w:szCs w:val="18"/>
          <w:color w:val="auto"/>
        </w:rPr>
        <w:t>. Each Party shall deliver to the other Party each year, promptly upon completion thereof,</w:t>
      </w:r>
      <w:r>
        <w:rPr>
          <w:rFonts w:ascii="Arial" w:cs="Arial" w:eastAsia="Arial" w:hAnsi="Arial"/>
          <w:sz w:val="18"/>
          <w:szCs w:val="18"/>
          <w:b w:val="1"/>
          <w:bCs w:val="1"/>
          <w:color w:val="auto"/>
        </w:rPr>
        <w:t xml:space="preserve"> </w:t>
      </w:r>
      <w:r>
        <w:rPr>
          <w:rFonts w:ascii="Arial" w:cs="Arial" w:eastAsia="Arial" w:hAnsi="Arial"/>
          <w:sz w:val="18"/>
          <w:szCs w:val="18"/>
          <w:color w:val="auto"/>
        </w:rPr>
        <w:t>its Audited Financial Statements; provided, that Provider will be deemed to have delivered its Audited Financial Statements to University if (a) Provider has filed such Audited Financial Reports with the Securities Exchange Commission via the EDGAR filing system and such reports are publicly available, or (b) the reports are posted on Provider’s website.</w:t>
      </w:r>
    </w:p>
    <w:p>
      <w:pPr>
        <w:spacing w:after="0" w:line="180" w:lineRule="exact"/>
        <w:rPr>
          <w:sz w:val="20"/>
          <w:szCs w:val="20"/>
          <w:color w:val="auto"/>
        </w:rPr>
      </w:pPr>
    </w:p>
    <w:p>
      <w:pPr>
        <w:ind w:right="20" w:firstLine="1297"/>
        <w:spacing w:after="0" w:line="256" w:lineRule="auto"/>
        <w:rPr>
          <w:sz w:val="20"/>
          <w:szCs w:val="20"/>
          <w:color w:val="auto"/>
        </w:rPr>
      </w:pPr>
      <w:r>
        <w:rPr>
          <w:rFonts w:ascii="Arial" w:cs="Arial" w:eastAsia="Arial" w:hAnsi="Arial"/>
          <w:sz w:val="18"/>
          <w:szCs w:val="18"/>
          <w:b w:val="1"/>
          <w:bCs w:val="1"/>
          <w:color w:val="auto"/>
        </w:rPr>
        <w:t xml:space="preserve">5.4 </w:t>
      </w:r>
      <w:r>
        <w:rPr>
          <w:rFonts w:ascii="Arial" w:cs="Arial" w:eastAsia="Arial" w:hAnsi="Arial"/>
          <w:sz w:val="18"/>
          <w:szCs w:val="18"/>
          <w:b w:val="1"/>
          <w:bCs w:val="1"/>
          <w:u w:val="single" w:color="auto"/>
          <w:color w:val="auto"/>
        </w:rPr>
        <w:t>Examinations</w:t>
      </w:r>
      <w:r>
        <w:rPr>
          <w:rFonts w:ascii="Arial" w:cs="Arial" w:eastAsia="Arial" w:hAnsi="Arial"/>
          <w:sz w:val="18"/>
          <w:szCs w:val="18"/>
          <w:color w:val="auto"/>
        </w:rPr>
        <w:t>. During the twelve (12) month period following receipt of any report (including any reconciliation report)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delivered under Section 3 of </w:t>
      </w:r>
      <w:r>
        <w:rPr>
          <w:rFonts w:ascii="Arial" w:cs="Arial" w:eastAsia="Arial" w:hAnsi="Arial"/>
          <w:sz w:val="18"/>
          <w:szCs w:val="18"/>
          <w:u w:val="single" w:color="auto"/>
          <w:color w:val="auto"/>
        </w:rPr>
        <w:t>Exhibit B</w:t>
      </w:r>
      <w:r>
        <w:rPr>
          <w:rFonts w:ascii="Arial" w:cs="Arial" w:eastAsia="Arial" w:hAnsi="Arial"/>
          <w:sz w:val="18"/>
          <w:szCs w:val="18"/>
          <w:color w:val="auto"/>
        </w:rPr>
        <w:t>, each Party shall have the right to examine and audit (or cause its external auditors to examine and audit) the Books and Records of the other Party as necessary to verify the examined Party’s compliance with the terms of this Agreement, including the calculation of any of the information required to be included in any such reports. In addition, each Party shall have the right to examine and audit (or cause its external auditors to examine and audit) the compliance by the other Party with such other Party’s performance obligations under this Agreement. All examinations shall be performed in accordance with the following terms:</w:t>
      </w:r>
    </w:p>
    <w:p>
      <w:pPr>
        <w:spacing w:after="0" w:line="188" w:lineRule="exact"/>
        <w:rPr>
          <w:sz w:val="20"/>
          <w:szCs w:val="20"/>
          <w:color w:val="auto"/>
        </w:rPr>
      </w:pPr>
    </w:p>
    <w:p>
      <w:pPr>
        <w:ind w:right="420" w:firstLine="1945"/>
        <w:spacing w:after="0" w:line="282" w:lineRule="auto"/>
        <w:rPr>
          <w:sz w:val="20"/>
          <w:szCs w:val="20"/>
          <w:color w:val="auto"/>
        </w:rPr>
      </w:pPr>
      <w:r>
        <w:rPr>
          <w:rFonts w:ascii="Arial" w:cs="Arial" w:eastAsia="Arial" w:hAnsi="Arial"/>
          <w:sz w:val="18"/>
          <w:szCs w:val="18"/>
          <w:b w:val="1"/>
          <w:bCs w:val="1"/>
          <w:color w:val="auto"/>
        </w:rPr>
        <w:t xml:space="preserve">5.4.1 </w:t>
      </w:r>
      <w:r>
        <w:rPr>
          <w:rFonts w:ascii="Arial" w:cs="Arial" w:eastAsia="Arial" w:hAnsi="Arial"/>
          <w:sz w:val="18"/>
          <w:szCs w:val="18"/>
          <w:color w:val="auto"/>
        </w:rPr>
        <w:t>The examined Party shall reasonably cooperate with the examining Party in conducting any such examination.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examining Party and its representatives (including</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37" w:right="319" w:bottom="1440" w:gutter="0" w:footer="0" w:header="0"/>
        </w:sectPr>
      </w:pPr>
    </w:p>
    <w:bookmarkStart w:id="20" w:name="page21"/>
    <w:bookmarkEnd w:id="20"/>
    <w:p>
      <w:pPr>
        <w:ind w:right="1060"/>
        <w:spacing w:after="0" w:line="277" w:lineRule="auto"/>
        <w:rPr>
          <w:sz w:val="20"/>
          <w:szCs w:val="20"/>
          <w:color w:val="auto"/>
        </w:rPr>
      </w:pPr>
      <w:r>
        <w:rPr>
          <w:rFonts w:ascii="Arial" w:cs="Arial" w:eastAsia="Arial" w:hAnsi="Arial"/>
          <w:sz w:val="18"/>
          <w:szCs w:val="18"/>
          <w:color w:val="auto"/>
        </w:rPr>
        <w:t>its external auditors) shall keep all information obtained during any such examination confidential pursuant to and in accordance with Section 9 (Confidentiality).</w:t>
      </w:r>
    </w:p>
    <w:p>
      <w:pPr>
        <w:spacing w:after="0" w:line="166" w:lineRule="exact"/>
        <w:rPr>
          <w:sz w:val="20"/>
          <w:szCs w:val="20"/>
          <w:color w:val="auto"/>
        </w:rPr>
      </w:pPr>
    </w:p>
    <w:p>
      <w:pPr>
        <w:ind w:right="60" w:firstLine="1945"/>
        <w:spacing w:after="0" w:line="298" w:lineRule="auto"/>
        <w:rPr>
          <w:sz w:val="20"/>
          <w:szCs w:val="20"/>
          <w:color w:val="auto"/>
        </w:rPr>
      </w:pPr>
      <w:r>
        <w:rPr>
          <w:rFonts w:ascii="Arial" w:cs="Arial" w:eastAsia="Arial" w:hAnsi="Arial"/>
          <w:sz w:val="16"/>
          <w:szCs w:val="16"/>
          <w:b w:val="1"/>
          <w:bCs w:val="1"/>
          <w:color w:val="auto"/>
        </w:rPr>
        <w:t xml:space="preserve">5.4.2 </w:t>
      </w:r>
      <w:r>
        <w:rPr>
          <w:rFonts w:ascii="Arial" w:cs="Arial" w:eastAsia="Arial" w:hAnsi="Arial"/>
          <w:sz w:val="16"/>
          <w:szCs w:val="16"/>
          <w:color w:val="auto"/>
        </w:rPr>
        <w:t>Examinations shall: (a) be performed, upon not less than five (5) Business Days’ advance written notice to the examined</w:t>
      </w:r>
      <w:r>
        <w:rPr>
          <w:rFonts w:ascii="Arial" w:cs="Arial" w:eastAsia="Arial" w:hAnsi="Arial"/>
          <w:sz w:val="16"/>
          <w:szCs w:val="16"/>
          <w:b w:val="1"/>
          <w:bCs w:val="1"/>
          <w:color w:val="auto"/>
        </w:rPr>
        <w:t xml:space="preserve"> </w:t>
      </w:r>
      <w:r>
        <w:rPr>
          <w:rFonts w:ascii="Arial" w:cs="Arial" w:eastAsia="Arial" w:hAnsi="Arial"/>
          <w:sz w:val="16"/>
          <w:szCs w:val="16"/>
          <w:color w:val="auto"/>
        </w:rPr>
        <w:t>Party, at the examined Party’s principal place of business (or other location mutually agreed by the Parties in writing) during normal business hours, (b) be performed no more frequently than twice during each Fiscal Year (or portion thereof) by any Party (except for examinations to ensure that a previously discovered problem is not reoccurring), (c) not be conducted in a manner that unreasonably interferes with the examined Party’s course of business, and (d) subject to delays outside the control of the Parties, be concluded within one hundred and eighty (180) days of commencement of the examination.</w:t>
      </w:r>
    </w:p>
    <w:p>
      <w:pPr>
        <w:spacing w:after="0" w:line="154" w:lineRule="exact"/>
        <w:rPr>
          <w:sz w:val="20"/>
          <w:szCs w:val="20"/>
          <w:color w:val="auto"/>
        </w:rPr>
      </w:pPr>
    </w:p>
    <w:p>
      <w:pPr>
        <w:ind w:right="120" w:firstLine="1945"/>
        <w:spacing w:after="0" w:line="266" w:lineRule="auto"/>
        <w:rPr>
          <w:sz w:val="20"/>
          <w:szCs w:val="20"/>
          <w:color w:val="auto"/>
        </w:rPr>
      </w:pPr>
      <w:r>
        <w:rPr>
          <w:rFonts w:ascii="Arial" w:cs="Arial" w:eastAsia="Arial" w:hAnsi="Arial"/>
          <w:sz w:val="18"/>
          <w:szCs w:val="18"/>
          <w:b w:val="1"/>
          <w:bCs w:val="1"/>
          <w:color w:val="auto"/>
        </w:rPr>
        <w:t xml:space="preserve">5.4.3 </w:t>
      </w:r>
      <w:r>
        <w:rPr>
          <w:rFonts w:ascii="Arial" w:cs="Arial" w:eastAsia="Arial" w:hAnsi="Arial"/>
          <w:sz w:val="18"/>
          <w:szCs w:val="18"/>
          <w:color w:val="auto"/>
        </w:rPr>
        <w:t>The examining Party may perform examinations hereunder using its external auditors, in which case the examined Party</w:t>
      </w:r>
      <w:r>
        <w:rPr>
          <w:rFonts w:ascii="Arial" w:cs="Arial" w:eastAsia="Arial" w:hAnsi="Arial"/>
          <w:sz w:val="18"/>
          <w:szCs w:val="18"/>
          <w:b w:val="1"/>
          <w:bCs w:val="1"/>
          <w:color w:val="auto"/>
        </w:rPr>
        <w:t xml:space="preserve"> </w:t>
      </w:r>
      <w:r>
        <w:rPr>
          <w:rFonts w:ascii="Arial" w:cs="Arial" w:eastAsia="Arial" w:hAnsi="Arial"/>
          <w:sz w:val="18"/>
          <w:szCs w:val="18"/>
          <w:color w:val="auto"/>
        </w:rPr>
        <w:t>shall permit entry of the examining Party’s external auditors to its principal place of business to perform inspections of the examined Party’s Books and Records.</w:t>
      </w:r>
    </w:p>
    <w:p>
      <w:pPr>
        <w:spacing w:after="0" w:line="176" w:lineRule="exact"/>
        <w:rPr>
          <w:sz w:val="20"/>
          <w:szCs w:val="20"/>
          <w:color w:val="auto"/>
        </w:rPr>
      </w:pPr>
    </w:p>
    <w:p>
      <w:pPr>
        <w:ind w:firstLine="1945"/>
        <w:spacing w:after="0" w:line="287" w:lineRule="auto"/>
        <w:rPr>
          <w:sz w:val="20"/>
          <w:szCs w:val="20"/>
          <w:color w:val="auto"/>
        </w:rPr>
      </w:pPr>
      <w:r>
        <w:rPr>
          <w:rFonts w:ascii="Arial" w:cs="Arial" w:eastAsia="Arial" w:hAnsi="Arial"/>
          <w:sz w:val="16"/>
          <w:szCs w:val="16"/>
          <w:b w:val="1"/>
          <w:bCs w:val="1"/>
          <w:color w:val="auto"/>
        </w:rPr>
        <w:t xml:space="preserve">5.4.4 </w:t>
      </w:r>
      <w:r>
        <w:rPr>
          <w:rFonts w:ascii="Arial" w:cs="Arial" w:eastAsia="Arial" w:hAnsi="Arial"/>
          <w:sz w:val="16"/>
          <w:szCs w:val="16"/>
          <w:color w:val="auto"/>
        </w:rPr>
        <w:t>If any examination made pursuant to this Section 5.4 (Examinations) reveals that (a) any calculation, or any set off or</w:t>
      </w:r>
      <w:r>
        <w:rPr>
          <w:rFonts w:ascii="Arial" w:cs="Arial" w:eastAsia="Arial" w:hAnsi="Arial"/>
          <w:sz w:val="16"/>
          <w:szCs w:val="16"/>
          <w:b w:val="1"/>
          <w:bCs w:val="1"/>
          <w:color w:val="auto"/>
        </w:rPr>
        <w:t xml:space="preserve"> </w:t>
      </w:r>
      <w:r>
        <w:rPr>
          <w:rFonts w:ascii="Arial" w:cs="Arial" w:eastAsia="Arial" w:hAnsi="Arial"/>
          <w:sz w:val="16"/>
          <w:szCs w:val="16"/>
          <w:color w:val="auto"/>
        </w:rPr>
        <w:t>credit, or payments to or from University or Provider under this Agreement have not been made in accordance with the terms of this Agreement (a “Payment Failure”), or (b) a Party has failed, in any material respect, to comply with its performance obligations under the Agreement (a “Performance Failure”), then the examining Party shall promptly deliver to the examined Party written notice specifying the nature of any Payment Failure or Performance Failure and providing the data and information necessary, or requested, to support such claim (an “Examination Notice”). Following its receipt of any such Examination Notice, the examined Party will have a period of thirty (30) days to dispute in writing to the examining Party any of the findings contained in the Examination Notice. If the examined Party fails to dispute the findings in the Examination Notice during such thirty (30) day period, then the results of the examination set forth in the Examination Notice shall become final and binding on the Parties. If the examined Party disputes any findings in the Examination Notice within the applicable thirty (30) day period in accordance with this Section, then the Parties will work together in good faith for a period of up to thirty (30) days to seek to resolve the disputed matter, including the exchange of underlying information and records as reasonably requested. Should no resolution be reached within the first fifteen (15) days of said period, such efforts to resolve the disputed matter shall include escalating the matter to the Parties’ respective Designee and/or Senior Designee. If the Parties agree in writing to the resolution of any disputed matters during the thirty (30) day negotiation period described above, then the terms of such written agreement shall be final and binding on the Parties with respect to such resolved matters.</w:t>
      </w:r>
    </w:p>
    <w:p>
      <w:pPr>
        <w:spacing w:after="0" w:line="165" w:lineRule="exact"/>
        <w:rPr>
          <w:sz w:val="20"/>
          <w:szCs w:val="20"/>
          <w:color w:val="auto"/>
        </w:rPr>
      </w:pPr>
    </w:p>
    <w:p>
      <w:pPr>
        <w:ind w:right="160" w:firstLine="1945"/>
        <w:spacing w:after="0" w:line="298" w:lineRule="auto"/>
        <w:rPr>
          <w:sz w:val="20"/>
          <w:szCs w:val="20"/>
          <w:color w:val="auto"/>
        </w:rPr>
      </w:pPr>
      <w:r>
        <w:rPr>
          <w:rFonts w:ascii="Arial" w:cs="Arial" w:eastAsia="Arial" w:hAnsi="Arial"/>
          <w:sz w:val="16"/>
          <w:szCs w:val="16"/>
          <w:b w:val="1"/>
          <w:bCs w:val="1"/>
          <w:color w:val="auto"/>
        </w:rPr>
        <w:t xml:space="preserve">5.4.5 </w:t>
      </w:r>
      <w:r>
        <w:rPr>
          <w:rFonts w:ascii="Arial" w:cs="Arial" w:eastAsia="Arial" w:hAnsi="Arial"/>
          <w:sz w:val="16"/>
          <w:szCs w:val="16"/>
          <w:color w:val="auto"/>
        </w:rPr>
        <w:t>In the case of a Payment Failure, if any of the disputed matters remain unresolved at the end of the thirty (30) day</w:t>
      </w:r>
      <w:r>
        <w:rPr>
          <w:rFonts w:ascii="Arial" w:cs="Arial" w:eastAsia="Arial" w:hAnsi="Arial"/>
          <w:sz w:val="16"/>
          <w:szCs w:val="16"/>
          <w:b w:val="1"/>
          <w:bCs w:val="1"/>
          <w:color w:val="auto"/>
        </w:rPr>
        <w:t xml:space="preserve"> </w:t>
      </w:r>
      <w:r>
        <w:rPr>
          <w:rFonts w:ascii="Arial" w:cs="Arial" w:eastAsia="Arial" w:hAnsi="Arial"/>
          <w:sz w:val="16"/>
          <w:szCs w:val="16"/>
          <w:color w:val="auto"/>
        </w:rPr>
        <w:t>negotiation period described in Section 5.4.4 above or in the case of any disagreements between the Parties regarding any payment or reconciliation thereof, then such disputed matters shall be resolved by an Independent Accounting Firm in accordance with this Section 5.4.5. For purposes of this Agreement, “</w:t>
      </w:r>
      <w:r>
        <w:rPr>
          <w:rFonts w:ascii="Arial" w:cs="Arial" w:eastAsia="Arial" w:hAnsi="Arial"/>
          <w:sz w:val="16"/>
          <w:szCs w:val="16"/>
          <w:b w:val="1"/>
          <w:bCs w:val="1"/>
          <w:i w:val="1"/>
          <w:iCs w:val="1"/>
          <w:color w:val="auto"/>
        </w:rPr>
        <w:t>Independent Accounting Firm</w:t>
      </w:r>
      <w:r>
        <w:rPr>
          <w:rFonts w:ascii="Arial" w:cs="Arial" w:eastAsia="Arial" w:hAnsi="Arial"/>
          <w:sz w:val="16"/>
          <w:szCs w:val="16"/>
          <w:color w:val="auto"/>
        </w:rPr>
        <w:t>” means either: (a) a nationally recognized independent chartered accounting firm mutually agreed upon and engaged by Provider and University within thirty (30) days after the expiration of the applicable time period for the Parties to resolve their disputes through</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1" w:name="page22"/>
    <w:bookmarkEnd w:id="21"/>
    <w:p>
      <w:pPr>
        <w:spacing w:after="0" w:line="285" w:lineRule="auto"/>
        <w:rPr>
          <w:sz w:val="20"/>
          <w:szCs w:val="20"/>
          <w:color w:val="auto"/>
        </w:rPr>
      </w:pPr>
      <w:r>
        <w:rPr>
          <w:rFonts w:ascii="Arial" w:cs="Arial" w:eastAsia="Arial" w:hAnsi="Arial"/>
          <w:sz w:val="16"/>
          <w:szCs w:val="16"/>
          <w:color w:val="auto"/>
        </w:rPr>
        <w:t>negotiations, or (b) if Provider and University are unable to mutually agree upon and engage the Independent Accounting Firm during such thirty (30) day period, then, no later than thirty (30) days thereafter, each of Provider and University shall select and engage a nationally recognized independent accounting firm and those two accounting firms will promptly, but in no event more than twenty (20) days later, select and engage a third nationally recognized independent accounting firm, which third accounting firm shall serve as the Independent Accounting Firm. Notwithstanding the foregoing, in the case of the application of clause (b) of this definition, if either Provider or University fails to timely engage an accounting firm, then the Independent Accounting Firm will be the accounting firm timely engaged by the other Party. Within thirty (30) days after the Independent Accounting Firm has been engaged, Provider and University shall each submit a written statement to the other Party and the Independent Accounting Firm identifying in reasonable detail such Party’s calculation of each disputed amount. If either Party fails to timely submit its written statement to the other Party and the Independent Accounting Firm, or if either Party fails to timely provide Books and Records requested by the other Party, then the Independent Accounting Firm shall resolve such disputed matters in accordance with the written statement of the Party that was timely submitted. Otherwise, the Independent Accounting Firm shall resolve each disputed amount by selecting either the calculation submitted by Provider or the calculation submitted by University, based on which calculation the Independent Accounting Firm determines to be more accurate. The Independent Accounting Firm shall submit its final written report to the Parties within sixty (60) days (or such other time period as the Parties mutually agree in writing) after the deadline for the Parties to submit their written statements to the Independent Accounting Firm. For the avoidance of doubt, the Independent Accounting Firm shall only decide the specific items under dispute by the Parties and its decision for each disputed amount must be either the calculation submitted by Provider or by University and not a different calculation it performs. In connection with the resolution of the disputes, each of the Parties shall make available to the other Parties and the Independent Accounting Firm, as the case may be, such Books and Records, documents, work papers, facilities and other information as such Party or the Independent Accounting Firm may reasonably request to resolve the dispute. The Independent Accounting Firm determination made in accordance with this Section will be final and binding upon the Parties and will not be subject to appeal, absent fraud or manifest error.</w:t>
      </w:r>
    </w:p>
    <w:p>
      <w:pPr>
        <w:spacing w:after="0" w:line="385" w:lineRule="exact"/>
        <w:rPr>
          <w:sz w:val="20"/>
          <w:szCs w:val="20"/>
          <w:color w:val="auto"/>
        </w:rPr>
      </w:pPr>
    </w:p>
    <w:p>
      <w:pPr>
        <w:jc w:val="both"/>
        <w:ind w:right="320" w:firstLine="1945"/>
        <w:spacing w:after="0" w:line="266" w:lineRule="auto"/>
        <w:rPr>
          <w:sz w:val="20"/>
          <w:szCs w:val="20"/>
          <w:color w:val="auto"/>
        </w:rPr>
      </w:pPr>
      <w:r>
        <w:rPr>
          <w:rFonts w:ascii="Arial" w:cs="Arial" w:eastAsia="Arial" w:hAnsi="Arial"/>
          <w:sz w:val="18"/>
          <w:szCs w:val="18"/>
          <w:b w:val="1"/>
          <w:bCs w:val="1"/>
          <w:color w:val="auto"/>
        </w:rPr>
        <w:t xml:space="preserve">5.4.6 </w:t>
      </w:r>
      <w:r>
        <w:rPr>
          <w:rFonts w:ascii="Arial" w:cs="Arial" w:eastAsia="Arial" w:hAnsi="Arial"/>
          <w:sz w:val="18"/>
          <w:szCs w:val="18"/>
          <w:color w:val="auto"/>
        </w:rPr>
        <w:t>In the case of a Performance Failure, if any of the disputed matters remain unresolved at the end of the thirty (30) day</w:t>
      </w:r>
      <w:r>
        <w:rPr>
          <w:rFonts w:ascii="Arial" w:cs="Arial" w:eastAsia="Arial" w:hAnsi="Arial"/>
          <w:sz w:val="18"/>
          <w:szCs w:val="18"/>
          <w:b w:val="1"/>
          <w:bCs w:val="1"/>
          <w:color w:val="auto"/>
        </w:rPr>
        <w:t xml:space="preserve"> </w:t>
      </w:r>
      <w:r>
        <w:rPr>
          <w:rFonts w:ascii="Arial" w:cs="Arial" w:eastAsia="Arial" w:hAnsi="Arial"/>
          <w:sz w:val="18"/>
          <w:szCs w:val="18"/>
          <w:color w:val="auto"/>
        </w:rPr>
        <w:t>negotiation period described in Section 5.4.4 above or in the case of any disagreements between the Parties regarding any cure thereof, then such disputed matters shall be resolved pursuant to Section 18.11 (Dispute Resolution).</w:t>
      </w:r>
    </w:p>
    <w:p>
      <w:pPr>
        <w:spacing w:after="0" w:line="176" w:lineRule="exact"/>
        <w:rPr>
          <w:sz w:val="20"/>
          <w:szCs w:val="20"/>
          <w:color w:val="auto"/>
        </w:rPr>
      </w:pPr>
    </w:p>
    <w:p>
      <w:pPr>
        <w:ind w:left="1960"/>
        <w:spacing w:after="0"/>
        <w:tabs>
          <w:tab w:leader="none" w:pos="2600" w:val="left"/>
        </w:tabs>
        <w:rPr>
          <w:sz w:val="20"/>
          <w:szCs w:val="20"/>
          <w:color w:val="auto"/>
        </w:rPr>
      </w:pPr>
      <w:r>
        <w:rPr>
          <w:rFonts w:ascii="Arial" w:cs="Arial" w:eastAsia="Arial" w:hAnsi="Arial"/>
          <w:sz w:val="18"/>
          <w:szCs w:val="18"/>
          <w:b w:val="1"/>
          <w:bCs w:val="1"/>
          <w:color w:val="auto"/>
        </w:rPr>
        <w:t>5.4.7</w:t>
      </w:r>
      <w:r>
        <w:rPr>
          <w:sz w:val="20"/>
          <w:szCs w:val="20"/>
          <w:color w:val="auto"/>
        </w:rPr>
        <w:tab/>
      </w:r>
      <w:r>
        <w:rPr>
          <w:rFonts w:ascii="Arial" w:cs="Arial" w:eastAsia="Arial" w:hAnsi="Arial"/>
          <w:sz w:val="16"/>
          <w:szCs w:val="16"/>
          <w:color w:val="auto"/>
        </w:rPr>
        <w:t>Each Party shall be responsible for its own costs and fees relating to any dispute resolution pursuant to Section 5.4.5 or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Section 5.4.6 above.</w:t>
      </w:r>
    </w:p>
    <w:p>
      <w:pPr>
        <w:spacing w:after="0" w:line="207" w:lineRule="exact"/>
        <w:rPr>
          <w:sz w:val="20"/>
          <w:szCs w:val="20"/>
          <w:color w:val="auto"/>
        </w:rPr>
      </w:pPr>
    </w:p>
    <w:p>
      <w:pPr>
        <w:ind w:right="520" w:firstLine="1945"/>
        <w:spacing w:after="0" w:line="282" w:lineRule="auto"/>
        <w:rPr>
          <w:sz w:val="20"/>
          <w:szCs w:val="20"/>
          <w:color w:val="auto"/>
        </w:rPr>
      </w:pPr>
      <w:r>
        <w:rPr>
          <w:rFonts w:ascii="Arial" w:cs="Arial" w:eastAsia="Arial" w:hAnsi="Arial"/>
          <w:sz w:val="18"/>
          <w:szCs w:val="18"/>
          <w:b w:val="1"/>
          <w:bCs w:val="1"/>
          <w:color w:val="auto"/>
        </w:rPr>
        <w:t xml:space="preserve">5.4.8 </w:t>
      </w:r>
      <w:r>
        <w:rPr>
          <w:rFonts w:ascii="Arial" w:cs="Arial" w:eastAsia="Arial" w:hAnsi="Arial"/>
          <w:sz w:val="18"/>
          <w:szCs w:val="18"/>
          <w:color w:val="auto"/>
        </w:rPr>
        <w:t>Provider agrees that University may provide the results of any examination undertaken pursuant to this Section 5.4</w:t>
      </w:r>
      <w:r>
        <w:rPr>
          <w:rFonts w:ascii="Arial" w:cs="Arial" w:eastAsia="Arial" w:hAnsi="Arial"/>
          <w:sz w:val="18"/>
          <w:szCs w:val="18"/>
          <w:b w:val="1"/>
          <w:bCs w:val="1"/>
          <w:color w:val="auto"/>
        </w:rPr>
        <w:t xml:space="preserve"> </w:t>
      </w:r>
      <w:r>
        <w:rPr>
          <w:rFonts w:ascii="Arial" w:cs="Arial" w:eastAsia="Arial" w:hAnsi="Arial"/>
          <w:sz w:val="18"/>
          <w:szCs w:val="18"/>
          <w:color w:val="auto"/>
        </w:rPr>
        <w:t>(Examinations) to any Educational Agency, including HLC, upon such Educational Agency’s request.</w:t>
      </w:r>
    </w:p>
    <w:p>
      <w:pPr>
        <w:spacing w:after="0" w:line="162" w:lineRule="exact"/>
        <w:rPr>
          <w:sz w:val="20"/>
          <w:szCs w:val="20"/>
          <w:color w:val="auto"/>
        </w:rPr>
      </w:pPr>
    </w:p>
    <w:p>
      <w:pPr>
        <w:ind w:left="1380" w:hanging="724"/>
        <w:spacing w:after="0"/>
        <w:tabs>
          <w:tab w:leader="none" w:pos="13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 Termination</w:t>
      </w:r>
      <w:r>
        <w:rPr>
          <w:rFonts w:ascii="Arial" w:cs="Arial" w:eastAsia="Arial" w:hAnsi="Arial"/>
          <w:sz w:val="18"/>
          <w:szCs w:val="18"/>
          <w:color w:val="auto"/>
        </w:rPr>
        <w:t>.</w:t>
      </w:r>
    </w:p>
    <w:p>
      <w:pPr>
        <w:spacing w:after="0" w:line="225" w:lineRule="exact"/>
        <w:rPr>
          <w:sz w:val="20"/>
          <w:szCs w:val="20"/>
          <w:color w:val="auto"/>
        </w:rPr>
      </w:pPr>
    </w:p>
    <w:p>
      <w:pPr>
        <w:ind w:firstLine="1297"/>
        <w:spacing w:after="0" w:line="282" w:lineRule="auto"/>
        <w:rPr>
          <w:sz w:val="20"/>
          <w:szCs w:val="20"/>
          <w:color w:val="auto"/>
        </w:rPr>
      </w:pPr>
      <w:r>
        <w:rPr>
          <w:rFonts w:ascii="Arial" w:cs="Arial" w:eastAsia="Arial" w:hAnsi="Arial"/>
          <w:sz w:val="18"/>
          <w:szCs w:val="18"/>
          <w:b w:val="1"/>
          <w:bCs w:val="1"/>
          <w:color w:val="auto"/>
        </w:rPr>
        <w:t xml:space="preserve">6.1 </w:t>
      </w:r>
      <w:r>
        <w:rPr>
          <w:rFonts w:ascii="Arial" w:cs="Arial" w:eastAsia="Arial" w:hAnsi="Arial"/>
          <w:sz w:val="18"/>
          <w:szCs w:val="18"/>
          <w:b w:val="1"/>
          <w:bCs w:val="1"/>
          <w:u w:val="single" w:color="auto"/>
          <w:color w:val="auto"/>
        </w:rPr>
        <w:t>Term</w:t>
      </w:r>
      <w:r>
        <w:rPr>
          <w:rFonts w:ascii="Arial" w:cs="Arial" w:eastAsia="Arial" w:hAnsi="Arial"/>
          <w:sz w:val="18"/>
          <w:szCs w:val="18"/>
          <w:color w:val="auto"/>
        </w:rPr>
        <w:t>. The initial term of this Agreement (the “</w:t>
      </w:r>
      <w:r>
        <w:rPr>
          <w:rFonts w:ascii="Arial" w:cs="Arial" w:eastAsia="Arial" w:hAnsi="Arial"/>
          <w:sz w:val="18"/>
          <w:szCs w:val="18"/>
          <w:b w:val="1"/>
          <w:bCs w:val="1"/>
          <w:i w:val="1"/>
          <w:iCs w:val="1"/>
          <w:color w:val="auto"/>
        </w:rPr>
        <w:t>Initial Term</w:t>
      </w:r>
      <w:r>
        <w:rPr>
          <w:rFonts w:ascii="Arial" w:cs="Arial" w:eastAsia="Arial" w:hAnsi="Arial"/>
          <w:sz w:val="18"/>
          <w:szCs w:val="18"/>
          <w:color w:val="auto"/>
        </w:rPr>
        <w:t>”) shall commence on the Effective Date and, unless earlier terminated</w:t>
      </w:r>
      <w:r>
        <w:rPr>
          <w:rFonts w:ascii="Arial" w:cs="Arial" w:eastAsia="Arial" w:hAnsi="Arial"/>
          <w:sz w:val="18"/>
          <w:szCs w:val="18"/>
          <w:b w:val="1"/>
          <w:bCs w:val="1"/>
          <w:color w:val="auto"/>
        </w:rPr>
        <w:t xml:space="preserve"> </w:t>
      </w:r>
      <w:r>
        <w:rPr>
          <w:rFonts w:ascii="Arial" w:cs="Arial" w:eastAsia="Arial" w:hAnsi="Arial"/>
          <w:sz w:val="18"/>
          <w:szCs w:val="18"/>
          <w:color w:val="auto"/>
        </w:rPr>
        <w:t>as provided in this Agreement,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2" w:name="page23"/>
    <w:bookmarkEnd w:id="22"/>
    <w:p>
      <w:pPr>
        <w:ind w:right="160"/>
        <w:spacing w:after="0" w:line="259" w:lineRule="auto"/>
        <w:rPr>
          <w:sz w:val="20"/>
          <w:szCs w:val="20"/>
          <w:color w:val="auto"/>
        </w:rPr>
      </w:pPr>
      <w:r>
        <w:rPr>
          <w:rFonts w:ascii="Arial" w:cs="Arial" w:eastAsia="Arial" w:hAnsi="Arial"/>
          <w:sz w:val="18"/>
          <w:szCs w:val="18"/>
          <w:color w:val="auto"/>
        </w:rPr>
        <w:t>shall continue until the earlier of (a) the fifteenth (15th) anniversary of the Effective Date, or (b) with respect to any particular Service being provided hereunder, such other termination date as is mutually agreed by the Parties in writing or set forth in a Services Addendum related to any additional Service added hereto. Unless earlier terminated as provided in this Agreement, this Agreement shall automatically renew for successive five (5) year terms (each, a “</w:t>
      </w:r>
      <w:r>
        <w:rPr>
          <w:rFonts w:ascii="Arial" w:cs="Arial" w:eastAsia="Arial" w:hAnsi="Arial"/>
          <w:sz w:val="18"/>
          <w:szCs w:val="18"/>
          <w:b w:val="1"/>
          <w:bCs w:val="1"/>
          <w:i w:val="1"/>
          <w:iCs w:val="1"/>
          <w:color w:val="auto"/>
        </w:rPr>
        <w:t>Renewal Term</w:t>
      </w:r>
      <w:r>
        <w:rPr>
          <w:rFonts w:ascii="Arial" w:cs="Arial" w:eastAsia="Arial" w:hAnsi="Arial"/>
          <w:sz w:val="18"/>
          <w:szCs w:val="18"/>
          <w:color w:val="auto"/>
        </w:rPr>
        <w:t>”).</w:t>
      </w:r>
    </w:p>
    <w:p>
      <w:pPr>
        <w:spacing w:after="0" w:line="183" w:lineRule="exact"/>
        <w:rPr>
          <w:sz w:val="20"/>
          <w:szCs w:val="20"/>
          <w:color w:val="auto"/>
        </w:rPr>
      </w:pPr>
    </w:p>
    <w:p>
      <w:pPr>
        <w:ind w:right="120" w:firstLine="1297"/>
        <w:spacing w:after="0" w:line="298" w:lineRule="auto"/>
        <w:rPr>
          <w:sz w:val="20"/>
          <w:szCs w:val="20"/>
          <w:color w:val="auto"/>
        </w:rPr>
      </w:pPr>
      <w:r>
        <w:rPr>
          <w:rFonts w:ascii="Arial" w:cs="Arial" w:eastAsia="Arial" w:hAnsi="Arial"/>
          <w:sz w:val="16"/>
          <w:szCs w:val="16"/>
          <w:b w:val="1"/>
          <w:bCs w:val="1"/>
          <w:color w:val="auto"/>
        </w:rPr>
        <w:t xml:space="preserve">6.2 </w:t>
      </w:r>
      <w:r>
        <w:rPr>
          <w:rFonts w:ascii="Arial" w:cs="Arial" w:eastAsia="Arial" w:hAnsi="Arial"/>
          <w:sz w:val="16"/>
          <w:szCs w:val="16"/>
          <w:b w:val="1"/>
          <w:bCs w:val="1"/>
          <w:u w:val="single" w:color="auto"/>
          <w:color w:val="auto"/>
        </w:rPr>
        <w:t>Non-Renewal of Initial Term or Any Renewal Term; Fee Payable</w:t>
      </w:r>
      <w:r>
        <w:rPr>
          <w:rFonts w:ascii="Arial" w:cs="Arial" w:eastAsia="Arial" w:hAnsi="Arial"/>
          <w:sz w:val="16"/>
          <w:szCs w:val="16"/>
          <w:color w:val="auto"/>
        </w:rPr>
        <w:t>. Either Party may elect not to renew this Agreement at the</w:t>
      </w:r>
      <w:r>
        <w:rPr>
          <w:rFonts w:ascii="Arial" w:cs="Arial" w:eastAsia="Arial" w:hAnsi="Arial"/>
          <w:sz w:val="16"/>
          <w:szCs w:val="16"/>
          <w:b w:val="1"/>
          <w:bCs w:val="1"/>
          <w:color w:val="auto"/>
        </w:rPr>
        <w:t xml:space="preserve"> </w:t>
      </w:r>
      <w:r>
        <w:rPr>
          <w:rFonts w:ascii="Arial" w:cs="Arial" w:eastAsia="Arial" w:hAnsi="Arial"/>
          <w:sz w:val="16"/>
          <w:szCs w:val="16"/>
          <w:color w:val="auto"/>
        </w:rPr>
        <w:t>end of the Initial Term or any subsequent Renewal Term by giving the other Party written notice of such election not to renew not less than eighteen (18) months’ prior to the end of such Initial Term or subsequent Renewal Term. If University gives written notice to Provider of its decision not to renew this Agreement, then, as a condition to the expiration of such Initial Term or Renewal Term, University shall pay, and Provider shall have the right to receive, on the last day of such Initial Term or Renewal Term, as applicable, the Non-Renewal Fee by wire transfer of immediately available funds.</w:t>
      </w:r>
    </w:p>
    <w:p>
      <w:pPr>
        <w:spacing w:after="0" w:line="154" w:lineRule="exact"/>
        <w:rPr>
          <w:sz w:val="20"/>
          <w:szCs w:val="20"/>
          <w:color w:val="auto"/>
        </w:rPr>
      </w:pPr>
    </w:p>
    <w:p>
      <w:pPr>
        <w:ind w:right="40" w:firstLine="1297"/>
        <w:spacing w:after="0" w:line="295" w:lineRule="auto"/>
        <w:rPr>
          <w:sz w:val="20"/>
          <w:szCs w:val="20"/>
          <w:color w:val="auto"/>
        </w:rPr>
      </w:pPr>
      <w:r>
        <w:rPr>
          <w:rFonts w:ascii="Arial" w:cs="Arial" w:eastAsia="Arial" w:hAnsi="Arial"/>
          <w:sz w:val="16"/>
          <w:szCs w:val="16"/>
          <w:b w:val="1"/>
          <w:bCs w:val="1"/>
          <w:color w:val="auto"/>
        </w:rPr>
        <w:t xml:space="preserve">6.3 </w:t>
      </w:r>
      <w:r>
        <w:rPr>
          <w:rFonts w:ascii="Arial" w:cs="Arial" w:eastAsia="Arial" w:hAnsi="Arial"/>
          <w:sz w:val="16"/>
          <w:szCs w:val="16"/>
          <w:b w:val="1"/>
          <w:bCs w:val="1"/>
          <w:u w:val="single" w:color="auto"/>
          <w:color w:val="auto"/>
        </w:rPr>
        <w:t>Early Termination of Initial Term; Fee Payable</w:t>
      </w:r>
      <w:r>
        <w:rPr>
          <w:rFonts w:ascii="Arial" w:cs="Arial" w:eastAsia="Arial" w:hAnsi="Arial"/>
          <w:sz w:val="16"/>
          <w:szCs w:val="16"/>
          <w:color w:val="auto"/>
        </w:rPr>
        <w:t>. Prior to the expiration of the Initial Term, University may elect to terminate</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upon or following the later of (a) the seventh (7th) anniversary of the Effective Date, and (b) the payment in full of the Senior Secured Note. Such termination shall be effected by providing Provider with written notice of termination not less than eighteen (18) months’ prior to the proposed date of termination, specifying therein the effective date of termination. If University gives written notice to Provider of its decision to terminate this Agreement in accordance with this Section 6.3 (Early Termination of Initial Term; Fee Payable), then, as a condition to such termination, University shall pay, and Provider shall have the right to receive, on the effective date of termination the Early Termination Fee by wire transfer of immediately available funds.</w:t>
      </w:r>
    </w:p>
    <w:p>
      <w:pPr>
        <w:spacing w:after="0" w:line="156" w:lineRule="exact"/>
        <w:rPr>
          <w:sz w:val="20"/>
          <w:szCs w:val="20"/>
          <w:color w:val="auto"/>
        </w:rPr>
      </w:pPr>
    </w:p>
    <w:p>
      <w:pPr>
        <w:ind w:firstLine="1297"/>
        <w:spacing w:after="0" w:line="284" w:lineRule="auto"/>
        <w:rPr>
          <w:sz w:val="20"/>
          <w:szCs w:val="20"/>
          <w:color w:val="auto"/>
        </w:rPr>
      </w:pPr>
      <w:r>
        <w:rPr>
          <w:rFonts w:ascii="Arial" w:cs="Arial" w:eastAsia="Arial" w:hAnsi="Arial"/>
          <w:sz w:val="16"/>
          <w:szCs w:val="16"/>
          <w:b w:val="1"/>
          <w:bCs w:val="1"/>
          <w:color w:val="auto"/>
        </w:rPr>
        <w:t xml:space="preserve">6.4 </w:t>
      </w:r>
      <w:r>
        <w:rPr>
          <w:rFonts w:ascii="Arial" w:cs="Arial" w:eastAsia="Arial" w:hAnsi="Arial"/>
          <w:sz w:val="16"/>
          <w:szCs w:val="16"/>
          <w:b w:val="1"/>
          <w:bCs w:val="1"/>
          <w:u w:val="single" w:color="auto"/>
          <w:color w:val="auto"/>
        </w:rPr>
        <w:t>Termination of Agreement for Breach</w:t>
      </w:r>
      <w:r>
        <w:rPr>
          <w:rFonts w:ascii="Arial" w:cs="Arial" w:eastAsia="Arial" w:hAnsi="Arial"/>
          <w:sz w:val="16"/>
          <w:szCs w:val="16"/>
          <w:color w:val="auto"/>
        </w:rPr>
        <w:t>. Subject to the provisions of Section 3.11 (Points of Contact; Designees), Section 5.4</w:t>
      </w:r>
      <w:r>
        <w:rPr>
          <w:rFonts w:ascii="Arial" w:cs="Arial" w:eastAsia="Arial" w:hAnsi="Arial"/>
          <w:sz w:val="16"/>
          <w:szCs w:val="16"/>
          <w:b w:val="1"/>
          <w:bCs w:val="1"/>
          <w:color w:val="auto"/>
        </w:rPr>
        <w:t xml:space="preserve"> </w:t>
      </w:r>
      <w:r>
        <w:rPr>
          <w:rFonts w:ascii="Arial" w:cs="Arial" w:eastAsia="Arial" w:hAnsi="Arial"/>
          <w:sz w:val="16"/>
          <w:szCs w:val="16"/>
          <w:color w:val="auto"/>
        </w:rPr>
        <w:t>(Examinations) and Section 18.11 (Dispute Resolution), this Agreement may be terminated by either Party (such Party defined herein for convenience as the “</w:t>
      </w:r>
      <w:r>
        <w:rPr>
          <w:rFonts w:ascii="Arial" w:cs="Arial" w:eastAsia="Arial" w:hAnsi="Arial"/>
          <w:sz w:val="16"/>
          <w:szCs w:val="16"/>
          <w:b w:val="1"/>
          <w:bCs w:val="1"/>
          <w:i w:val="1"/>
          <w:iCs w:val="1"/>
          <w:color w:val="auto"/>
        </w:rPr>
        <w:t>Non-Defaulting Party</w:t>
      </w:r>
      <w:r>
        <w:rPr>
          <w:rFonts w:ascii="Arial" w:cs="Arial" w:eastAsia="Arial" w:hAnsi="Arial"/>
          <w:sz w:val="16"/>
          <w:szCs w:val="16"/>
          <w:color w:val="auto"/>
        </w:rPr>
        <w:t>”) upon a Performance Failure by the other Party (such other Party defined herein for convenience as the “</w:t>
      </w:r>
      <w:r>
        <w:rPr>
          <w:rFonts w:ascii="Arial" w:cs="Arial" w:eastAsia="Arial" w:hAnsi="Arial"/>
          <w:sz w:val="16"/>
          <w:szCs w:val="16"/>
          <w:b w:val="1"/>
          <w:bCs w:val="1"/>
          <w:i w:val="1"/>
          <w:iCs w:val="1"/>
          <w:color w:val="auto"/>
        </w:rPr>
        <w:t>Defaulting Party</w:t>
      </w:r>
      <w:r>
        <w:rPr>
          <w:rFonts w:ascii="Arial" w:cs="Arial" w:eastAsia="Arial" w:hAnsi="Arial"/>
          <w:sz w:val="16"/>
          <w:szCs w:val="16"/>
          <w:color w:val="auto"/>
        </w:rPr>
        <w:t>”) where such Performance Failure has a material adverse effect on the Non-Defaulting Party or its business. The Non-Defaulting Party shall give the Defaulting Party written notice of such Performance Failure, stating the nature thereof and a reasonable period (which shall be not less than thirty (30) days) to cure such Performance Failure. If the Defaulting Party does not cure any such Performance Failure within the specified cure period, the Non-Defaulting Party may terminate this Agreement effective upon thirty (30) days’ prior written notice given on or after the end of the specified cure period; provided, that if, at end of the specified cure period, the Defaulting Party is continuing to use reasonably diligent efforts to cure such Performance Failure in light of the nature of such Performance Failure, then the Non-Defaulting Party may not give written notice of termination of this Agreement until the earlier of (a) an additional thirty</w:t>
      </w:r>
    </w:p>
    <w:p>
      <w:pPr>
        <w:spacing w:after="0" w:line="4" w:lineRule="exact"/>
        <w:rPr>
          <w:sz w:val="20"/>
          <w:szCs w:val="20"/>
          <w:color w:val="auto"/>
        </w:rPr>
      </w:pPr>
    </w:p>
    <w:p>
      <w:pPr>
        <w:ind w:left="360" w:hanging="352"/>
        <w:spacing w:after="0"/>
        <w:tabs>
          <w:tab w:leader="none" w:pos="3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days has passed following the end of the original specified cure period, or (b) such time as the Defaulting Party has ceased using reasonably diligent</w:t>
      </w:r>
    </w:p>
    <w:p>
      <w:pPr>
        <w:spacing w:after="0" w:line="32" w:lineRule="exact"/>
        <w:rPr>
          <w:rFonts w:ascii="Arial" w:cs="Arial" w:eastAsia="Arial" w:hAnsi="Arial"/>
          <w:sz w:val="16"/>
          <w:szCs w:val="16"/>
          <w:color w:val="auto"/>
        </w:rPr>
      </w:pPr>
    </w:p>
    <w:p>
      <w:pPr>
        <w:spacing w:after="0" w:line="261" w:lineRule="auto"/>
        <w:rPr>
          <w:rFonts w:ascii="Arial" w:cs="Arial" w:eastAsia="Arial" w:hAnsi="Arial"/>
          <w:sz w:val="16"/>
          <w:szCs w:val="16"/>
          <w:color w:val="auto"/>
        </w:rPr>
      </w:pPr>
      <w:r>
        <w:rPr>
          <w:rFonts w:ascii="Arial" w:cs="Arial" w:eastAsia="Arial" w:hAnsi="Arial"/>
          <w:sz w:val="18"/>
          <w:szCs w:val="18"/>
          <w:color w:val="auto"/>
        </w:rPr>
        <w:t>efforts to cure such Performance Failure. For the avoidance of doubt, any termination of this Agreement in respect of a Payment Failure shall be governed by Section 5.2 (Delinquent Payments) or Section 5.4 (Examinations), as applicable.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3" w:name="page24"/>
    <w:bookmarkEnd w:id="23"/>
    <w:p>
      <w:pPr>
        <w:ind w:firstLine="1297"/>
        <w:spacing w:after="0" w:line="287" w:lineRule="auto"/>
        <w:rPr>
          <w:sz w:val="20"/>
          <w:szCs w:val="20"/>
          <w:color w:val="auto"/>
        </w:rPr>
      </w:pPr>
      <w:r>
        <w:rPr>
          <w:rFonts w:ascii="Arial" w:cs="Arial" w:eastAsia="Arial" w:hAnsi="Arial"/>
          <w:sz w:val="16"/>
          <w:szCs w:val="16"/>
          <w:b w:val="1"/>
          <w:bCs w:val="1"/>
          <w:color w:val="auto"/>
        </w:rPr>
        <w:t xml:space="preserve">6.5 </w:t>
      </w:r>
      <w:r>
        <w:rPr>
          <w:rFonts w:ascii="Arial" w:cs="Arial" w:eastAsia="Arial" w:hAnsi="Arial"/>
          <w:sz w:val="16"/>
          <w:szCs w:val="16"/>
          <w:b w:val="1"/>
          <w:bCs w:val="1"/>
          <w:u w:val="single" w:color="auto"/>
          <w:color w:val="auto"/>
        </w:rPr>
        <w:t>Termination of Particular Service</w:t>
      </w:r>
      <w:r>
        <w:rPr>
          <w:rFonts w:ascii="Arial" w:cs="Arial" w:eastAsia="Arial" w:hAnsi="Arial"/>
          <w:sz w:val="16"/>
          <w:szCs w:val="16"/>
          <w:color w:val="auto"/>
        </w:rPr>
        <w:t>. Subject to the provisions of Section 3.11 (Points of Contact; Designees) , Section 5.4</w:t>
      </w:r>
      <w:r>
        <w:rPr>
          <w:rFonts w:ascii="Arial" w:cs="Arial" w:eastAsia="Arial" w:hAnsi="Arial"/>
          <w:sz w:val="16"/>
          <w:szCs w:val="16"/>
          <w:b w:val="1"/>
          <w:bCs w:val="1"/>
          <w:color w:val="auto"/>
        </w:rPr>
        <w:t xml:space="preserve"> </w:t>
      </w:r>
      <w:r>
        <w:rPr>
          <w:rFonts w:ascii="Arial" w:cs="Arial" w:eastAsia="Arial" w:hAnsi="Arial"/>
          <w:sz w:val="16"/>
          <w:szCs w:val="16"/>
          <w:color w:val="auto"/>
        </w:rPr>
        <w:t>(Examinations) and Section 18.11 (Dispute Resolution), the provision by Provider of any particular Service may be terminated by the Non-Defaulting Party upon a Performance Failure by the Defaulting Party with respect to such particular Service. The Non-Defaulting Party shall give the Defaulting Party written notice of such material Performance Failure, stating the nature thereof and a reasonable time (which shall be not less than thirty (30) days) to cure such Performance Failure. If the Defaulting Party does not cure any such Performance Failure within the specified cure period, the Non-Defaulting Party may terminate the provision of the applicable Service effective upon thirty (30) days’ prior written notice given on or after the end of the specified cure period; provided, that if, at end of the specified cure period, the Defaulting Party is continuing to use reasonably diligent efforts to cure such Performance Failure in light of the nature of such Performance Failure, then the Non-Defaulting Party may not give written notice of termination of the particular Service until the earlier of (a) an additional thirty (30) days has passed following the end of the original specified cure period, or (b) such time as the Defaulting Party has ceased using reasonably diligent efforts to cure such Performance Failure. Upon the termination of any particular Service being provided hereunder, the Parties will work together mutually and in good faith to agree upon an appropriate adjustment to the Service Fees payable hereunder to reflect the elimination of such Service and this Agreement shall be amended accordingly. For the avoidance of doubt, any termination of a particular Service in respect of a Payment Failure shall be governed by Section 5.2 (Delinquent Payments) or Section 5.4 (Examinations), as applicable.</w:t>
      </w:r>
    </w:p>
    <w:p>
      <w:pPr>
        <w:spacing w:after="0" w:line="165" w:lineRule="exact"/>
        <w:rPr>
          <w:sz w:val="20"/>
          <w:szCs w:val="20"/>
          <w:color w:val="auto"/>
        </w:rPr>
      </w:pPr>
    </w:p>
    <w:p>
      <w:pPr>
        <w:ind w:firstLine="1297"/>
        <w:spacing w:after="0" w:line="272" w:lineRule="auto"/>
        <w:rPr>
          <w:sz w:val="20"/>
          <w:szCs w:val="20"/>
          <w:color w:val="auto"/>
        </w:rPr>
      </w:pPr>
      <w:r>
        <w:rPr>
          <w:rFonts w:ascii="Arial" w:cs="Arial" w:eastAsia="Arial" w:hAnsi="Arial"/>
          <w:sz w:val="17"/>
          <w:szCs w:val="17"/>
          <w:b w:val="1"/>
          <w:bCs w:val="1"/>
          <w:color w:val="auto"/>
        </w:rPr>
        <w:t xml:space="preserve">6.6 </w:t>
      </w:r>
      <w:r>
        <w:rPr>
          <w:rFonts w:ascii="Arial" w:cs="Arial" w:eastAsia="Arial" w:hAnsi="Arial"/>
          <w:sz w:val="17"/>
          <w:szCs w:val="17"/>
          <w:b w:val="1"/>
          <w:bCs w:val="1"/>
          <w:u w:val="single" w:color="auto"/>
          <w:color w:val="auto"/>
        </w:rPr>
        <w:t>Special Termination Right</w:t>
      </w:r>
      <w:r>
        <w:rPr>
          <w:rFonts w:ascii="Arial" w:cs="Arial" w:eastAsia="Arial" w:hAnsi="Arial"/>
          <w:sz w:val="17"/>
          <w:szCs w:val="17"/>
          <w:color w:val="auto"/>
        </w:rPr>
        <w:t>. Anything in Section 6.5 (Termination of Particular Service) to the contrary notwithstanding,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University may immediately and without penalty terminate the portions of this Agreement related to the provision of Services covered in Section 8 (Financial Aid Services) of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to this Agreement if it receives notification that the DOE has imposed an emergency, limitation, suspension, or termination action with regard to Provider’s ability to contract with the University to administer any aspects of its participation in the Title IV Programs. Any such termination of the Services covered in Section 8 (Financial Aid Services) of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shall not affect Provider’s provision of Services not covered in Section 8 (Financial Aid Services) of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Upon any termination of the Services covered in Section 8 (Financial Aid Services) of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to this Agreement, the Parties will work together mutually and in good faith to agree upon an appropriate adjustment to the Services Fees payable hereunder to reflect the elimination of such Services and this Agreement shall be amended accordingly</w:t>
      </w:r>
    </w:p>
    <w:p>
      <w:pPr>
        <w:spacing w:after="0" w:line="172"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b w:val="1"/>
          <w:bCs w:val="1"/>
          <w:color w:val="auto"/>
        </w:rPr>
        <w:t xml:space="preserve">6.7 </w:t>
      </w:r>
      <w:r>
        <w:rPr>
          <w:rFonts w:ascii="Arial" w:cs="Arial" w:eastAsia="Arial" w:hAnsi="Arial"/>
          <w:sz w:val="18"/>
          <w:szCs w:val="18"/>
          <w:b w:val="1"/>
          <w:bCs w:val="1"/>
          <w:u w:val="single" w:color="auto"/>
          <w:color w:val="auto"/>
        </w:rPr>
        <w:t>Effect of Termination</w:t>
      </w:r>
      <w:r>
        <w:rPr>
          <w:rFonts w:ascii="Arial" w:cs="Arial" w:eastAsia="Arial" w:hAnsi="Arial"/>
          <w:sz w:val="18"/>
          <w:szCs w:val="18"/>
          <w:color w:val="auto"/>
        </w:rPr>
        <w:t>. Upon termination of this Agreement or any particular Service, as applicable, (a) Provider shall be entitled</w:t>
      </w:r>
      <w:r>
        <w:rPr>
          <w:rFonts w:ascii="Arial" w:cs="Arial" w:eastAsia="Arial" w:hAnsi="Arial"/>
          <w:sz w:val="18"/>
          <w:szCs w:val="18"/>
          <w:b w:val="1"/>
          <w:bCs w:val="1"/>
          <w:color w:val="auto"/>
        </w:rPr>
        <w:t xml:space="preserve"> </w:t>
      </w:r>
      <w:r>
        <w:rPr>
          <w:rFonts w:ascii="Arial" w:cs="Arial" w:eastAsia="Arial" w:hAnsi="Arial"/>
          <w:sz w:val="18"/>
          <w:szCs w:val="18"/>
          <w:color w:val="auto"/>
        </w:rPr>
        <w:t>to all Services Fees and other amounts due for the provision of the relevant Services rendered up to and through the effective date of termination, as determined and payable in accordance with the terms in this Agreement and any Services Addendum, (b) the Parties shall take reasonable steps to provide the other Party with any information and records reasonably relating to this Agreement or such Service requested by such other Party in writing to the extent appropriate and necessary to permit the continuing business operations of each of the Parties with a minimum of disruption, and (c) all licenses granted under Section 10 (Intellectual Property Rights) below will terminate; provided, if University requests the performance of Transition Services, such licenses will terminate at the end of the applicable Transition Period.</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24" w:name="page25"/>
    <w:bookmarkEnd w:id="24"/>
    <w:p>
      <w:pPr>
        <w:ind w:firstLine="1297"/>
        <w:spacing w:after="0" w:line="284" w:lineRule="auto"/>
        <w:rPr>
          <w:sz w:val="20"/>
          <w:szCs w:val="20"/>
          <w:color w:val="auto"/>
        </w:rPr>
      </w:pPr>
      <w:r>
        <w:rPr>
          <w:rFonts w:ascii="Arial" w:cs="Arial" w:eastAsia="Arial" w:hAnsi="Arial"/>
          <w:sz w:val="16"/>
          <w:szCs w:val="16"/>
          <w:b w:val="1"/>
          <w:bCs w:val="1"/>
          <w:color w:val="auto"/>
        </w:rPr>
        <w:t xml:space="preserve">6.8 </w:t>
      </w:r>
      <w:r>
        <w:rPr>
          <w:rFonts w:ascii="Arial" w:cs="Arial" w:eastAsia="Arial" w:hAnsi="Arial"/>
          <w:sz w:val="16"/>
          <w:szCs w:val="16"/>
          <w:b w:val="1"/>
          <w:bCs w:val="1"/>
          <w:u w:val="single" w:color="auto"/>
          <w:color w:val="auto"/>
        </w:rPr>
        <w:t>Transition Services</w:t>
      </w:r>
      <w:r>
        <w:rPr>
          <w:rFonts w:ascii="Arial" w:cs="Arial" w:eastAsia="Arial" w:hAnsi="Arial"/>
          <w:sz w:val="16"/>
          <w:szCs w:val="16"/>
          <w:color w:val="auto"/>
        </w:rPr>
        <w:t>. Except in the case of a non-renewal of the Agreement under Section 6.2 (Non-Renewal of Initial Term or</w:t>
      </w:r>
      <w:r>
        <w:rPr>
          <w:rFonts w:ascii="Arial" w:cs="Arial" w:eastAsia="Arial" w:hAnsi="Arial"/>
          <w:sz w:val="16"/>
          <w:szCs w:val="16"/>
          <w:b w:val="1"/>
          <w:bCs w:val="1"/>
          <w:color w:val="auto"/>
        </w:rPr>
        <w:t xml:space="preserve"> </w:t>
      </w:r>
      <w:r>
        <w:rPr>
          <w:rFonts w:ascii="Arial" w:cs="Arial" w:eastAsia="Arial" w:hAnsi="Arial"/>
          <w:sz w:val="16"/>
          <w:szCs w:val="16"/>
          <w:color w:val="auto"/>
        </w:rPr>
        <w:t>Any Renewal Term; Fee Payable) or an early termination of the Agreement by University under Section 6.3 (Early Termination of Initial Term; Fee Payable), if this Agreement or any particular Service is terminated (regardless of the reason for such termination), (a) by Provider, then, at University’s written election, Provider will continue providing the Services (or the applicable Service) for a period of up to two (2) years following the termination date, or (b) by University, then, at University’s written election, Provider will continue providing the Services (or applicable Service) for a period of up to six (6) months following the termination date (the post-termination services are referred to herein as the “</w:t>
      </w:r>
      <w:r>
        <w:rPr>
          <w:rFonts w:ascii="Arial" w:cs="Arial" w:eastAsia="Arial" w:hAnsi="Arial"/>
          <w:sz w:val="16"/>
          <w:szCs w:val="16"/>
          <w:b w:val="1"/>
          <w:bCs w:val="1"/>
          <w:i w:val="1"/>
          <w:iCs w:val="1"/>
          <w:color w:val="auto"/>
        </w:rPr>
        <w:t>Transition Services</w:t>
      </w:r>
      <w:r>
        <w:rPr>
          <w:rFonts w:ascii="Arial" w:cs="Arial" w:eastAsia="Arial" w:hAnsi="Arial"/>
          <w:sz w:val="16"/>
          <w:szCs w:val="16"/>
          <w:color w:val="auto"/>
        </w:rPr>
        <w:t>,” and the applicable period during which the Transition Services are provided is referred to herein as the “</w:t>
      </w:r>
      <w:r>
        <w:rPr>
          <w:rFonts w:ascii="Arial" w:cs="Arial" w:eastAsia="Arial" w:hAnsi="Arial"/>
          <w:sz w:val="16"/>
          <w:szCs w:val="16"/>
          <w:b w:val="1"/>
          <w:bCs w:val="1"/>
          <w:i w:val="1"/>
          <w:iCs w:val="1"/>
          <w:color w:val="auto"/>
        </w:rPr>
        <w:t>Transition Period</w:t>
      </w:r>
      <w:r>
        <w:rPr>
          <w:rFonts w:ascii="Arial" w:cs="Arial" w:eastAsia="Arial" w:hAnsi="Arial"/>
          <w:sz w:val="16"/>
          <w:szCs w:val="16"/>
          <w:color w:val="auto"/>
        </w:rPr>
        <w:t>”). Notwithstanding the foregoing, if this Agreement or a Service is terminated as a result of University’s failure to timely pay the applicable Services Fees, then if University desires to receive Transition Services during the Transition Period, University must, prior to the commencement of any Transition Services, (a) pay all outstanding Services Fees that are not subject to a good faith dispute by University pursuant to Section 5.2 (Delinquent Payments) and (b) pay the estimated Services Fees as reasonably determined by Provider for the Transition Period on a monthly basis in advance. If the actual Services Fees payable for the Transition Period are different than the estimated Services Fees paid by University, then (i) if the actual Services Fees exceed the estimated Services Fees, University will pay the difference within thirty (30) days after the expiration of the Transition Period, and (ii) if the actual Services Fees are less than the estimated Services Fees, Provider will refund to University the difference within thirty (30) days after the expiration of the Transition Period. The Transition Services will be provided at least at the same levels of quality and timeliness of performance as such Services were required to be provided prior to the termination. In connection with a termination of the Agreement, University may, upon written notice to Provider, modify the specific Transition Services to be provided to a subset of the Services provided under this Agreement and, in any case, may reduce the term for the Transition Period to a lesser period. Following any termination, the Parties agree to work in good faith to effectuate an orderly transition of the Services (or any particular Service), with a goal of minimum interruption to University, its students and its Educational Activities. It is agreed and understood that the licenses granted to Provider in Section 10 (Intellectual Property Rights) shall remain in effect during the Transition Period, provided that University complies with the terms in this Agreement, including timely paying the Services Fees for the Transition Services. If this Agreement expires following the giving by a Party of notice of non-renewal under Section 6.2 (Non-Renewal of Initial Term or Any Renewal Term; Fee Payable) above, or is terminated by University following the giving by University of notice of termination under Section 6.3 (Early Termination of Initial Term; Fee Payable), then during the period between the giving of such notice of non-renewal or termination and the expiration or termination of the Initial Term or expiration of any Renewal Term, the Parties shall likewise work in good faith to wind down their relationship and effectuate an orderly transition of the Services, with a goal of minimum interruption to University, its students and its Educational Activities.</w:t>
      </w:r>
    </w:p>
    <w:p>
      <w:pPr>
        <w:spacing w:after="0" w:line="393"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6.9</w:t>
      </w:r>
      <w:r>
        <w:rPr>
          <w:sz w:val="20"/>
          <w:szCs w:val="20"/>
          <w:color w:val="auto"/>
        </w:rPr>
        <w:tab/>
      </w:r>
      <w:r>
        <w:rPr>
          <w:rFonts w:ascii="Arial" w:cs="Arial" w:eastAsia="Arial" w:hAnsi="Arial"/>
          <w:sz w:val="16"/>
          <w:szCs w:val="16"/>
          <w:b w:val="1"/>
          <w:bCs w:val="1"/>
          <w:u w:val="single" w:color="auto"/>
          <w:color w:val="auto"/>
        </w:rPr>
        <w:t>Assumption of Certain Services Functions</w:t>
      </w:r>
      <w:r>
        <w:rPr>
          <w:rFonts w:ascii="Arial" w:cs="Arial" w:eastAsia="Arial" w:hAnsi="Arial"/>
          <w:sz w:val="16"/>
          <w:szCs w:val="16"/>
          <w:color w:val="auto"/>
        </w:rPr>
        <w:t>. University may, at any time upon providing Provider with not less than nine</w:t>
      </w:r>
    </w:p>
    <w:p>
      <w:pPr>
        <w:spacing w:after="0" w:line="27" w:lineRule="exact"/>
        <w:rPr>
          <w:sz w:val="20"/>
          <w:szCs w:val="20"/>
          <w:color w:val="auto"/>
        </w:rPr>
      </w:pPr>
    </w:p>
    <w:p>
      <w:pPr>
        <w:jc w:val="both"/>
        <w:ind w:right="440" w:firstLine="8"/>
        <w:spacing w:after="0" w:line="302" w:lineRule="auto"/>
        <w:tabs>
          <w:tab w:leader="none" w:pos="255" w:val="left"/>
        </w:tabs>
        <w:numPr>
          <w:ilvl w:val="0"/>
          <w:numId w:val="15"/>
        </w:numPr>
        <w:rPr>
          <w:rFonts w:ascii="Arial" w:cs="Arial" w:eastAsia="Arial" w:hAnsi="Arial"/>
          <w:sz w:val="16"/>
          <w:szCs w:val="16"/>
          <w:color w:val="auto"/>
        </w:rPr>
      </w:pPr>
      <w:r>
        <w:rPr>
          <w:rFonts w:ascii="Arial" w:cs="Arial" w:eastAsia="Arial" w:hAnsi="Arial"/>
          <w:sz w:val="16"/>
          <w:szCs w:val="16"/>
          <w:color w:val="auto"/>
        </w:rPr>
        <w:t>months’ prior written notice (a “</w:t>
      </w:r>
      <w:r>
        <w:rPr>
          <w:rFonts w:ascii="Arial" w:cs="Arial" w:eastAsia="Arial" w:hAnsi="Arial"/>
          <w:sz w:val="16"/>
          <w:szCs w:val="16"/>
          <w:b w:val="1"/>
          <w:bCs w:val="1"/>
          <w:i w:val="1"/>
          <w:iCs w:val="1"/>
          <w:color w:val="auto"/>
        </w:rPr>
        <w:t>Services Transfer Notice</w:t>
      </w:r>
      <w:r>
        <w:rPr>
          <w:rFonts w:ascii="Arial" w:cs="Arial" w:eastAsia="Arial" w:hAnsi="Arial"/>
          <w:sz w:val="16"/>
          <w:szCs w:val="16"/>
          <w:color w:val="auto"/>
        </w:rPr>
        <w:t>”), elect to directly assume performance of one or more Back-Office Services Functions, as designated by University in such Services Transfer Notice; provided that (a) Provider will be paid any Services Fees related to the Back-Office Services Function assumed for the period prior to the effective date of such assumption, and continue to be paid its other Services Fees, in</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5" w:name="page26"/>
    <w:bookmarkEnd w:id="25"/>
    <w:p>
      <w:pPr>
        <w:ind w:right="40"/>
        <w:spacing w:after="0" w:line="271" w:lineRule="auto"/>
        <w:rPr>
          <w:sz w:val="20"/>
          <w:szCs w:val="20"/>
          <w:color w:val="auto"/>
        </w:rPr>
      </w:pPr>
      <w:r>
        <w:rPr>
          <w:rFonts w:ascii="Arial" w:cs="Arial" w:eastAsia="Arial" w:hAnsi="Arial"/>
          <w:sz w:val="17"/>
          <w:szCs w:val="17"/>
          <w:color w:val="auto"/>
        </w:rPr>
        <w:t xml:space="preserve">each case, as provided in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without regard to such assumption, and (b) the Parties will negotiate in good faith to determine appropriate adjustments to the Services Fees payable hereunder to give effect to any transfer of costs associated with such assumption. Upon University’s assumption of any Back-Office Services Functions, University will supply its own technology and IT platforms to perform such Back-Office Services Functions and will no longer have the right to access or use the Platform in connection therewith. The Parties agree that to the extent performance of the Back-Office Services Function assumed by University requires amendment to this Agreement, the Parties shall make such amendments (in accordance with Section 18.2 (Amendment; Waiver)) in good faith consistent with the remaining terms of this Agreement. University shall not retain any other Person, during the remainder of the Initial Term or any Renewal Term in which a notice is given pursuant to this Section 6.9 (Assumption of Certain Services Functions), to perform any Back-Office Services Functions assumed pursuant to this Section.</w:t>
      </w:r>
    </w:p>
    <w:p>
      <w:pPr>
        <w:spacing w:after="0" w:line="175" w:lineRule="exact"/>
        <w:rPr>
          <w:sz w:val="20"/>
          <w:szCs w:val="20"/>
          <w:color w:val="auto"/>
        </w:rPr>
      </w:pPr>
    </w:p>
    <w:p>
      <w:pPr>
        <w:ind w:left="1380" w:hanging="724"/>
        <w:spacing w:after="0"/>
        <w:tabs>
          <w:tab w:leader="none" w:pos="13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Tax Matters</w:t>
      </w:r>
      <w:r>
        <w:rPr>
          <w:rFonts w:ascii="Arial" w:cs="Arial" w:eastAsia="Arial" w:hAnsi="Arial"/>
          <w:sz w:val="18"/>
          <w:szCs w:val="18"/>
          <w:color w:val="auto"/>
        </w:rPr>
        <w:t>.</w:t>
      </w:r>
    </w:p>
    <w:p>
      <w:pPr>
        <w:spacing w:after="0" w:line="225" w:lineRule="exact"/>
        <w:rPr>
          <w:sz w:val="20"/>
          <w:szCs w:val="20"/>
          <w:color w:val="auto"/>
        </w:rPr>
      </w:pPr>
    </w:p>
    <w:p>
      <w:pPr>
        <w:ind w:firstLine="1297"/>
        <w:spacing w:after="0" w:line="273" w:lineRule="auto"/>
        <w:rPr>
          <w:sz w:val="20"/>
          <w:szCs w:val="20"/>
          <w:color w:val="auto"/>
        </w:rPr>
      </w:pPr>
      <w:r>
        <w:rPr>
          <w:rFonts w:ascii="Arial" w:cs="Arial" w:eastAsia="Arial" w:hAnsi="Arial"/>
          <w:sz w:val="17"/>
          <w:szCs w:val="17"/>
          <w:b w:val="1"/>
          <w:bCs w:val="1"/>
          <w:color w:val="auto"/>
        </w:rPr>
        <w:t xml:space="preserve">7.1 </w:t>
      </w:r>
      <w:r>
        <w:rPr>
          <w:rFonts w:ascii="Arial" w:cs="Arial" w:eastAsia="Arial" w:hAnsi="Arial"/>
          <w:sz w:val="17"/>
          <w:szCs w:val="17"/>
          <w:b w:val="1"/>
          <w:bCs w:val="1"/>
          <w:u w:val="single" w:color="auto"/>
          <w:color w:val="auto"/>
        </w:rPr>
        <w:t>Tax</w:t>
      </w:r>
      <w:r>
        <w:rPr>
          <w:rFonts w:ascii="Arial" w:cs="Arial" w:eastAsia="Arial" w:hAnsi="Arial"/>
          <w:sz w:val="17"/>
          <w:szCs w:val="17"/>
          <w:color w:val="auto"/>
        </w:rPr>
        <w:t>. The Services Fees are exclusive of all Tax. University will pay and be liable for any and all Tax imposed on, sustained,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incurred, levied and measured by the cost, value or price of Services provided by Provider under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that in no event shall University be liable for any Taxes that are imposed on or calculated by reference to the net income received or receivable by Provider. All such Tax for which University is liable will, as applicable, be invoiced to and payable by University to Provider in accordance with Section 5.1 (Services Fees; Payment Terms) or as otherwise mutually agreed in writing by the Parties and under the terms of the Applicable Law which governs the relevant Tax. Notwithstanding anything to the contrary contained in this Agreement, in the event that any applicable Tax authority imposes a transaction privilege, sales or similarly denominated Tax on the Services, the responsibility for such Tax shall be borne equally by Parties.</w:t>
      </w:r>
    </w:p>
    <w:p>
      <w:pPr>
        <w:spacing w:after="0" w:line="172" w:lineRule="exact"/>
        <w:rPr>
          <w:sz w:val="20"/>
          <w:szCs w:val="20"/>
          <w:color w:val="auto"/>
        </w:rPr>
      </w:pPr>
    </w:p>
    <w:p>
      <w:pPr>
        <w:ind w:right="280" w:firstLine="1297"/>
        <w:spacing w:after="0" w:line="281" w:lineRule="auto"/>
        <w:rPr>
          <w:sz w:val="20"/>
          <w:szCs w:val="20"/>
          <w:color w:val="auto"/>
        </w:rPr>
      </w:pPr>
      <w:r>
        <w:rPr>
          <w:rFonts w:ascii="Arial" w:cs="Arial" w:eastAsia="Arial" w:hAnsi="Arial"/>
          <w:sz w:val="17"/>
          <w:szCs w:val="17"/>
          <w:b w:val="1"/>
          <w:bCs w:val="1"/>
          <w:color w:val="auto"/>
        </w:rPr>
        <w:t xml:space="preserve">7.2 </w:t>
      </w:r>
      <w:r>
        <w:rPr>
          <w:rFonts w:ascii="Arial" w:cs="Arial" w:eastAsia="Arial" w:hAnsi="Arial"/>
          <w:sz w:val="17"/>
          <w:szCs w:val="17"/>
          <w:b w:val="1"/>
          <w:bCs w:val="1"/>
          <w:u w:val="single" w:color="auto"/>
          <w:color w:val="auto"/>
        </w:rPr>
        <w:t>Tax Withholding</w:t>
      </w:r>
      <w:r>
        <w:rPr>
          <w:rFonts w:ascii="Arial" w:cs="Arial" w:eastAsia="Arial" w:hAnsi="Arial"/>
          <w:sz w:val="17"/>
          <w:szCs w:val="17"/>
          <w:color w:val="auto"/>
        </w:rPr>
        <w:t>. University shall (a) make all payments of Services Fees to be made by it to Provider hereunder without any</w:t>
      </w:r>
      <w:r>
        <w:rPr>
          <w:rFonts w:ascii="Arial" w:cs="Arial" w:eastAsia="Arial" w:hAnsi="Arial"/>
          <w:sz w:val="17"/>
          <w:szCs w:val="17"/>
          <w:b w:val="1"/>
          <w:bCs w:val="1"/>
          <w:color w:val="auto"/>
        </w:rPr>
        <w:t xml:space="preserve"> </w:t>
      </w:r>
      <w:r>
        <w:rPr>
          <w:rFonts w:ascii="Arial" w:cs="Arial" w:eastAsia="Arial" w:hAnsi="Arial"/>
          <w:sz w:val="17"/>
          <w:szCs w:val="17"/>
          <w:color w:val="auto"/>
        </w:rPr>
        <w:t>Tax withholding, unless a Tax withholding is required by Applicable Law and (b) promptly upon becoming aware that University must make a Tax withholding (or that there is any change in that rate or the basis of a Tax withholding) notify Provider in writing accordingly. Provider shall co-operate in completing any procedural formalities necessary for University to obtain authorization to make payment without a Tax withholding.</w:t>
      </w:r>
    </w:p>
    <w:p>
      <w:pPr>
        <w:spacing w:after="0" w:line="165" w:lineRule="exact"/>
        <w:rPr>
          <w:sz w:val="20"/>
          <w:szCs w:val="20"/>
          <w:color w:val="auto"/>
        </w:rPr>
      </w:pPr>
    </w:p>
    <w:p>
      <w:pPr>
        <w:ind w:right="120" w:firstLine="1297"/>
        <w:spacing w:after="0" w:line="258" w:lineRule="auto"/>
        <w:rPr>
          <w:sz w:val="20"/>
          <w:szCs w:val="20"/>
          <w:color w:val="auto"/>
        </w:rPr>
      </w:pPr>
      <w:r>
        <w:rPr>
          <w:rFonts w:ascii="Arial" w:cs="Arial" w:eastAsia="Arial" w:hAnsi="Arial"/>
          <w:sz w:val="18"/>
          <w:szCs w:val="18"/>
          <w:b w:val="1"/>
          <w:bCs w:val="1"/>
          <w:color w:val="auto"/>
        </w:rPr>
        <w:t xml:space="preserve">7.3 </w:t>
      </w:r>
      <w:r>
        <w:rPr>
          <w:rFonts w:ascii="Arial" w:cs="Arial" w:eastAsia="Arial" w:hAnsi="Arial"/>
          <w:sz w:val="18"/>
          <w:szCs w:val="18"/>
          <w:b w:val="1"/>
          <w:bCs w:val="1"/>
          <w:u w:val="single" w:color="auto"/>
          <w:color w:val="auto"/>
        </w:rPr>
        <w:t>Tax Indemnity</w:t>
      </w:r>
      <w:r>
        <w:rPr>
          <w:rFonts w:ascii="Arial" w:cs="Arial" w:eastAsia="Arial" w:hAnsi="Arial"/>
          <w:sz w:val="18"/>
          <w:szCs w:val="18"/>
          <w:color w:val="auto"/>
        </w:rPr>
        <w:t>. Notwithstanding anything herein to the contrary, University shall pay to Provider an amount equal to the loss,</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liability or cost that Provider reasonably determines will be or has been (directly or indirectly) suffered for or on account of Tax on Provider in respect of the Agreement. This Section 7.3 (Tax Indemnity) shall not apply with respect to any Tax for which University is not responsible under Section 7.1 (Tax) or any other Tax assessed on Provider under the law of any jurisdiction in which Provider is incorporated or operates, if that Tax is imposed on or calculated by reference to the net income received or receivable by Provider.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6" w:name="page27"/>
    <w:bookmarkEnd w:id="26"/>
    <w:p>
      <w:pPr>
        <w:ind w:left="1380" w:hanging="724"/>
        <w:spacing w:after="0"/>
        <w:tabs>
          <w:tab w:leader="none" w:pos="138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Indemnification for Third Party Claims</w:t>
      </w:r>
      <w:r>
        <w:rPr>
          <w:rFonts w:ascii="Arial" w:cs="Arial" w:eastAsia="Arial" w:hAnsi="Arial"/>
          <w:sz w:val="18"/>
          <w:szCs w:val="18"/>
          <w:color w:val="auto"/>
        </w:rPr>
        <w:t>.</w:t>
      </w:r>
    </w:p>
    <w:p>
      <w:pPr>
        <w:spacing w:after="0" w:line="225" w:lineRule="exact"/>
        <w:rPr>
          <w:sz w:val="20"/>
          <w:szCs w:val="20"/>
          <w:color w:val="auto"/>
        </w:rPr>
      </w:pPr>
    </w:p>
    <w:p>
      <w:pPr>
        <w:ind w:firstLine="1297"/>
        <w:spacing w:after="0" w:line="269" w:lineRule="auto"/>
        <w:rPr>
          <w:sz w:val="20"/>
          <w:szCs w:val="20"/>
          <w:color w:val="auto"/>
        </w:rPr>
      </w:pPr>
      <w:r>
        <w:rPr>
          <w:rFonts w:ascii="Arial" w:cs="Arial" w:eastAsia="Arial" w:hAnsi="Arial"/>
          <w:sz w:val="17"/>
          <w:szCs w:val="17"/>
          <w:b w:val="1"/>
          <w:bCs w:val="1"/>
          <w:color w:val="auto"/>
        </w:rPr>
        <w:t xml:space="preserve">8.1 </w:t>
      </w:r>
      <w:r>
        <w:rPr>
          <w:rFonts w:ascii="Arial" w:cs="Arial" w:eastAsia="Arial" w:hAnsi="Arial"/>
          <w:sz w:val="17"/>
          <w:szCs w:val="17"/>
          <w:b w:val="1"/>
          <w:bCs w:val="1"/>
          <w:u w:val="single" w:color="auto"/>
          <w:color w:val="auto"/>
        </w:rPr>
        <w:t>Indemnification of University</w:t>
      </w:r>
      <w:r>
        <w:rPr>
          <w:rFonts w:ascii="Arial" w:cs="Arial" w:eastAsia="Arial" w:hAnsi="Arial"/>
          <w:sz w:val="17"/>
          <w:szCs w:val="17"/>
          <w:color w:val="auto"/>
        </w:rPr>
        <w:t>. Subject to the limitations set forth in Section 11 (Limitation of Liability) below, Provider hereby</w:t>
      </w:r>
      <w:r>
        <w:rPr>
          <w:rFonts w:ascii="Arial" w:cs="Arial" w:eastAsia="Arial" w:hAnsi="Arial"/>
          <w:sz w:val="17"/>
          <w:szCs w:val="17"/>
          <w:b w:val="1"/>
          <w:bCs w:val="1"/>
          <w:color w:val="auto"/>
        </w:rPr>
        <w:t xml:space="preserve"> </w:t>
      </w:r>
      <w:r>
        <w:rPr>
          <w:rFonts w:ascii="Arial" w:cs="Arial" w:eastAsia="Arial" w:hAnsi="Arial"/>
          <w:sz w:val="17"/>
          <w:szCs w:val="17"/>
          <w:color w:val="auto"/>
        </w:rPr>
        <w:t>agrees to (a) defend University and its trustees, officers, employees, agents, successors, and assigns (collectively, the “</w:t>
      </w:r>
      <w:r>
        <w:rPr>
          <w:rFonts w:ascii="Arial" w:cs="Arial" w:eastAsia="Arial" w:hAnsi="Arial"/>
          <w:sz w:val="17"/>
          <w:szCs w:val="17"/>
          <w:b w:val="1"/>
          <w:bCs w:val="1"/>
          <w:i w:val="1"/>
          <w:iCs w:val="1"/>
          <w:color w:val="auto"/>
        </w:rPr>
        <w:t>University Indemnitees</w:t>
      </w:r>
      <w:r>
        <w:rPr>
          <w:rFonts w:ascii="Arial" w:cs="Arial" w:eastAsia="Arial" w:hAnsi="Arial"/>
          <w:sz w:val="17"/>
          <w:szCs w:val="17"/>
          <w:color w:val="auto"/>
        </w:rPr>
        <w:t>”), from and against all demands, suits, claims, actions, or causes of action (each, a “</w:t>
      </w:r>
      <w:r>
        <w:rPr>
          <w:rFonts w:ascii="Arial" w:cs="Arial" w:eastAsia="Arial" w:hAnsi="Arial"/>
          <w:sz w:val="17"/>
          <w:szCs w:val="17"/>
          <w:b w:val="1"/>
          <w:bCs w:val="1"/>
          <w:i w:val="1"/>
          <w:iCs w:val="1"/>
          <w:color w:val="auto"/>
        </w:rPr>
        <w:t>Claim</w:t>
      </w:r>
      <w:r>
        <w:rPr>
          <w:rFonts w:ascii="Arial" w:cs="Arial" w:eastAsia="Arial" w:hAnsi="Arial"/>
          <w:sz w:val="17"/>
          <w:szCs w:val="17"/>
          <w:color w:val="auto"/>
        </w:rPr>
        <w:t>”) asserted or brought by any third party against any of the University Indemnitees, and (b) indemnify and hold the University Indemnitees harmless from any assessments, losses, damages, costs and expenses (including, interest, penalties, and reasonable attorneys’ fees), of any nature, and in all cases awarded in a final judgment, order or regulatory action to the third party bringing the applicable Claim or any settlement amount paid to the third party bringing the applicable Claim in order to settle such Claim; provided that, in each case, such Claim arises directly from any act or omission of any Provider Indemnitee, including any violation of any Applicable Law by Provider, in connection with its performance under this Agreement; provided further, that Provider shall have no obligation to defend, indemnify or hold University Indemnitees harmless from any such assessments, losses, damages, costs and expenses to the extent arising from actions taken by Provider at University’s request or otherwise in respect of any communications with prospective or existing students made by Provider following scripts, or using advertising or web materials, approved by University, as provided in Section 3.7.6 (Marketing Laws and Regulations; No Misrepresentation), so long as Provider was not negligent, grossly negligent or reckless in taking such actions.</w:t>
      </w:r>
    </w:p>
    <w:p>
      <w:pPr>
        <w:spacing w:after="0" w:line="180" w:lineRule="exact"/>
        <w:rPr>
          <w:sz w:val="20"/>
          <w:szCs w:val="20"/>
          <w:color w:val="auto"/>
        </w:rPr>
      </w:pPr>
    </w:p>
    <w:p>
      <w:pPr>
        <w:ind w:right="60" w:firstLine="1297"/>
        <w:spacing w:after="0" w:line="272" w:lineRule="auto"/>
        <w:rPr>
          <w:sz w:val="20"/>
          <w:szCs w:val="20"/>
          <w:color w:val="auto"/>
        </w:rPr>
      </w:pPr>
      <w:r>
        <w:rPr>
          <w:rFonts w:ascii="Arial" w:cs="Arial" w:eastAsia="Arial" w:hAnsi="Arial"/>
          <w:sz w:val="17"/>
          <w:szCs w:val="17"/>
          <w:b w:val="1"/>
          <w:bCs w:val="1"/>
          <w:color w:val="auto"/>
        </w:rPr>
        <w:t xml:space="preserve">8.2 </w:t>
      </w:r>
      <w:r>
        <w:rPr>
          <w:rFonts w:ascii="Arial" w:cs="Arial" w:eastAsia="Arial" w:hAnsi="Arial"/>
          <w:sz w:val="17"/>
          <w:szCs w:val="17"/>
          <w:b w:val="1"/>
          <w:bCs w:val="1"/>
          <w:u w:val="single" w:color="auto"/>
          <w:color w:val="auto"/>
        </w:rPr>
        <w:t>Indemnification of Provider</w:t>
      </w:r>
      <w:r>
        <w:rPr>
          <w:rFonts w:ascii="Arial" w:cs="Arial" w:eastAsia="Arial" w:hAnsi="Arial"/>
          <w:sz w:val="17"/>
          <w:szCs w:val="17"/>
          <w:color w:val="auto"/>
        </w:rPr>
        <w:t>. University hereby agrees to (a) defend Provider and its directors, officers, stockholders,</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employees, agents, successors, and assigns, (collectively, the “</w:t>
      </w:r>
      <w:r>
        <w:rPr>
          <w:rFonts w:ascii="Arial" w:cs="Arial" w:eastAsia="Arial" w:hAnsi="Arial"/>
          <w:sz w:val="17"/>
          <w:szCs w:val="17"/>
          <w:b w:val="1"/>
          <w:bCs w:val="1"/>
          <w:i w:val="1"/>
          <w:iCs w:val="1"/>
          <w:color w:val="auto"/>
        </w:rPr>
        <w:t>Provider Indemnitees</w:t>
      </w:r>
      <w:r>
        <w:rPr>
          <w:rFonts w:ascii="Arial" w:cs="Arial" w:eastAsia="Arial" w:hAnsi="Arial"/>
          <w:sz w:val="17"/>
          <w:szCs w:val="17"/>
          <w:color w:val="auto"/>
        </w:rPr>
        <w:t>”), from and against all Claims asserted or brought by any third party against any of the Provider Indemnitees, and (b) indemnify and hold the Provider Indemnitees harmless from any assessments, losses, damages, costs and expenses (including, interest, penalties, and reasonable attorneys’ fees), of any nature, and in all cases awarded in a final judgment, order or regulatory action to the third party bringing the applicable Claim or any settlement amount paid to the third party bringing the applicable Claim in order to settle such Claim; provided that, in each case, such Claim arises directly from any act or omission of any University Indemnitee including any violation of any Applicable Law by University, including, without limitation, in respect of the provision to Provider of scripts, or advertising or web materials, for use by Provider as contemplated by Section 3.7.6 (Marketing Laws and Regulations; No Misrepresentation).</w:t>
      </w:r>
    </w:p>
    <w:p>
      <w:pPr>
        <w:spacing w:after="0" w:line="172" w:lineRule="exact"/>
        <w:rPr>
          <w:sz w:val="20"/>
          <w:szCs w:val="20"/>
          <w:color w:val="auto"/>
        </w:rPr>
      </w:pPr>
    </w:p>
    <w:p>
      <w:pPr>
        <w:ind w:firstLine="1297"/>
        <w:spacing w:after="0" w:line="273" w:lineRule="auto"/>
        <w:rPr>
          <w:sz w:val="20"/>
          <w:szCs w:val="20"/>
          <w:color w:val="auto"/>
        </w:rPr>
      </w:pPr>
      <w:r>
        <w:rPr>
          <w:rFonts w:ascii="Arial" w:cs="Arial" w:eastAsia="Arial" w:hAnsi="Arial"/>
          <w:sz w:val="17"/>
          <w:szCs w:val="17"/>
          <w:b w:val="1"/>
          <w:bCs w:val="1"/>
          <w:color w:val="auto"/>
        </w:rPr>
        <w:t xml:space="preserve">8.3 </w:t>
      </w:r>
      <w:r>
        <w:rPr>
          <w:rFonts w:ascii="Arial" w:cs="Arial" w:eastAsia="Arial" w:hAnsi="Arial"/>
          <w:sz w:val="17"/>
          <w:szCs w:val="17"/>
          <w:b w:val="1"/>
          <w:bCs w:val="1"/>
          <w:u w:val="single" w:color="auto"/>
          <w:color w:val="auto"/>
        </w:rPr>
        <w:t>Conditions</w:t>
      </w:r>
      <w:r>
        <w:rPr>
          <w:rFonts w:ascii="Arial" w:cs="Arial" w:eastAsia="Arial" w:hAnsi="Arial"/>
          <w:sz w:val="17"/>
          <w:szCs w:val="17"/>
          <w:color w:val="auto"/>
        </w:rPr>
        <w:t>. The indemnifying Party’s obligations under this Section 8 (Indemnification for Third Party Claims)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conditioned upon and subject to the indemnified parties (i.e., the Provider Indemnitees or the University Indemnitees, as the case may be): (a) notifying the indemnifying Party promptly in writing of any Claim of which an indemnified party becomes aware, provided, that the failure to provide such notice shall not relieve the indemnifying Party from its obligations hereunder, except to the extent of any material prejudice to the indemnifying Party as a direct result of such failure; (b) offering the indemnifying Party sole authority to control fully, at the indemnifying Party’s expense with counsel of its choice, the defense and settlement of any Claim; provided, that any Claim of a regulatory nature or involving any Educational Agency shall be under the mutual control of University and Provider and subject to Section 15 (Duty to Cooperate) of this Agreement, it being understood that the primary</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7" w:name="page28"/>
    <w:bookmarkEnd w:id="27"/>
    <w:p>
      <w:pPr>
        <w:spacing w:after="0" w:line="268" w:lineRule="auto"/>
        <w:rPr>
          <w:sz w:val="20"/>
          <w:szCs w:val="20"/>
          <w:color w:val="auto"/>
        </w:rPr>
      </w:pPr>
      <w:r>
        <w:rPr>
          <w:rFonts w:ascii="Arial" w:cs="Arial" w:eastAsia="Arial" w:hAnsi="Arial"/>
          <w:sz w:val="17"/>
          <w:szCs w:val="17"/>
          <w:color w:val="auto"/>
        </w:rPr>
        <w:t>communications with the Educational Agency shall be through University (although Provider may be present at or participate in such discussions in its discretion and University will provide reasonable prior written notice to Provider of such discussions); (c) having the right, at the indemnified parties’ cost and expense, to participate in the defense of such Claim using legal counsel of its or their own choosing, provided, that such participation shall not reduce or impact the indemnifying Party’s control of the defense and settlement as provided herein; and (d) furnishing all reasonable cooperation and assistance requested by the indemnifying Party in accordance with Section 15 (Duty to Cooperate) below. Notwithstanding anything to the contrary contained in this Section 8 (Indemnification for Third Party Claims), if, within fifteen (15) days following receipt by the indemnifying Party of notice of a Claim pursuant to subpart (a) of the preceding sentence, the indemnifying Party fails to provide written notice to the indemnified parties of the indemnifying Party’s intention to assume the defense of such Claim, then each indemnified party shall have the right to assume the sole control of the defense of such Claim by counsel of its choice, in which event if the Claim is in fact a Claim for which the indemnifying Party was obligated to defend, indemnify and hold harmless the indemnified parties, the indemnifying Party shall indemnify any such indemnified party for all reasonable attorneys’ fees and costs incurred by such indemnified party in connection with such defense and such reimbursement of attorneys’ fees shall be in addition to the indemnification for other amounts sought hereunder in connection with such Claim. For the avoidance of doubt, neither Party may settle a Claim without the prior written consent of the other Party, such consent not to be unreasonably withheld, delayed or conditioned.</w:t>
      </w:r>
    </w:p>
    <w:p>
      <w:pPr>
        <w:spacing w:after="0" w:line="184" w:lineRule="exact"/>
        <w:rPr>
          <w:sz w:val="20"/>
          <w:szCs w:val="20"/>
          <w:color w:val="auto"/>
        </w:rPr>
      </w:pPr>
    </w:p>
    <w:p>
      <w:pPr>
        <w:ind w:left="1380" w:hanging="724"/>
        <w:spacing w:after="0"/>
        <w:tabs>
          <w:tab w:leader="none" w:pos="1380" w:val="left"/>
        </w:tabs>
        <w:numPr>
          <w:ilvl w:val="0"/>
          <w:numId w:val="1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Confidentiality</w:t>
      </w:r>
      <w:r>
        <w:rPr>
          <w:rFonts w:ascii="Arial" w:cs="Arial" w:eastAsia="Arial" w:hAnsi="Arial"/>
          <w:sz w:val="17"/>
          <w:szCs w:val="17"/>
          <w:color w:val="auto"/>
        </w:rPr>
        <w:t>. Each Party acknowledges that Confidential Information may be disclosed to the other Party in connection with this</w:t>
      </w:r>
    </w:p>
    <w:p>
      <w:pPr>
        <w:spacing w:after="0" w:line="38"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Agreement.</w:t>
      </w:r>
    </w:p>
    <w:p>
      <w:pPr>
        <w:spacing w:after="0" w:line="207"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6"/>
          <w:szCs w:val="16"/>
          <w:b w:val="1"/>
          <w:bCs w:val="1"/>
          <w:u w:val="single" w:color="auto"/>
          <w:color w:val="auto"/>
        </w:rPr>
        <w:t>Definition</w:t>
      </w:r>
      <w:r>
        <w:rPr>
          <w:rFonts w:ascii="Arial" w:cs="Arial" w:eastAsia="Arial" w:hAnsi="Arial"/>
          <w:sz w:val="16"/>
          <w:szCs w:val="16"/>
          <w:color w:val="auto"/>
        </w:rPr>
        <w:t>. “</w:t>
      </w:r>
      <w:r>
        <w:rPr>
          <w:rFonts w:ascii="Arial" w:cs="Arial" w:eastAsia="Arial" w:hAnsi="Arial"/>
          <w:sz w:val="16"/>
          <w:szCs w:val="16"/>
          <w:b w:val="1"/>
          <w:bCs w:val="1"/>
          <w:i w:val="1"/>
          <w:iCs w:val="1"/>
          <w:color w:val="auto"/>
        </w:rPr>
        <w:t>Confidential Information</w:t>
      </w:r>
      <w:r>
        <w:rPr>
          <w:rFonts w:ascii="Arial" w:cs="Arial" w:eastAsia="Arial" w:hAnsi="Arial"/>
          <w:sz w:val="16"/>
          <w:szCs w:val="16"/>
          <w:color w:val="auto"/>
        </w:rPr>
        <w:t>” shall mean, with respect to each Party (a) any non-public, proprietary</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information, Intellectual Property and other confidential information, including, but not limited to, any technical and non-technical information regarding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current, future and proposed business operations, products and services, including for example and without limitation, information concerning research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development, financial information, procurement requirements, student and customer information and lists, business forecasts, sales information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marketing plans, descriptions, specifications and the like of a Disclosing Party, and (b) any information Disclosing Party has received from a third party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which the Disclosing Party is obligated to treat as confidential or proprietary, in each case that is provided or communicated by the Disclosing Party to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Receiving Party in connection with this Agreement after the Effective Date, including pursuant to Section 15 (Duty to Cooperate).</w:t>
      </w:r>
    </w:p>
    <w:p>
      <w:pPr>
        <w:spacing w:after="0" w:line="207" w:lineRule="exact"/>
        <w:rPr>
          <w:sz w:val="20"/>
          <w:szCs w:val="20"/>
          <w:color w:val="auto"/>
        </w:rPr>
      </w:pPr>
    </w:p>
    <w:p>
      <w:pPr>
        <w:ind w:firstLine="1297"/>
        <w:spacing w:after="0" w:line="286" w:lineRule="auto"/>
        <w:rPr>
          <w:sz w:val="20"/>
          <w:szCs w:val="20"/>
          <w:color w:val="auto"/>
        </w:rPr>
      </w:pPr>
      <w:r>
        <w:rPr>
          <w:rFonts w:ascii="Arial" w:cs="Arial" w:eastAsia="Arial" w:hAnsi="Arial"/>
          <w:sz w:val="16"/>
          <w:szCs w:val="16"/>
          <w:b w:val="1"/>
          <w:bCs w:val="1"/>
          <w:color w:val="auto"/>
        </w:rPr>
        <w:t xml:space="preserve">9.2 </w:t>
      </w:r>
      <w:r>
        <w:rPr>
          <w:rFonts w:ascii="Arial" w:cs="Arial" w:eastAsia="Arial" w:hAnsi="Arial"/>
          <w:sz w:val="16"/>
          <w:szCs w:val="16"/>
          <w:b w:val="1"/>
          <w:bCs w:val="1"/>
          <w:u w:val="single" w:color="auto"/>
          <w:color w:val="auto"/>
        </w:rPr>
        <w:t>Obligations</w:t>
      </w:r>
      <w:r>
        <w:rPr>
          <w:rFonts w:ascii="Arial" w:cs="Arial" w:eastAsia="Arial" w:hAnsi="Arial"/>
          <w:sz w:val="16"/>
          <w:szCs w:val="16"/>
          <w:color w:val="auto"/>
        </w:rPr>
        <w:t>. Each Party (in such capacity, the “</w:t>
      </w:r>
      <w:r>
        <w:rPr>
          <w:rFonts w:ascii="Arial" w:cs="Arial" w:eastAsia="Arial" w:hAnsi="Arial"/>
          <w:sz w:val="16"/>
          <w:szCs w:val="16"/>
          <w:b w:val="1"/>
          <w:bCs w:val="1"/>
          <w:i w:val="1"/>
          <w:iCs w:val="1"/>
          <w:color w:val="auto"/>
        </w:rPr>
        <w:t>Receiving Party</w:t>
      </w:r>
      <w:r>
        <w:rPr>
          <w:rFonts w:ascii="Arial" w:cs="Arial" w:eastAsia="Arial" w:hAnsi="Arial"/>
          <w:sz w:val="16"/>
          <w:szCs w:val="16"/>
          <w:color w:val="auto"/>
        </w:rPr>
        <w:t>”) acknowledges and agrees to (a) use with respect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Confidential Information of the other Party (in such capacity, the “</w:t>
      </w:r>
      <w:r>
        <w:rPr>
          <w:rFonts w:ascii="Arial" w:cs="Arial" w:eastAsia="Arial" w:hAnsi="Arial"/>
          <w:sz w:val="16"/>
          <w:szCs w:val="16"/>
          <w:b w:val="1"/>
          <w:bCs w:val="1"/>
          <w:i w:val="1"/>
          <w:iCs w:val="1"/>
          <w:color w:val="auto"/>
        </w:rPr>
        <w:t>Disclosing Party</w:t>
      </w:r>
      <w:r>
        <w:rPr>
          <w:rFonts w:ascii="Arial" w:cs="Arial" w:eastAsia="Arial" w:hAnsi="Arial"/>
          <w:sz w:val="16"/>
          <w:szCs w:val="16"/>
          <w:color w:val="auto"/>
        </w:rPr>
        <w:t>”) the same care and discretion to prevent such Confidential Information from being disclosed, published or disseminated as it employs to avoid disclosure, publication or dissemination of its own similar Confidential Information (but in no event less than reasonable care), (b) use the Disclosing Party’s Confidential Information only for the purpose for which it was disclosed, and (c) not disclose, disseminate or provide access to the Disclosing Party’s Confidential Information to any Person other than to those employees and agents who</w:t>
      </w:r>
    </w:p>
    <w:p>
      <w:pPr>
        <w:spacing w:after="0" w:line="2" w:lineRule="exact"/>
        <w:rPr>
          <w:sz w:val="20"/>
          <w:szCs w:val="20"/>
          <w:color w:val="auto"/>
        </w:rPr>
      </w:pPr>
    </w:p>
    <w:p>
      <w:pPr>
        <w:ind w:right="400" w:firstLine="8"/>
        <w:spacing w:after="0" w:line="261" w:lineRule="auto"/>
        <w:tabs>
          <w:tab w:leader="none" w:pos="2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have a need to know it in order to assist the Receiving Party in performing its obligations under, or to permit the Receiving Party to exercise its rights under, this Agreement,</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8" w:name="page29"/>
    <w:bookmarkEnd w:id="28"/>
    <w:p>
      <w:pPr>
        <w:spacing w:after="0" w:line="273" w:lineRule="auto"/>
        <w:rPr>
          <w:sz w:val="20"/>
          <w:szCs w:val="20"/>
          <w:color w:val="auto"/>
        </w:rPr>
      </w:pPr>
      <w:r>
        <w:rPr>
          <w:rFonts w:ascii="Arial" w:cs="Arial" w:eastAsia="Arial" w:hAnsi="Arial"/>
          <w:sz w:val="17"/>
          <w:szCs w:val="17"/>
          <w:color w:val="auto"/>
        </w:rPr>
        <w:t>and (ii) are legally bound by the same obligations regarding Confidential Information as the Parties are subjected to in this Section 9 (Confidentiality). Furthermore, neither Provider nor University will: (A) acquire any right in or assert any lien against the Confidential Information of the other Party, other than as provided in this Agreement; or (B) sell, assign, lease or otherwise dispose of Confidential Information of the other to third parties (except in connection with a sale of all or substantially all of such Party’s assets to which this Agreement relates) or commercially exploit such Confidential Information, other than as permitted in this Agreement. In addition, the Parties shall take reasonable steps by agreement or otherwise so that their Affiliates, employees, subcontractors and consultants comply with these confidentiality provisions.</w:t>
      </w:r>
    </w:p>
    <w:p>
      <w:pPr>
        <w:spacing w:after="0" w:line="174" w:lineRule="exact"/>
        <w:rPr>
          <w:sz w:val="20"/>
          <w:szCs w:val="20"/>
          <w:color w:val="auto"/>
        </w:rPr>
      </w:pPr>
    </w:p>
    <w:p>
      <w:pPr>
        <w:ind w:right="100" w:firstLine="1297"/>
        <w:spacing w:after="0" w:line="287" w:lineRule="auto"/>
        <w:rPr>
          <w:sz w:val="20"/>
          <w:szCs w:val="20"/>
          <w:color w:val="auto"/>
        </w:rPr>
      </w:pPr>
      <w:r>
        <w:rPr>
          <w:rFonts w:ascii="Arial" w:cs="Arial" w:eastAsia="Arial" w:hAnsi="Arial"/>
          <w:sz w:val="16"/>
          <w:szCs w:val="16"/>
          <w:b w:val="1"/>
          <w:bCs w:val="1"/>
          <w:color w:val="auto"/>
        </w:rPr>
        <w:t xml:space="preserve">9.3 </w:t>
      </w:r>
      <w:r>
        <w:rPr>
          <w:rFonts w:ascii="Arial" w:cs="Arial" w:eastAsia="Arial" w:hAnsi="Arial"/>
          <w:sz w:val="16"/>
          <w:szCs w:val="16"/>
          <w:b w:val="1"/>
          <w:bCs w:val="1"/>
          <w:u w:val="single" w:color="auto"/>
          <w:color w:val="auto"/>
        </w:rPr>
        <w:t>Permitted Disclosures</w:t>
      </w:r>
      <w:r>
        <w:rPr>
          <w:rFonts w:ascii="Arial" w:cs="Arial" w:eastAsia="Arial" w:hAnsi="Arial"/>
          <w:sz w:val="16"/>
          <w:szCs w:val="16"/>
          <w:color w:val="auto"/>
        </w:rPr>
        <w:t>. Notwithstanding the foregoing, the Receiving Party may disclose the Confidential Information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Disclosing Party (a) to a third party subcontractor who is involved in providing Services under this Agreement or a third party who is contemplating entering into a transaction with Provider pertaining to a financing event or a sale of all or any portion of its business, provided that: (i) such disclosure is reasonably necessary for the third party to perform its duties or evaluate the potential transaction; (ii) the Receiving Party causes the third party to be bound to the same obligations regarding Confidential Information as the Parties are subjected to in this Section 9 (Confidentiality); and (iii) the Receiving Party assumes full responsibility for the acts or omissions of such third parties, no less than if the acts or omissions were those of the Receiving Party; (b) to the extent required under the terms of any credit agreement, indenture or related agreement entered into by the Receiving Party or one of its Affiliates; (c) to an Affiliate, provided that: (i) such Affiliate is bound to the same obligations regarding Confidential Information as the Parties are subjected to in this Section 9 (Confidentiality); and (ii) Receiving Party shall only disclose such Confidential Information to those directors, trustees, officers, employees and agents of such Affiliate who have a need to know it in order to assist the Receiving Party in performing its obligations hereunder, or to permit the Receiving Party to exercise its rights under this Agreement; (d) as required pursuant to any Applicable Law; provided, that the Receiving Party shall advise the Disclosing Party of such required disclosure promptly upon learning thereof in order to afford the Disclosing Party a reasonable opportunity to contest, limit and/or assist the Receiving Party in crafting such disclosure; or (e) to an Educational Agency when requested by such Educational Agency.</w:t>
      </w:r>
    </w:p>
    <w:p>
      <w:pPr>
        <w:spacing w:after="0" w:line="16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9.4</w:t>
      </w:r>
      <w:r>
        <w:rPr>
          <w:sz w:val="20"/>
          <w:szCs w:val="20"/>
          <w:color w:val="auto"/>
        </w:rPr>
        <w:tab/>
      </w:r>
      <w:r>
        <w:rPr>
          <w:rFonts w:ascii="Arial" w:cs="Arial" w:eastAsia="Arial" w:hAnsi="Arial"/>
          <w:sz w:val="16"/>
          <w:szCs w:val="16"/>
          <w:b w:val="1"/>
          <w:bCs w:val="1"/>
          <w:u w:val="single" w:color="auto"/>
          <w:color w:val="auto"/>
        </w:rPr>
        <w:t>Exclusions</w:t>
      </w:r>
      <w:r>
        <w:rPr>
          <w:rFonts w:ascii="Arial" w:cs="Arial" w:eastAsia="Arial" w:hAnsi="Arial"/>
          <w:sz w:val="16"/>
          <w:szCs w:val="16"/>
          <w:color w:val="auto"/>
        </w:rPr>
        <w:t>. Notwithstanding anything to the contrary in the foregoing, Confidential Information does not include, and this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Section 9 (Confidentiality) will not apply to, any information that the Receiving Party can demonstrate was:</w:t>
      </w:r>
    </w:p>
    <w:p>
      <w:pPr>
        <w:spacing w:after="0" w:line="207" w:lineRule="exact"/>
        <w:rPr>
          <w:sz w:val="20"/>
          <w:szCs w:val="20"/>
          <w:color w:val="auto"/>
        </w:rPr>
      </w:pPr>
    </w:p>
    <w:p>
      <w:pPr>
        <w:ind w:left="1960"/>
        <w:spacing w:after="0"/>
        <w:tabs>
          <w:tab w:leader="none" w:pos="2600" w:val="left"/>
        </w:tabs>
        <w:rPr>
          <w:sz w:val="20"/>
          <w:szCs w:val="20"/>
          <w:color w:val="auto"/>
        </w:rPr>
      </w:pPr>
      <w:r>
        <w:rPr>
          <w:rFonts w:ascii="Arial" w:cs="Arial" w:eastAsia="Arial" w:hAnsi="Arial"/>
          <w:sz w:val="18"/>
          <w:szCs w:val="18"/>
          <w:b w:val="1"/>
          <w:bCs w:val="1"/>
          <w:color w:val="auto"/>
        </w:rPr>
        <w:t>9.4.1</w:t>
      </w:r>
      <w:r>
        <w:rPr>
          <w:sz w:val="20"/>
          <w:szCs w:val="20"/>
          <w:color w:val="auto"/>
        </w:rPr>
        <w:tab/>
      </w:r>
      <w:r>
        <w:rPr>
          <w:rFonts w:ascii="Arial" w:cs="Arial" w:eastAsia="Arial" w:hAnsi="Arial"/>
          <w:sz w:val="16"/>
          <w:szCs w:val="16"/>
          <w:color w:val="auto"/>
        </w:rPr>
        <w:t>at the time of disclosure of such information to the Receiving Party, in the public domain;</w:t>
      </w:r>
    </w:p>
    <w:p>
      <w:pPr>
        <w:spacing w:after="0" w:line="225" w:lineRule="exact"/>
        <w:rPr>
          <w:sz w:val="20"/>
          <w:szCs w:val="20"/>
          <w:color w:val="auto"/>
        </w:rPr>
      </w:pPr>
    </w:p>
    <w:p>
      <w:pPr>
        <w:ind w:left="1960"/>
        <w:spacing w:after="0"/>
        <w:tabs>
          <w:tab w:leader="none" w:pos="2600" w:val="left"/>
        </w:tabs>
        <w:rPr>
          <w:sz w:val="20"/>
          <w:szCs w:val="20"/>
          <w:color w:val="auto"/>
        </w:rPr>
      </w:pPr>
      <w:r>
        <w:rPr>
          <w:rFonts w:ascii="Arial" w:cs="Arial" w:eastAsia="Arial" w:hAnsi="Arial"/>
          <w:sz w:val="18"/>
          <w:szCs w:val="18"/>
          <w:b w:val="1"/>
          <w:bCs w:val="1"/>
          <w:color w:val="auto"/>
        </w:rPr>
        <w:t>9.4.2</w:t>
      </w:r>
      <w:r>
        <w:rPr>
          <w:sz w:val="20"/>
          <w:szCs w:val="20"/>
          <w:color w:val="auto"/>
        </w:rPr>
        <w:tab/>
      </w:r>
      <w:r>
        <w:rPr>
          <w:rFonts w:ascii="Arial" w:cs="Arial" w:eastAsia="Arial" w:hAnsi="Arial"/>
          <w:sz w:val="16"/>
          <w:szCs w:val="16"/>
          <w:color w:val="auto"/>
        </w:rPr>
        <w:t>information related to applicants to University that do not enroll in University within three months of initial outreach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such applicant;</w:t>
      </w:r>
    </w:p>
    <w:p>
      <w:pPr>
        <w:spacing w:after="0" w:line="207" w:lineRule="exact"/>
        <w:rPr>
          <w:sz w:val="20"/>
          <w:szCs w:val="20"/>
          <w:color w:val="auto"/>
        </w:rPr>
      </w:pPr>
    </w:p>
    <w:p>
      <w:pPr>
        <w:ind w:right="400" w:firstLine="1945"/>
        <w:spacing w:after="0" w:line="282" w:lineRule="auto"/>
        <w:rPr>
          <w:sz w:val="20"/>
          <w:szCs w:val="20"/>
          <w:color w:val="auto"/>
        </w:rPr>
      </w:pPr>
      <w:r>
        <w:rPr>
          <w:rFonts w:ascii="Arial" w:cs="Arial" w:eastAsia="Arial" w:hAnsi="Arial"/>
          <w:sz w:val="18"/>
          <w:szCs w:val="18"/>
          <w:b w:val="1"/>
          <w:bCs w:val="1"/>
          <w:color w:val="auto"/>
        </w:rPr>
        <w:t xml:space="preserve">9.4.3 </w:t>
      </w:r>
      <w:r>
        <w:rPr>
          <w:rFonts w:ascii="Arial" w:cs="Arial" w:eastAsia="Arial" w:hAnsi="Arial"/>
          <w:sz w:val="18"/>
          <w:szCs w:val="18"/>
          <w:color w:val="auto"/>
        </w:rPr>
        <w:t>after disclosure of such information to the Receiving Party, published or otherwise became part of the public domain</w:t>
      </w:r>
      <w:r>
        <w:rPr>
          <w:rFonts w:ascii="Arial" w:cs="Arial" w:eastAsia="Arial" w:hAnsi="Arial"/>
          <w:sz w:val="18"/>
          <w:szCs w:val="18"/>
          <w:b w:val="1"/>
          <w:bCs w:val="1"/>
          <w:color w:val="auto"/>
        </w:rPr>
        <w:t xml:space="preserve"> </w:t>
      </w:r>
      <w:r>
        <w:rPr>
          <w:rFonts w:ascii="Arial" w:cs="Arial" w:eastAsia="Arial" w:hAnsi="Arial"/>
          <w:sz w:val="18"/>
          <w:szCs w:val="18"/>
          <w:color w:val="auto"/>
        </w:rPr>
        <w:t>through no fault of the Receiving Party or its directors, trustees, officers, employees and agents;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9" w:name="page30"/>
    <w:bookmarkEnd w:id="29"/>
    <w:p>
      <w:pPr>
        <w:ind w:right="220" w:firstLine="1945"/>
        <w:spacing w:after="0" w:line="282" w:lineRule="auto"/>
        <w:rPr>
          <w:sz w:val="20"/>
          <w:szCs w:val="20"/>
          <w:color w:val="auto"/>
        </w:rPr>
      </w:pPr>
      <w:r>
        <w:rPr>
          <w:rFonts w:ascii="Arial" w:cs="Arial" w:eastAsia="Arial" w:hAnsi="Arial"/>
          <w:sz w:val="18"/>
          <w:szCs w:val="18"/>
          <w:b w:val="1"/>
          <w:bCs w:val="1"/>
          <w:color w:val="auto"/>
        </w:rPr>
        <w:t xml:space="preserve">9.4.4 </w:t>
      </w:r>
      <w:r>
        <w:rPr>
          <w:rFonts w:ascii="Arial" w:cs="Arial" w:eastAsia="Arial" w:hAnsi="Arial"/>
          <w:sz w:val="18"/>
          <w:szCs w:val="18"/>
          <w:color w:val="auto"/>
        </w:rPr>
        <w:t>rightfully in the possession of the Receiving Party at the time of disclosure of such information to the Receiving Party,</w:t>
      </w:r>
      <w:r>
        <w:rPr>
          <w:rFonts w:ascii="Arial" w:cs="Arial" w:eastAsia="Arial" w:hAnsi="Arial"/>
          <w:sz w:val="18"/>
          <w:szCs w:val="18"/>
          <w:b w:val="1"/>
          <w:bCs w:val="1"/>
          <w:color w:val="auto"/>
        </w:rPr>
        <w:t xml:space="preserve"> </w:t>
      </w:r>
      <w:r>
        <w:rPr>
          <w:rFonts w:ascii="Arial" w:cs="Arial" w:eastAsia="Arial" w:hAnsi="Arial"/>
          <w:sz w:val="18"/>
          <w:szCs w:val="18"/>
          <w:color w:val="auto"/>
        </w:rPr>
        <w:t>free of any obligation of confidentiality;</w:t>
      </w:r>
    </w:p>
    <w:p>
      <w:pPr>
        <w:spacing w:after="0" w:line="162" w:lineRule="exact"/>
        <w:rPr>
          <w:sz w:val="20"/>
          <w:szCs w:val="20"/>
          <w:color w:val="auto"/>
        </w:rPr>
      </w:pPr>
    </w:p>
    <w:p>
      <w:pPr>
        <w:ind w:right="80" w:firstLine="1945"/>
        <w:spacing w:after="0" w:line="282" w:lineRule="auto"/>
        <w:rPr>
          <w:sz w:val="20"/>
          <w:szCs w:val="20"/>
          <w:color w:val="auto"/>
        </w:rPr>
      </w:pPr>
      <w:r>
        <w:rPr>
          <w:rFonts w:ascii="Arial" w:cs="Arial" w:eastAsia="Arial" w:hAnsi="Arial"/>
          <w:sz w:val="18"/>
          <w:szCs w:val="18"/>
          <w:b w:val="1"/>
          <w:bCs w:val="1"/>
          <w:color w:val="auto"/>
        </w:rPr>
        <w:t xml:space="preserve">9.4.5 </w:t>
      </w:r>
      <w:r>
        <w:rPr>
          <w:rFonts w:ascii="Arial" w:cs="Arial" w:eastAsia="Arial" w:hAnsi="Arial"/>
          <w:sz w:val="18"/>
          <w:szCs w:val="18"/>
          <w:color w:val="auto"/>
        </w:rPr>
        <w:t>received after disclosure of such information to the Receiving Party from a third party who had a lawful right to disclose</w:t>
      </w:r>
      <w:r>
        <w:rPr>
          <w:rFonts w:ascii="Arial" w:cs="Arial" w:eastAsia="Arial" w:hAnsi="Arial"/>
          <w:sz w:val="18"/>
          <w:szCs w:val="18"/>
          <w:b w:val="1"/>
          <w:bCs w:val="1"/>
          <w:color w:val="auto"/>
        </w:rPr>
        <w:t xml:space="preserve"> </w:t>
      </w:r>
      <w:r>
        <w:rPr>
          <w:rFonts w:ascii="Arial" w:cs="Arial" w:eastAsia="Arial" w:hAnsi="Arial"/>
          <w:sz w:val="18"/>
          <w:szCs w:val="18"/>
          <w:color w:val="auto"/>
        </w:rPr>
        <w:t>such information to the Receiving Party; or</w:t>
      </w:r>
    </w:p>
    <w:p>
      <w:pPr>
        <w:spacing w:after="0" w:line="162" w:lineRule="exact"/>
        <w:rPr>
          <w:sz w:val="20"/>
          <w:szCs w:val="20"/>
          <w:color w:val="auto"/>
        </w:rPr>
      </w:pPr>
    </w:p>
    <w:p>
      <w:pPr>
        <w:ind w:left="1960"/>
        <w:spacing w:after="0"/>
        <w:tabs>
          <w:tab w:leader="none" w:pos="2600" w:val="left"/>
        </w:tabs>
        <w:rPr>
          <w:sz w:val="20"/>
          <w:szCs w:val="20"/>
          <w:color w:val="auto"/>
        </w:rPr>
      </w:pPr>
      <w:r>
        <w:rPr>
          <w:rFonts w:ascii="Arial" w:cs="Arial" w:eastAsia="Arial" w:hAnsi="Arial"/>
          <w:sz w:val="18"/>
          <w:szCs w:val="18"/>
          <w:b w:val="1"/>
          <w:bCs w:val="1"/>
          <w:color w:val="auto"/>
        </w:rPr>
        <w:t>9.4.6</w:t>
      </w:r>
      <w:r>
        <w:rPr>
          <w:sz w:val="20"/>
          <w:szCs w:val="20"/>
          <w:color w:val="auto"/>
        </w:rPr>
        <w:tab/>
      </w:r>
      <w:r>
        <w:rPr>
          <w:rFonts w:ascii="Arial" w:cs="Arial" w:eastAsia="Arial" w:hAnsi="Arial"/>
          <w:sz w:val="16"/>
          <w:szCs w:val="16"/>
          <w:color w:val="auto"/>
        </w:rPr>
        <w:t>independently developed by the Receiving Party without reference to Confidential Information of the Disclosing Party.</w:t>
      </w:r>
    </w:p>
    <w:p>
      <w:pPr>
        <w:spacing w:after="0" w:line="225" w:lineRule="exact"/>
        <w:rPr>
          <w:sz w:val="20"/>
          <w:szCs w:val="20"/>
          <w:color w:val="auto"/>
        </w:rPr>
      </w:pPr>
    </w:p>
    <w:p>
      <w:pPr>
        <w:ind w:right="220" w:firstLine="1297"/>
        <w:spacing w:after="0" w:line="266" w:lineRule="auto"/>
        <w:rPr>
          <w:sz w:val="20"/>
          <w:szCs w:val="20"/>
          <w:color w:val="auto"/>
        </w:rPr>
      </w:pPr>
      <w:r>
        <w:rPr>
          <w:rFonts w:ascii="Arial" w:cs="Arial" w:eastAsia="Arial" w:hAnsi="Arial"/>
          <w:sz w:val="18"/>
          <w:szCs w:val="18"/>
          <w:b w:val="1"/>
          <w:bCs w:val="1"/>
          <w:color w:val="auto"/>
        </w:rPr>
        <w:t xml:space="preserve">9.5 </w:t>
      </w:r>
      <w:r>
        <w:rPr>
          <w:rFonts w:ascii="Arial" w:cs="Arial" w:eastAsia="Arial" w:hAnsi="Arial"/>
          <w:sz w:val="18"/>
          <w:szCs w:val="18"/>
          <w:b w:val="1"/>
          <w:bCs w:val="1"/>
          <w:u w:val="single" w:color="auto"/>
          <w:color w:val="auto"/>
        </w:rPr>
        <w:t>Loss of Confidential Information</w:t>
      </w:r>
      <w:r>
        <w:rPr>
          <w:rFonts w:ascii="Arial" w:cs="Arial" w:eastAsia="Arial" w:hAnsi="Arial"/>
          <w:sz w:val="18"/>
          <w:szCs w:val="18"/>
          <w:color w:val="auto"/>
        </w:rPr>
        <w:t>. In the event of any disclosure or loss of, or inability to account for, or unauthorized use of,</w:t>
      </w:r>
      <w:r>
        <w:rPr>
          <w:rFonts w:ascii="Arial" w:cs="Arial" w:eastAsia="Arial" w:hAnsi="Arial"/>
          <w:sz w:val="18"/>
          <w:szCs w:val="18"/>
          <w:b w:val="1"/>
          <w:bCs w:val="1"/>
          <w:color w:val="auto"/>
        </w:rPr>
        <w:t xml:space="preserve"> </w:t>
      </w:r>
      <w:r>
        <w:rPr>
          <w:rFonts w:ascii="Arial" w:cs="Arial" w:eastAsia="Arial" w:hAnsi="Arial"/>
          <w:sz w:val="18"/>
          <w:szCs w:val="18"/>
          <w:color w:val="auto"/>
        </w:rPr>
        <w:t>Confidential Information, the Receiving Party will notify the Disclosing Party immediately in writing, and shall reasonably assist the Disclosing Party in remedying the unauthorized disclosure or use.</w:t>
      </w:r>
    </w:p>
    <w:p>
      <w:pPr>
        <w:spacing w:after="0" w:line="176" w:lineRule="exact"/>
        <w:rPr>
          <w:sz w:val="20"/>
          <w:szCs w:val="20"/>
          <w:color w:val="auto"/>
        </w:rPr>
      </w:pPr>
    </w:p>
    <w:p>
      <w:pPr>
        <w:ind w:right="340" w:firstLine="1297"/>
        <w:spacing w:after="0" w:line="266" w:lineRule="auto"/>
        <w:rPr>
          <w:sz w:val="20"/>
          <w:szCs w:val="20"/>
          <w:color w:val="auto"/>
        </w:rPr>
      </w:pPr>
      <w:r>
        <w:rPr>
          <w:rFonts w:ascii="Arial" w:cs="Arial" w:eastAsia="Arial" w:hAnsi="Arial"/>
          <w:sz w:val="18"/>
          <w:szCs w:val="18"/>
          <w:b w:val="1"/>
          <w:bCs w:val="1"/>
          <w:color w:val="auto"/>
        </w:rPr>
        <w:t xml:space="preserve">9.6 </w:t>
      </w:r>
      <w:r>
        <w:rPr>
          <w:rFonts w:ascii="Arial" w:cs="Arial" w:eastAsia="Arial" w:hAnsi="Arial"/>
          <w:sz w:val="18"/>
          <w:szCs w:val="18"/>
          <w:b w:val="1"/>
          <w:bCs w:val="1"/>
          <w:u w:val="single" w:color="auto"/>
          <w:color w:val="auto"/>
        </w:rPr>
        <w:t>Period of Confidentiality</w:t>
      </w:r>
      <w:r>
        <w:rPr>
          <w:rFonts w:ascii="Arial" w:cs="Arial" w:eastAsia="Arial" w:hAnsi="Arial"/>
          <w:sz w:val="18"/>
          <w:szCs w:val="18"/>
          <w:color w:val="auto"/>
        </w:rPr>
        <w:t>. Confidential Information disclosed pursuant to this Agreement will be subject to the terms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until such time as it ceases to be characterized as Confidential Information under one or more of clauses 9.4.1 through 9.4.6 of Section 9.4 (Exclusions)</w:t>
      </w:r>
    </w:p>
    <w:p>
      <w:pPr>
        <w:spacing w:after="0" w:line="176" w:lineRule="exact"/>
        <w:rPr>
          <w:sz w:val="20"/>
          <w:szCs w:val="20"/>
          <w:color w:val="auto"/>
        </w:rPr>
      </w:pPr>
    </w:p>
    <w:p>
      <w:pPr>
        <w:ind w:firstLine="1297"/>
        <w:spacing w:after="0" w:line="273" w:lineRule="auto"/>
        <w:rPr>
          <w:sz w:val="20"/>
          <w:szCs w:val="20"/>
          <w:color w:val="auto"/>
        </w:rPr>
      </w:pPr>
      <w:r>
        <w:rPr>
          <w:rFonts w:ascii="Arial" w:cs="Arial" w:eastAsia="Arial" w:hAnsi="Arial"/>
          <w:sz w:val="17"/>
          <w:szCs w:val="17"/>
          <w:b w:val="1"/>
          <w:bCs w:val="1"/>
          <w:color w:val="auto"/>
        </w:rPr>
        <w:t xml:space="preserve">9.7 </w:t>
      </w:r>
      <w:r>
        <w:rPr>
          <w:rFonts w:ascii="Arial" w:cs="Arial" w:eastAsia="Arial" w:hAnsi="Arial"/>
          <w:sz w:val="17"/>
          <w:szCs w:val="17"/>
          <w:b w:val="1"/>
          <w:bCs w:val="1"/>
          <w:u w:val="single" w:color="auto"/>
          <w:color w:val="auto"/>
        </w:rPr>
        <w:t>Return of Confidential Information</w:t>
      </w:r>
      <w:r>
        <w:rPr>
          <w:rFonts w:ascii="Arial" w:cs="Arial" w:eastAsia="Arial" w:hAnsi="Arial"/>
          <w:sz w:val="17"/>
          <w:szCs w:val="17"/>
          <w:color w:val="auto"/>
        </w:rPr>
        <w:t>. Within thirty (30) Business Days after the effective date of termination of this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or any Transition Period (if applicable), the Receiving Party shall destroy or deliver to the Disclosing Party, at the Disclosing Party’s option, (a) all materials furnished by the Disclosing Party, and (b) all materials in the Receiving Party’s possession or control (even if not furnished by the Disclosing Party), in each case that contain or disclose any of the Disclosing Party’s Confidential Information. The Receiving Party will provide the Disclosing Party a written certification of the Receiving Party’s compliance with the Receiving Party’s obligations under this Section 9.7 (Return of Confidential Information). Notwithstanding the foregoing, Confidential Information stored on back-up storage media in the normal course of business need not be returned or destroyed, but shall remain subject to the terms of this Agreement in accordance with Section 9.6 (Period of Confidentiality).</w:t>
      </w:r>
    </w:p>
    <w:p>
      <w:pPr>
        <w:spacing w:after="0" w:line="172" w:lineRule="exact"/>
        <w:rPr>
          <w:sz w:val="20"/>
          <w:szCs w:val="20"/>
          <w:color w:val="auto"/>
        </w:rPr>
      </w:pPr>
    </w:p>
    <w:p>
      <w:pPr>
        <w:ind w:left="1340" w:hanging="684"/>
        <w:spacing w:after="0"/>
        <w:tabs>
          <w:tab w:leader="none" w:pos="13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Intellectual Property Rights</w:t>
      </w:r>
      <w:r>
        <w:rPr>
          <w:rFonts w:ascii="Arial" w:cs="Arial" w:eastAsia="Arial" w:hAnsi="Arial"/>
          <w:sz w:val="18"/>
          <w:szCs w:val="18"/>
          <w:color w:val="auto"/>
        </w:rPr>
        <w:t>.</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6"/>
          <w:szCs w:val="16"/>
          <w:b w:val="1"/>
          <w:bCs w:val="1"/>
          <w:u w:val="single" w:color="auto"/>
          <w:color w:val="auto"/>
        </w:rPr>
        <w:t>Definitions</w:t>
      </w:r>
      <w:r>
        <w:rPr>
          <w:rFonts w:ascii="Arial" w:cs="Arial" w:eastAsia="Arial" w:hAnsi="Arial"/>
          <w:sz w:val="16"/>
          <w:szCs w:val="16"/>
          <w:color w:val="auto"/>
        </w:rPr>
        <w:t>.</w:t>
      </w:r>
    </w:p>
    <w:p>
      <w:pPr>
        <w:spacing w:after="0" w:line="225" w:lineRule="exact"/>
        <w:rPr>
          <w:sz w:val="20"/>
          <w:szCs w:val="20"/>
          <w:color w:val="auto"/>
        </w:rPr>
      </w:pPr>
    </w:p>
    <w:p>
      <w:pPr>
        <w:ind w:right="20" w:firstLine="1945"/>
        <w:spacing w:after="0" w:line="285" w:lineRule="auto"/>
        <w:rPr>
          <w:sz w:val="20"/>
          <w:szCs w:val="20"/>
          <w:color w:val="auto"/>
        </w:rPr>
      </w:pPr>
      <w:r>
        <w:rPr>
          <w:rFonts w:ascii="Arial" w:cs="Arial" w:eastAsia="Arial" w:hAnsi="Arial"/>
          <w:sz w:val="16"/>
          <w:szCs w:val="16"/>
          <w:b w:val="1"/>
          <w:bCs w:val="1"/>
          <w:color w:val="auto"/>
        </w:rPr>
        <w:t xml:space="preserve">10.1.1 </w:t>
      </w:r>
      <w:r>
        <w:rPr>
          <w:rFonts w:ascii="Arial" w:cs="Arial" w:eastAsia="Arial" w:hAnsi="Arial"/>
          <w:sz w:val="16"/>
          <w:szCs w:val="16"/>
          <w:color w:val="auto"/>
        </w:rPr>
        <w:t>As used herein, the term “</w:t>
      </w:r>
      <w:r>
        <w:rPr>
          <w:rFonts w:ascii="Arial" w:cs="Arial" w:eastAsia="Arial" w:hAnsi="Arial"/>
          <w:sz w:val="16"/>
          <w:szCs w:val="16"/>
          <w:b w:val="1"/>
          <w:bCs w:val="1"/>
          <w:i w:val="1"/>
          <w:iCs w:val="1"/>
          <w:color w:val="auto"/>
        </w:rPr>
        <w:t>Intellectual Property</w:t>
      </w:r>
      <w:r>
        <w:rPr>
          <w:rFonts w:ascii="Arial" w:cs="Arial" w:eastAsia="Arial" w:hAnsi="Arial"/>
          <w:sz w:val="16"/>
          <w:szCs w:val="16"/>
          <w:color w:val="auto"/>
        </w:rPr>
        <w:t>” shall mean any and all technology, inventions, processes, know-how,</w:t>
      </w:r>
      <w:r>
        <w:rPr>
          <w:rFonts w:ascii="Arial" w:cs="Arial" w:eastAsia="Arial" w:hAnsi="Arial"/>
          <w:sz w:val="16"/>
          <w:szCs w:val="16"/>
          <w:b w:val="1"/>
          <w:bCs w:val="1"/>
          <w:color w:val="auto"/>
        </w:rPr>
        <w:t xml:space="preserve"> </w:t>
      </w:r>
      <w:r>
        <w:rPr>
          <w:rFonts w:ascii="Arial" w:cs="Arial" w:eastAsia="Arial" w:hAnsi="Arial"/>
          <w:sz w:val="16"/>
          <w:szCs w:val="16"/>
          <w:color w:val="auto"/>
        </w:rPr>
        <w:t>designs, works of authorship, and any other technical subject matter related thereto. The term “</w:t>
      </w:r>
      <w:r>
        <w:rPr>
          <w:rFonts w:ascii="Arial" w:cs="Arial" w:eastAsia="Arial" w:hAnsi="Arial"/>
          <w:sz w:val="16"/>
          <w:szCs w:val="16"/>
          <w:b w:val="1"/>
          <w:bCs w:val="1"/>
          <w:i w:val="1"/>
          <w:iCs w:val="1"/>
          <w:color w:val="auto"/>
        </w:rPr>
        <w:t>Intellectual Property</w:t>
      </w:r>
      <w:r>
        <w:rPr>
          <w:rFonts w:ascii="Arial" w:cs="Arial" w:eastAsia="Arial" w:hAnsi="Arial"/>
          <w:sz w:val="16"/>
          <w:szCs w:val="16"/>
          <w:color w:val="auto"/>
        </w:rPr>
        <w:t>” also includes all intellectual property rights or similar proprietary rights related to or protecting the foregoing, including (a) all inventions, all improvements thereto and all patents, patent applications, provisionals and patent disclosures, together with all reissuances, continuations, continuations-in-part, revisions, extensions, and reexaminations thereof, (b) all registered and unregistered trademarks, service marks, trade dress, logos, trade names, registered domain names, and corporate names, including all goodwill associated therewith, and all applications (including intent-to-use applications), registrations, and renewals in connection therewith,</w:t>
      </w:r>
    </w:p>
    <w:p>
      <w:pPr>
        <w:spacing w:after="0" w:line="4" w:lineRule="exact"/>
        <w:rPr>
          <w:sz w:val="20"/>
          <w:szCs w:val="20"/>
          <w:color w:val="auto"/>
        </w:rPr>
      </w:pPr>
    </w:p>
    <w:p>
      <w:pPr>
        <w:ind w:right="20" w:firstLine="8"/>
        <w:spacing w:after="0" w:line="323" w:lineRule="auto"/>
        <w:tabs>
          <w:tab w:leader="none" w:pos="245" w:val="left"/>
        </w:tabs>
        <w:numPr>
          <w:ilvl w:val="0"/>
          <w:numId w:val="21"/>
        </w:numPr>
        <w:rPr>
          <w:rFonts w:ascii="Arial" w:cs="Arial" w:eastAsia="Arial" w:hAnsi="Arial"/>
          <w:sz w:val="16"/>
          <w:szCs w:val="16"/>
          <w:color w:val="auto"/>
        </w:rPr>
      </w:pPr>
      <w:r>
        <w:rPr>
          <w:rFonts w:ascii="Arial" w:cs="Arial" w:eastAsia="Arial" w:hAnsi="Arial"/>
          <w:sz w:val="16"/>
          <w:szCs w:val="16"/>
          <w:color w:val="auto"/>
        </w:rPr>
        <w:t>all copyrightable works, all copyrights and all applications, registrations and renewals in connection therewith, including all rights in works of authorship, curricula, program materials, translations, abridgments, revisions compilations and derivative works, (d) all trade secrets, customer lists, lists of students and</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30" w:name="page31"/>
    <w:bookmarkEnd w:id="30"/>
    <w:p>
      <w:pPr>
        <w:ind w:right="180"/>
        <w:spacing w:after="0" w:line="302" w:lineRule="auto"/>
        <w:rPr>
          <w:sz w:val="20"/>
          <w:szCs w:val="20"/>
          <w:color w:val="auto"/>
        </w:rPr>
      </w:pPr>
      <w:r>
        <w:rPr>
          <w:rFonts w:ascii="Arial" w:cs="Arial" w:eastAsia="Arial" w:hAnsi="Arial"/>
          <w:sz w:val="16"/>
          <w:szCs w:val="16"/>
          <w:color w:val="auto"/>
        </w:rPr>
        <w:t>prospective students, employer lists, alumni lists, supplier lists, pricing and cost information, business and marketing plans and other confidential business information (including, without limitation, ideas, formulas, compositions, know-how, techniques, research and development information, drawings, specifications, designs, plans, proposals, and technical data), (e) all computer programs and related software, including source code and object code thereof, data, data tapes, databases and related manuals, notes, and documentation, and (f) all copies and tangible embodiments thereof.</w:t>
      </w:r>
    </w:p>
    <w:p>
      <w:pPr>
        <w:spacing w:after="0" w:line="150" w:lineRule="exact"/>
        <w:rPr>
          <w:sz w:val="20"/>
          <w:szCs w:val="20"/>
          <w:color w:val="auto"/>
        </w:rPr>
      </w:pPr>
    </w:p>
    <w:p>
      <w:pPr>
        <w:ind w:firstLine="1945"/>
        <w:spacing w:after="0" w:line="261" w:lineRule="auto"/>
        <w:rPr>
          <w:sz w:val="20"/>
          <w:szCs w:val="20"/>
          <w:color w:val="auto"/>
        </w:rPr>
      </w:pPr>
      <w:r>
        <w:rPr>
          <w:rFonts w:ascii="Arial" w:cs="Arial" w:eastAsia="Arial" w:hAnsi="Arial"/>
          <w:sz w:val="18"/>
          <w:szCs w:val="18"/>
          <w:b w:val="1"/>
          <w:bCs w:val="1"/>
          <w:color w:val="auto"/>
        </w:rPr>
        <w:t xml:space="preserve">10.1.2 </w:t>
      </w:r>
      <w:r>
        <w:rPr>
          <w:rFonts w:ascii="Arial" w:cs="Arial" w:eastAsia="Arial" w:hAnsi="Arial"/>
          <w:sz w:val="18"/>
          <w:szCs w:val="18"/>
          <w:color w:val="auto"/>
        </w:rPr>
        <w:t>As used herein, the term “</w:t>
      </w:r>
      <w:r>
        <w:rPr>
          <w:rFonts w:ascii="Arial" w:cs="Arial" w:eastAsia="Arial" w:hAnsi="Arial"/>
          <w:sz w:val="18"/>
          <w:szCs w:val="18"/>
          <w:b w:val="1"/>
          <w:bCs w:val="1"/>
          <w:i w:val="1"/>
          <w:iCs w:val="1"/>
          <w:color w:val="auto"/>
        </w:rPr>
        <w:t>University Intellectual Property</w:t>
      </w:r>
      <w:r>
        <w:rPr>
          <w:rFonts w:ascii="Arial" w:cs="Arial" w:eastAsia="Arial" w:hAnsi="Arial"/>
          <w:sz w:val="18"/>
          <w:szCs w:val="18"/>
          <w:color w:val="auto"/>
        </w:rPr>
        <w:t>” shall mean any and all Intellectual Property in (a) all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content of the Courses and Programs, including the Course Materials and all Improvements thereto, (b) all Plans and related Plan Information (each as defined in Section 1.1 of </w:t>
      </w:r>
      <w:r>
        <w:rPr>
          <w:rFonts w:ascii="Arial" w:cs="Arial" w:eastAsia="Arial" w:hAnsi="Arial"/>
          <w:sz w:val="18"/>
          <w:szCs w:val="18"/>
          <w:u w:val="single" w:color="auto"/>
          <w:color w:val="auto"/>
        </w:rPr>
        <w:t>Exhibit B</w:t>
      </w:r>
      <w:r>
        <w:rPr>
          <w:rFonts w:ascii="Arial" w:cs="Arial" w:eastAsia="Arial" w:hAnsi="Arial"/>
          <w:sz w:val="18"/>
          <w:szCs w:val="18"/>
          <w:color w:val="auto"/>
        </w:rPr>
        <w:t>) developed by University, and (c) any Intellectual Property expressly identified in a Service Addendum as “University Intellectual Property.”</w:t>
      </w:r>
    </w:p>
    <w:p>
      <w:pPr>
        <w:spacing w:after="0" w:line="180" w:lineRule="exact"/>
        <w:rPr>
          <w:sz w:val="20"/>
          <w:szCs w:val="20"/>
          <w:color w:val="auto"/>
        </w:rPr>
      </w:pPr>
    </w:p>
    <w:p>
      <w:pPr>
        <w:ind w:right="20" w:firstLine="1945"/>
        <w:spacing w:after="0" w:line="255" w:lineRule="auto"/>
        <w:rPr>
          <w:sz w:val="20"/>
          <w:szCs w:val="20"/>
          <w:color w:val="auto"/>
        </w:rPr>
      </w:pPr>
      <w:r>
        <w:rPr>
          <w:rFonts w:ascii="Arial" w:cs="Arial" w:eastAsia="Arial" w:hAnsi="Arial"/>
          <w:sz w:val="18"/>
          <w:szCs w:val="18"/>
          <w:b w:val="1"/>
          <w:bCs w:val="1"/>
          <w:color w:val="auto"/>
        </w:rPr>
        <w:t xml:space="preserve">10.1.3 </w:t>
      </w:r>
      <w:r>
        <w:rPr>
          <w:rFonts w:ascii="Arial" w:cs="Arial" w:eastAsia="Arial" w:hAnsi="Arial"/>
          <w:sz w:val="18"/>
          <w:szCs w:val="18"/>
          <w:color w:val="auto"/>
        </w:rPr>
        <w:t>As used herein, the term “</w:t>
      </w:r>
      <w:r>
        <w:rPr>
          <w:rFonts w:ascii="Arial" w:cs="Arial" w:eastAsia="Arial" w:hAnsi="Arial"/>
          <w:sz w:val="18"/>
          <w:szCs w:val="18"/>
          <w:b w:val="1"/>
          <w:bCs w:val="1"/>
          <w:i w:val="1"/>
          <w:iCs w:val="1"/>
          <w:color w:val="auto"/>
        </w:rPr>
        <w:t>Provider Intellectual Property</w:t>
      </w:r>
      <w:r>
        <w:rPr>
          <w:rFonts w:ascii="Arial" w:cs="Arial" w:eastAsia="Arial" w:hAnsi="Arial"/>
          <w:sz w:val="18"/>
          <w:szCs w:val="18"/>
          <w:color w:val="auto"/>
        </w:rPr>
        <w:t>” shall mean any and all Intellectual Property in (a) the Platform,</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Provider-developed or Provider-acquired user interface designs necessary to facilitate access to University Intellectual Property via the Platform (provided that, for further clarity, Provider’s rights in such matter shall not give it any right whatsoever in or to any portion of University Intellectual Property, none of which may be used by Provider except in accordance with the express terms of this Agreement), logic and data modules, algorithms, feature sets and source code, and documentation relating thereto (b) all Aggregated Data Sets (as further discussed in Section 10.13 (Aggregated Data Sets) below), and documentation relating thereto, (c) all Plan Information developed by Provider, and (d) any Intellectual Property expressly identified in a Service Addendum as “Provider Intellectual Property.”</w:t>
      </w:r>
    </w:p>
    <w:p>
      <w:pPr>
        <w:spacing w:after="0" w:line="189"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6"/>
          <w:szCs w:val="16"/>
          <w:b w:val="1"/>
          <w:bCs w:val="1"/>
          <w:u w:val="single" w:color="auto"/>
          <w:color w:val="auto"/>
        </w:rPr>
        <w:t>Ownership</w:t>
      </w:r>
      <w:r>
        <w:rPr>
          <w:rFonts w:ascii="Arial" w:cs="Arial" w:eastAsia="Arial" w:hAnsi="Arial"/>
          <w:sz w:val="16"/>
          <w:szCs w:val="16"/>
          <w:color w:val="auto"/>
        </w:rPr>
        <w:t>.</w:t>
      </w:r>
    </w:p>
    <w:p>
      <w:pPr>
        <w:spacing w:after="0" w:line="225" w:lineRule="exact"/>
        <w:rPr>
          <w:sz w:val="20"/>
          <w:szCs w:val="20"/>
          <w:color w:val="auto"/>
        </w:rPr>
      </w:pPr>
    </w:p>
    <w:p>
      <w:pPr>
        <w:ind w:right="40" w:firstLine="1945"/>
        <w:spacing w:after="0" w:line="286" w:lineRule="auto"/>
        <w:rPr>
          <w:sz w:val="20"/>
          <w:szCs w:val="20"/>
          <w:color w:val="auto"/>
        </w:rPr>
      </w:pPr>
      <w:r>
        <w:rPr>
          <w:rFonts w:ascii="Arial" w:cs="Arial" w:eastAsia="Arial" w:hAnsi="Arial"/>
          <w:sz w:val="16"/>
          <w:szCs w:val="16"/>
          <w:b w:val="1"/>
          <w:bCs w:val="1"/>
          <w:color w:val="auto"/>
        </w:rPr>
        <w:t xml:space="preserve">10.2.1 </w:t>
      </w:r>
      <w:r>
        <w:rPr>
          <w:rFonts w:ascii="Arial" w:cs="Arial" w:eastAsia="Arial" w:hAnsi="Arial"/>
          <w:sz w:val="16"/>
          <w:szCs w:val="16"/>
          <w:b w:val="1"/>
          <w:bCs w:val="1"/>
          <w:u w:val="single" w:color="auto"/>
          <w:color w:val="auto"/>
        </w:rPr>
        <w:t>Ownership by Each Party</w:t>
      </w:r>
      <w:r>
        <w:rPr>
          <w:rFonts w:ascii="Arial" w:cs="Arial" w:eastAsia="Arial" w:hAnsi="Arial"/>
          <w:sz w:val="16"/>
          <w:szCs w:val="16"/>
          <w:color w:val="auto"/>
        </w:rPr>
        <w:t>. Following Provider’s assignment, sale and transfer to University of certain Intellectual</w:t>
      </w:r>
      <w:r>
        <w:rPr>
          <w:rFonts w:ascii="Arial" w:cs="Arial" w:eastAsia="Arial" w:hAnsi="Arial"/>
          <w:sz w:val="16"/>
          <w:szCs w:val="16"/>
          <w:b w:val="1"/>
          <w:bCs w:val="1"/>
          <w:color w:val="auto"/>
        </w:rPr>
        <w:t xml:space="preserve"> </w:t>
      </w:r>
      <w:r>
        <w:rPr>
          <w:rFonts w:ascii="Arial" w:cs="Arial" w:eastAsia="Arial" w:hAnsi="Arial"/>
          <w:sz w:val="16"/>
          <w:szCs w:val="16"/>
          <w:color w:val="auto"/>
        </w:rPr>
        <w:t>Property as set forth in the Asset Purchase Agreement or any related agreement executed by the Parties in connection therewith, each Party (and their respective Affiliates) (as the “</w:t>
      </w:r>
      <w:r>
        <w:rPr>
          <w:rFonts w:ascii="Arial" w:cs="Arial" w:eastAsia="Arial" w:hAnsi="Arial"/>
          <w:sz w:val="16"/>
          <w:szCs w:val="16"/>
          <w:b w:val="1"/>
          <w:bCs w:val="1"/>
          <w:i w:val="1"/>
          <w:iCs w:val="1"/>
          <w:color w:val="auto"/>
        </w:rPr>
        <w:t>Owner Party</w:t>
      </w:r>
      <w:r>
        <w:rPr>
          <w:rFonts w:ascii="Arial" w:cs="Arial" w:eastAsia="Arial" w:hAnsi="Arial"/>
          <w:sz w:val="16"/>
          <w:szCs w:val="16"/>
          <w:color w:val="auto"/>
        </w:rPr>
        <w:t>”) owns and shall retain all right, title and interest in and to any and all (a) Confidential Information of such Owner Party, (b) all Intellectual Property of such Owner Party or its Affiliates existing as of the Effective Date, (c) except as may be expressly provided otherwise in this Agreement or a Services Addendum, all Intellectual Property independently developed by such Owner Party or its Affiliates after the Effective Date, and</w:t>
      </w:r>
    </w:p>
    <w:p>
      <w:pPr>
        <w:spacing w:after="0" w:line="2" w:lineRule="exact"/>
        <w:rPr>
          <w:sz w:val="20"/>
          <w:szCs w:val="20"/>
          <w:color w:val="auto"/>
        </w:rPr>
      </w:pPr>
    </w:p>
    <w:p>
      <w:pPr>
        <w:ind w:right="140" w:firstLine="8"/>
        <w:spacing w:after="0" w:line="252" w:lineRule="auto"/>
        <w:tabs>
          <w:tab w:leader="none" w:pos="2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the case of University, all Improvements to University Intellectual Property, together with all associated Intellectual Property rights in such Improvements, that are conceived, created, or developed by Provider in connection with providing the Services hereunder. For the avoidance of doubt, Intellectual Property developed by Provider, whether in connection with the provision of the Services or outside the provision of the Services, including, without limitation, Aggregated Data Sets, shall be Intellectual Property independently developed by Provider for purposes of the foregoing and Provider will be the “Owner Party” of such Intellectual Property, except for Intellectual Property that is developed by Provider and assigned to University as specifically provided in this Section 10 (Intellectual Property Rights).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1" w:name="page32"/>
    <w:bookmarkEnd w:id="31"/>
    <w:p>
      <w:pPr>
        <w:ind w:right="260" w:firstLine="1945"/>
        <w:spacing w:after="0" w:line="255" w:lineRule="auto"/>
        <w:rPr>
          <w:sz w:val="20"/>
          <w:szCs w:val="20"/>
          <w:color w:val="auto"/>
        </w:rPr>
      </w:pPr>
      <w:r>
        <w:rPr>
          <w:rFonts w:ascii="Arial" w:cs="Arial" w:eastAsia="Arial" w:hAnsi="Arial"/>
          <w:sz w:val="18"/>
          <w:szCs w:val="18"/>
          <w:b w:val="1"/>
          <w:bCs w:val="1"/>
          <w:color w:val="auto"/>
        </w:rPr>
        <w:t xml:space="preserve">10.2.2 </w:t>
      </w:r>
      <w:r>
        <w:rPr>
          <w:rFonts w:ascii="Arial" w:cs="Arial" w:eastAsia="Arial" w:hAnsi="Arial"/>
          <w:sz w:val="18"/>
          <w:szCs w:val="18"/>
          <w:b w:val="1"/>
          <w:bCs w:val="1"/>
          <w:u w:val="single" w:color="auto"/>
          <w:color w:val="auto"/>
        </w:rPr>
        <w:t>Works Made for Hire</w:t>
      </w:r>
      <w:r>
        <w:rPr>
          <w:rFonts w:ascii="Arial" w:cs="Arial" w:eastAsia="Arial" w:hAnsi="Arial"/>
          <w:sz w:val="18"/>
          <w:szCs w:val="18"/>
          <w:color w:val="auto"/>
        </w:rPr>
        <w:t>. Provider acknowledges and agrees that all works of authorship included in the University</w:t>
      </w:r>
      <w:r>
        <w:rPr>
          <w:rFonts w:ascii="Arial" w:cs="Arial" w:eastAsia="Arial" w:hAnsi="Arial"/>
          <w:sz w:val="18"/>
          <w:szCs w:val="18"/>
          <w:b w:val="1"/>
          <w:bCs w:val="1"/>
          <w:color w:val="auto"/>
        </w:rPr>
        <w:t xml:space="preserve"> </w:t>
      </w:r>
      <w:r>
        <w:rPr>
          <w:rFonts w:ascii="Arial" w:cs="Arial" w:eastAsia="Arial" w:hAnsi="Arial"/>
          <w:sz w:val="18"/>
          <w:szCs w:val="18"/>
          <w:color w:val="auto"/>
        </w:rPr>
        <w:t>Intellectual Property shall constitute a “work made for hire” for University, as that phrase is defined in Section 101 and 201 of the Copyright Act of 1976 (Title 17, United States Code), including a work specially commissioned by University. With respect to any such works of authorship that are not “works made for hire” and with respect to any other University Intellectual Property, Provider hereby assigns and transfers and agrees to assign and transfer to University all of Provider’s right, title and interest in and to such works of authorship and University Intellectual Property, including, all patent, copyright, trade secret and other proprietary rights, and the right to make any modifications, adjustments or additions thereto (Provider hereby expressly waiving any droit moral or similar rights to object to any such changes), the right to make and distribute derivative works thereof and the right to all claims for past infringement thereof.</w:t>
      </w:r>
    </w:p>
    <w:p>
      <w:pPr>
        <w:spacing w:after="0" w:line="185" w:lineRule="exact"/>
        <w:rPr>
          <w:sz w:val="20"/>
          <w:szCs w:val="20"/>
          <w:color w:val="auto"/>
        </w:rPr>
      </w:pPr>
    </w:p>
    <w:p>
      <w:pPr>
        <w:ind w:right="20" w:firstLine="1945"/>
        <w:spacing w:after="0" w:line="271" w:lineRule="auto"/>
        <w:rPr>
          <w:sz w:val="20"/>
          <w:szCs w:val="20"/>
          <w:color w:val="auto"/>
        </w:rPr>
      </w:pPr>
      <w:r>
        <w:rPr>
          <w:rFonts w:ascii="Arial" w:cs="Arial" w:eastAsia="Arial" w:hAnsi="Arial"/>
          <w:sz w:val="17"/>
          <w:szCs w:val="17"/>
          <w:b w:val="1"/>
          <w:bCs w:val="1"/>
          <w:color w:val="auto"/>
        </w:rPr>
        <w:t xml:space="preserve">10.2.3 </w:t>
      </w:r>
      <w:r>
        <w:rPr>
          <w:rFonts w:ascii="Arial" w:cs="Arial" w:eastAsia="Arial" w:hAnsi="Arial"/>
          <w:sz w:val="17"/>
          <w:szCs w:val="17"/>
          <w:b w:val="1"/>
          <w:bCs w:val="1"/>
          <w:u w:val="single" w:color="auto"/>
          <w:color w:val="auto"/>
        </w:rPr>
        <w:t>Further Assurances</w:t>
      </w:r>
      <w:r>
        <w:rPr>
          <w:rFonts w:ascii="Arial" w:cs="Arial" w:eastAsia="Arial" w:hAnsi="Arial"/>
          <w:sz w:val="17"/>
          <w:szCs w:val="17"/>
          <w:color w:val="auto"/>
        </w:rPr>
        <w:t>. Upon a Party’s reasonable written request, the other Party shall execute and deliver to the</w:t>
      </w:r>
      <w:r>
        <w:rPr>
          <w:rFonts w:ascii="Arial" w:cs="Arial" w:eastAsia="Arial" w:hAnsi="Arial"/>
          <w:sz w:val="17"/>
          <w:szCs w:val="17"/>
          <w:b w:val="1"/>
          <w:bCs w:val="1"/>
          <w:color w:val="auto"/>
        </w:rPr>
        <w:t xml:space="preserve"> </w:t>
      </w:r>
      <w:r>
        <w:rPr>
          <w:rFonts w:ascii="Arial" w:cs="Arial" w:eastAsia="Arial" w:hAnsi="Arial"/>
          <w:sz w:val="17"/>
          <w:szCs w:val="17"/>
          <w:color w:val="auto"/>
        </w:rPr>
        <w:t>requesting Party all documents and instruments, including copyright assignments, and shall otherwise assist the requesting Party, at the requesting Party’s expense, to perfect in the requesting Party the sole and exclusive right, title and other interests in the Intellectual Property of such requesting Party (as provided herein). In the event a requesting Party is unable, because the other Party is no longer in business, to obtain the signature of the other Party to any document or instrument necessary or desirable to apply for protection of, or to enforce any action with respect to, any Intellectual Property right of the requesting Party, the other Party hereby irrevocably designates and appoints the requesting Party and its duly authorized officers and agents as the other Party’s agent and attorney-in-fact, whose power is expressly coupled with an interest, to act for and on behalf of the other Party, to execute such documents and instruments and to take all lawfully permitted actions to protect the requesting Party’s interests in any such Intellectual Property with the same legal force and effect as if executed by such other Party.</w:t>
      </w:r>
    </w:p>
    <w:p>
      <w:pPr>
        <w:spacing w:after="0" w:line="174" w:lineRule="exact"/>
        <w:rPr>
          <w:sz w:val="20"/>
          <w:szCs w:val="20"/>
          <w:color w:val="auto"/>
        </w:rPr>
      </w:pPr>
    </w:p>
    <w:p>
      <w:pPr>
        <w:ind w:firstLine="1297"/>
        <w:spacing w:after="0" w:line="269" w:lineRule="auto"/>
        <w:rPr>
          <w:sz w:val="20"/>
          <w:szCs w:val="20"/>
          <w:color w:val="auto"/>
        </w:rPr>
      </w:pPr>
      <w:r>
        <w:rPr>
          <w:rFonts w:ascii="Arial" w:cs="Arial" w:eastAsia="Arial" w:hAnsi="Arial"/>
          <w:sz w:val="17"/>
          <w:szCs w:val="17"/>
          <w:b w:val="1"/>
          <w:bCs w:val="1"/>
          <w:color w:val="auto"/>
        </w:rPr>
        <w:t xml:space="preserve">10.3 </w:t>
      </w:r>
      <w:r>
        <w:rPr>
          <w:rFonts w:ascii="Arial" w:cs="Arial" w:eastAsia="Arial" w:hAnsi="Arial"/>
          <w:sz w:val="17"/>
          <w:szCs w:val="17"/>
          <w:b w:val="1"/>
          <w:bCs w:val="1"/>
          <w:u w:val="single" w:color="auto"/>
          <w:color w:val="auto"/>
        </w:rPr>
        <w:t>License to Course Materials</w:t>
      </w:r>
      <w:r>
        <w:rPr>
          <w:rFonts w:ascii="Arial" w:cs="Arial" w:eastAsia="Arial" w:hAnsi="Arial"/>
          <w:sz w:val="17"/>
          <w:szCs w:val="17"/>
          <w:color w:val="auto"/>
        </w:rPr>
        <w:t>. Subject to the terms and conditions of this Agreement, and subject to the applicable Quality</w:t>
      </w:r>
      <w:r>
        <w:rPr>
          <w:rFonts w:ascii="Arial" w:cs="Arial" w:eastAsia="Arial" w:hAnsi="Arial"/>
          <w:sz w:val="17"/>
          <w:szCs w:val="17"/>
          <w:b w:val="1"/>
          <w:bCs w:val="1"/>
          <w:color w:val="auto"/>
        </w:rPr>
        <w:t xml:space="preserve"> </w:t>
      </w:r>
      <w:r>
        <w:rPr>
          <w:rFonts w:ascii="Arial" w:cs="Arial" w:eastAsia="Arial" w:hAnsi="Arial"/>
          <w:sz w:val="17"/>
          <w:szCs w:val="17"/>
          <w:color w:val="auto"/>
        </w:rPr>
        <w:t>Control Standards set forth in Section 10.9 (Quality Control), University, on behalf of itself and its Affiliates, hereby grants to Provider, during the Initial Term and any Renewal Term and under the Intellectual Property rights owned or controlled by University or its Affiliates, a non-exclusive, non-transferable, worldwide, royalty-free right and license, without the right to sublicense, (a) to create derivative works of, and to modify, enhance and develop improvements to, the Course Materials (collectively, “</w:t>
      </w:r>
      <w:r>
        <w:rPr>
          <w:rFonts w:ascii="Arial" w:cs="Arial" w:eastAsia="Arial" w:hAnsi="Arial"/>
          <w:sz w:val="17"/>
          <w:szCs w:val="17"/>
          <w:b w:val="1"/>
          <w:bCs w:val="1"/>
          <w:i w:val="1"/>
          <w:iCs w:val="1"/>
          <w:color w:val="auto"/>
        </w:rPr>
        <w:t>Improvements</w:t>
      </w:r>
      <w:r>
        <w:rPr>
          <w:rFonts w:ascii="Arial" w:cs="Arial" w:eastAsia="Arial" w:hAnsi="Arial"/>
          <w:sz w:val="17"/>
          <w:szCs w:val="17"/>
          <w:color w:val="auto"/>
        </w:rPr>
        <w:t>”), and (b) to use the Course Materials, including the right to reproduce, distribute copies, publicly display and publicly perform the Course Materials, in each case solely in connection with the performance by Provider of Services under this Agreement. The foregoing license only in clause (a) of Section 10.3 (License to Course Materials) is subject to University’s prior written consent (not to be unreasonably withheld, conditioned or delayed) for each of the Improvements and such consent may be reasonably conditioned on additional terms and conditions to be proposed by University consistent with University’s academic control over the Course Materials. During the Initial Term of this Agreement and any Renewal Term, Provider shall disclose all Improvements to University. Provider will have written agreements with its employees and contractors that develop Improvements pursuant to which such employees and contractors assign to Provider all right, title and interest in and to the Improvements and all Intellectual Property rights therein.</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32" w:name="page33"/>
    <w:bookmarkEnd w:id="32"/>
    <w:p>
      <w:pPr>
        <w:ind w:right="60" w:firstLine="1297"/>
        <w:spacing w:after="0" w:line="255" w:lineRule="auto"/>
        <w:rPr>
          <w:sz w:val="20"/>
          <w:szCs w:val="20"/>
          <w:color w:val="auto"/>
        </w:rPr>
      </w:pPr>
      <w:r>
        <w:rPr>
          <w:rFonts w:ascii="Arial" w:cs="Arial" w:eastAsia="Arial" w:hAnsi="Arial"/>
          <w:sz w:val="18"/>
          <w:szCs w:val="18"/>
          <w:b w:val="1"/>
          <w:bCs w:val="1"/>
          <w:color w:val="auto"/>
        </w:rPr>
        <w:t xml:space="preserve">10.4 </w:t>
      </w:r>
      <w:r>
        <w:rPr>
          <w:rFonts w:ascii="Arial" w:cs="Arial" w:eastAsia="Arial" w:hAnsi="Arial"/>
          <w:sz w:val="18"/>
          <w:szCs w:val="18"/>
          <w:b w:val="1"/>
          <w:bCs w:val="1"/>
          <w:u w:val="single" w:color="auto"/>
          <w:color w:val="auto"/>
        </w:rPr>
        <w:t>License to Other University Intellectual Property</w:t>
      </w:r>
      <w:r>
        <w:rPr>
          <w:rFonts w:ascii="Arial" w:cs="Arial" w:eastAsia="Arial" w:hAnsi="Arial"/>
          <w:sz w:val="18"/>
          <w:szCs w:val="18"/>
          <w:color w:val="auto"/>
        </w:rPr>
        <w:t>. Subject to the terms and conditions of this Agreement, University, on behalf</w:t>
      </w:r>
      <w:r>
        <w:rPr>
          <w:rFonts w:ascii="Arial" w:cs="Arial" w:eastAsia="Arial" w:hAnsi="Arial"/>
          <w:sz w:val="18"/>
          <w:szCs w:val="18"/>
          <w:b w:val="1"/>
          <w:bCs w:val="1"/>
          <w:color w:val="auto"/>
        </w:rPr>
        <w:t xml:space="preserve"> </w:t>
      </w:r>
      <w:r>
        <w:rPr>
          <w:rFonts w:ascii="Arial" w:cs="Arial" w:eastAsia="Arial" w:hAnsi="Arial"/>
          <w:sz w:val="18"/>
          <w:szCs w:val="18"/>
          <w:color w:val="auto"/>
        </w:rPr>
        <w:t>of itself and its Affiliates, hereby grants to Provider, during the Initial Term and any Renewal Term and under the Intellectual Property rights owned or controlled by University or its Affiliates, a non-exclusive (except as provided in the next sentence), non-transferable, worldwide, royalty-free right and license, without the right to sublicense, to use, reproduce, create derivative works and to modify, enhance and develop improvements to the University Intellectual Property (other than the Course Materials and University Marks) and distribute copies, publicly display and publicly perform such other University Intellectual Property, in each case solely in connection the performance by Provider of Services under this Agreement. Notwithstanding the foregoing, the license set forth in this Section 10.4 (License to Other University Intellectual Property) shall be exclusive with respect to the Exclusive Services.</w:t>
      </w:r>
    </w:p>
    <w:p>
      <w:pPr>
        <w:spacing w:after="0" w:line="185" w:lineRule="exact"/>
        <w:rPr>
          <w:sz w:val="20"/>
          <w:szCs w:val="20"/>
          <w:color w:val="auto"/>
        </w:rPr>
      </w:pPr>
    </w:p>
    <w:p>
      <w:pPr>
        <w:ind w:firstLine="1297"/>
        <w:spacing w:after="0" w:line="290" w:lineRule="auto"/>
        <w:rPr>
          <w:sz w:val="20"/>
          <w:szCs w:val="20"/>
          <w:color w:val="auto"/>
        </w:rPr>
      </w:pPr>
      <w:r>
        <w:rPr>
          <w:rFonts w:ascii="Arial" w:cs="Arial" w:eastAsia="Arial" w:hAnsi="Arial"/>
          <w:sz w:val="16"/>
          <w:szCs w:val="16"/>
          <w:b w:val="1"/>
          <w:bCs w:val="1"/>
          <w:color w:val="auto"/>
        </w:rPr>
        <w:t xml:space="preserve">10.5 </w:t>
      </w:r>
      <w:r>
        <w:rPr>
          <w:rFonts w:ascii="Arial" w:cs="Arial" w:eastAsia="Arial" w:hAnsi="Arial"/>
          <w:sz w:val="16"/>
          <w:szCs w:val="16"/>
          <w:b w:val="1"/>
          <w:bCs w:val="1"/>
          <w:u w:val="single" w:color="auto"/>
          <w:color w:val="auto"/>
        </w:rPr>
        <w:t>License to University Marks</w:t>
      </w:r>
      <w:r>
        <w:rPr>
          <w:rFonts w:ascii="Arial" w:cs="Arial" w:eastAsia="Arial" w:hAnsi="Arial"/>
          <w:sz w:val="16"/>
          <w:szCs w:val="16"/>
          <w:color w:val="auto"/>
        </w:rPr>
        <w:t>. Subject to the terms and conditions of this Agreement and to the Quality Control Standards set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forth in Section 10.9 (Quality Control), University, on behalf of itself and its Affiliates, hereby grants to Provider, during the Initial Term and any Renewal Term, a worldwide, non-exclusive (except as provided in the next sentence), non-transferable, royalty-free right and license, without the right to sublicense, to use, reproduce and display the University Marks solely in connection with the performance by Provider of the Services (e.g., marketing and promotion services). Notwithstanding the foregoing, the license set forth in this Section 10.5 (License to University Marks) shall be exclusive with respect to the Services identified herein; provided, that University may use, reproduce and display the University Marks in connection with the marketing and promotion of University and the Programs as well as any other uses unrelated to the Services identified herein. Subject to the terms of this Agreement (e.g., with respect to Provider’s permitted use of University Marks), Provider and University shall coordinate their marketing and promotional activities in respect of University to ensure a consistent message. A list of University Marks as of the Effective Date is set forth on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to this Agreement.</w:t>
      </w:r>
    </w:p>
    <w:p>
      <w:pPr>
        <w:spacing w:after="0" w:line="160" w:lineRule="exact"/>
        <w:rPr>
          <w:sz w:val="20"/>
          <w:szCs w:val="20"/>
          <w:color w:val="auto"/>
        </w:rPr>
      </w:pPr>
    </w:p>
    <w:p>
      <w:pPr>
        <w:ind w:right="780" w:firstLine="1297"/>
        <w:spacing w:after="0" w:line="282" w:lineRule="auto"/>
        <w:rPr>
          <w:sz w:val="20"/>
          <w:szCs w:val="20"/>
          <w:color w:val="auto"/>
        </w:rPr>
      </w:pPr>
      <w:r>
        <w:rPr>
          <w:rFonts w:ascii="Arial" w:cs="Arial" w:eastAsia="Arial" w:hAnsi="Arial"/>
          <w:sz w:val="18"/>
          <w:szCs w:val="18"/>
          <w:b w:val="1"/>
          <w:bCs w:val="1"/>
          <w:color w:val="auto"/>
        </w:rPr>
        <w:t xml:space="preserve">10.6 </w:t>
      </w:r>
      <w:r>
        <w:rPr>
          <w:rFonts w:ascii="Arial" w:cs="Arial" w:eastAsia="Arial" w:hAnsi="Arial"/>
          <w:sz w:val="18"/>
          <w:szCs w:val="18"/>
          <w:b w:val="1"/>
          <w:bCs w:val="1"/>
          <w:u w:val="single" w:color="auto"/>
          <w:color w:val="auto"/>
        </w:rPr>
        <w:t>Reservation of Rights</w:t>
      </w:r>
      <w:r>
        <w:rPr>
          <w:rFonts w:ascii="Arial" w:cs="Arial" w:eastAsia="Arial" w:hAnsi="Arial"/>
          <w:sz w:val="18"/>
          <w:szCs w:val="18"/>
          <w:color w:val="auto"/>
        </w:rPr>
        <w:t>. Nothing in this Agreement shall be deemed in any way to constitute a transfer or assignment by</w:t>
      </w:r>
      <w:r>
        <w:rPr>
          <w:rFonts w:ascii="Arial" w:cs="Arial" w:eastAsia="Arial" w:hAnsi="Arial"/>
          <w:sz w:val="18"/>
          <w:szCs w:val="18"/>
          <w:b w:val="1"/>
          <w:bCs w:val="1"/>
          <w:color w:val="auto"/>
        </w:rPr>
        <w:t xml:space="preserve"> </w:t>
      </w:r>
      <w:r>
        <w:rPr>
          <w:rFonts w:ascii="Arial" w:cs="Arial" w:eastAsia="Arial" w:hAnsi="Arial"/>
          <w:sz w:val="18"/>
          <w:szCs w:val="18"/>
          <w:color w:val="auto"/>
        </w:rPr>
        <w:t>University to Provider of ownership of or title to any of University Intellectual Property.</w:t>
      </w:r>
    </w:p>
    <w:p>
      <w:pPr>
        <w:spacing w:after="0" w:line="162" w:lineRule="exact"/>
        <w:rPr>
          <w:sz w:val="20"/>
          <w:szCs w:val="20"/>
          <w:color w:val="auto"/>
        </w:rPr>
      </w:pPr>
    </w:p>
    <w:p>
      <w:pPr>
        <w:jc w:val="both"/>
        <w:ind w:right="460" w:firstLine="1297"/>
        <w:spacing w:after="0" w:line="289" w:lineRule="auto"/>
        <w:rPr>
          <w:sz w:val="20"/>
          <w:szCs w:val="20"/>
          <w:color w:val="auto"/>
        </w:rPr>
      </w:pPr>
      <w:r>
        <w:rPr>
          <w:rFonts w:ascii="Arial" w:cs="Arial" w:eastAsia="Arial" w:hAnsi="Arial"/>
          <w:sz w:val="17"/>
          <w:szCs w:val="17"/>
          <w:b w:val="1"/>
          <w:bCs w:val="1"/>
          <w:color w:val="auto"/>
        </w:rPr>
        <w:t xml:space="preserve">10.7 </w:t>
      </w:r>
      <w:r>
        <w:rPr>
          <w:rFonts w:ascii="Arial" w:cs="Arial" w:eastAsia="Arial" w:hAnsi="Arial"/>
          <w:sz w:val="17"/>
          <w:szCs w:val="17"/>
          <w:b w:val="1"/>
          <w:bCs w:val="1"/>
          <w:u w:val="single" w:color="auto"/>
          <w:color w:val="auto"/>
        </w:rPr>
        <w:t>Domain Names; Additional Trademarks</w:t>
      </w:r>
      <w:r>
        <w:rPr>
          <w:rFonts w:ascii="Arial" w:cs="Arial" w:eastAsia="Arial" w:hAnsi="Arial"/>
          <w:sz w:val="17"/>
          <w:szCs w:val="17"/>
          <w:color w:val="auto"/>
        </w:rPr>
        <w:t>. If Provider is interested in using domain names containing one of the University</w:t>
      </w:r>
      <w:r>
        <w:rPr>
          <w:rFonts w:ascii="Arial" w:cs="Arial" w:eastAsia="Arial" w:hAnsi="Arial"/>
          <w:sz w:val="17"/>
          <w:szCs w:val="17"/>
          <w:b w:val="1"/>
          <w:bCs w:val="1"/>
          <w:color w:val="auto"/>
        </w:rPr>
        <w:t xml:space="preserve"> </w:t>
      </w:r>
      <w:r>
        <w:rPr>
          <w:rFonts w:ascii="Arial" w:cs="Arial" w:eastAsia="Arial" w:hAnsi="Arial"/>
          <w:sz w:val="17"/>
          <w:szCs w:val="17"/>
          <w:color w:val="auto"/>
        </w:rPr>
        <w:t>Marks, for any purpose, Provider shall provide a written request to University and University may, in its sole discretion, apply to register the additional domain names and/or trademarks and amend the list of University Marks to include such additional domain names and/or trademarks.</w:t>
      </w:r>
    </w:p>
    <w:p>
      <w:pPr>
        <w:spacing w:after="0" w:line="158" w:lineRule="exact"/>
        <w:rPr>
          <w:sz w:val="20"/>
          <w:szCs w:val="20"/>
          <w:color w:val="auto"/>
        </w:rPr>
      </w:pPr>
    </w:p>
    <w:p>
      <w:pPr>
        <w:ind w:right="80" w:firstLine="1297"/>
        <w:spacing w:after="0" w:line="266" w:lineRule="auto"/>
        <w:rPr>
          <w:sz w:val="20"/>
          <w:szCs w:val="20"/>
          <w:color w:val="auto"/>
        </w:rPr>
      </w:pPr>
      <w:r>
        <w:rPr>
          <w:rFonts w:ascii="Arial" w:cs="Arial" w:eastAsia="Arial" w:hAnsi="Arial"/>
          <w:sz w:val="18"/>
          <w:szCs w:val="18"/>
          <w:b w:val="1"/>
          <w:bCs w:val="1"/>
          <w:color w:val="auto"/>
        </w:rPr>
        <w:t xml:space="preserve">10.8 </w:t>
      </w:r>
      <w:r>
        <w:rPr>
          <w:rFonts w:ascii="Arial" w:cs="Arial" w:eastAsia="Arial" w:hAnsi="Arial"/>
          <w:sz w:val="18"/>
          <w:szCs w:val="18"/>
          <w:b w:val="1"/>
          <w:bCs w:val="1"/>
          <w:u w:val="single" w:color="auto"/>
          <w:color w:val="auto"/>
        </w:rPr>
        <w:t>Restrictions on Trademark Usage</w:t>
      </w:r>
      <w:r>
        <w:rPr>
          <w:rFonts w:ascii="Arial" w:cs="Arial" w:eastAsia="Arial" w:hAnsi="Arial"/>
          <w:sz w:val="18"/>
          <w:szCs w:val="18"/>
          <w:color w:val="auto"/>
        </w:rPr>
        <w:t>. University grants no rights under the University Marks other than those expressly granted</w:t>
      </w:r>
      <w:r>
        <w:rPr>
          <w:rFonts w:ascii="Arial" w:cs="Arial" w:eastAsia="Arial" w:hAnsi="Arial"/>
          <w:sz w:val="18"/>
          <w:szCs w:val="18"/>
          <w:b w:val="1"/>
          <w:bCs w:val="1"/>
          <w:color w:val="auto"/>
        </w:rPr>
        <w:t xml:space="preserve"> </w:t>
      </w:r>
      <w:r>
        <w:rPr>
          <w:rFonts w:ascii="Arial" w:cs="Arial" w:eastAsia="Arial" w:hAnsi="Arial"/>
          <w:sz w:val="18"/>
          <w:szCs w:val="18"/>
          <w:color w:val="auto"/>
        </w:rPr>
        <w:t>herein unless otherwise agreed to in writing on a case-by-case basis, at the sole discretion of University. Without limiting the foregoing, Provider agrees that it shall not directly or indirectly at any time:</w:t>
      </w:r>
    </w:p>
    <w:p>
      <w:pPr>
        <w:spacing w:after="0" w:line="176" w:lineRule="exact"/>
        <w:rPr>
          <w:sz w:val="20"/>
          <w:szCs w:val="20"/>
          <w:color w:val="auto"/>
        </w:rPr>
      </w:pPr>
    </w:p>
    <w:p>
      <w:pPr>
        <w:ind w:right="40" w:firstLine="1945"/>
        <w:spacing w:after="0" w:line="282" w:lineRule="auto"/>
        <w:rPr>
          <w:sz w:val="20"/>
          <w:szCs w:val="20"/>
          <w:color w:val="auto"/>
        </w:rPr>
      </w:pPr>
      <w:r>
        <w:rPr>
          <w:rFonts w:ascii="Arial" w:cs="Arial" w:eastAsia="Arial" w:hAnsi="Arial"/>
          <w:sz w:val="18"/>
          <w:szCs w:val="18"/>
          <w:b w:val="1"/>
          <w:bCs w:val="1"/>
          <w:color w:val="auto"/>
        </w:rPr>
        <w:t xml:space="preserve">10.8.1 </w:t>
      </w:r>
      <w:r>
        <w:rPr>
          <w:rFonts w:ascii="Arial" w:cs="Arial" w:eastAsia="Arial" w:hAnsi="Arial"/>
          <w:sz w:val="18"/>
          <w:szCs w:val="18"/>
          <w:color w:val="auto"/>
        </w:rPr>
        <w:t>use any of the University Marks for or in connection with any business of Provider other than the provision of Services to</w:t>
      </w:r>
      <w:r>
        <w:rPr>
          <w:rFonts w:ascii="Arial" w:cs="Arial" w:eastAsia="Arial" w:hAnsi="Arial"/>
          <w:sz w:val="18"/>
          <w:szCs w:val="18"/>
          <w:b w:val="1"/>
          <w:bCs w:val="1"/>
          <w:color w:val="auto"/>
        </w:rPr>
        <w:t xml:space="preserve"> </w:t>
      </w:r>
      <w:r>
        <w:rPr>
          <w:rFonts w:ascii="Arial" w:cs="Arial" w:eastAsia="Arial" w:hAnsi="Arial"/>
          <w:sz w:val="18"/>
          <w:szCs w:val="18"/>
          <w:color w:val="auto"/>
        </w:rPr>
        <w:t>University under this Agreement;</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3" w:name="page34"/>
    <w:bookmarkEnd w:id="33"/>
    <w:p>
      <w:pPr>
        <w:ind w:right="360" w:firstLine="1945"/>
        <w:spacing w:after="0" w:line="282" w:lineRule="auto"/>
        <w:rPr>
          <w:sz w:val="20"/>
          <w:szCs w:val="20"/>
          <w:color w:val="auto"/>
        </w:rPr>
      </w:pPr>
      <w:r>
        <w:rPr>
          <w:rFonts w:ascii="Arial" w:cs="Arial" w:eastAsia="Arial" w:hAnsi="Arial"/>
          <w:sz w:val="18"/>
          <w:szCs w:val="18"/>
          <w:b w:val="1"/>
          <w:bCs w:val="1"/>
          <w:color w:val="auto"/>
        </w:rPr>
        <w:t xml:space="preserve">10.8.2 </w:t>
      </w:r>
      <w:r>
        <w:rPr>
          <w:rFonts w:ascii="Arial" w:cs="Arial" w:eastAsia="Arial" w:hAnsi="Arial"/>
          <w:sz w:val="18"/>
          <w:szCs w:val="18"/>
          <w:color w:val="auto"/>
        </w:rPr>
        <w:t>use any of the University Marks in combination with any other trade name, trademark, service mark, corporate name,</w:t>
      </w:r>
      <w:r>
        <w:rPr>
          <w:rFonts w:ascii="Arial" w:cs="Arial" w:eastAsia="Arial" w:hAnsi="Arial"/>
          <w:sz w:val="18"/>
          <w:szCs w:val="18"/>
          <w:b w:val="1"/>
          <w:bCs w:val="1"/>
          <w:color w:val="auto"/>
        </w:rPr>
        <w:t xml:space="preserve"> </w:t>
      </w:r>
      <w:r>
        <w:rPr>
          <w:rFonts w:ascii="Arial" w:cs="Arial" w:eastAsia="Arial" w:hAnsi="Arial"/>
          <w:sz w:val="18"/>
          <w:szCs w:val="18"/>
          <w:color w:val="auto"/>
        </w:rPr>
        <w:t>logo, domain name or trade dress, unless approved in advance in writing by University;</w:t>
      </w:r>
    </w:p>
    <w:p>
      <w:pPr>
        <w:spacing w:after="0" w:line="162" w:lineRule="exact"/>
        <w:rPr>
          <w:sz w:val="20"/>
          <w:szCs w:val="20"/>
          <w:color w:val="auto"/>
        </w:rPr>
      </w:pPr>
    </w:p>
    <w:p>
      <w:pPr>
        <w:ind w:right="20" w:firstLine="1945"/>
        <w:spacing w:after="0" w:line="282" w:lineRule="auto"/>
        <w:rPr>
          <w:sz w:val="20"/>
          <w:szCs w:val="20"/>
          <w:color w:val="auto"/>
        </w:rPr>
      </w:pPr>
      <w:r>
        <w:rPr>
          <w:rFonts w:ascii="Arial" w:cs="Arial" w:eastAsia="Arial" w:hAnsi="Arial"/>
          <w:sz w:val="18"/>
          <w:szCs w:val="18"/>
          <w:b w:val="1"/>
          <w:bCs w:val="1"/>
          <w:color w:val="auto"/>
        </w:rPr>
        <w:t xml:space="preserve">10.8.3 </w:t>
      </w:r>
      <w:r>
        <w:rPr>
          <w:rFonts w:ascii="Arial" w:cs="Arial" w:eastAsia="Arial" w:hAnsi="Arial"/>
          <w:sz w:val="18"/>
          <w:szCs w:val="18"/>
          <w:color w:val="auto"/>
        </w:rPr>
        <w:t>use any trade name, trademark, service mark, domain name, logo or trade dress which, in University’s opinion, is likely to</w:t>
      </w:r>
      <w:r>
        <w:rPr>
          <w:rFonts w:ascii="Arial" w:cs="Arial" w:eastAsia="Arial" w:hAnsi="Arial"/>
          <w:sz w:val="18"/>
          <w:szCs w:val="18"/>
          <w:b w:val="1"/>
          <w:bCs w:val="1"/>
          <w:color w:val="auto"/>
        </w:rPr>
        <w:t xml:space="preserve"> </w:t>
      </w:r>
      <w:r>
        <w:rPr>
          <w:rFonts w:ascii="Arial" w:cs="Arial" w:eastAsia="Arial" w:hAnsi="Arial"/>
          <w:sz w:val="18"/>
          <w:szCs w:val="18"/>
          <w:color w:val="auto"/>
        </w:rPr>
        <w:t>be confused with, tarnish or dilute any of the University Marks;</w:t>
      </w:r>
    </w:p>
    <w:p>
      <w:pPr>
        <w:spacing w:after="0" w:line="162" w:lineRule="exact"/>
        <w:rPr>
          <w:sz w:val="20"/>
          <w:szCs w:val="20"/>
          <w:color w:val="auto"/>
        </w:rPr>
      </w:pPr>
    </w:p>
    <w:p>
      <w:pPr>
        <w:ind w:right="40" w:firstLine="1945"/>
        <w:spacing w:after="0" w:line="282" w:lineRule="auto"/>
        <w:rPr>
          <w:sz w:val="20"/>
          <w:szCs w:val="20"/>
          <w:color w:val="auto"/>
        </w:rPr>
      </w:pPr>
      <w:r>
        <w:rPr>
          <w:rFonts w:ascii="Arial" w:cs="Arial" w:eastAsia="Arial" w:hAnsi="Arial"/>
          <w:sz w:val="18"/>
          <w:szCs w:val="18"/>
          <w:b w:val="1"/>
          <w:bCs w:val="1"/>
          <w:color w:val="auto"/>
        </w:rPr>
        <w:t xml:space="preserve">10.8.4 </w:t>
      </w:r>
      <w:r>
        <w:rPr>
          <w:rFonts w:ascii="Arial" w:cs="Arial" w:eastAsia="Arial" w:hAnsi="Arial"/>
          <w:sz w:val="18"/>
          <w:szCs w:val="18"/>
          <w:color w:val="auto"/>
        </w:rPr>
        <w:t>apply to register, obtain, use or own any domain name or trademark comprising or related to any of the University Marks,</w:t>
      </w:r>
      <w:r>
        <w:rPr>
          <w:rFonts w:ascii="Arial" w:cs="Arial" w:eastAsia="Arial" w:hAnsi="Arial"/>
          <w:sz w:val="18"/>
          <w:szCs w:val="18"/>
          <w:b w:val="1"/>
          <w:bCs w:val="1"/>
          <w:color w:val="auto"/>
        </w:rPr>
        <w:t xml:space="preserve"> </w:t>
      </w:r>
      <w:r>
        <w:rPr>
          <w:rFonts w:ascii="Arial" w:cs="Arial" w:eastAsia="Arial" w:hAnsi="Arial"/>
          <w:sz w:val="18"/>
          <w:szCs w:val="18"/>
          <w:color w:val="auto"/>
        </w:rPr>
        <w:t>or any confusingly similar marks; or</w:t>
      </w:r>
    </w:p>
    <w:p>
      <w:pPr>
        <w:spacing w:after="0" w:line="162" w:lineRule="exact"/>
        <w:rPr>
          <w:sz w:val="20"/>
          <w:szCs w:val="20"/>
          <w:color w:val="auto"/>
        </w:rPr>
      </w:pPr>
    </w:p>
    <w:p>
      <w:pPr>
        <w:ind w:left="1960"/>
        <w:spacing w:after="0"/>
        <w:tabs>
          <w:tab w:leader="none" w:pos="2580" w:val="left"/>
        </w:tabs>
        <w:rPr>
          <w:sz w:val="20"/>
          <w:szCs w:val="20"/>
          <w:color w:val="auto"/>
        </w:rPr>
      </w:pPr>
      <w:r>
        <w:rPr>
          <w:rFonts w:ascii="Arial" w:cs="Arial" w:eastAsia="Arial" w:hAnsi="Arial"/>
          <w:sz w:val="18"/>
          <w:szCs w:val="18"/>
          <w:b w:val="1"/>
          <w:bCs w:val="1"/>
          <w:color w:val="auto"/>
        </w:rPr>
        <w:t>10.8.5</w:t>
      </w:r>
      <w:r>
        <w:rPr>
          <w:sz w:val="20"/>
          <w:szCs w:val="20"/>
          <w:color w:val="auto"/>
        </w:rPr>
        <w:tab/>
      </w:r>
      <w:r>
        <w:rPr>
          <w:rFonts w:ascii="Arial" w:cs="Arial" w:eastAsia="Arial" w:hAnsi="Arial"/>
          <w:sz w:val="16"/>
          <w:szCs w:val="16"/>
          <w:color w:val="auto"/>
        </w:rPr>
        <w:t>use the University seal (which is solely used for academic purposes).</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b w:val="1"/>
          <w:bCs w:val="1"/>
          <w:color w:val="auto"/>
        </w:rPr>
        <w:t>10.9</w:t>
      </w:r>
      <w:r>
        <w:rPr>
          <w:sz w:val="20"/>
          <w:szCs w:val="20"/>
          <w:color w:val="auto"/>
        </w:rPr>
        <w:tab/>
      </w:r>
      <w:r>
        <w:rPr>
          <w:rFonts w:ascii="Arial" w:cs="Arial" w:eastAsia="Arial" w:hAnsi="Arial"/>
          <w:sz w:val="17"/>
          <w:szCs w:val="17"/>
          <w:b w:val="1"/>
          <w:bCs w:val="1"/>
          <w:u w:val="single" w:color="auto"/>
          <w:color w:val="auto"/>
        </w:rPr>
        <w:t>Quality Control</w:t>
      </w:r>
      <w:r>
        <w:rPr>
          <w:rFonts w:ascii="Arial" w:cs="Arial" w:eastAsia="Arial" w:hAnsi="Arial"/>
          <w:sz w:val="17"/>
          <w:szCs w:val="17"/>
          <w:color w:val="auto"/>
        </w:rPr>
        <w:t>.</w:t>
      </w:r>
    </w:p>
    <w:p>
      <w:pPr>
        <w:spacing w:after="0" w:line="225" w:lineRule="exact"/>
        <w:rPr>
          <w:sz w:val="20"/>
          <w:szCs w:val="20"/>
          <w:color w:val="auto"/>
        </w:rPr>
      </w:pPr>
    </w:p>
    <w:p>
      <w:pPr>
        <w:ind w:right="140" w:firstLine="1945"/>
        <w:spacing w:after="0" w:line="256" w:lineRule="auto"/>
        <w:rPr>
          <w:sz w:val="20"/>
          <w:szCs w:val="20"/>
          <w:color w:val="auto"/>
        </w:rPr>
      </w:pPr>
      <w:r>
        <w:rPr>
          <w:rFonts w:ascii="Arial" w:cs="Arial" w:eastAsia="Arial" w:hAnsi="Arial"/>
          <w:sz w:val="18"/>
          <w:szCs w:val="18"/>
          <w:b w:val="1"/>
          <w:bCs w:val="1"/>
          <w:color w:val="auto"/>
        </w:rPr>
        <w:t xml:space="preserve">10.9.1 </w:t>
      </w:r>
      <w:r>
        <w:rPr>
          <w:rFonts w:ascii="Arial" w:cs="Arial" w:eastAsia="Arial" w:hAnsi="Arial"/>
          <w:sz w:val="18"/>
          <w:szCs w:val="18"/>
          <w:color w:val="auto"/>
        </w:rPr>
        <w:t>Notwithstanding anything herein to the contrary, University shall retain absolute final authority respecting the form and</w:t>
      </w:r>
      <w:r>
        <w:rPr>
          <w:rFonts w:ascii="Arial" w:cs="Arial" w:eastAsia="Arial" w:hAnsi="Arial"/>
          <w:sz w:val="18"/>
          <w:szCs w:val="18"/>
          <w:b w:val="1"/>
          <w:bCs w:val="1"/>
          <w:color w:val="auto"/>
        </w:rPr>
        <w:t xml:space="preserve"> </w:t>
      </w:r>
      <w:r>
        <w:rPr>
          <w:rFonts w:ascii="Arial" w:cs="Arial" w:eastAsia="Arial" w:hAnsi="Arial"/>
          <w:sz w:val="18"/>
          <w:szCs w:val="18"/>
          <w:color w:val="auto"/>
        </w:rPr>
        <w:t>content of any of the Programs, including Courses and Course Materials, offered under the University name or University Marks. Provider shall at all times operate Provider’s business in accordance with standards of professionalism and business practices consistent with those of University, and in accordance with Applicable Law. Provider shall not perform, or fail to perform, any act if, in University’s reasonable opinion, such act, or failure to act, materially and adversely affects the business or academic reputation of University, or in any way materially diminishes or tarnishes the reputation of University, its employees, its students or any University Marks.</w:t>
      </w:r>
    </w:p>
    <w:p>
      <w:pPr>
        <w:spacing w:after="0" w:line="188" w:lineRule="exact"/>
        <w:rPr>
          <w:sz w:val="20"/>
          <w:szCs w:val="20"/>
          <w:color w:val="auto"/>
        </w:rPr>
      </w:pPr>
    </w:p>
    <w:p>
      <w:pPr>
        <w:ind w:right="180" w:firstLine="1945"/>
        <w:spacing w:after="0" w:line="273" w:lineRule="auto"/>
        <w:rPr>
          <w:sz w:val="20"/>
          <w:szCs w:val="20"/>
          <w:color w:val="auto"/>
        </w:rPr>
      </w:pPr>
      <w:r>
        <w:rPr>
          <w:rFonts w:ascii="Arial" w:cs="Arial" w:eastAsia="Arial" w:hAnsi="Arial"/>
          <w:sz w:val="17"/>
          <w:szCs w:val="17"/>
          <w:b w:val="1"/>
          <w:bCs w:val="1"/>
          <w:color w:val="auto"/>
        </w:rPr>
        <w:t xml:space="preserve">10.9.2 </w:t>
      </w:r>
      <w:r>
        <w:rPr>
          <w:rFonts w:ascii="Arial" w:cs="Arial" w:eastAsia="Arial" w:hAnsi="Arial"/>
          <w:sz w:val="17"/>
          <w:szCs w:val="17"/>
          <w:color w:val="auto"/>
        </w:rPr>
        <w:t>Provider shall comply with University’s written quality control standards provided from time to time by University to</w:t>
      </w:r>
      <w:r>
        <w:rPr>
          <w:rFonts w:ascii="Arial" w:cs="Arial" w:eastAsia="Arial" w:hAnsi="Arial"/>
          <w:sz w:val="17"/>
          <w:szCs w:val="17"/>
          <w:b w:val="1"/>
          <w:bCs w:val="1"/>
          <w:color w:val="auto"/>
        </w:rPr>
        <w:t xml:space="preserve"> </w:t>
      </w:r>
      <w:r>
        <w:rPr>
          <w:rFonts w:ascii="Arial" w:cs="Arial" w:eastAsia="Arial" w:hAnsi="Arial"/>
          <w:sz w:val="17"/>
          <w:szCs w:val="17"/>
          <w:color w:val="auto"/>
        </w:rPr>
        <w:t>Provider in connection with Provider’s use of the University Marks, as in effect from time to time, which shall be subject to reasonable changes or re-branding by University from time to time upon at least thirty (30) days prior written notice to Provider (the “Quality Control Standards”). All such changes and re-branding shall be consistent with changes and re-branding implemented and put into practice by University generally and shall not be unique to Provider. All uses of the University Marks must be in conformance with the then-current form of Quality Control Standards or otherwise be approved in writing by University prior to their use. Provider shall not by any act or omission use the University Marks in any manner that disparages or reflects adversely on the University Marks or on University, its employees, its students, its business or its reputation.</w:t>
      </w:r>
    </w:p>
    <w:p>
      <w:pPr>
        <w:spacing w:after="0" w:line="172" w:lineRule="exact"/>
        <w:rPr>
          <w:sz w:val="20"/>
          <w:szCs w:val="20"/>
          <w:color w:val="auto"/>
        </w:rPr>
      </w:pPr>
    </w:p>
    <w:p>
      <w:pPr>
        <w:ind w:firstLine="1945"/>
        <w:spacing w:after="0" w:line="258" w:lineRule="auto"/>
        <w:rPr>
          <w:sz w:val="20"/>
          <w:szCs w:val="20"/>
          <w:color w:val="auto"/>
        </w:rPr>
      </w:pPr>
      <w:r>
        <w:rPr>
          <w:rFonts w:ascii="Arial" w:cs="Arial" w:eastAsia="Arial" w:hAnsi="Arial"/>
          <w:sz w:val="18"/>
          <w:szCs w:val="18"/>
          <w:b w:val="1"/>
          <w:bCs w:val="1"/>
          <w:color w:val="auto"/>
        </w:rPr>
        <w:t xml:space="preserve">10.9.3 </w:t>
      </w:r>
      <w:r>
        <w:rPr>
          <w:rFonts w:ascii="Arial" w:cs="Arial" w:eastAsia="Arial" w:hAnsi="Arial"/>
          <w:sz w:val="18"/>
          <w:szCs w:val="18"/>
          <w:color w:val="auto"/>
        </w:rPr>
        <w:t>If at any time University is of the reasonable opinion that Provider is in breach of Section 10.8 (Restrictions on Trademark</w:t>
      </w:r>
      <w:r>
        <w:rPr>
          <w:rFonts w:ascii="Arial" w:cs="Arial" w:eastAsia="Arial" w:hAnsi="Arial"/>
          <w:sz w:val="18"/>
          <w:szCs w:val="18"/>
          <w:b w:val="1"/>
          <w:bCs w:val="1"/>
          <w:color w:val="auto"/>
        </w:rPr>
        <w:t xml:space="preserve"> </w:t>
      </w:r>
      <w:r>
        <w:rPr>
          <w:rFonts w:ascii="Arial" w:cs="Arial" w:eastAsia="Arial" w:hAnsi="Arial"/>
          <w:sz w:val="18"/>
          <w:szCs w:val="18"/>
          <w:color w:val="auto"/>
        </w:rPr>
        <w:t>Usage) or the terms of this Section 10.9 (Quality Control) (other than Section 10.9.4), University shall deliver written notice to Provider as provided in, and otherwise proceed under, Section 6.4 (Termination for Breach) or Section 6.5 (Termination of Particular Service), as applicable. Notwithstanding the foregoing, the terms of this Section 10.9.3 shall not limit any right or remedy available to either Party, whether under this Agreement, Applicable Law or in equity, subject to the limitations on damages set forth in Section 11 (Limitation of Liability).</w:t>
      </w:r>
    </w:p>
    <w:p>
      <w:pPr>
        <w:spacing w:after="0" w:line="184" w:lineRule="exact"/>
        <w:rPr>
          <w:sz w:val="20"/>
          <w:szCs w:val="20"/>
          <w:color w:val="auto"/>
        </w:rPr>
      </w:pPr>
    </w:p>
    <w:p>
      <w:pPr>
        <w:ind w:right="640" w:firstLine="1945"/>
        <w:spacing w:after="0" w:line="282" w:lineRule="auto"/>
        <w:rPr>
          <w:sz w:val="20"/>
          <w:szCs w:val="20"/>
          <w:color w:val="auto"/>
        </w:rPr>
      </w:pPr>
      <w:r>
        <w:rPr>
          <w:rFonts w:ascii="Arial" w:cs="Arial" w:eastAsia="Arial" w:hAnsi="Arial"/>
          <w:sz w:val="18"/>
          <w:szCs w:val="18"/>
          <w:b w:val="1"/>
          <w:bCs w:val="1"/>
          <w:color w:val="auto"/>
        </w:rPr>
        <w:t xml:space="preserve">10.9.4 </w:t>
      </w:r>
      <w:r>
        <w:rPr>
          <w:rFonts w:ascii="Arial" w:cs="Arial" w:eastAsia="Arial" w:hAnsi="Arial"/>
          <w:sz w:val="18"/>
          <w:szCs w:val="18"/>
          <w:color w:val="auto"/>
        </w:rPr>
        <w:t>Provider shall not challenge or assist others in challenging University’s ownership of the Course Materials and/or</w:t>
      </w:r>
      <w:r>
        <w:rPr>
          <w:rFonts w:ascii="Arial" w:cs="Arial" w:eastAsia="Arial" w:hAnsi="Arial"/>
          <w:sz w:val="18"/>
          <w:szCs w:val="18"/>
          <w:b w:val="1"/>
          <w:bCs w:val="1"/>
          <w:color w:val="auto"/>
        </w:rPr>
        <w:t xml:space="preserve"> </w:t>
      </w:r>
      <w:r>
        <w:rPr>
          <w:rFonts w:ascii="Arial" w:cs="Arial" w:eastAsia="Arial" w:hAnsi="Arial"/>
          <w:sz w:val="18"/>
          <w:szCs w:val="18"/>
          <w:color w:val="auto"/>
        </w:rPr>
        <w:t>University Marks. Similarly, Provider shall</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not challenge or assist others in challenging University’s ownership of University Intellectual Property.</w:t>
      </w:r>
    </w:p>
    <w:p>
      <w:pPr>
        <w:spacing w:after="0" w:line="221" w:lineRule="exact"/>
        <w:rPr>
          <w:sz w:val="20"/>
          <w:szCs w:val="20"/>
          <w:color w:val="auto"/>
        </w:rPr>
      </w:pPr>
    </w:p>
    <w:p>
      <w:pPr>
        <w:ind w:firstLine="1297"/>
        <w:spacing w:after="0" w:line="254" w:lineRule="auto"/>
        <w:rPr>
          <w:sz w:val="20"/>
          <w:szCs w:val="20"/>
          <w:color w:val="auto"/>
        </w:rPr>
      </w:pPr>
      <w:r>
        <w:rPr>
          <w:rFonts w:ascii="Arial" w:cs="Arial" w:eastAsia="Arial" w:hAnsi="Arial"/>
          <w:sz w:val="18"/>
          <w:szCs w:val="18"/>
          <w:b w:val="1"/>
          <w:bCs w:val="1"/>
          <w:color w:val="auto"/>
        </w:rPr>
        <w:t xml:space="preserve">10.10 </w:t>
      </w:r>
      <w:r>
        <w:rPr>
          <w:rFonts w:ascii="Arial" w:cs="Arial" w:eastAsia="Arial" w:hAnsi="Arial"/>
          <w:sz w:val="18"/>
          <w:szCs w:val="18"/>
          <w:b w:val="1"/>
          <w:bCs w:val="1"/>
          <w:u w:val="single" w:color="auto"/>
          <w:color w:val="auto"/>
        </w:rPr>
        <w:t>License to Provider Intellectual Property</w:t>
      </w:r>
      <w:r>
        <w:rPr>
          <w:rFonts w:ascii="Arial" w:cs="Arial" w:eastAsia="Arial" w:hAnsi="Arial"/>
          <w:sz w:val="18"/>
          <w:szCs w:val="18"/>
          <w:color w:val="auto"/>
        </w:rPr>
        <w:t>. Subject to the terms and conditions in this Agreement, Provider hereby grants to</w:t>
      </w:r>
      <w:r>
        <w:rPr>
          <w:rFonts w:ascii="Arial" w:cs="Arial" w:eastAsia="Arial" w:hAnsi="Arial"/>
          <w:sz w:val="18"/>
          <w:szCs w:val="18"/>
          <w:b w:val="1"/>
          <w:bCs w:val="1"/>
          <w:color w:val="auto"/>
        </w:rPr>
        <w:t xml:space="preserve"> </w:t>
      </w:r>
      <w:r>
        <w:rPr>
          <w:rFonts w:ascii="Arial" w:cs="Arial" w:eastAsia="Arial" w:hAnsi="Arial"/>
          <w:sz w:val="18"/>
          <w:szCs w:val="18"/>
          <w:color w:val="auto"/>
        </w:rPr>
        <w:t>University the non-exclusive, non-transferable, right and license, during the Initial Term of this Agreement and any Renewal Term, and without the right to sublicense, to use all Provider Intellectual Property used in the Programs, including a license of all rights under copyright and the rights to reproduce and copy Provider Intellectual Property in all editions, versions, enhancements, improvements, updates, changes, and formats for print and in any other form or medium, whether now known or hereafter known, throughout the world, including, electronic, magnetic, digital, laser, or optical-based media, for use only in University’s Programs. To the extent necessary to facilitate access to the Programs, Provider shall also grant to University students a royalty-free license to use Provider Intellectual Property that is included in any Program for the duration of their participation in such Program, but only as part of the Program studies. Except for the express assignment by Provider to University of certain Intellectual Property as provided in Section 10.2.2 (Works Made for Hire), nothing in this Agreement shall be deemed in any way to constitute a transfer or assignment by Provider to University of ownership of or title to any Intellectual Property.</w:t>
      </w:r>
    </w:p>
    <w:p>
      <w:pPr>
        <w:spacing w:after="0" w:line="186"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18"/>
          <w:szCs w:val="18"/>
          <w:b w:val="1"/>
          <w:bCs w:val="1"/>
          <w:color w:val="auto"/>
        </w:rPr>
        <w:t>10.11</w:t>
      </w:r>
      <w:r>
        <w:rPr>
          <w:sz w:val="20"/>
          <w:szCs w:val="20"/>
          <w:color w:val="auto"/>
        </w:rPr>
        <w:tab/>
      </w:r>
      <w:r>
        <w:rPr>
          <w:rFonts w:ascii="Arial" w:cs="Arial" w:eastAsia="Arial" w:hAnsi="Arial"/>
          <w:sz w:val="16"/>
          <w:szCs w:val="16"/>
          <w:b w:val="1"/>
          <w:bCs w:val="1"/>
          <w:u w:val="single" w:color="auto"/>
          <w:color w:val="auto"/>
        </w:rPr>
        <w:t>Licenses to Plans and Plan Information</w:t>
      </w:r>
      <w:r>
        <w:rPr>
          <w:rFonts w:ascii="Arial" w:cs="Arial" w:eastAsia="Arial" w:hAnsi="Arial"/>
          <w:sz w:val="16"/>
          <w:szCs w:val="16"/>
          <w:color w:val="auto"/>
        </w:rPr>
        <w:t>. Licenses to Plans and Plan Information shall be governed by Section 1.2 of</w:t>
      </w:r>
      <w:r>
        <w:rPr>
          <w:rFonts w:ascii="Arial" w:cs="Arial" w:eastAsia="Arial" w:hAnsi="Arial"/>
          <w:sz w:val="16"/>
          <w:szCs w:val="16"/>
          <w:b w:val="1"/>
          <w:bCs w:val="1"/>
          <w:u w:val="single" w:color="auto"/>
          <w:color w:val="auto"/>
        </w:rPr>
        <w:t xml:space="preserve"> </w:t>
      </w:r>
      <w:r>
        <w:rPr>
          <w:rFonts w:ascii="Arial" w:cs="Arial" w:eastAsia="Arial" w:hAnsi="Arial"/>
          <w:sz w:val="16"/>
          <w:szCs w:val="16"/>
          <w:u w:val="single" w:color="auto"/>
          <w:color w:val="auto"/>
        </w:rPr>
        <w:t>Exhibit B</w:t>
      </w:r>
      <w:r>
        <w:rPr>
          <w:rFonts w:ascii="Arial" w:cs="Arial" w:eastAsia="Arial" w:hAnsi="Arial"/>
          <w:sz w:val="16"/>
          <w:szCs w:val="16"/>
          <w:color w:val="auto"/>
        </w:rPr>
        <w:t>.</w:t>
      </w:r>
    </w:p>
    <w:p>
      <w:pPr>
        <w:spacing w:after="0" w:line="225" w:lineRule="exact"/>
        <w:rPr>
          <w:sz w:val="20"/>
          <w:szCs w:val="20"/>
          <w:color w:val="auto"/>
        </w:rPr>
      </w:pPr>
    </w:p>
    <w:p>
      <w:pPr>
        <w:ind w:right="260" w:firstLine="1297"/>
        <w:spacing w:after="0" w:line="266" w:lineRule="auto"/>
        <w:rPr>
          <w:sz w:val="20"/>
          <w:szCs w:val="20"/>
          <w:color w:val="auto"/>
        </w:rPr>
      </w:pPr>
      <w:r>
        <w:rPr>
          <w:rFonts w:ascii="Arial" w:cs="Arial" w:eastAsia="Arial" w:hAnsi="Arial"/>
          <w:sz w:val="18"/>
          <w:szCs w:val="18"/>
          <w:b w:val="1"/>
          <w:bCs w:val="1"/>
          <w:color w:val="auto"/>
        </w:rPr>
        <w:t xml:space="preserve">10.12 </w:t>
      </w:r>
      <w:r>
        <w:rPr>
          <w:rFonts w:ascii="Arial" w:cs="Arial" w:eastAsia="Arial" w:hAnsi="Arial"/>
          <w:sz w:val="18"/>
          <w:szCs w:val="18"/>
          <w:b w:val="1"/>
          <w:bCs w:val="1"/>
          <w:u w:val="single" w:color="auto"/>
          <w:color w:val="auto"/>
        </w:rPr>
        <w:t>No Additional Rights</w:t>
      </w:r>
      <w:r>
        <w:rPr>
          <w:rFonts w:ascii="Arial" w:cs="Arial" w:eastAsia="Arial" w:hAnsi="Arial"/>
          <w:sz w:val="18"/>
          <w:szCs w:val="18"/>
          <w:color w:val="auto"/>
        </w:rPr>
        <w:t>. Except as expressly provided in this Agreement, a Services Addendum, or a separate written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the Parties, neither Party shall receive, by virtue of this Agreement, any rights of ownership to, or any license or other rights in or to, any Confidential Information or Intellectual Property of the other Party.</w:t>
      </w:r>
    </w:p>
    <w:p>
      <w:pPr>
        <w:spacing w:after="0" w:line="176" w:lineRule="exact"/>
        <w:rPr>
          <w:sz w:val="20"/>
          <w:szCs w:val="20"/>
          <w:color w:val="auto"/>
        </w:rPr>
      </w:pPr>
    </w:p>
    <w:p>
      <w:pPr>
        <w:ind w:right="40" w:firstLine="1297"/>
        <w:spacing w:after="0" w:line="271" w:lineRule="auto"/>
        <w:rPr>
          <w:sz w:val="20"/>
          <w:szCs w:val="20"/>
          <w:color w:val="auto"/>
        </w:rPr>
      </w:pPr>
      <w:r>
        <w:rPr>
          <w:rFonts w:ascii="Arial" w:cs="Arial" w:eastAsia="Arial" w:hAnsi="Arial"/>
          <w:sz w:val="17"/>
          <w:szCs w:val="17"/>
          <w:b w:val="1"/>
          <w:bCs w:val="1"/>
          <w:color w:val="auto"/>
        </w:rPr>
        <w:t xml:space="preserve">10.13 </w:t>
      </w:r>
      <w:r>
        <w:rPr>
          <w:rFonts w:ascii="Arial" w:cs="Arial" w:eastAsia="Arial" w:hAnsi="Arial"/>
          <w:sz w:val="17"/>
          <w:szCs w:val="17"/>
          <w:b w:val="1"/>
          <w:bCs w:val="1"/>
          <w:u w:val="single" w:color="auto"/>
          <w:color w:val="auto"/>
        </w:rPr>
        <w:t>Aggregated Data Sets</w:t>
      </w:r>
      <w:r>
        <w:rPr>
          <w:rFonts w:ascii="Arial" w:cs="Arial" w:eastAsia="Arial" w:hAnsi="Arial"/>
          <w:sz w:val="17"/>
          <w:szCs w:val="17"/>
          <w:color w:val="auto"/>
        </w:rPr>
        <w:t>. Notwithstanding anything else in this Agreement to the contrary, Provider may collect, store and use data</w:t>
      </w:r>
      <w:r>
        <w:rPr>
          <w:rFonts w:ascii="Arial" w:cs="Arial" w:eastAsia="Arial" w:hAnsi="Arial"/>
          <w:sz w:val="17"/>
          <w:szCs w:val="17"/>
          <w:b w:val="1"/>
          <w:bCs w:val="1"/>
          <w:color w:val="auto"/>
        </w:rPr>
        <w:t xml:space="preserve"> </w:t>
      </w:r>
      <w:r>
        <w:rPr>
          <w:rFonts w:ascii="Arial" w:cs="Arial" w:eastAsia="Arial" w:hAnsi="Arial"/>
          <w:sz w:val="17"/>
          <w:szCs w:val="17"/>
          <w:color w:val="auto"/>
        </w:rPr>
        <w:t>and information related to use of the Services and delivery of Courses in an aggregated and anonymous manner, including to compile statistical and performance information related to the provision and operation of the Services by Provider (“</w:t>
      </w:r>
      <w:r>
        <w:rPr>
          <w:rFonts w:ascii="Arial" w:cs="Arial" w:eastAsia="Arial" w:hAnsi="Arial"/>
          <w:sz w:val="17"/>
          <w:szCs w:val="17"/>
          <w:b w:val="1"/>
          <w:bCs w:val="1"/>
          <w:i w:val="1"/>
          <w:iCs w:val="1"/>
          <w:color w:val="auto"/>
        </w:rPr>
        <w:t>Aggregated Data Sets</w:t>
      </w:r>
      <w:r>
        <w:rPr>
          <w:rFonts w:ascii="Arial" w:cs="Arial" w:eastAsia="Arial" w:hAnsi="Arial"/>
          <w:sz w:val="17"/>
          <w:szCs w:val="17"/>
          <w:color w:val="auto"/>
        </w:rPr>
        <w:t>”). University shall undertake such reasonable actions, such as disclosing such collection and use in its privacy policies, as the Provider may request from time to time. As between Provider and University, all right, title and interest in the Aggregated Data Sets and all Intellectual Property therein, belong to and are retained solely by Provider. University acknowledges that Provider will be compiling Aggregated Data Sets based on delivery and use of the Services and University agrees that Provider may (a) make such Aggregated Data Sets publicly available, and (b) use such information and data to the extent and in the manner permitted by Applicable Law, including without limitation, for purposes of data gathering, analysis, service enhancement and marketing, provided that such use does not specifically identify University or its Confidential Information without University consent.</w:t>
      </w:r>
    </w:p>
    <w:p>
      <w:pPr>
        <w:spacing w:after="0" w:line="174" w:lineRule="exact"/>
        <w:rPr>
          <w:sz w:val="20"/>
          <w:szCs w:val="20"/>
          <w:color w:val="auto"/>
        </w:rPr>
      </w:pPr>
    </w:p>
    <w:p>
      <w:pPr>
        <w:ind w:right="200" w:firstLine="656"/>
        <w:spacing w:after="0" w:line="261" w:lineRule="auto"/>
        <w:tabs>
          <w:tab w:leader="none" w:pos="1282"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Limitation of Liability</w:t>
      </w:r>
      <w:r>
        <w:rPr>
          <w:rFonts w:ascii="Arial" w:cs="Arial" w:eastAsia="Arial" w:hAnsi="Arial"/>
          <w:sz w:val="18"/>
          <w:szCs w:val="18"/>
          <w:color w:val="auto"/>
        </w:rPr>
        <w:t>. The Parties hereby agree that Provider’s aggregate liability under this Agreement, regardless of the nature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claim or cause of action, whether in contract, warranty, in tort (including negligence), or strict liability or any other legal theory regarding any claim by University related in any way to the performance or non-performance of Provider under this Agreement, is limited to the amount paid by University to Provider for Services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5" w:name="page36"/>
    <w:bookmarkEnd w:id="35"/>
    <w:p>
      <w:pPr>
        <w:ind w:right="20"/>
        <w:spacing w:after="0" w:line="288" w:lineRule="auto"/>
        <w:rPr>
          <w:sz w:val="20"/>
          <w:szCs w:val="20"/>
          <w:color w:val="auto"/>
        </w:rPr>
      </w:pPr>
      <w:r>
        <w:rPr>
          <w:rFonts w:ascii="Arial" w:cs="Arial" w:eastAsia="Arial" w:hAnsi="Arial"/>
          <w:sz w:val="16"/>
          <w:szCs w:val="16"/>
          <w:color w:val="auto"/>
        </w:rPr>
        <w:t>in the most recently completed three-month period, less in all circumstances, any amounts previously paid (as of the date of satisfaction of such liability) by Provider in satisfaction of any liability under this Agreement, and University hereby releases and waives any claim against Provider in excess of such amount, to the extent permitted by Applicable Law. The limitation set forth in this Section shall not apply to liability or claims arising out of or related to Provider’s</w:t>
      </w:r>
    </w:p>
    <w:p>
      <w:pPr>
        <w:ind w:right="40" w:firstLine="8"/>
        <w:spacing w:after="0" w:line="269" w:lineRule="auto"/>
        <w:tabs>
          <w:tab w:leader="none" w:pos="245" w:val="left"/>
        </w:tabs>
        <w:numPr>
          <w:ilvl w:val="0"/>
          <w:numId w:val="24"/>
        </w:numPr>
        <w:rPr>
          <w:rFonts w:ascii="Arial" w:cs="Arial" w:eastAsia="Arial" w:hAnsi="Arial"/>
          <w:sz w:val="17"/>
          <w:szCs w:val="17"/>
          <w:color w:val="auto"/>
        </w:rPr>
      </w:pPr>
      <w:r>
        <w:rPr>
          <w:rFonts w:ascii="Arial" w:cs="Arial" w:eastAsia="Arial" w:hAnsi="Arial"/>
          <w:sz w:val="17"/>
          <w:szCs w:val="17"/>
          <w:color w:val="auto"/>
        </w:rPr>
        <w:t>breach of Section 9 (Confidentiality) or Section 10 (Intellectual Property Rights) (including Provider’s infringement, violation or misappropriation of University Intellectual Property rights), or (b) claims based on Provider’s gross negligence or willful misconduct, to the extent permitted by Applicable Law. The limitations in this Section shall apply notwithstanding any failure of essential purpose of any limited remedy set forth in this Agreement. No Party will claim, assert or take the position that any limitation on damages set forth in this Section is or should be found unenforceable or that such limitation should not be enforced. The foregoing limitations on damages shall apply to the maximum extent permitted by Applicable Law. If Applicable Law precludes the exclusion of certain types of damages or of certain types of damages in certain circumstances, then the foregoing limitations on damages shall not apply to such damages or such damages in such circumstances, provided that the balance of the limitations shall continue to apply.</w:t>
      </w:r>
    </w:p>
    <w:p>
      <w:pPr>
        <w:spacing w:after="0" w:line="176" w:lineRule="exact"/>
        <w:rPr>
          <w:rFonts w:ascii="Arial" w:cs="Arial" w:eastAsia="Arial" w:hAnsi="Arial"/>
          <w:sz w:val="17"/>
          <w:szCs w:val="17"/>
          <w:color w:val="auto"/>
        </w:rPr>
      </w:pPr>
    </w:p>
    <w:p>
      <w:pPr>
        <w:ind w:right="120" w:firstLine="656"/>
        <w:spacing w:after="0" w:line="274" w:lineRule="auto"/>
        <w:tabs>
          <w:tab w:leader="none" w:pos="1292" w:val="left"/>
        </w:tabs>
        <w:numPr>
          <w:ilvl w:val="1"/>
          <w:numId w:val="2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Force Majeure</w:t>
      </w:r>
      <w:r>
        <w:rPr>
          <w:rFonts w:ascii="Arial" w:cs="Arial" w:eastAsia="Arial" w:hAnsi="Arial"/>
          <w:sz w:val="17"/>
          <w:szCs w:val="17"/>
          <w:color w:val="auto"/>
        </w:rPr>
        <w:t>. Neither Party shall be liable or in breach of this Agreement for any interruption of the provision of Services, or any delay</w:t>
      </w:r>
      <w:r>
        <w:rPr>
          <w:rFonts w:ascii="Arial" w:cs="Arial" w:eastAsia="Arial" w:hAnsi="Arial"/>
          <w:sz w:val="17"/>
          <w:szCs w:val="17"/>
          <w:b w:val="1"/>
          <w:bCs w:val="1"/>
          <w:color w:val="auto"/>
        </w:rPr>
        <w:t xml:space="preserve"> </w:t>
      </w:r>
      <w:r>
        <w:rPr>
          <w:rFonts w:ascii="Arial" w:cs="Arial" w:eastAsia="Arial" w:hAnsi="Arial"/>
          <w:sz w:val="17"/>
          <w:szCs w:val="17"/>
          <w:color w:val="auto"/>
        </w:rPr>
        <w:t>or failure to perform under this Agreement when such interruption, delay or failure results from causes beyond that Party’s reasonable control, including as a result of strikes, lock-outs or other labor difficulties; acts of government, riot, insurrection or other hostilities; embargo, fuel or energy shortages; fire, flood, acts of God, wrecks or transportation delays; or inability to obtain necessary labor, materials or utilities from usual sources. In such event, a Party’s obligations hereunder shall be postponed for such time as its performance is suspended or delayed on account thereof. Upon the cessation of the force majeure event, each Party will use commercially reasonable efforts to resume its performance with the least possible delay.</w:t>
      </w:r>
    </w:p>
    <w:p>
      <w:pPr>
        <w:spacing w:after="0" w:line="173" w:lineRule="exact"/>
        <w:rPr>
          <w:rFonts w:ascii="Arial" w:cs="Arial" w:eastAsia="Arial" w:hAnsi="Arial"/>
          <w:sz w:val="17"/>
          <w:szCs w:val="17"/>
          <w:b w:val="1"/>
          <w:bCs w:val="1"/>
          <w:color w:val="auto"/>
        </w:rPr>
      </w:pPr>
    </w:p>
    <w:p>
      <w:pPr>
        <w:ind w:firstLine="656"/>
        <w:spacing w:after="0" w:line="255" w:lineRule="auto"/>
        <w:tabs>
          <w:tab w:leader="none" w:pos="1292" w:val="left"/>
        </w:tabs>
        <w:numPr>
          <w:ilvl w:val="1"/>
          <w:numId w:val="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Available Remedies</w:t>
      </w:r>
      <w:r>
        <w:rPr>
          <w:rFonts w:ascii="Arial" w:cs="Arial" w:eastAsia="Arial" w:hAnsi="Arial"/>
          <w:sz w:val="18"/>
          <w:szCs w:val="18"/>
          <w:color w:val="auto"/>
        </w:rPr>
        <w:t>. Notwithstanding anything herein to the contrary, the Parties agree that the failure of a Party to perform any obligation</w:t>
      </w:r>
      <w:r>
        <w:rPr>
          <w:rFonts w:ascii="Arial" w:cs="Arial" w:eastAsia="Arial" w:hAnsi="Arial"/>
          <w:sz w:val="18"/>
          <w:szCs w:val="18"/>
          <w:b w:val="1"/>
          <w:bCs w:val="1"/>
          <w:color w:val="auto"/>
        </w:rPr>
        <w:t xml:space="preserve"> </w:t>
      </w:r>
      <w:r>
        <w:rPr>
          <w:rFonts w:ascii="Arial" w:cs="Arial" w:eastAsia="Arial" w:hAnsi="Arial"/>
          <w:sz w:val="18"/>
          <w:szCs w:val="18"/>
          <w:color w:val="auto"/>
        </w:rPr>
        <w:t>which arises under Section 9 (Confidentiality) or Section 10 (Intellectual Property Rights) of this Agreement will cause irreparable harm to the other Party which may not be fully or adequately compensated by the award and/or payment of monetary damages alone. In the event of actual or threatened breach by a Party of Section 9 (Confidentiality) or Section 10 (Intellectual Property Rights), the Parties agree that the non-breaching Party shall be entitled to injunctive or other equitable relief in order to enforce or prevent any such conduct or continuing violation, without having to post a bond or other security and the breaching Party agrees not to raise the defense of an adequate remedy at law in any such proceeding. Nothing herein shall be construed as prohibiting either Party from pursuing any other remedies available for such breach or threatened breach, including the recovery of damages, costs, and reasonable attorneys’ fees from the other.</w:t>
      </w:r>
    </w:p>
    <w:p>
      <w:pPr>
        <w:spacing w:after="0" w:line="185" w:lineRule="exact"/>
        <w:rPr>
          <w:rFonts w:ascii="Arial" w:cs="Arial" w:eastAsia="Arial" w:hAnsi="Arial"/>
          <w:sz w:val="18"/>
          <w:szCs w:val="18"/>
          <w:b w:val="1"/>
          <w:bCs w:val="1"/>
          <w:color w:val="auto"/>
        </w:rPr>
      </w:pPr>
    </w:p>
    <w:p>
      <w:pPr>
        <w:ind w:right="40" w:firstLine="656"/>
        <w:spacing w:after="0" w:line="281" w:lineRule="auto"/>
        <w:tabs>
          <w:tab w:leader="none" w:pos="1292" w:val="left"/>
        </w:tabs>
        <w:numPr>
          <w:ilvl w:val="1"/>
          <w:numId w:val="2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Relationship of the Parties</w:t>
      </w:r>
      <w:r>
        <w:rPr>
          <w:rFonts w:ascii="Arial" w:cs="Arial" w:eastAsia="Arial" w:hAnsi="Arial"/>
          <w:sz w:val="17"/>
          <w:szCs w:val="17"/>
          <w:color w:val="auto"/>
        </w:rPr>
        <w:t>. The relationship of Provider to University under this Agreement shall be that of an independent contractor.</w:t>
      </w:r>
      <w:r>
        <w:rPr>
          <w:rFonts w:ascii="Arial" w:cs="Arial" w:eastAsia="Arial" w:hAnsi="Arial"/>
          <w:sz w:val="17"/>
          <w:szCs w:val="17"/>
          <w:b w:val="1"/>
          <w:bCs w:val="1"/>
          <w:color w:val="auto"/>
        </w:rPr>
        <w:t xml:space="preserve"> </w:t>
      </w:r>
      <w:r>
        <w:rPr>
          <w:rFonts w:ascii="Arial" w:cs="Arial" w:eastAsia="Arial" w:hAnsi="Arial"/>
          <w:sz w:val="17"/>
          <w:szCs w:val="17"/>
          <w:color w:val="auto"/>
        </w:rPr>
        <w:t>Services Personnel rendering Services pursuant to this Agreement shall not be deemed employees of University, and shall not be entitled to or qualified under any employee benefit plans, including pension, health and insurance plans, provided by University for its employees. Each Party shall be solely responsible for the fulfillment of all labor and Social Security provisions that affect the labor relationships with its personnel,</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6" w:name="page37"/>
    <w:bookmarkEnd w:id="36"/>
    <w:p>
      <w:pPr>
        <w:spacing w:after="0" w:line="264" w:lineRule="auto"/>
        <w:rPr>
          <w:sz w:val="20"/>
          <w:szCs w:val="20"/>
          <w:color w:val="auto"/>
        </w:rPr>
      </w:pPr>
      <w:r>
        <w:rPr>
          <w:rFonts w:ascii="Arial" w:cs="Arial" w:eastAsia="Arial" w:hAnsi="Arial"/>
          <w:sz w:val="18"/>
          <w:szCs w:val="18"/>
          <w:color w:val="auto"/>
        </w:rPr>
        <w:t>either currently in force or that may be passed during the Initial Term of this Agreement and any Renewal Term, expressly discharging the other Party from any liability for the breach thereof. Neither Party, nor its respective employees, agents or representatives, is authorized to, nor shall at any time attempt to, act on behalf of the other Party to bind the other Party in any manner whatsoever to any obligations.</w:t>
      </w:r>
    </w:p>
    <w:p>
      <w:pPr>
        <w:spacing w:after="0" w:line="177" w:lineRule="exact"/>
        <w:rPr>
          <w:sz w:val="20"/>
          <w:szCs w:val="20"/>
          <w:color w:val="auto"/>
        </w:rPr>
      </w:pPr>
    </w:p>
    <w:p>
      <w:pPr>
        <w:ind w:firstLine="656"/>
        <w:spacing w:after="0" w:line="287" w:lineRule="auto"/>
        <w:tabs>
          <w:tab w:leader="none" w:pos="1292" w:val="left"/>
        </w:tabs>
        <w:numPr>
          <w:ilvl w:val="0"/>
          <w:numId w:val="2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Duty to Cooperate</w:t>
      </w:r>
      <w:r>
        <w:rPr>
          <w:rFonts w:ascii="Arial" w:cs="Arial" w:eastAsia="Arial" w:hAnsi="Arial"/>
          <w:sz w:val="16"/>
          <w:szCs w:val="16"/>
          <w:color w:val="auto"/>
        </w:rPr>
        <w:t>. If a Governmental Entity, Educational Agency, or third party files any type of Claim, or commences an investigation,</w:t>
      </w:r>
      <w:r>
        <w:rPr>
          <w:rFonts w:ascii="Arial" w:cs="Arial" w:eastAsia="Arial" w:hAnsi="Arial"/>
          <w:sz w:val="16"/>
          <w:szCs w:val="16"/>
          <w:b w:val="1"/>
          <w:bCs w:val="1"/>
          <w:color w:val="auto"/>
        </w:rPr>
        <w:t xml:space="preserve"> </w:t>
      </w:r>
      <w:r>
        <w:rPr>
          <w:rFonts w:ascii="Arial" w:cs="Arial" w:eastAsia="Arial" w:hAnsi="Arial"/>
          <w:sz w:val="16"/>
          <w:szCs w:val="16"/>
          <w:color w:val="auto"/>
        </w:rPr>
        <w:t>adverse action, review or audit against Provider or one of its Affiliates or University or one of its Affiliates, in each case related, in whole or in part, to this Agreement and the Services provided hereunder, each Party (and its respective Affiliates, to the extent applicable) shall provide prompt notice to the other Party of such Claim, investigation, adverse action, review or audit and shall use commercially reasonable efforts to cooperate with the other’s defense. Each Party (and its Affiliates, to the extent applicable) further agrees in principle to assert the common interest privilege and to execute such joint defense agreements, on customary terms, as may be necessary or appropriate for the protection of any privilege or confidentiality in the course of cooperating with the other’s defense. Provider and University (and their respective Affiliates, to the extent applicable) agree to use commercially reasonable efforts to make available to the other upon reasonable request in writing any and all non-privileged or non-proprietary documents that either Party (or either of their respective Affiliates, to the extent applicable) has in its or their possession, which relate to any such claim, lawsuit, charge, investigation or audit. However, neither Party (nor any of their respective Affiliates) shall have the duty to cooperate with the other Party if the dispute is between the Parties themselves, nor shall this provision preclude the raising of cross-claims or third party claims between Provider and University (or one of their respective Affiliates) if the circumstances justify such proceedings. The Parties agree that this provision shall survive the termination of this Agreement.</w:t>
      </w:r>
    </w:p>
    <w:p>
      <w:pPr>
        <w:spacing w:after="0" w:line="168" w:lineRule="exact"/>
        <w:rPr>
          <w:rFonts w:ascii="Arial" w:cs="Arial" w:eastAsia="Arial" w:hAnsi="Arial"/>
          <w:sz w:val="16"/>
          <w:szCs w:val="16"/>
          <w:b w:val="1"/>
          <w:bCs w:val="1"/>
          <w:color w:val="auto"/>
        </w:rPr>
      </w:pPr>
    </w:p>
    <w:p>
      <w:pPr>
        <w:ind w:right="200" w:firstLine="656"/>
        <w:spacing w:after="0" w:line="273" w:lineRule="auto"/>
        <w:tabs>
          <w:tab w:leader="none" w:pos="1292" w:val="left"/>
        </w:tabs>
        <w:numPr>
          <w:ilvl w:val="0"/>
          <w:numId w:val="2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Survival of Obligations</w:t>
      </w:r>
      <w:r>
        <w:rPr>
          <w:rFonts w:ascii="Arial" w:cs="Arial" w:eastAsia="Arial" w:hAnsi="Arial"/>
          <w:sz w:val="17"/>
          <w:szCs w:val="17"/>
          <w:color w:val="auto"/>
        </w:rPr>
        <w:t>. Each Party’s obligations under this Section and Section 6.7 (Effect of Termination), the second sentence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Section 3.2 (Location of Services; Subcontracting), Section 3.6 (Compliance with Laws), Section 3.7 (Provider’s Compliance with Certain Educational Laws), Section 3.12 (Disclaimer of Warranties), Section 4 (University Roles and Responsibilities), Section 5 (Fees and Payments), Section 7 (Tax Matters), Section 8 (Indemnification for Third Party Claims), Section 9 (Confidentiality), the terms in Section 10 (Intellectual Property Rights) with respect to ownership of Intellectual Property and the irrevocable licenses, Section 11 (Limitation of Liability), Section 13 (Available Remedies), Section 14 (Relationship of the Parties), Section 15 (Duty to Cooperate), Section 18 (Miscellaneous), and University’s obligations under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of this Agreement, shall survive the termination of this Agreement to the extent permitted by Applicable Law.</w:t>
      </w:r>
    </w:p>
    <w:p>
      <w:pPr>
        <w:spacing w:after="0" w:line="172" w:lineRule="exact"/>
        <w:rPr>
          <w:rFonts w:ascii="Arial" w:cs="Arial" w:eastAsia="Arial" w:hAnsi="Arial"/>
          <w:sz w:val="17"/>
          <w:szCs w:val="17"/>
          <w:b w:val="1"/>
          <w:bCs w:val="1"/>
          <w:color w:val="auto"/>
        </w:rPr>
      </w:pPr>
    </w:p>
    <w:p>
      <w:pPr>
        <w:ind w:right="220" w:firstLine="656"/>
        <w:spacing w:after="0" w:line="298" w:lineRule="auto"/>
        <w:tabs>
          <w:tab w:leader="none" w:pos="1292" w:val="left"/>
        </w:tabs>
        <w:numPr>
          <w:ilvl w:val="0"/>
          <w:numId w:val="2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Insurance</w:t>
      </w:r>
      <w:r>
        <w:rPr>
          <w:rFonts w:ascii="Arial" w:cs="Arial" w:eastAsia="Arial" w:hAnsi="Arial"/>
          <w:sz w:val="16"/>
          <w:szCs w:val="16"/>
          <w:color w:val="auto"/>
        </w:rPr>
        <w:t>. Each Party shall be solely responsible for obtaining workers compensation insurance for its employees and agents and such</w:t>
      </w:r>
      <w:r>
        <w:rPr>
          <w:rFonts w:ascii="Arial" w:cs="Arial" w:eastAsia="Arial" w:hAnsi="Arial"/>
          <w:sz w:val="16"/>
          <w:szCs w:val="16"/>
          <w:b w:val="1"/>
          <w:bCs w:val="1"/>
          <w:color w:val="auto"/>
        </w:rPr>
        <w:t xml:space="preserve"> </w:t>
      </w:r>
      <w:r>
        <w:rPr>
          <w:rFonts w:ascii="Arial" w:cs="Arial" w:eastAsia="Arial" w:hAnsi="Arial"/>
          <w:sz w:val="16"/>
          <w:szCs w:val="16"/>
          <w:color w:val="auto"/>
        </w:rPr>
        <w:t>other insurance as may be required by Applicable Laws. In addition, each Party agrees to carry (or, in University’s case, to self-insure for) commercial general liability insurance with coverage including products and completed operations, personal and advertising injury, and cybersecurity insurance in amounts, and with scope of coverage, customary for similarly situated entities and as mutually agreed on by the Parties. Each insurance policy required above shall name the other Party as additional insured on broad form endorsements with respect to all bodily injury, personal injury, advertising injury,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7" w:name="page38"/>
    <w:bookmarkEnd w:id="37"/>
    <w:p>
      <w:pPr>
        <w:ind w:right="20"/>
        <w:spacing w:after="0" w:line="290" w:lineRule="auto"/>
        <w:rPr>
          <w:sz w:val="20"/>
          <w:szCs w:val="20"/>
          <w:color w:val="auto"/>
        </w:rPr>
      </w:pPr>
      <w:r>
        <w:rPr>
          <w:rFonts w:ascii="Arial" w:cs="Arial" w:eastAsia="Arial" w:hAnsi="Arial"/>
          <w:sz w:val="16"/>
          <w:szCs w:val="16"/>
          <w:color w:val="auto"/>
        </w:rPr>
        <w:t>property damage liability arising out of the Party’s operations, services or products. Each such insurance policy shall be endorsed to provide that such coverage shall be primary over any coverage available to the other Party under its own insurance program in the event of any suit, claim, damages or loss. Each Party shall provide to the other party a copy or copies of a certificate or certificates of insurance or, in University’s case, evidence of a self-insurance program, demonstrating that the insurance coverage set forth above is in full force and effect no later than sixty (60) Business Days after the date of the Parties’ execution of this Agreement. Each party shall endeavor to provide the other Party at least thirty (30) days’ advance notice of any cancellation or material change in any policy of insurance for coverage required under this Agreement. Further, each Party shall maintain any insurance coverage referenced herein for a period of five (5) years after termination of this Agreement. To the extent, and only to the extent necessary to effectuate the Limitation of Liability provisions of Section 11, the University will use best efforts to obtain a waiver from its insurers of the insurers’ subrogation rights against Provider.</w:t>
      </w:r>
    </w:p>
    <w:p>
      <w:pPr>
        <w:spacing w:after="0" w:line="162" w:lineRule="exact"/>
        <w:rPr>
          <w:sz w:val="20"/>
          <w:szCs w:val="20"/>
          <w:color w:val="auto"/>
        </w:rPr>
      </w:pPr>
    </w:p>
    <w:p>
      <w:pPr>
        <w:ind w:left="1300" w:hanging="644"/>
        <w:spacing w:after="0"/>
        <w:tabs>
          <w:tab w:leader="none" w:pos="13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ind w:right="100" w:firstLine="1297"/>
        <w:spacing w:after="0" w:line="266" w:lineRule="auto"/>
        <w:rPr>
          <w:sz w:val="20"/>
          <w:szCs w:val="20"/>
          <w:color w:val="auto"/>
        </w:rPr>
      </w:pPr>
      <w:r>
        <w:rPr>
          <w:rFonts w:ascii="Arial" w:cs="Arial" w:eastAsia="Arial" w:hAnsi="Arial"/>
          <w:sz w:val="18"/>
          <w:szCs w:val="18"/>
          <w:b w:val="1"/>
          <w:bCs w:val="1"/>
          <w:color w:val="auto"/>
        </w:rPr>
        <w:t xml:space="preserve">18.1 </w:t>
      </w: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All notices, demands and other communications to be sent to a Party under this Agreement shall be sent to such Party at</w:t>
      </w:r>
      <w:r>
        <w:rPr>
          <w:rFonts w:ascii="Arial" w:cs="Arial" w:eastAsia="Arial" w:hAnsi="Arial"/>
          <w:sz w:val="18"/>
          <w:szCs w:val="18"/>
          <w:b w:val="1"/>
          <w:bCs w:val="1"/>
          <w:color w:val="auto"/>
        </w:rPr>
        <w:t xml:space="preserve"> </w:t>
      </w:r>
      <w:r>
        <w:rPr>
          <w:rFonts w:ascii="Arial" w:cs="Arial" w:eastAsia="Arial" w:hAnsi="Arial"/>
          <w:sz w:val="18"/>
          <w:szCs w:val="18"/>
          <w:color w:val="auto"/>
        </w:rPr>
        <w:t>the address as may be specified by the Party from time to time in a notice sent as provided in this Section, provided that the initial notice address for each Party is as follows:</w:t>
      </w:r>
    </w:p>
    <w:p>
      <w:pPr>
        <w:spacing w:after="0" w:line="180"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if to Provider:</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Grand Canyon Education, Inc.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2600 West Camelback Road</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Phoenix, Arizona 85017</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Daniel E. Bachus</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dan.bachus@gce.com</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if to University:</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Grand Canyon University</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3300 West Camelback Road</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Phoenix, Arizona 85017</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Brian M. Roberts</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brian.roberts@gcu.edu</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All such notices, demands or other communications shall be in writing and shall be deemed to have been received (a) when personally delivered, delivered by facsimile or delivered by other telecommunication mechanism, including electronic mail (provided there is no error or failure in transmission), (b) the next day, if sent by recognized overnight courier, or (c) five (5) days after deposit in the United States mail, postage prepaid, properly addressed and return receipt requested.</w:t>
      </w:r>
    </w:p>
    <w:p>
      <w:pPr>
        <w:spacing w:after="0" w:line="183"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b w:val="1"/>
          <w:bCs w:val="1"/>
          <w:color w:val="auto"/>
        </w:rPr>
        <w:t>18.2</w:t>
      </w:r>
      <w:r>
        <w:rPr>
          <w:sz w:val="20"/>
          <w:szCs w:val="20"/>
          <w:color w:val="auto"/>
        </w:rPr>
        <w:tab/>
      </w:r>
      <w:r>
        <w:rPr>
          <w:rFonts w:ascii="Arial" w:cs="Arial" w:eastAsia="Arial" w:hAnsi="Arial"/>
          <w:sz w:val="16"/>
          <w:szCs w:val="16"/>
          <w:b w:val="1"/>
          <w:bCs w:val="1"/>
          <w:u w:val="single" w:color="auto"/>
          <w:color w:val="auto"/>
        </w:rPr>
        <w:t>Amendment; Waiver</w:t>
      </w:r>
      <w:r>
        <w:rPr>
          <w:rFonts w:ascii="Arial" w:cs="Arial" w:eastAsia="Arial" w:hAnsi="Arial"/>
          <w:sz w:val="16"/>
          <w:szCs w:val="16"/>
          <w:color w:val="auto"/>
        </w:rPr>
        <w:t>.</w:t>
      </w:r>
    </w:p>
    <w:p>
      <w:pPr>
        <w:spacing w:after="0" w:line="225" w:lineRule="exact"/>
        <w:rPr>
          <w:sz w:val="20"/>
          <w:szCs w:val="20"/>
          <w:color w:val="auto"/>
        </w:rPr>
      </w:pPr>
    </w:p>
    <w:p>
      <w:pPr>
        <w:ind w:right="400" w:firstLine="1945"/>
        <w:spacing w:after="0" w:line="282" w:lineRule="auto"/>
        <w:rPr>
          <w:sz w:val="20"/>
          <w:szCs w:val="20"/>
          <w:color w:val="auto"/>
        </w:rPr>
      </w:pPr>
      <w:r>
        <w:rPr>
          <w:rFonts w:ascii="Arial" w:cs="Arial" w:eastAsia="Arial" w:hAnsi="Arial"/>
          <w:sz w:val="18"/>
          <w:szCs w:val="18"/>
          <w:b w:val="1"/>
          <w:bCs w:val="1"/>
          <w:color w:val="auto"/>
        </w:rPr>
        <w:t xml:space="preserve">18.2.1 </w:t>
      </w:r>
      <w:r>
        <w:rPr>
          <w:rFonts w:ascii="Arial" w:cs="Arial" w:eastAsia="Arial" w:hAnsi="Arial"/>
          <w:sz w:val="18"/>
          <w:szCs w:val="18"/>
          <w:color w:val="auto"/>
        </w:rPr>
        <w:t>This Agreement, including the Exhibits and any Services Addendum, may be amended or modified only in a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instrument executed by each Party</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8" w:name="page39"/>
    <w:bookmarkEnd w:id="38"/>
    <w:p>
      <w:pPr>
        <w:jc w:val="both"/>
        <w:ind w:right="20"/>
        <w:spacing w:after="0" w:line="279" w:lineRule="auto"/>
        <w:rPr>
          <w:sz w:val="20"/>
          <w:szCs w:val="20"/>
          <w:color w:val="auto"/>
        </w:rPr>
      </w:pPr>
      <w:r>
        <w:rPr>
          <w:rFonts w:ascii="Arial" w:cs="Arial" w:eastAsia="Arial" w:hAnsi="Arial"/>
          <w:sz w:val="17"/>
          <w:szCs w:val="17"/>
          <w:color w:val="auto"/>
        </w:rPr>
        <w:t>hereto. Any provision of this Agreement may be waived only in a written instrument executed by the Party granting such waiver. The failure at any time of a Party to require performance by any other Party of any responsibility or obligation required by this Agreement shall in no way affect a Party’s right to require such performance at any time thereafter, nor shall the waiver by a Party of a breach of any provision of this Agreement by any other Party constitute a waiver of any other breach of the same or any other provision nor constitute a waiver of the responsibility or obligation itself.</w:t>
      </w:r>
    </w:p>
    <w:p>
      <w:pPr>
        <w:spacing w:after="0" w:line="167" w:lineRule="exact"/>
        <w:rPr>
          <w:sz w:val="20"/>
          <w:szCs w:val="20"/>
          <w:color w:val="auto"/>
        </w:rPr>
      </w:pPr>
    </w:p>
    <w:p>
      <w:pPr>
        <w:ind w:firstLine="1945"/>
        <w:spacing w:after="0" w:line="269" w:lineRule="auto"/>
        <w:rPr>
          <w:sz w:val="20"/>
          <w:szCs w:val="20"/>
          <w:color w:val="auto"/>
        </w:rPr>
      </w:pPr>
      <w:r>
        <w:rPr>
          <w:rFonts w:ascii="Arial" w:cs="Arial" w:eastAsia="Arial" w:hAnsi="Arial"/>
          <w:sz w:val="17"/>
          <w:szCs w:val="17"/>
          <w:b w:val="1"/>
          <w:bCs w:val="1"/>
          <w:color w:val="auto"/>
        </w:rPr>
        <w:t xml:space="preserve">18.2.2 </w:t>
      </w:r>
      <w:r>
        <w:rPr>
          <w:rFonts w:ascii="Arial" w:cs="Arial" w:eastAsia="Arial" w:hAnsi="Arial"/>
          <w:sz w:val="17"/>
          <w:szCs w:val="17"/>
          <w:color w:val="auto"/>
        </w:rPr>
        <w:t>If continuing this Agreement or any particular Service hereunder could (a) as reasonably and in good faith determined by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University (i) jeopardize University’s accreditation status with the HLC and/or other Educational Agencies (including, for example, where, due to a change in accreditation standards or Applicable Law, the performance standards applicable to Provider’s provision of the Services, as set forth in Section 3.4 (Services and Performance Standards) and </w:t>
      </w:r>
      <w:r>
        <w:rPr>
          <w:rFonts w:ascii="Arial" w:cs="Arial" w:eastAsia="Arial" w:hAnsi="Arial"/>
          <w:sz w:val="17"/>
          <w:szCs w:val="17"/>
          <w:u w:val="single" w:color="auto"/>
          <w:color w:val="auto"/>
        </w:rPr>
        <w:t>Exhibit B</w:t>
      </w:r>
      <w:r>
        <w:rPr>
          <w:rFonts w:ascii="Arial" w:cs="Arial" w:eastAsia="Arial" w:hAnsi="Arial"/>
          <w:sz w:val="17"/>
          <w:szCs w:val="17"/>
          <w:color w:val="auto"/>
        </w:rPr>
        <w:t>, are required to be modified in order for University to achieve compliance with such changed standards or Applicable Law), (ii) cause, or could be reasonably likely to cause, the loss or material impairment of University’s status under Section 501(c)(3) of the Code as a public charity more specifically described in Code Section 170(b)(1)(A)(ii), (iii) cause a loss of the tax-exempt status of any bonds issued by University, or (iv) cause, or be reasonably likely to cause, the loss or material impairment of University’s participation in the Title IV Programs or the imposition of material fines or repayment liabilities arising from such participation, or (b) as reasonably and in good faith determined by University or Provider, as a result of the creation, amendment or interpretation of any Educational Laws, significantly impact any material aspect of this Agreement, then, in each case (and subject to Section 18.11 (Dispute Resolution)), the Parties will negotiate in good faith an amendment to this Agreement or such Services Addendum so as to address such issues in a manner that preserves, to the maximum extent feasible, the economic interests of both Parties and that is reasonably satisfactory to both Parties.</w:t>
      </w:r>
    </w:p>
    <w:p>
      <w:pPr>
        <w:spacing w:after="0" w:line="180" w:lineRule="exact"/>
        <w:rPr>
          <w:sz w:val="20"/>
          <w:szCs w:val="20"/>
          <w:color w:val="auto"/>
        </w:rPr>
      </w:pPr>
    </w:p>
    <w:p>
      <w:pPr>
        <w:jc w:val="both"/>
        <w:ind w:right="60" w:firstLine="1945"/>
        <w:spacing w:after="0" w:line="266" w:lineRule="auto"/>
        <w:rPr>
          <w:sz w:val="20"/>
          <w:szCs w:val="20"/>
          <w:color w:val="auto"/>
        </w:rPr>
      </w:pPr>
      <w:r>
        <w:rPr>
          <w:rFonts w:ascii="Arial" w:cs="Arial" w:eastAsia="Arial" w:hAnsi="Arial"/>
          <w:sz w:val="18"/>
          <w:szCs w:val="18"/>
          <w:b w:val="1"/>
          <w:bCs w:val="1"/>
          <w:color w:val="auto"/>
        </w:rPr>
        <w:t xml:space="preserve">18.2.3 </w:t>
      </w:r>
      <w:r>
        <w:rPr>
          <w:rFonts w:ascii="Arial" w:cs="Arial" w:eastAsia="Arial" w:hAnsi="Arial"/>
          <w:sz w:val="18"/>
          <w:szCs w:val="18"/>
          <w:color w:val="auto"/>
        </w:rPr>
        <w:t>If, following the Effective Date, Provider determines to provide Services through one or more subsidiaries, then (subject</w:t>
      </w:r>
      <w:r>
        <w:rPr>
          <w:rFonts w:ascii="Arial" w:cs="Arial" w:eastAsia="Arial" w:hAnsi="Arial"/>
          <w:sz w:val="18"/>
          <w:szCs w:val="18"/>
          <w:b w:val="1"/>
          <w:bCs w:val="1"/>
          <w:color w:val="auto"/>
        </w:rPr>
        <w:t xml:space="preserve"> </w:t>
      </w:r>
      <w:r>
        <w:rPr>
          <w:rFonts w:ascii="Arial" w:cs="Arial" w:eastAsia="Arial" w:hAnsi="Arial"/>
          <w:sz w:val="18"/>
          <w:szCs w:val="18"/>
          <w:color w:val="auto"/>
        </w:rPr>
        <w:t>to Section 18.3 (Assignment)) University agrees to execute an amendment to this Agreement and/or any new agreements with such subsidiaries, in each case which, taken in the aggregate, reflect the terms and provisions of this Agreement.</w:t>
      </w:r>
    </w:p>
    <w:p>
      <w:pPr>
        <w:spacing w:after="0" w:line="176" w:lineRule="exact"/>
        <w:rPr>
          <w:sz w:val="20"/>
          <w:szCs w:val="20"/>
          <w:color w:val="auto"/>
        </w:rPr>
      </w:pPr>
    </w:p>
    <w:p>
      <w:pPr>
        <w:ind w:right="100" w:firstLine="1945"/>
        <w:spacing w:after="0" w:line="273" w:lineRule="auto"/>
        <w:rPr>
          <w:sz w:val="20"/>
          <w:szCs w:val="20"/>
          <w:color w:val="auto"/>
        </w:rPr>
      </w:pPr>
      <w:r>
        <w:rPr>
          <w:rFonts w:ascii="Arial" w:cs="Arial" w:eastAsia="Arial" w:hAnsi="Arial"/>
          <w:sz w:val="17"/>
          <w:szCs w:val="17"/>
          <w:b w:val="1"/>
          <w:bCs w:val="1"/>
          <w:color w:val="auto"/>
        </w:rPr>
        <w:t xml:space="preserve">18.2.4 </w:t>
      </w:r>
      <w:r>
        <w:rPr>
          <w:rFonts w:ascii="Arial" w:cs="Arial" w:eastAsia="Arial" w:hAnsi="Arial"/>
          <w:sz w:val="17"/>
          <w:szCs w:val="17"/>
          <w:color w:val="auto"/>
        </w:rPr>
        <w:t>The Parties acknowledge that, during the term of this Agreement, the University may desire to refinance certain</w:t>
      </w:r>
      <w:r>
        <w:rPr>
          <w:rFonts w:ascii="Arial" w:cs="Arial" w:eastAsia="Arial" w:hAnsi="Arial"/>
          <w:sz w:val="17"/>
          <w:szCs w:val="17"/>
          <w:b w:val="1"/>
          <w:bCs w:val="1"/>
          <w:color w:val="auto"/>
        </w:rPr>
        <w:t xml:space="preserve"> </w:t>
      </w:r>
      <w:r>
        <w:rPr>
          <w:rFonts w:ascii="Arial" w:cs="Arial" w:eastAsia="Arial" w:hAnsi="Arial"/>
          <w:sz w:val="17"/>
          <w:szCs w:val="17"/>
          <w:color w:val="auto"/>
        </w:rPr>
        <w:t>outstanding obligations with the proceeds of tax-exempt obligations. In connection with such refinancing, the Provider agrees to cooperate with the University to make changes to this Agreement that may be required in order for this Agreement to either meet the safe-harbors for qualified management contracts under IRS guidelines provided in Revenue Procedure 2017-13 (or any successor guidance) or to meet other requirements imposed by the IRS such that the provision of services by Provider under this Agreement does not result in private business use under Section 141(b)(1) of the Code or the Treasury Regulations issued thereunder (and otherwise does not preclude availability of refinancing by means of tax-exempt obligations). The Parties agree that such changes shall include reasonable compensation to compensate for the impact of any such changes.</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9" w:name="page40"/>
    <w:bookmarkEnd w:id="39"/>
    <w:p>
      <w:pPr>
        <w:ind w:right="20" w:firstLine="1297"/>
        <w:spacing w:after="0" w:line="269" w:lineRule="auto"/>
        <w:rPr>
          <w:sz w:val="20"/>
          <w:szCs w:val="20"/>
          <w:color w:val="auto"/>
        </w:rPr>
      </w:pPr>
      <w:r>
        <w:rPr>
          <w:rFonts w:ascii="Arial" w:cs="Arial" w:eastAsia="Arial" w:hAnsi="Arial"/>
          <w:sz w:val="17"/>
          <w:szCs w:val="17"/>
          <w:b w:val="1"/>
          <w:bCs w:val="1"/>
          <w:color w:val="auto"/>
        </w:rPr>
        <w:t xml:space="preserve">18.3 </w:t>
      </w:r>
      <w:r>
        <w:rPr>
          <w:rFonts w:ascii="Arial" w:cs="Arial" w:eastAsia="Arial" w:hAnsi="Arial"/>
          <w:sz w:val="17"/>
          <w:szCs w:val="17"/>
          <w:b w:val="1"/>
          <w:bCs w:val="1"/>
          <w:u w:val="single" w:color="auto"/>
          <w:color w:val="auto"/>
        </w:rPr>
        <w:t>Assignment</w:t>
      </w:r>
      <w:r>
        <w:rPr>
          <w:rFonts w:ascii="Arial" w:cs="Arial" w:eastAsia="Arial" w:hAnsi="Arial"/>
          <w:sz w:val="17"/>
          <w:szCs w:val="17"/>
          <w:color w:val="auto"/>
        </w:rPr>
        <w:t>. This Agreement shall be binding upon and inure to the benefit of the successors and permitted assigns of each party</w:t>
      </w:r>
      <w:r>
        <w:rPr>
          <w:rFonts w:ascii="Arial" w:cs="Arial" w:eastAsia="Arial" w:hAnsi="Arial"/>
          <w:sz w:val="17"/>
          <w:szCs w:val="17"/>
          <w:b w:val="1"/>
          <w:bCs w:val="1"/>
          <w:color w:val="auto"/>
        </w:rPr>
        <w:t xml:space="preserve"> </w:t>
      </w:r>
      <w:r>
        <w:rPr>
          <w:rFonts w:ascii="Arial" w:cs="Arial" w:eastAsia="Arial" w:hAnsi="Arial"/>
          <w:sz w:val="17"/>
          <w:szCs w:val="17"/>
          <w:color w:val="auto"/>
        </w:rPr>
        <w:t>hereto. Except as provided below, neither this Agreement nor any right or obligation hereunder may be assigned or delegated in whole or in part by a Party to any other Person, without the prior written consent of the other Party (which consent shall not be unreasonably withheld, conditioned or delayed). Provider may, without the consent of University, (a) collaterally assign its rights under this Agreement to a lender to Provider, and (b) assign this Agreement and any right or obligation hereunder, or any portion hereof or thereof to one or more subsidiaries of Provider formed for the purpose of providing services such as the Services provided hereunder, provided that (i) any such subsidiary is wholly owned by Provider, (ii) Provider remains primarily liable for all of Provider’s obligations arising under this Agreement and also executes a guarantee of performance and payment by any such subsidiary of all such obligations, in form and substance reasonably satisfactory to University, (iii) any such subsidiary agrees in writing to be bound by this Agreement, and the assignment and assumption agreement is otherwise in form and substance reasonably satisfactory to University, and (iv) such assignment to any such subsidiary shall automatically terminate and be of no further force or effect if at any time such subsidiary is no longer wholly owned by Provider. For purposes of this Section, “assignment” includes any change in control of a Party, any subcontracting or other delegation by Provider of the performance of substantially all of the Services, and any transfer or assignment of this Agreement (whether by operation of law or otherwise) in connection with any merger, sale of all or substantially all assets, or any other transaction.</w:t>
      </w:r>
    </w:p>
    <w:p>
      <w:pPr>
        <w:spacing w:after="0" w:line="177" w:lineRule="exact"/>
        <w:rPr>
          <w:sz w:val="20"/>
          <w:szCs w:val="20"/>
          <w:color w:val="auto"/>
        </w:rPr>
      </w:pPr>
    </w:p>
    <w:p>
      <w:pPr>
        <w:ind w:right="20" w:firstLine="1297"/>
        <w:spacing w:after="0" w:line="314" w:lineRule="auto"/>
        <w:rPr>
          <w:sz w:val="20"/>
          <w:szCs w:val="20"/>
          <w:color w:val="auto"/>
        </w:rPr>
      </w:pPr>
      <w:r>
        <w:rPr>
          <w:rFonts w:ascii="Arial" w:cs="Arial" w:eastAsia="Arial" w:hAnsi="Arial"/>
          <w:sz w:val="16"/>
          <w:szCs w:val="16"/>
          <w:b w:val="1"/>
          <w:bCs w:val="1"/>
          <w:color w:val="auto"/>
        </w:rPr>
        <w:t xml:space="preserve">18.4 </w:t>
      </w:r>
      <w:r>
        <w:rPr>
          <w:rFonts w:ascii="Arial" w:cs="Arial" w:eastAsia="Arial" w:hAnsi="Arial"/>
          <w:sz w:val="16"/>
          <w:szCs w:val="16"/>
          <w:b w:val="1"/>
          <w:bCs w:val="1"/>
          <w:u w:val="single" w:color="auto"/>
          <w:color w:val="auto"/>
        </w:rPr>
        <w:t>Third Party Rights</w:t>
      </w:r>
      <w:r>
        <w:rPr>
          <w:rFonts w:ascii="Arial" w:cs="Arial" w:eastAsia="Arial" w:hAnsi="Arial"/>
          <w:sz w:val="16"/>
          <w:szCs w:val="16"/>
          <w:color w:val="auto"/>
        </w:rPr>
        <w:t>. Except to the extent provided in Section 8 (Indemnification for Third Party Claims), nothing in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whether express or implied, is intended or shall be construed to confer, directly or indirectly, upon or give to any Person other than the Parties any legal or equitable right, remedy or claim under or in respect of this Agreement or any covenant, condition or other provision contained herein.</w:t>
      </w:r>
    </w:p>
    <w:p>
      <w:pPr>
        <w:spacing w:after="0" w:line="142" w:lineRule="exact"/>
        <w:rPr>
          <w:sz w:val="20"/>
          <w:szCs w:val="20"/>
          <w:color w:val="auto"/>
        </w:rPr>
      </w:pPr>
    </w:p>
    <w:p>
      <w:pPr>
        <w:ind w:right="400" w:firstLine="1297"/>
        <w:spacing w:after="0" w:line="282" w:lineRule="auto"/>
        <w:rPr>
          <w:sz w:val="20"/>
          <w:szCs w:val="20"/>
          <w:color w:val="auto"/>
        </w:rPr>
      </w:pPr>
      <w:r>
        <w:rPr>
          <w:rFonts w:ascii="Arial" w:cs="Arial" w:eastAsia="Arial" w:hAnsi="Arial"/>
          <w:sz w:val="18"/>
          <w:szCs w:val="18"/>
          <w:b w:val="1"/>
          <w:bCs w:val="1"/>
          <w:color w:val="auto"/>
        </w:rPr>
        <w:t xml:space="preserve">18.5 </w:t>
      </w:r>
      <w:r>
        <w:rPr>
          <w:rFonts w:ascii="Arial" w:cs="Arial" w:eastAsia="Arial" w:hAnsi="Arial"/>
          <w:sz w:val="18"/>
          <w:szCs w:val="18"/>
          <w:b w:val="1"/>
          <w:bCs w:val="1"/>
          <w:u w:val="single" w:color="auto"/>
          <w:color w:val="auto"/>
        </w:rPr>
        <w:t>Choice of Law</w:t>
      </w:r>
      <w:r>
        <w:rPr>
          <w:rFonts w:ascii="Arial" w:cs="Arial" w:eastAsia="Arial" w:hAnsi="Arial"/>
          <w:sz w:val="18"/>
          <w:szCs w:val="18"/>
          <w:color w:val="auto"/>
        </w:rPr>
        <w:t>. This Agreement shall be construed and enforced in accordance with and governed by the laws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Arizona, without giving effect to the principles of conflict of laws thereof.</w:t>
      </w:r>
    </w:p>
    <w:p>
      <w:pPr>
        <w:spacing w:after="0" w:line="162" w:lineRule="exact"/>
        <w:rPr>
          <w:sz w:val="20"/>
          <w:szCs w:val="20"/>
          <w:color w:val="auto"/>
        </w:rPr>
      </w:pPr>
    </w:p>
    <w:p>
      <w:pPr>
        <w:ind w:right="600" w:firstLine="1297"/>
        <w:spacing w:after="0" w:line="282" w:lineRule="auto"/>
        <w:rPr>
          <w:sz w:val="20"/>
          <w:szCs w:val="20"/>
          <w:color w:val="auto"/>
        </w:rPr>
      </w:pPr>
      <w:r>
        <w:rPr>
          <w:rFonts w:ascii="Arial" w:cs="Arial" w:eastAsia="Arial" w:hAnsi="Arial"/>
          <w:sz w:val="18"/>
          <w:szCs w:val="18"/>
          <w:b w:val="1"/>
          <w:bCs w:val="1"/>
          <w:color w:val="auto"/>
        </w:rPr>
        <w:t xml:space="preserve">18.6 </w:t>
      </w:r>
      <w:r>
        <w:rPr>
          <w:rFonts w:ascii="Arial" w:cs="Arial" w:eastAsia="Arial" w:hAnsi="Arial"/>
          <w:sz w:val="18"/>
          <w:szCs w:val="18"/>
          <w:b w:val="1"/>
          <w:bCs w:val="1"/>
          <w:u w:val="single" w:color="auto"/>
          <w:color w:val="auto"/>
        </w:rPr>
        <w:t>Headings</w:t>
      </w:r>
      <w:r>
        <w:rPr>
          <w:rFonts w:ascii="Arial" w:cs="Arial" w:eastAsia="Arial" w:hAnsi="Arial"/>
          <w:sz w:val="18"/>
          <w:szCs w:val="18"/>
          <w:color w:val="auto"/>
        </w:rPr>
        <w:t>. The headings of the Sections in this Agreement are provided for convenience of reference only and shall not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to constitute a part hereof.</w:t>
      </w:r>
    </w:p>
    <w:p>
      <w:pPr>
        <w:spacing w:after="0" w:line="162" w:lineRule="exact"/>
        <w:rPr>
          <w:sz w:val="20"/>
          <w:szCs w:val="20"/>
          <w:color w:val="auto"/>
        </w:rPr>
      </w:pPr>
    </w:p>
    <w:p>
      <w:pPr>
        <w:ind w:right="40" w:firstLine="1297"/>
        <w:spacing w:after="0" w:line="261" w:lineRule="auto"/>
        <w:rPr>
          <w:sz w:val="20"/>
          <w:szCs w:val="20"/>
          <w:color w:val="auto"/>
        </w:rPr>
      </w:pPr>
      <w:r>
        <w:rPr>
          <w:rFonts w:ascii="Arial" w:cs="Arial" w:eastAsia="Arial" w:hAnsi="Arial"/>
          <w:sz w:val="18"/>
          <w:szCs w:val="18"/>
          <w:b w:val="1"/>
          <w:bCs w:val="1"/>
          <w:color w:val="auto"/>
        </w:rPr>
        <w:t xml:space="preserve">18.7 </w:t>
      </w:r>
      <w:r>
        <w:rPr>
          <w:rFonts w:ascii="Arial" w:cs="Arial" w:eastAsia="Arial" w:hAnsi="Arial"/>
          <w:sz w:val="18"/>
          <w:szCs w:val="18"/>
          <w:b w:val="1"/>
          <w:bCs w:val="1"/>
          <w:u w:val="single" w:color="auto"/>
          <w:color w:val="auto"/>
        </w:rPr>
        <w:t>Entire Agreement</w:t>
      </w:r>
      <w:r>
        <w:rPr>
          <w:rFonts w:ascii="Arial" w:cs="Arial" w:eastAsia="Arial" w:hAnsi="Arial"/>
          <w:sz w:val="18"/>
          <w:szCs w:val="18"/>
          <w:color w:val="auto"/>
        </w:rPr>
        <w:t>. This Agreement, together with the Appendices, Exhibits and Schedules hereto and the agreements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instruments expressly provided for herein, as all of the foregoing may be amended from time to time in accordance with the terms hereof, constitute the entire agreement of the Parties hereto with respect to the subject matter hereof and supersede all prior agreements and understandings, oral and written, among the Parties hereto with respect to the subject matter hereof.</w:t>
      </w:r>
    </w:p>
    <w:p>
      <w:pPr>
        <w:spacing w:after="0" w:line="180" w:lineRule="exact"/>
        <w:rPr>
          <w:sz w:val="20"/>
          <w:szCs w:val="20"/>
          <w:color w:val="auto"/>
        </w:rPr>
      </w:pPr>
    </w:p>
    <w:p>
      <w:pPr>
        <w:ind w:firstLine="1297"/>
        <w:spacing w:after="0" w:line="281" w:lineRule="auto"/>
        <w:rPr>
          <w:sz w:val="20"/>
          <w:szCs w:val="20"/>
          <w:color w:val="auto"/>
        </w:rPr>
      </w:pPr>
      <w:r>
        <w:rPr>
          <w:rFonts w:ascii="Arial" w:cs="Arial" w:eastAsia="Arial" w:hAnsi="Arial"/>
          <w:sz w:val="17"/>
          <w:szCs w:val="17"/>
          <w:b w:val="1"/>
          <w:bCs w:val="1"/>
          <w:color w:val="auto"/>
        </w:rPr>
        <w:t xml:space="preserve">18.8 </w:t>
      </w:r>
      <w:r>
        <w:rPr>
          <w:rFonts w:ascii="Arial" w:cs="Arial" w:eastAsia="Arial" w:hAnsi="Arial"/>
          <w:sz w:val="17"/>
          <w:szCs w:val="17"/>
          <w:b w:val="1"/>
          <w:bCs w:val="1"/>
          <w:u w:val="single" w:color="auto"/>
          <w:color w:val="auto"/>
        </w:rPr>
        <w:t>Severability</w:t>
      </w:r>
      <w:r>
        <w:rPr>
          <w:rFonts w:ascii="Arial" w:cs="Arial" w:eastAsia="Arial" w:hAnsi="Arial"/>
          <w:sz w:val="17"/>
          <w:szCs w:val="17"/>
          <w:color w:val="auto"/>
        </w:rPr>
        <w:t>. Should any provision of this Agreement be deemed in contradiction with the laws of any jurisdiction in which it is to</w:t>
      </w:r>
      <w:r>
        <w:rPr>
          <w:rFonts w:ascii="Arial" w:cs="Arial" w:eastAsia="Arial" w:hAnsi="Arial"/>
          <w:sz w:val="17"/>
          <w:szCs w:val="17"/>
          <w:b w:val="1"/>
          <w:bCs w:val="1"/>
          <w:color w:val="auto"/>
        </w:rPr>
        <w:t xml:space="preserve"> </w:t>
      </w:r>
      <w:r>
        <w:rPr>
          <w:rFonts w:ascii="Arial" w:cs="Arial" w:eastAsia="Arial" w:hAnsi="Arial"/>
          <w:sz w:val="17"/>
          <w:szCs w:val="17"/>
          <w:color w:val="auto"/>
        </w:rPr>
        <w:t>be performed or unenforceable for any reason, such provision shall be deemed null and void, but this Agreement shall remain in full force in all other respects. Should any provision of this Agreement be or become ineffective because of changes in Applicable Law or interpretations thereof, or should this Agreement fail to include a provision that is required as a matter of law, the validity of the other provisions of this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0" w:name="page41"/>
    <w:bookmarkEnd w:id="40"/>
    <w:p>
      <w:pPr>
        <w:ind w:right="80"/>
        <w:spacing w:after="0" w:line="264" w:lineRule="auto"/>
        <w:rPr>
          <w:sz w:val="20"/>
          <w:szCs w:val="20"/>
          <w:color w:val="auto"/>
        </w:rPr>
      </w:pPr>
      <w:r>
        <w:rPr>
          <w:rFonts w:ascii="Arial" w:cs="Arial" w:eastAsia="Arial" w:hAnsi="Arial"/>
          <w:sz w:val="18"/>
          <w:szCs w:val="18"/>
          <w:color w:val="auto"/>
        </w:rPr>
        <w:t>Agreement shall not be affected thereby. If such circumstances arise, then (subject to Section 3.11 (Points of Contact; Designees) and Section 18.11 (Dispute Resolution) the Parties hereto shall negotiate in good faith appropriate modifications to this Agreement to reflect those changes that are required by Applicable Law.</w:t>
      </w:r>
    </w:p>
    <w:p>
      <w:pPr>
        <w:spacing w:after="0" w:line="177" w:lineRule="exact"/>
        <w:rPr>
          <w:sz w:val="20"/>
          <w:szCs w:val="20"/>
          <w:color w:val="auto"/>
        </w:rPr>
      </w:pPr>
    </w:p>
    <w:p>
      <w:pPr>
        <w:ind w:right="300" w:firstLine="1297"/>
        <w:spacing w:after="0" w:line="282" w:lineRule="auto"/>
        <w:rPr>
          <w:sz w:val="20"/>
          <w:szCs w:val="20"/>
          <w:color w:val="auto"/>
        </w:rPr>
      </w:pPr>
      <w:r>
        <w:rPr>
          <w:rFonts w:ascii="Arial" w:cs="Arial" w:eastAsia="Arial" w:hAnsi="Arial"/>
          <w:sz w:val="18"/>
          <w:szCs w:val="18"/>
          <w:b w:val="1"/>
          <w:bCs w:val="1"/>
          <w:color w:val="auto"/>
        </w:rPr>
        <w:t xml:space="preserve">18.9 </w:t>
      </w: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may be executed in several counterparts, each of which shall be deemed an original, but all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together shall constitute one and the same instrument.</w:t>
      </w:r>
    </w:p>
    <w:p>
      <w:pPr>
        <w:spacing w:after="0" w:line="162" w:lineRule="exact"/>
        <w:rPr>
          <w:sz w:val="20"/>
          <w:szCs w:val="20"/>
          <w:color w:val="auto"/>
        </w:rPr>
      </w:pPr>
    </w:p>
    <w:p>
      <w:pPr>
        <w:ind w:right="820" w:firstLine="1297"/>
        <w:spacing w:after="0" w:line="347" w:lineRule="auto"/>
        <w:rPr>
          <w:sz w:val="20"/>
          <w:szCs w:val="20"/>
          <w:color w:val="auto"/>
        </w:rPr>
      </w:pPr>
      <w:r>
        <w:rPr>
          <w:rFonts w:ascii="Arial" w:cs="Arial" w:eastAsia="Arial" w:hAnsi="Arial"/>
          <w:sz w:val="16"/>
          <w:szCs w:val="16"/>
          <w:b w:val="1"/>
          <w:bCs w:val="1"/>
          <w:color w:val="auto"/>
        </w:rPr>
        <w:t xml:space="preserve">18.10 </w:t>
      </w:r>
      <w:r>
        <w:rPr>
          <w:rFonts w:ascii="Arial" w:cs="Arial" w:eastAsia="Arial" w:hAnsi="Arial"/>
          <w:sz w:val="16"/>
          <w:szCs w:val="16"/>
          <w:b w:val="1"/>
          <w:bCs w:val="1"/>
          <w:u w:val="single" w:color="auto"/>
          <w:color w:val="auto"/>
        </w:rPr>
        <w:t>Further Assurances</w:t>
      </w:r>
      <w:r>
        <w:rPr>
          <w:rFonts w:ascii="Arial" w:cs="Arial" w:eastAsia="Arial" w:hAnsi="Arial"/>
          <w:sz w:val="16"/>
          <w:szCs w:val="16"/>
          <w:color w:val="auto"/>
        </w:rPr>
        <w:t>. Each Party shall execute such deeds, assignments, endorsements, evidences of transfer and other</w:t>
      </w:r>
      <w:r>
        <w:rPr>
          <w:rFonts w:ascii="Arial" w:cs="Arial" w:eastAsia="Arial" w:hAnsi="Arial"/>
          <w:sz w:val="16"/>
          <w:szCs w:val="16"/>
          <w:b w:val="1"/>
          <w:bCs w:val="1"/>
          <w:color w:val="auto"/>
        </w:rPr>
        <w:t xml:space="preserve"> </w:t>
      </w:r>
      <w:r>
        <w:rPr>
          <w:rFonts w:ascii="Arial" w:cs="Arial" w:eastAsia="Arial" w:hAnsi="Arial"/>
          <w:sz w:val="16"/>
          <w:szCs w:val="16"/>
          <w:color w:val="auto"/>
        </w:rPr>
        <w:t>instruments and documents and shall give such further assurances as shall be necessary to perform such Party’s obligations hereunder.</w:t>
      </w:r>
    </w:p>
    <w:p>
      <w:pPr>
        <w:spacing w:after="0" w:line="116"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b w:val="1"/>
          <w:bCs w:val="1"/>
          <w:color w:val="auto"/>
        </w:rPr>
        <w:t>18.11</w:t>
      </w:r>
      <w:r>
        <w:rPr>
          <w:sz w:val="20"/>
          <w:szCs w:val="20"/>
          <w:color w:val="auto"/>
        </w:rPr>
        <w:tab/>
      </w:r>
      <w:r>
        <w:rPr>
          <w:rFonts w:ascii="Arial" w:cs="Arial" w:eastAsia="Arial" w:hAnsi="Arial"/>
          <w:sz w:val="15"/>
          <w:szCs w:val="15"/>
          <w:b w:val="1"/>
          <w:bCs w:val="1"/>
          <w:u w:val="single" w:color="auto"/>
          <w:color w:val="auto"/>
        </w:rPr>
        <w:t>Dispute Resolution</w:t>
      </w:r>
      <w:r>
        <w:rPr>
          <w:rFonts w:ascii="Arial" w:cs="Arial" w:eastAsia="Arial" w:hAnsi="Arial"/>
          <w:sz w:val="15"/>
          <w:szCs w:val="15"/>
          <w:color w:val="auto"/>
        </w:rPr>
        <w:t>.</w:t>
      </w:r>
    </w:p>
    <w:p>
      <w:pPr>
        <w:spacing w:after="0" w:line="225" w:lineRule="exact"/>
        <w:rPr>
          <w:sz w:val="20"/>
          <w:szCs w:val="20"/>
          <w:color w:val="auto"/>
        </w:rPr>
      </w:pPr>
    </w:p>
    <w:p>
      <w:pPr>
        <w:ind w:right="180" w:firstLine="1945"/>
        <w:spacing w:after="0" w:line="271" w:lineRule="auto"/>
        <w:rPr>
          <w:sz w:val="20"/>
          <w:szCs w:val="20"/>
          <w:color w:val="auto"/>
        </w:rPr>
      </w:pPr>
      <w:r>
        <w:rPr>
          <w:rFonts w:ascii="Arial" w:cs="Arial" w:eastAsia="Arial" w:hAnsi="Arial"/>
          <w:sz w:val="17"/>
          <w:szCs w:val="17"/>
          <w:b w:val="1"/>
          <w:bCs w:val="1"/>
          <w:color w:val="auto"/>
        </w:rPr>
        <w:t xml:space="preserve">18.11.1 </w:t>
      </w:r>
      <w:r>
        <w:rPr>
          <w:rFonts w:ascii="Arial" w:cs="Arial" w:eastAsia="Arial" w:hAnsi="Arial"/>
          <w:sz w:val="17"/>
          <w:szCs w:val="17"/>
          <w:color w:val="auto"/>
        </w:rPr>
        <w:t>In the event of any dispute, claim or controversy arising out of or relating to this Agreement, including, but not</w:t>
      </w:r>
      <w:r>
        <w:rPr>
          <w:rFonts w:ascii="Arial" w:cs="Arial" w:eastAsia="Arial" w:hAnsi="Arial"/>
          <w:sz w:val="17"/>
          <w:szCs w:val="17"/>
          <w:b w:val="1"/>
          <w:bCs w:val="1"/>
          <w:color w:val="auto"/>
        </w:rPr>
        <w:t xml:space="preserve"> </w:t>
      </w:r>
      <w:r>
        <w:rPr>
          <w:rFonts w:ascii="Arial" w:cs="Arial" w:eastAsia="Arial" w:hAnsi="Arial"/>
          <w:sz w:val="17"/>
          <w:szCs w:val="17"/>
          <w:color w:val="auto"/>
        </w:rPr>
        <w:t>limited to, its creation, validity, interpretation or enforcement (a “</w:t>
      </w:r>
      <w:r>
        <w:rPr>
          <w:rFonts w:ascii="Arial" w:cs="Arial" w:eastAsia="Arial" w:hAnsi="Arial"/>
          <w:sz w:val="17"/>
          <w:szCs w:val="17"/>
          <w:b w:val="1"/>
          <w:bCs w:val="1"/>
          <w:i w:val="1"/>
          <w:iCs w:val="1"/>
          <w:color w:val="auto"/>
        </w:rPr>
        <w:t>Dispute</w:t>
      </w:r>
      <w:r>
        <w:rPr>
          <w:rFonts w:ascii="Arial" w:cs="Arial" w:eastAsia="Arial" w:hAnsi="Arial"/>
          <w:sz w:val="17"/>
          <w:szCs w:val="17"/>
          <w:color w:val="auto"/>
        </w:rPr>
        <w:t>”), the Parties shall endeavor to settle the Dispute through their respective Designees. University’s Designee shall report Disputes to the MSA Committee and the MSA Committee shall provide guidance in accordance with the University Bylaws. If the Designees are unable to resolve the Dispute within thirty (30) days of receipt of written notice by a Designee from the other Designee identifying the dispute and initiating such discussions, the Dispute shall then be submitted to (a) in the case of the Provider, a senior executive officer (other than the chief executive officer) appointed by the Provider’s board of directors, and (b) in the case of University, a member or members of the MSA Committee appointed by the MSA Committee (each, a “</w:t>
      </w:r>
      <w:r>
        <w:rPr>
          <w:rFonts w:ascii="Arial" w:cs="Arial" w:eastAsia="Arial" w:hAnsi="Arial"/>
          <w:sz w:val="17"/>
          <w:szCs w:val="17"/>
          <w:b w:val="1"/>
          <w:bCs w:val="1"/>
          <w:i w:val="1"/>
          <w:iCs w:val="1"/>
          <w:color w:val="auto"/>
        </w:rPr>
        <w:t>Senior Designee</w:t>
      </w:r>
      <w:r>
        <w:rPr>
          <w:rFonts w:ascii="Arial" w:cs="Arial" w:eastAsia="Arial" w:hAnsi="Arial"/>
          <w:sz w:val="17"/>
          <w:szCs w:val="17"/>
          <w:color w:val="auto"/>
        </w:rPr>
        <w:t>”), who shall work together in good faith effort to resolve the Dispute. If the Dispute cannot be resolved by the respective Party’s Senior Designees within thirty (30) days of submission of the matter to such Senior Designees, then either Party may proceed with an action or proceeding under Section 18.11.2 below.</w:t>
      </w:r>
    </w:p>
    <w:p>
      <w:pPr>
        <w:spacing w:after="0" w:line="174" w:lineRule="exact"/>
        <w:rPr>
          <w:sz w:val="20"/>
          <w:szCs w:val="20"/>
          <w:color w:val="auto"/>
        </w:rPr>
      </w:pPr>
    </w:p>
    <w:p>
      <w:pPr>
        <w:ind w:firstLine="1945"/>
        <w:spacing w:after="0" w:line="270" w:lineRule="auto"/>
        <w:rPr>
          <w:sz w:val="20"/>
          <w:szCs w:val="20"/>
          <w:color w:val="auto"/>
        </w:rPr>
      </w:pPr>
      <w:r>
        <w:rPr>
          <w:rFonts w:ascii="Arial" w:cs="Arial" w:eastAsia="Arial" w:hAnsi="Arial"/>
          <w:sz w:val="17"/>
          <w:szCs w:val="17"/>
          <w:b w:val="1"/>
          <w:bCs w:val="1"/>
          <w:color w:val="auto"/>
        </w:rPr>
        <w:t xml:space="preserve">18.11.2 </w:t>
      </w:r>
      <w:r>
        <w:rPr>
          <w:rFonts w:ascii="Arial" w:cs="Arial" w:eastAsia="Arial" w:hAnsi="Arial"/>
          <w:sz w:val="17"/>
          <w:szCs w:val="17"/>
          <w:color w:val="auto"/>
        </w:rPr>
        <w:t>The Parties agree to submit (the “</w:t>
      </w:r>
      <w:r>
        <w:rPr>
          <w:rFonts w:ascii="Arial" w:cs="Arial" w:eastAsia="Arial" w:hAnsi="Arial"/>
          <w:sz w:val="17"/>
          <w:szCs w:val="17"/>
          <w:b w:val="1"/>
          <w:bCs w:val="1"/>
          <w:i w:val="1"/>
          <w:iCs w:val="1"/>
          <w:color w:val="auto"/>
        </w:rPr>
        <w:t>Submission</w:t>
      </w:r>
      <w:r>
        <w:rPr>
          <w:rFonts w:ascii="Arial" w:cs="Arial" w:eastAsia="Arial" w:hAnsi="Arial"/>
          <w:sz w:val="17"/>
          <w:szCs w:val="17"/>
          <w:color w:val="auto"/>
        </w:rPr>
        <w:t>”) any dispute, claim, or controversy arising out of or relating to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including, but not limited to, its creation, validity, interpretation or enforcement to JAMS for non-binding mediation. The Parties agree that the Submission will be treated as Confidential Information and the fact of the Submission and all details thereof shall not be disclosed to any third party except to the mediators. The Submission shall be in writing and set forth with reasonable particularity the grounds for the Submission. The Submission shall be filed with JAMS and sent to the other Party simultaneously. The other Party shall serve a written response to the Submission within five (5) Business Days to both the originating Party and JAMS. The Parties will cooperate with JAMS and with one another in selecting a mediator from a panel of neutrals and in promptly scheduling the mediation proceedings. Any mediation conducted pursuant to this Agreement shall be held in Phoenix, Arizona. If the Parties cannot agree on a mediator, JAMS will appoint one. The Parties covenant that they will participate in the mediation in good faith and that they will (a) bear their own attorneys’ fees, costs, and expenses in connection with the mediation; and (b) share equally in the fees and expenses charged by the mediator. All offers, promises, conduct, and statements, whether oral or written, made in the course of the mediation by either Party, their agents, employees, experts, and attorneys, and by the mediator or any JAMS employee are confidential, privileged,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1" w:name="page42"/>
    <w:bookmarkEnd w:id="41"/>
    <w:p>
      <w:pPr>
        <w:ind w:right="200"/>
        <w:spacing w:after="0" w:line="255" w:lineRule="auto"/>
        <w:rPr>
          <w:sz w:val="20"/>
          <w:szCs w:val="20"/>
          <w:color w:val="auto"/>
        </w:rPr>
      </w:pPr>
      <w:r>
        <w:rPr>
          <w:rFonts w:ascii="Arial" w:cs="Arial" w:eastAsia="Arial" w:hAnsi="Arial"/>
          <w:sz w:val="18"/>
          <w:szCs w:val="18"/>
          <w:color w:val="auto"/>
        </w:rPr>
        <w:t>and inadmissible for any purpose, including impeachment, in any arbitration or other proceeding involving the Parties, provided that evidence that is otherwise admissible or discoverable shall not be rendered inadmissible or non-discoverable as a result of its use in the mediation. If the Dispute is not resolved within thirty (30) days from the date of the Submission of the Dispute to mediation (or such other date as the Parties may agree to in writing), any Party may proceed forthwith with the initiation and administration of an arbitration in accordance with the terms of this Section 18.11 (Dispute Resolution). The mediation may, however, continue, if the Parties so agree, after the commencement of the arbitration. Unless otherwise agreed by the Parties, the mediator shall be disqualified from serving as arbitrator in the case.</w:t>
      </w:r>
    </w:p>
    <w:p>
      <w:pPr>
        <w:spacing w:after="0" w:line="189" w:lineRule="exact"/>
        <w:rPr>
          <w:sz w:val="20"/>
          <w:szCs w:val="20"/>
          <w:color w:val="auto"/>
        </w:rPr>
      </w:pPr>
    </w:p>
    <w:p>
      <w:pPr>
        <w:ind w:right="80" w:firstLine="1945"/>
        <w:spacing w:after="0" w:line="255" w:lineRule="auto"/>
        <w:rPr>
          <w:sz w:val="20"/>
          <w:szCs w:val="20"/>
          <w:color w:val="auto"/>
        </w:rPr>
      </w:pPr>
      <w:r>
        <w:rPr>
          <w:rFonts w:ascii="Arial" w:cs="Arial" w:eastAsia="Arial" w:hAnsi="Arial"/>
          <w:sz w:val="18"/>
          <w:szCs w:val="18"/>
          <w:b w:val="1"/>
          <w:bCs w:val="1"/>
          <w:color w:val="auto"/>
        </w:rPr>
        <w:t xml:space="preserve">18.11.3 </w:t>
      </w:r>
      <w:r>
        <w:rPr>
          <w:rFonts w:ascii="Arial" w:cs="Arial" w:eastAsia="Arial" w:hAnsi="Arial"/>
          <w:sz w:val="18"/>
          <w:szCs w:val="18"/>
          <w:color w:val="auto"/>
        </w:rPr>
        <w:t>The Parties agree that final and binding arbitration of the Dispute shall be conducted through JAMS, before a single</w:t>
      </w:r>
      <w:r>
        <w:rPr>
          <w:rFonts w:ascii="Arial" w:cs="Arial" w:eastAsia="Arial" w:hAnsi="Arial"/>
          <w:sz w:val="18"/>
          <w:szCs w:val="18"/>
          <w:b w:val="1"/>
          <w:bCs w:val="1"/>
          <w:color w:val="auto"/>
        </w:rPr>
        <w:t xml:space="preserve"> </w:t>
      </w:r>
      <w:r>
        <w:rPr>
          <w:rFonts w:ascii="Arial" w:cs="Arial" w:eastAsia="Arial" w:hAnsi="Arial"/>
          <w:sz w:val="18"/>
          <w:szCs w:val="18"/>
          <w:color w:val="auto"/>
        </w:rPr>
        <w:t>arbitrator and in accordance with the JAMS Streamlined Arbitration Rules &amp; Procedures. Such arbitration shall be the sole and exclusive remedy for resolving any Disputes arising out of, or in any way related to this Agreement, including, but not limited to its creation, validity, interpretation, or enforcement, instead of any court action, which is hereby expressly waived. The Parties agree that the arbitration will be treated as Confidential Information to the extent permitted by law and the fact of the arbitration and all details thereof shall not be disclosed to any third party except to the arbitrator. Any arbitration conducted pursuant to this Agreement shall be held in Phoenix, Arizona. The Parties waive any argument that the selection of that venue is inconvenient or otherwise improper. The non-prevailing Party agrees to pay all expenses and reasonable expenses and attorneys’ fees incurred by the prevailing Party.</w:t>
      </w:r>
    </w:p>
    <w:p>
      <w:pPr>
        <w:spacing w:after="0" w:line="18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18.12</w:t>
      </w:r>
      <w:r>
        <w:rPr>
          <w:sz w:val="20"/>
          <w:szCs w:val="20"/>
          <w:color w:val="auto"/>
        </w:rPr>
        <w:tab/>
      </w:r>
      <w:r>
        <w:rPr>
          <w:rFonts w:ascii="Arial" w:cs="Arial" w:eastAsia="Arial" w:hAnsi="Arial"/>
          <w:sz w:val="17"/>
          <w:szCs w:val="17"/>
          <w:b w:val="1"/>
          <w:bCs w:val="1"/>
          <w:u w:val="single" w:color="auto"/>
          <w:color w:val="auto"/>
        </w:rPr>
        <w:t>Certain Interpretive Matters</w:t>
      </w:r>
      <w:r>
        <w:rPr>
          <w:rFonts w:ascii="Arial" w:cs="Arial" w:eastAsia="Arial" w:hAnsi="Arial"/>
          <w:sz w:val="17"/>
          <w:szCs w:val="17"/>
          <w:color w:val="auto"/>
        </w:rPr>
        <w:t>.</w:t>
      </w:r>
    </w:p>
    <w:p>
      <w:pPr>
        <w:spacing w:after="0" w:line="225" w:lineRule="exact"/>
        <w:rPr>
          <w:sz w:val="20"/>
          <w:szCs w:val="20"/>
          <w:color w:val="auto"/>
        </w:rPr>
      </w:pPr>
    </w:p>
    <w:p>
      <w:pPr>
        <w:ind w:firstLine="1945"/>
        <w:spacing w:after="0" w:line="256" w:lineRule="auto"/>
        <w:rPr>
          <w:sz w:val="20"/>
          <w:szCs w:val="20"/>
          <w:color w:val="auto"/>
        </w:rPr>
      </w:pPr>
      <w:r>
        <w:rPr>
          <w:rFonts w:ascii="Arial" w:cs="Arial" w:eastAsia="Arial" w:hAnsi="Arial"/>
          <w:sz w:val="18"/>
          <w:szCs w:val="18"/>
          <w:b w:val="1"/>
          <w:bCs w:val="1"/>
          <w:color w:val="auto"/>
        </w:rPr>
        <w:t xml:space="preserve">18.12.1 </w:t>
      </w:r>
      <w:r>
        <w:rPr>
          <w:rFonts w:ascii="Arial" w:cs="Arial" w:eastAsia="Arial" w:hAnsi="Arial"/>
          <w:sz w:val="18"/>
          <w:szCs w:val="18"/>
          <w:color w:val="auto"/>
        </w:rPr>
        <w:t>Unless the context requires otherwise, (i) all references to Sections or Exhibits are to Sections or Exhibits of or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(ii) words in the singular include the plural and vice versa, (iii) the terms “</w:t>
      </w:r>
      <w:r>
        <w:rPr>
          <w:rFonts w:ascii="Arial" w:cs="Arial" w:eastAsia="Arial" w:hAnsi="Arial"/>
          <w:sz w:val="18"/>
          <w:szCs w:val="18"/>
          <w:b w:val="1"/>
          <w:bCs w:val="1"/>
          <w:i w:val="1"/>
          <w:iCs w:val="1"/>
          <w:color w:val="auto"/>
        </w:rPr>
        <w:t>include</w:t>
      </w:r>
      <w:r>
        <w:rPr>
          <w:rFonts w:ascii="Arial" w:cs="Arial" w:eastAsia="Arial" w:hAnsi="Arial"/>
          <w:sz w:val="18"/>
          <w:szCs w:val="18"/>
          <w:color w:val="auto"/>
        </w:rPr>
        <w:t>”, “</w:t>
      </w:r>
      <w:r>
        <w:rPr>
          <w:rFonts w:ascii="Arial" w:cs="Arial" w:eastAsia="Arial" w:hAnsi="Arial"/>
          <w:sz w:val="18"/>
          <w:szCs w:val="18"/>
          <w:b w:val="1"/>
          <w:bCs w:val="1"/>
          <w:i w:val="1"/>
          <w:iCs w:val="1"/>
          <w:color w:val="auto"/>
        </w:rPr>
        <w:t>includes</w:t>
      </w:r>
      <w:r>
        <w:rPr>
          <w:rFonts w:ascii="Arial" w:cs="Arial" w:eastAsia="Arial" w:hAnsi="Arial"/>
          <w:sz w:val="18"/>
          <w:szCs w:val="18"/>
          <w:color w:val="auto"/>
        </w:rPr>
        <w:t>” “</w:t>
      </w:r>
      <w:r>
        <w:rPr>
          <w:rFonts w:ascii="Arial" w:cs="Arial" w:eastAsia="Arial" w:hAnsi="Arial"/>
          <w:sz w:val="18"/>
          <w:szCs w:val="18"/>
          <w:b w:val="1"/>
          <w:bCs w:val="1"/>
          <w:i w:val="1"/>
          <w:iCs w:val="1"/>
          <w:color w:val="auto"/>
        </w:rPr>
        <w:t>including</w:t>
      </w:r>
      <w:r>
        <w:rPr>
          <w:rFonts w:ascii="Arial" w:cs="Arial" w:eastAsia="Arial" w:hAnsi="Arial"/>
          <w:sz w:val="18"/>
          <w:szCs w:val="18"/>
          <w:color w:val="auto"/>
        </w:rPr>
        <w:t>” means “include, includes or including without limitation,” and (iv) the terms “</w:t>
      </w:r>
      <w:r>
        <w:rPr>
          <w:rFonts w:ascii="Arial" w:cs="Arial" w:eastAsia="Arial" w:hAnsi="Arial"/>
          <w:sz w:val="18"/>
          <w:szCs w:val="18"/>
          <w:b w:val="1"/>
          <w:bCs w:val="1"/>
          <w:i w:val="1"/>
          <w:iCs w:val="1"/>
          <w:color w:val="auto"/>
        </w:rPr>
        <w:t>herein</w:t>
      </w:r>
      <w:r>
        <w:rPr>
          <w:rFonts w:ascii="Arial" w:cs="Arial" w:eastAsia="Arial" w:hAnsi="Arial"/>
          <w:sz w:val="18"/>
          <w:szCs w:val="18"/>
          <w:color w:val="auto"/>
        </w:rPr>
        <w:t>,” “</w:t>
      </w:r>
      <w:r>
        <w:rPr>
          <w:rFonts w:ascii="Arial" w:cs="Arial" w:eastAsia="Arial" w:hAnsi="Arial"/>
          <w:sz w:val="18"/>
          <w:szCs w:val="18"/>
          <w:b w:val="1"/>
          <w:bCs w:val="1"/>
          <w:i w:val="1"/>
          <w:iCs w:val="1"/>
          <w:color w:val="auto"/>
        </w:rPr>
        <w:t>hereof</w:t>
      </w:r>
      <w:r>
        <w:rPr>
          <w:rFonts w:ascii="Arial" w:cs="Arial" w:eastAsia="Arial" w:hAnsi="Arial"/>
          <w:sz w:val="18"/>
          <w:szCs w:val="18"/>
          <w:color w:val="auto"/>
        </w:rPr>
        <w:t>,” “</w:t>
      </w:r>
      <w:r>
        <w:rPr>
          <w:rFonts w:ascii="Arial" w:cs="Arial" w:eastAsia="Arial" w:hAnsi="Arial"/>
          <w:sz w:val="18"/>
          <w:szCs w:val="18"/>
          <w:b w:val="1"/>
          <w:bCs w:val="1"/>
          <w:i w:val="1"/>
          <w:iCs w:val="1"/>
          <w:color w:val="auto"/>
        </w:rPr>
        <w:t>hereunder</w:t>
      </w:r>
      <w:r>
        <w:rPr>
          <w:rFonts w:ascii="Arial" w:cs="Arial" w:eastAsia="Arial" w:hAnsi="Arial"/>
          <w:sz w:val="18"/>
          <w:szCs w:val="18"/>
          <w:color w:val="auto"/>
        </w:rPr>
        <w:t>” and words of similar import shall mean references to this Agreement as a whole and not to any individual Section or portion hereof. All references to “</w:t>
      </w:r>
      <w:r>
        <w:rPr>
          <w:rFonts w:ascii="Arial" w:cs="Arial" w:eastAsia="Arial" w:hAnsi="Arial"/>
          <w:sz w:val="18"/>
          <w:szCs w:val="18"/>
          <w:b w:val="1"/>
          <w:bCs w:val="1"/>
          <w:color w:val="auto"/>
        </w:rPr>
        <w:t>$</w:t>
      </w:r>
      <w:r>
        <w:rPr>
          <w:rFonts w:ascii="Arial" w:cs="Arial" w:eastAsia="Arial" w:hAnsi="Arial"/>
          <w:sz w:val="18"/>
          <w:szCs w:val="18"/>
          <w:color w:val="auto"/>
        </w:rPr>
        <w:t>” or dollar amounts will be to lawful currency of the United States of America. All references to “</w:t>
      </w:r>
      <w:r>
        <w:rPr>
          <w:rFonts w:ascii="Arial" w:cs="Arial" w:eastAsia="Arial" w:hAnsi="Arial"/>
          <w:sz w:val="18"/>
          <w:szCs w:val="18"/>
          <w:b w:val="1"/>
          <w:bCs w:val="1"/>
          <w:color w:val="auto"/>
        </w:rPr>
        <w:t>$</w:t>
      </w:r>
      <w:r>
        <w:rPr>
          <w:rFonts w:ascii="Arial" w:cs="Arial" w:eastAsia="Arial" w:hAnsi="Arial"/>
          <w:sz w:val="18"/>
          <w:szCs w:val="18"/>
          <w:color w:val="auto"/>
        </w:rPr>
        <w:t>” or dollar amounts, or “%” or percent or percentages, shall be to precise amounts and not rounded up or down. All references to “</w:t>
      </w:r>
      <w:r>
        <w:rPr>
          <w:rFonts w:ascii="Arial" w:cs="Arial" w:eastAsia="Arial" w:hAnsi="Arial"/>
          <w:sz w:val="18"/>
          <w:szCs w:val="18"/>
          <w:b w:val="1"/>
          <w:bCs w:val="1"/>
          <w:color w:val="auto"/>
        </w:rPr>
        <w:t>day</w:t>
      </w:r>
      <w:r>
        <w:rPr>
          <w:rFonts w:ascii="Arial" w:cs="Arial" w:eastAsia="Arial" w:hAnsi="Arial"/>
          <w:sz w:val="18"/>
          <w:szCs w:val="18"/>
          <w:color w:val="auto"/>
        </w:rPr>
        <w:t>” or “</w:t>
      </w:r>
      <w:r>
        <w:rPr>
          <w:rFonts w:ascii="Arial" w:cs="Arial" w:eastAsia="Arial" w:hAnsi="Arial"/>
          <w:sz w:val="18"/>
          <w:szCs w:val="18"/>
          <w:b w:val="1"/>
          <w:bCs w:val="1"/>
          <w:color w:val="auto"/>
        </w:rPr>
        <w:t>days</w:t>
      </w:r>
      <w:r>
        <w:rPr>
          <w:rFonts w:ascii="Arial" w:cs="Arial" w:eastAsia="Arial" w:hAnsi="Arial"/>
          <w:sz w:val="18"/>
          <w:szCs w:val="18"/>
          <w:color w:val="auto"/>
        </w:rPr>
        <w:t>” will mean calendar days.</w:t>
      </w:r>
    </w:p>
    <w:p>
      <w:pPr>
        <w:spacing w:after="0" w:line="188" w:lineRule="exact"/>
        <w:rPr>
          <w:sz w:val="20"/>
          <w:szCs w:val="20"/>
          <w:color w:val="auto"/>
        </w:rPr>
      </w:pPr>
    </w:p>
    <w:p>
      <w:pPr>
        <w:ind w:right="20" w:firstLine="1945"/>
        <w:spacing w:after="0" w:line="266" w:lineRule="auto"/>
        <w:rPr>
          <w:sz w:val="20"/>
          <w:szCs w:val="20"/>
          <w:color w:val="auto"/>
        </w:rPr>
      </w:pPr>
      <w:r>
        <w:rPr>
          <w:rFonts w:ascii="Arial" w:cs="Arial" w:eastAsia="Arial" w:hAnsi="Arial"/>
          <w:sz w:val="18"/>
          <w:szCs w:val="18"/>
          <w:b w:val="1"/>
          <w:bCs w:val="1"/>
          <w:color w:val="auto"/>
        </w:rPr>
        <w:t xml:space="preserve">18.12.2 </w:t>
      </w:r>
      <w:r>
        <w:rPr>
          <w:rFonts w:ascii="Arial" w:cs="Arial" w:eastAsia="Arial" w:hAnsi="Arial"/>
          <w:sz w:val="18"/>
          <w:szCs w:val="18"/>
          <w:color w:val="auto"/>
        </w:rPr>
        <w:t>No provision of this Agreement will be interpreted in favor of, or against, any of the parties by reason of the extent to</w:t>
      </w:r>
      <w:r>
        <w:rPr>
          <w:rFonts w:ascii="Arial" w:cs="Arial" w:eastAsia="Arial" w:hAnsi="Arial"/>
          <w:sz w:val="18"/>
          <w:szCs w:val="18"/>
          <w:b w:val="1"/>
          <w:bCs w:val="1"/>
          <w:color w:val="auto"/>
        </w:rPr>
        <w:t xml:space="preserve"> </w:t>
      </w:r>
      <w:r>
        <w:rPr>
          <w:rFonts w:ascii="Arial" w:cs="Arial" w:eastAsia="Arial" w:hAnsi="Arial"/>
          <w:sz w:val="18"/>
          <w:szCs w:val="18"/>
          <w:color w:val="auto"/>
        </w:rPr>
        <w:t>which any such party or its counsel participated in the drafting thereof or by reason of the extent to which any such provision is inconsistent with any prior draft of this Agreement or such provision.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Follows]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2" w:name="page43"/>
    <w:bookmarkEnd w:id="42"/>
    <w:p>
      <w:pPr>
        <w:ind w:left="660"/>
        <w:spacing w:after="0"/>
        <w:rPr>
          <w:sz w:val="20"/>
          <w:szCs w:val="20"/>
          <w:color w:val="auto"/>
        </w:rPr>
      </w:pPr>
      <w:r>
        <w:rPr>
          <w:rFonts w:ascii="Arial" w:cs="Arial" w:eastAsia="Arial" w:hAnsi="Arial"/>
          <w:sz w:val="17"/>
          <w:szCs w:val="17"/>
          <w:b w:val="1"/>
          <w:bCs w:val="1"/>
          <w:color w:val="auto"/>
        </w:rPr>
        <w:t xml:space="preserve">IN WITNESS WHEREOF, </w:t>
      </w:r>
      <w:r>
        <w:rPr>
          <w:rFonts w:ascii="Arial" w:cs="Arial" w:eastAsia="Arial" w:hAnsi="Arial"/>
          <w:sz w:val="17"/>
          <w:szCs w:val="17"/>
          <w:color w:val="auto"/>
        </w:rPr>
        <w:t>the Parties have executed and delivered this</w:t>
      </w:r>
      <w:r>
        <w:rPr>
          <w:rFonts w:ascii="Arial" w:cs="Arial" w:eastAsia="Arial" w:hAnsi="Arial"/>
          <w:sz w:val="17"/>
          <w:szCs w:val="17"/>
          <w:b w:val="1"/>
          <w:bCs w:val="1"/>
          <w:color w:val="auto"/>
        </w:rPr>
        <w:t xml:space="preserve"> MASTER SERVICES AGREEMENT </w:t>
      </w:r>
      <w:r>
        <w:rPr>
          <w:rFonts w:ascii="Arial" w:cs="Arial" w:eastAsia="Arial" w:hAnsi="Arial"/>
          <w:sz w:val="17"/>
          <w:szCs w:val="17"/>
          <w:color w:val="auto"/>
        </w:rPr>
        <w:t>as of the day and year first above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07"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PROVIDER:</w:t>
      </w:r>
    </w:p>
    <w:p>
      <w:pPr>
        <w:spacing w:after="0" w:line="22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GRAND CANYON EDUCATION, INC.</w:t>
      </w:r>
    </w:p>
    <w:p>
      <w:pPr>
        <w:spacing w:after="0" w:line="225" w:lineRule="exact"/>
        <w:rPr>
          <w:sz w:val="20"/>
          <w:szCs w:val="20"/>
          <w:color w:val="auto"/>
        </w:rPr>
      </w:pPr>
    </w:p>
    <w:tbl>
      <w:tblPr>
        <w:tblLayout w:type="fixed"/>
        <w:tblInd w:w="574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E. Bachus</w:t>
            </w:r>
          </w:p>
        </w:tc>
      </w:tr>
      <w:tr>
        <w:trPr>
          <w:trHeight w:val="195"/>
        </w:trPr>
        <w:tc>
          <w:tcPr>
            <w:tcW w:w="7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Daniel E. Bachus</w:t>
            </w: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98"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UNIVERSITY:</w:t>
      </w:r>
    </w:p>
    <w:p>
      <w:pPr>
        <w:spacing w:after="0" w:line="22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GAZELLE UNIVERSITY (to be renamed “Grand Canyon University”)</w:t>
      </w:r>
    </w:p>
    <w:p>
      <w:pPr>
        <w:spacing w:after="0" w:line="225" w:lineRule="exact"/>
        <w:rPr>
          <w:sz w:val="20"/>
          <w:szCs w:val="20"/>
          <w:color w:val="auto"/>
        </w:rPr>
      </w:pPr>
    </w:p>
    <w:tbl>
      <w:tblPr>
        <w:tblLayout w:type="fixed"/>
        <w:tblInd w:w="574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 Gonzalez</w:t>
            </w:r>
          </w:p>
        </w:tc>
      </w:tr>
      <w:tr>
        <w:trPr>
          <w:trHeight w:val="195"/>
        </w:trPr>
        <w:tc>
          <w:tcPr>
            <w:tcW w:w="7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Will Gonzalez</w:t>
            </w: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Chairman of the Board of Trustees</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Master Services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Access</w:t>
      </w:r>
      <w:r>
        <w:rPr>
          <w:rFonts w:ascii="Arial" w:cs="Arial" w:eastAsia="Arial" w:hAnsi="Arial"/>
          <w:sz w:val="18"/>
          <w:szCs w:val="18"/>
          <w:color w:val="auto"/>
        </w:rPr>
        <w:t>” refers to the ability of authorized agents, officers, directors and employees of Provider to (a) enter and exit the Campus or other facilities of the University as reasonably necessary to perform the Services (including the use, consistent with the use prior to the date hereof, of the executive office space on the fourth floor of the Student Life Building), (b) review and analyze relevant Books and Records of University (including copies) as reasonably necessary for the performance of the Services, and (c) consult with any employees of University as reasonably necessary to perform the Services under this Agreement.</w:t>
      </w:r>
    </w:p>
    <w:p>
      <w:pPr>
        <w:spacing w:after="0" w:line="188" w:lineRule="exact"/>
        <w:rPr>
          <w:sz w:val="20"/>
          <w:szCs w:val="20"/>
          <w:color w:val="auto"/>
        </w:rPr>
      </w:pPr>
    </w:p>
    <w:p>
      <w:pPr>
        <w:ind w:right="38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Accrediting Body</w:t>
      </w:r>
      <w:r>
        <w:rPr>
          <w:rFonts w:ascii="Arial" w:cs="Arial" w:eastAsia="Arial" w:hAnsi="Arial"/>
          <w:sz w:val="16"/>
          <w:szCs w:val="16"/>
          <w:color w:val="auto"/>
        </w:rPr>
        <w:t>” means any governmental or non-governmental entity, including, without limitation, any institutional and/or specialized accrediting agency, that engages in the granting or withholding of accreditation of postsecondary educational institutions or programs in accordance with standards relating to the performance, operations, financial condition or academic standards of such institutions, including, without limitation, HLC.</w:t>
      </w:r>
    </w:p>
    <w:p>
      <w:pPr>
        <w:spacing w:after="0" w:line="147"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 Person that directly, or indirectly through one or more intermediaries, controls, or is controlled by, or is under common control with, the Person specified. For the foregoing purposes, “</w:t>
      </w:r>
      <w:r>
        <w:rPr>
          <w:rFonts w:ascii="Arial" w:cs="Arial" w:eastAsia="Arial" w:hAnsi="Arial"/>
          <w:sz w:val="18"/>
          <w:szCs w:val="18"/>
          <w:b w:val="1"/>
          <w:bCs w:val="1"/>
          <w:i w:val="1"/>
          <w:iCs w:val="1"/>
          <w:color w:val="auto"/>
        </w:rPr>
        <w:t>control</w:t>
      </w:r>
      <w:r>
        <w:rPr>
          <w:rFonts w:ascii="Arial" w:cs="Arial" w:eastAsia="Arial" w:hAnsi="Arial"/>
          <w:sz w:val="18"/>
          <w:szCs w:val="18"/>
          <w:color w:val="auto"/>
        </w:rPr>
        <w:t>” means the ownership of more than fifty percent (50%) of the securities entitled to elect the board of directors or other managing or governing body of such Person.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Aggregated Data Sets</w:t>
      </w:r>
      <w:r>
        <w:rPr>
          <w:rFonts w:ascii="Arial" w:cs="Arial" w:eastAsia="Arial" w:hAnsi="Arial"/>
          <w:sz w:val="18"/>
          <w:szCs w:val="18"/>
          <w:color w:val="auto"/>
        </w:rPr>
        <w:t>” has the meaning set forth in Section 10.13 (Aggregated Data Sets).</w:t>
      </w:r>
    </w:p>
    <w:p>
      <w:pPr>
        <w:spacing w:after="0" w:line="22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has the meaning set forth in the preamble of this Agreement, and this Master Services Agreement, including, the cover page, preamble, exhibits, schedules, attachments, addendums and any future amendments hereto and all Services Addenda, all of which are incorporated herein by reference.</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Alternate Designee</w:t>
      </w:r>
      <w:r>
        <w:rPr>
          <w:rFonts w:ascii="Arial" w:cs="Arial" w:eastAsia="Arial" w:hAnsi="Arial"/>
          <w:sz w:val="18"/>
          <w:szCs w:val="18"/>
          <w:color w:val="auto"/>
        </w:rPr>
        <w:t>” has the meaning set forth in Section 3.11 (Points of Contact; Designees).</w:t>
      </w:r>
    </w:p>
    <w:p>
      <w:pPr>
        <w:spacing w:after="0" w:line="225" w:lineRule="exact"/>
        <w:rPr>
          <w:sz w:val="20"/>
          <w:szCs w:val="20"/>
          <w:color w:val="auto"/>
        </w:rPr>
      </w:pPr>
    </w:p>
    <w:p>
      <w:pPr>
        <w:ind w:right="50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Applicable Law</w:t>
      </w:r>
      <w:r>
        <w:rPr>
          <w:rFonts w:ascii="Arial" w:cs="Arial" w:eastAsia="Arial" w:hAnsi="Arial"/>
          <w:sz w:val="17"/>
          <w:szCs w:val="17"/>
          <w:color w:val="auto"/>
        </w:rPr>
        <w:t>” means any laws, statutes, rules, regulations, ordinances, orders, codes, arbitration awards, judgments, decrees or other legal requirements of any Governmental Entity or Educational Agency, including any Educational Law, applicable to a Party.</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Asset Purchase Agreement</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Audited Financial Statements</w:t>
      </w:r>
      <w:r>
        <w:rPr>
          <w:rFonts w:ascii="Arial" w:cs="Arial" w:eastAsia="Arial" w:hAnsi="Arial"/>
          <w:sz w:val="18"/>
          <w:szCs w:val="18"/>
          <w:color w:val="auto"/>
        </w:rPr>
        <w:t>” means, as to any Party, such Party’s income statement, balance sheet, cash flow statement and footnotes prepared in accordance with GAAP consistently applied and certified by such Party’s auditor.</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Back-Office Services Functions</w:t>
      </w:r>
      <w:r>
        <w:rPr>
          <w:rFonts w:ascii="Arial" w:cs="Arial" w:eastAsia="Arial" w:hAnsi="Arial"/>
          <w:sz w:val="18"/>
          <w:szCs w:val="18"/>
          <w:color w:val="auto"/>
        </w:rPr>
        <w:t xml:space="preserve">” means the Services described in Section 7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(Accounting Services), Section 8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(Financial Aid Services), Section 11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(Human Resources), and Section 12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(Technology).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44" w:name="page45"/>
    <w:bookmarkEnd w:id="44"/>
    <w:p>
      <w:pPr>
        <w:ind w:right="6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Books and Records</w:t>
      </w:r>
      <w:r>
        <w:rPr>
          <w:rFonts w:ascii="Arial" w:cs="Arial" w:eastAsia="Arial" w:hAnsi="Arial"/>
          <w:sz w:val="18"/>
          <w:szCs w:val="18"/>
          <w:color w:val="auto"/>
        </w:rPr>
        <w:t>” means originals (or true, correct and complete copies) of all business, accounting, Tax and financial records, files, lists, ledgers, correspondence, studies, reports databases and other documents (whether in hard copy, electronic or other form), including: (a) all analysis reports, advertising, promotional and marketing materials and creative material, and (b) all records and lists relating to customers, vendors or personnel (including customer lists or databases, vendor lists or databases, mailing lists or databases, e-mail address lists or databases, recipient lists or databases, sales records, credit information, correspondence with customers, customer files and account histories, supply lists and records of purchases from and correspondence with vendors), but shall exclude the student records.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Breach</w:t>
      </w:r>
      <w:r>
        <w:rPr>
          <w:rFonts w:ascii="Arial" w:cs="Arial" w:eastAsia="Arial" w:hAnsi="Arial"/>
          <w:sz w:val="18"/>
          <w:szCs w:val="18"/>
          <w:color w:val="auto"/>
        </w:rPr>
        <w:t>” has the meaning set forth in Section 3.7.4 (Provider’s Compliance with Certain Educational Laws).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Days</w:t>
      </w:r>
      <w:r>
        <w:rPr>
          <w:rFonts w:ascii="Arial" w:cs="Arial" w:eastAsia="Arial" w:hAnsi="Arial"/>
          <w:sz w:val="18"/>
          <w:szCs w:val="18"/>
          <w:color w:val="auto"/>
        </w:rPr>
        <w:t xml:space="preserve">” means each day (a) on which banks are open for business in Phoenix, Arizona, and (b) for purposes of calculating any time periods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designated as a working day by University for its employees.</w:t>
      </w:r>
    </w:p>
    <w:p>
      <w:pPr>
        <w:spacing w:after="0" w:line="170" w:lineRule="exact"/>
        <w:rPr>
          <w:sz w:val="20"/>
          <w:szCs w:val="20"/>
          <w:color w:val="auto"/>
        </w:rPr>
      </w:pPr>
    </w:p>
    <w:p>
      <w:pPr>
        <w:jc w:val="both"/>
        <w:ind w:right="3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Campus</w:t>
      </w:r>
      <w:r>
        <w:rPr>
          <w:rFonts w:ascii="Arial" w:cs="Arial" w:eastAsia="Arial" w:hAnsi="Arial"/>
          <w:sz w:val="18"/>
          <w:szCs w:val="18"/>
          <w:color w:val="auto"/>
        </w:rPr>
        <w:t>” means that certain real property located at 3300 West Camelback Road, Phoenix, Arizona 85017, all improvements thereon, and any equipment related thereto, together with any other property or location where University offers or supports Courses or Programs, in each case owned or otherwise used by University in the conduct of its Educational Activities.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Claim</w:t>
      </w:r>
      <w:r>
        <w:rPr>
          <w:rFonts w:ascii="Arial" w:cs="Arial" w:eastAsia="Arial" w:hAnsi="Arial"/>
          <w:sz w:val="18"/>
          <w:szCs w:val="18"/>
          <w:color w:val="auto"/>
        </w:rPr>
        <w:t>” has the meaning set forth in Section 8.1 (Indemnification of University).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Confidential Information</w:t>
      </w:r>
      <w:r>
        <w:rPr>
          <w:rFonts w:ascii="Arial" w:cs="Arial" w:eastAsia="Arial" w:hAnsi="Arial"/>
          <w:sz w:val="18"/>
          <w:szCs w:val="18"/>
          <w:color w:val="auto"/>
        </w:rPr>
        <w:t>” has the meaning set forth in Section 9.1 (Definition).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Course</w:t>
      </w:r>
      <w:r>
        <w:rPr>
          <w:rFonts w:ascii="Arial" w:cs="Arial" w:eastAsia="Arial" w:hAnsi="Arial"/>
          <w:sz w:val="18"/>
          <w:szCs w:val="18"/>
          <w:color w:val="auto"/>
        </w:rPr>
        <w:t>” means those academic courses offered as part of a Program administered by University.</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Course Materials</w:t>
      </w:r>
      <w:r>
        <w:rPr>
          <w:rFonts w:ascii="Arial" w:cs="Arial" w:eastAsia="Arial" w:hAnsi="Arial"/>
          <w:sz w:val="18"/>
          <w:szCs w:val="18"/>
          <w:color w:val="auto"/>
        </w:rPr>
        <w:t>” means, collectively, syllabi and resource material and content for the Courses, including concepts, materials, resources and text requirements, self-study materials, case studies, curricula and such other items or materials, in all forms and media, relating to the Courses and the Programs or as is otherwise used by University and/or its Affiliates in connection with the offering and delivery of the Programs, in each case (a) any Improvements thereto made by Provider for University and/or its Affiliates from time to time in connection with the performance of the Services (which Course Materials, together with such Improvements, shall be owned by University as University Intellectual Property) or (b) as otherwise owned, created or developed by University.</w:t>
      </w:r>
    </w:p>
    <w:p>
      <w:pPr>
        <w:spacing w:after="0" w:line="193"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Credit Agreement</w:t>
      </w:r>
      <w:r>
        <w:rPr>
          <w:rFonts w:ascii="Arial" w:cs="Arial" w:eastAsia="Arial" w:hAnsi="Arial"/>
          <w:sz w:val="18"/>
          <w:szCs w:val="18"/>
          <w:color w:val="auto"/>
        </w:rPr>
        <w:t>” means that certain Credit Agreement, dated the date hereof, between University (as Borrower) and Provider (as Lender), as the same may be amended from time to time, pursuant to which University issued the Senior Secured Note to Provider in consideration for the Schools Assets acquired under the Asset Purchase Agreement.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Defaulting Party</w:t>
      </w:r>
      <w:r>
        <w:rPr>
          <w:rFonts w:ascii="Arial" w:cs="Arial" w:eastAsia="Arial" w:hAnsi="Arial"/>
          <w:sz w:val="18"/>
          <w:szCs w:val="18"/>
          <w:color w:val="auto"/>
        </w:rPr>
        <w:t>” has the meaning set forth in Section 6.4 (Termination of Agreement for Breach).</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Exhibit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5" w:name="page46"/>
    <w:bookmarkEnd w:id="45"/>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Designee</w:t>
      </w:r>
      <w:r>
        <w:rPr>
          <w:rFonts w:ascii="Arial" w:cs="Arial" w:eastAsia="Arial" w:hAnsi="Arial"/>
          <w:sz w:val="18"/>
          <w:szCs w:val="18"/>
          <w:color w:val="auto"/>
        </w:rPr>
        <w:t>” has the meaning set forth in Section 3.11 (Points of Contact; Designees).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Disclosing Party</w:t>
      </w:r>
      <w:r>
        <w:rPr>
          <w:rFonts w:ascii="Arial" w:cs="Arial" w:eastAsia="Arial" w:hAnsi="Arial"/>
          <w:sz w:val="18"/>
          <w:szCs w:val="18"/>
          <w:color w:val="auto"/>
        </w:rPr>
        <w:t>” has the meaning set forth in Section 9.2 (Obligations).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Dispute</w:t>
      </w:r>
      <w:r>
        <w:rPr>
          <w:rFonts w:ascii="Arial" w:cs="Arial" w:eastAsia="Arial" w:hAnsi="Arial"/>
          <w:sz w:val="18"/>
          <w:szCs w:val="18"/>
          <w:color w:val="auto"/>
        </w:rPr>
        <w:t>” has the meaning set forth in Section 18.11.1 (Dispute Resolution).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DOE</w:t>
      </w:r>
      <w:r>
        <w:rPr>
          <w:rFonts w:ascii="Arial" w:cs="Arial" w:eastAsia="Arial" w:hAnsi="Arial"/>
          <w:sz w:val="17"/>
          <w:szCs w:val="17"/>
          <w:color w:val="auto"/>
        </w:rPr>
        <w:t>” means the United States Department of Education and any successor agency administering student financial assistance under Title IV.</w:t>
      </w:r>
    </w:p>
    <w:p>
      <w:pPr>
        <w:spacing w:after="0" w:line="237"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Early Termination Fee</w:t>
      </w:r>
      <w:r>
        <w:rPr>
          <w:rFonts w:ascii="Arial" w:cs="Arial" w:eastAsia="Arial" w:hAnsi="Arial"/>
          <w:sz w:val="17"/>
          <w:szCs w:val="17"/>
          <w:color w:val="auto"/>
        </w:rPr>
        <w:t>” means an amount equal to one-hundred percent (100%) of the aggregate Services Fees paid or payable by University to Provider for the trailing twelve (12) month period ended as of the end of the month immediately prior to the effective date of termination.</w:t>
      </w:r>
    </w:p>
    <w:p>
      <w:pPr>
        <w:spacing w:after="0" w:line="147" w:lineRule="exact"/>
        <w:rPr>
          <w:sz w:val="20"/>
          <w:szCs w:val="20"/>
          <w:color w:val="auto"/>
        </w:rPr>
      </w:pPr>
    </w:p>
    <w:p>
      <w:pPr>
        <w:jc w:val="both"/>
        <w:ind w:right="38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Educational Activities</w:t>
      </w:r>
      <w:r>
        <w:rPr>
          <w:rFonts w:ascii="Arial" w:cs="Arial" w:eastAsia="Arial" w:hAnsi="Arial"/>
          <w:sz w:val="16"/>
          <w:szCs w:val="16"/>
          <w:color w:val="auto"/>
        </w:rPr>
        <w:t>” means the operation of an institution of higher education for general educational purposes (including the conferring of academic degrees, diplomas, honors or certificates) on the Campus, as such activities are conducted by University as of the Effective Date and thereafter.</w:t>
      </w:r>
    </w:p>
    <w:p>
      <w:pPr>
        <w:spacing w:after="0" w:line="124"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Educational Agency</w:t>
      </w:r>
      <w:r>
        <w:rPr>
          <w:rFonts w:ascii="Arial" w:cs="Arial" w:eastAsia="Arial" w:hAnsi="Arial"/>
          <w:sz w:val="16"/>
          <w:szCs w:val="16"/>
          <w:color w:val="auto"/>
        </w:rPr>
        <w:t>” means any entity or organization, whether governmental, government chartered, tribal, private, or quasi-private, that engages in granting or withholding Educational Approvals for postsecondary educational institutions in accordance with standards relating to the performance, operation, financial condition, or academic standards of such institutions, including the DOE, any Accrediting Body, or any State Educational Agency.</w:t>
      </w:r>
    </w:p>
    <w:p>
      <w:pPr>
        <w:spacing w:after="0" w:line="147"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Educational Approval</w:t>
      </w:r>
      <w:r>
        <w:rPr>
          <w:rFonts w:ascii="Arial" w:cs="Arial" w:eastAsia="Arial" w:hAnsi="Arial"/>
          <w:sz w:val="16"/>
          <w:szCs w:val="16"/>
          <w:color w:val="auto"/>
        </w:rPr>
        <w:t>” means, with respect to any Person, any license, permit, authorization, certification, accreditation, or similar approval, issued or required to be issued by an Educational Agency to such Person or with respect to its locations, Courses or Programs, including any such approval for such Person to participate in any Title IV Program or any other government-sponsored or private student financial assistance program offered by any Educational Agency pursuant to which student financial assistance, grants or loans are provided to or on behalf of such Person’s students by such Educational Agency.</w:t>
      </w:r>
    </w:p>
    <w:p>
      <w:pPr>
        <w:spacing w:after="0" w:line="154"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Educational Consent</w:t>
      </w:r>
      <w:r>
        <w:rPr>
          <w:rFonts w:ascii="Arial" w:cs="Arial" w:eastAsia="Arial" w:hAnsi="Arial"/>
          <w:sz w:val="18"/>
          <w:szCs w:val="18"/>
          <w:color w:val="auto"/>
        </w:rPr>
        <w:t>” means any pre-approval, approval, authorization or consent by any Educational Agency, or any notification to be made by the Parties to an Educational Agency, which is necessary under Educational Law in order to maintain or continue any Educational Approval held by University or to continue or further the conduct of the Educational Activities.</w:t>
      </w:r>
    </w:p>
    <w:p>
      <w:pPr>
        <w:spacing w:after="0" w:line="181" w:lineRule="exact"/>
        <w:rPr>
          <w:sz w:val="20"/>
          <w:szCs w:val="20"/>
          <w:color w:val="auto"/>
        </w:rPr>
      </w:pPr>
    </w:p>
    <w:p>
      <w:pPr>
        <w:jc w:val="both"/>
        <w:ind w:right="4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Educational Law</w:t>
      </w:r>
      <w:r>
        <w:rPr>
          <w:rFonts w:ascii="Arial" w:cs="Arial" w:eastAsia="Arial" w:hAnsi="Arial"/>
          <w:sz w:val="18"/>
          <w:szCs w:val="18"/>
          <w:color w:val="auto"/>
        </w:rPr>
        <w:t>” means any federal, state, municipal, foreign or other law, regulation, order, Accrediting Body standard or other requirement applicable thereto, including, without limitation, the provisions of Title IV of the HEA and any regulations or written guidance implementing or relating thereto, issued or administered by, or related to, any Educational Agency.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has the meaning set forth in the preamble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Examination Notice</w:t>
      </w:r>
      <w:r>
        <w:rPr>
          <w:rFonts w:ascii="Arial" w:cs="Arial" w:eastAsia="Arial" w:hAnsi="Arial"/>
          <w:sz w:val="18"/>
          <w:szCs w:val="18"/>
          <w:color w:val="auto"/>
        </w:rPr>
        <w:t>” has the meaning set forth in Section 5.4 (Examinations).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6" w:name="page47"/>
    <w:bookmarkEnd w:id="46"/>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Exclusive Services</w:t>
      </w:r>
      <w:r>
        <w:rPr>
          <w:rFonts w:ascii="Arial" w:cs="Arial" w:eastAsia="Arial" w:hAnsi="Arial"/>
          <w:sz w:val="18"/>
          <w:szCs w:val="18"/>
          <w:color w:val="auto"/>
        </w:rPr>
        <w:t>” has the meaning set forth in Section 3.1 (</w:t>
      </w:r>
      <w:r>
        <w:rPr>
          <w:rFonts w:ascii="Arial" w:cs="Arial" w:eastAsia="Arial" w:hAnsi="Arial"/>
          <w:sz w:val="17"/>
          <w:szCs w:val="17"/>
          <w:color w:val="auto"/>
        </w:rPr>
        <w:t>Services to be Provided; Exclusivity</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FERPA</w:t>
      </w:r>
      <w:r>
        <w:rPr>
          <w:rFonts w:ascii="Arial" w:cs="Arial" w:eastAsia="Arial" w:hAnsi="Arial"/>
          <w:sz w:val="18"/>
          <w:szCs w:val="18"/>
          <w:color w:val="auto"/>
        </w:rPr>
        <w:t>” has the meaning set forth in Section 3.7.2 (Provider’s Compliance with Certain Educational Laws).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Fiscal Year</w:t>
      </w:r>
      <w:r>
        <w:rPr>
          <w:rFonts w:ascii="Arial" w:cs="Arial" w:eastAsia="Arial" w:hAnsi="Arial"/>
          <w:sz w:val="18"/>
          <w:szCs w:val="18"/>
          <w:color w:val="auto"/>
        </w:rPr>
        <w:t>” means the fiscal year of University starting July 1 and ending on June 30 of the following calendar year.</w:t>
      </w:r>
    </w:p>
    <w:p>
      <w:pPr>
        <w:spacing w:after="0" w:line="225"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Governmental Entity</w:t>
      </w:r>
      <w:r>
        <w:rPr>
          <w:rFonts w:ascii="Arial" w:cs="Arial" w:eastAsia="Arial" w:hAnsi="Arial"/>
          <w:sz w:val="18"/>
          <w:szCs w:val="18"/>
          <w:color w:val="auto"/>
        </w:rPr>
        <w:t>” means any governmental authority or entity, including any agency, board, bureau, commission, court, department, subdivision or instrumentality thereof, or any arbitrator or arbitration panel, including any Educational Agency.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Guidance</w:t>
      </w:r>
      <w:r>
        <w:rPr>
          <w:rFonts w:ascii="Arial" w:cs="Arial" w:eastAsia="Arial" w:hAnsi="Arial"/>
          <w:sz w:val="18"/>
          <w:szCs w:val="18"/>
          <w:color w:val="auto"/>
        </w:rPr>
        <w:t>” has the meaning set forth in Section 3.7.7 (Provider’s Compliance with Certain Educational Laws).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HEA</w:t>
      </w:r>
      <w:r>
        <w:rPr>
          <w:rFonts w:ascii="Arial" w:cs="Arial" w:eastAsia="Arial" w:hAnsi="Arial"/>
          <w:sz w:val="18"/>
          <w:szCs w:val="18"/>
          <w:color w:val="auto"/>
        </w:rPr>
        <w:t>” means the Higher Education Act of 1965, 20 U.S.C. § 1001 et seq., as amended, or successor statutes thereto.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HLC</w:t>
      </w:r>
      <w:r>
        <w:rPr>
          <w:rFonts w:ascii="Arial" w:cs="Arial" w:eastAsia="Arial" w:hAnsi="Arial"/>
          <w:sz w:val="18"/>
          <w:szCs w:val="18"/>
          <w:color w:val="auto"/>
        </w:rPr>
        <w:t>” means the Higher Learning Commission of the North Central Association of Colleges and Schools.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Improvements</w:t>
      </w:r>
      <w:r>
        <w:rPr>
          <w:rFonts w:ascii="Arial" w:cs="Arial" w:eastAsia="Arial" w:hAnsi="Arial"/>
          <w:sz w:val="18"/>
          <w:szCs w:val="18"/>
          <w:color w:val="auto"/>
        </w:rPr>
        <w:t>” has the meaning set forth in Section 10.3 (License to Course Materials).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Independent Accounting Firm</w:t>
      </w:r>
      <w:r>
        <w:rPr>
          <w:rFonts w:ascii="Arial" w:cs="Arial" w:eastAsia="Arial" w:hAnsi="Arial"/>
          <w:sz w:val="18"/>
          <w:szCs w:val="18"/>
          <w:color w:val="auto"/>
        </w:rPr>
        <w:t>” has the meaning set forth in Section 5.4.5 (Examinations).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Initial Term</w:t>
      </w:r>
      <w:r>
        <w:rPr>
          <w:rFonts w:ascii="Arial" w:cs="Arial" w:eastAsia="Arial" w:hAnsi="Arial"/>
          <w:sz w:val="18"/>
          <w:szCs w:val="18"/>
          <w:color w:val="auto"/>
        </w:rPr>
        <w:t>” has the meaning set forth in Section 6.1 (Term).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Intellectual Property</w:t>
      </w:r>
      <w:r>
        <w:rPr>
          <w:rFonts w:ascii="Arial" w:cs="Arial" w:eastAsia="Arial" w:hAnsi="Arial"/>
          <w:sz w:val="18"/>
          <w:szCs w:val="18"/>
          <w:color w:val="auto"/>
        </w:rPr>
        <w:t>” has the meaning set forth in Section 10.1 (Definitions).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IRS</w:t>
      </w:r>
      <w:r>
        <w:rPr>
          <w:rFonts w:ascii="Arial" w:cs="Arial" w:eastAsia="Arial" w:hAnsi="Arial"/>
          <w:sz w:val="18"/>
          <w:szCs w:val="18"/>
          <w:color w:val="auto"/>
        </w:rPr>
        <w:t>” means the United States Internal Revenue Service.</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MSA Committee</w:t>
      </w:r>
      <w:r>
        <w:rPr>
          <w:rFonts w:ascii="Arial" w:cs="Arial" w:eastAsia="Arial" w:hAnsi="Arial"/>
          <w:sz w:val="16"/>
          <w:szCs w:val="16"/>
          <w:color w:val="auto"/>
        </w:rPr>
        <w:t>” means the “MSA Committee” as such term is defined in University’s bylaws as in effect on the date hereof and as the same may be amended from time to time. In addition to members of University’s board of trustees, the MSA Committee may include, if and to the extent permitted by University’s bylaws, one or more additional non-trustee members, who may be members of the administration, faculty and/or students.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Non-Defaulting Party</w:t>
      </w:r>
      <w:r>
        <w:rPr>
          <w:rFonts w:ascii="Arial" w:cs="Arial" w:eastAsia="Arial" w:hAnsi="Arial"/>
          <w:sz w:val="18"/>
          <w:szCs w:val="18"/>
          <w:color w:val="auto"/>
        </w:rPr>
        <w:t>” has the meaning set forth in Section 6.4 (Termination of Agreement for Breach).</w:t>
      </w:r>
    </w:p>
    <w:p>
      <w:pPr>
        <w:spacing w:after="0" w:line="225"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Non-Renewal Fee</w:t>
      </w:r>
      <w:r>
        <w:rPr>
          <w:rFonts w:ascii="Arial" w:cs="Arial" w:eastAsia="Arial" w:hAnsi="Arial"/>
          <w:sz w:val="16"/>
          <w:szCs w:val="16"/>
          <w:color w:val="auto"/>
        </w:rPr>
        <w:t xml:space="preserve">” </w:t>
      </w:r>
      <w:r>
        <w:rPr>
          <w:rFonts w:ascii="Arial" w:cs="Arial" w:eastAsia="Arial" w:hAnsi="Arial"/>
          <w:sz w:val="15"/>
          <w:szCs w:val="15"/>
          <w:color w:val="auto"/>
        </w:rPr>
        <w:t>means</w:t>
      </w:r>
      <w:r>
        <w:rPr>
          <w:rFonts w:ascii="Arial" w:cs="Arial" w:eastAsia="Arial" w:hAnsi="Arial"/>
          <w:sz w:val="16"/>
          <w:szCs w:val="16"/>
          <w:color w:val="auto"/>
        </w:rPr>
        <w:t xml:space="preserve"> an amount equal to fifty (50%) of the aggregate Services Fees paid or payable by University to Provider for the trailing twelve (12) month period ended as of the end of the month immediately prior to the last day of such Initial Term or Renewal Term, as applicable.</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Owner Party</w:t>
      </w:r>
      <w:r>
        <w:rPr>
          <w:rFonts w:ascii="Arial" w:cs="Arial" w:eastAsia="Arial" w:hAnsi="Arial"/>
          <w:sz w:val="18"/>
          <w:szCs w:val="18"/>
          <w:color w:val="auto"/>
        </w:rPr>
        <w:t>” has the meaning set forth in Section 10.2 (Ownership) .</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Exhibit 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sectPr>
      </w:pPr>
    </w:p>
    <w:bookmarkStart w:id="47" w:name="page48"/>
    <w:bookmarkEnd w:id="47"/>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Party</w:t>
      </w:r>
      <w:r>
        <w:rPr>
          <w:rFonts w:ascii="Arial" w:cs="Arial" w:eastAsia="Arial" w:hAnsi="Arial"/>
          <w:sz w:val="18"/>
          <w:szCs w:val="18"/>
          <w:color w:val="auto"/>
        </w:rPr>
        <w:t>” and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 have the meaning set forth in the preamble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Payment Failure</w:t>
      </w:r>
      <w:r>
        <w:rPr>
          <w:rFonts w:ascii="Arial" w:cs="Arial" w:eastAsia="Arial" w:hAnsi="Arial"/>
          <w:sz w:val="18"/>
          <w:szCs w:val="18"/>
          <w:color w:val="auto"/>
        </w:rPr>
        <w:t>” has the meaning set forth in Section 5.4.4 (Examination).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Failure</w:t>
      </w:r>
      <w:r>
        <w:rPr>
          <w:rFonts w:ascii="Arial" w:cs="Arial" w:eastAsia="Arial" w:hAnsi="Arial"/>
          <w:sz w:val="18"/>
          <w:szCs w:val="18"/>
          <w:color w:val="auto"/>
        </w:rPr>
        <w:t>” has the meaning set forth in Section 5.4.4 (Examinations).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any individual or entity.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Personal Information</w:t>
      </w:r>
      <w:r>
        <w:rPr>
          <w:rFonts w:ascii="Arial" w:cs="Arial" w:eastAsia="Arial" w:hAnsi="Arial"/>
          <w:sz w:val="18"/>
          <w:szCs w:val="18"/>
          <w:color w:val="auto"/>
        </w:rPr>
        <w:t>” has the meaning set forth in Section 3.7.1 (Provider’s Compliance with Certain Educational Laws).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Platform</w:t>
      </w:r>
      <w:r>
        <w:rPr>
          <w:rFonts w:ascii="Arial" w:cs="Arial" w:eastAsia="Arial" w:hAnsi="Arial"/>
          <w:sz w:val="18"/>
          <w:szCs w:val="18"/>
          <w:color w:val="auto"/>
        </w:rPr>
        <w:t xml:space="preserve">” has the meaning set forth in Section 12.1 (Technology)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to this Agreement.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Programs</w:t>
      </w:r>
      <w:r>
        <w:rPr>
          <w:rFonts w:ascii="Arial" w:cs="Arial" w:eastAsia="Arial" w:hAnsi="Arial"/>
          <w:sz w:val="18"/>
          <w:szCs w:val="18"/>
          <w:color w:val="auto"/>
        </w:rPr>
        <w:t>” means all graduate degree programs, undergraduate degree programs, certificate programs, professional studies programs or other educational programs offered by University from time to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Provider</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Provider Indemnitees</w:t>
      </w:r>
      <w:r>
        <w:rPr>
          <w:rFonts w:ascii="Arial" w:cs="Arial" w:eastAsia="Arial" w:hAnsi="Arial"/>
          <w:sz w:val="18"/>
          <w:szCs w:val="18"/>
          <w:color w:val="auto"/>
        </w:rPr>
        <w:t>” has the meaning set forth in Section 8.2 (Indemnification of Provider).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Provider Intellectual Property</w:t>
      </w:r>
      <w:r>
        <w:rPr>
          <w:rFonts w:ascii="Arial" w:cs="Arial" w:eastAsia="Arial" w:hAnsi="Arial"/>
          <w:sz w:val="18"/>
          <w:szCs w:val="18"/>
          <w:color w:val="auto"/>
        </w:rPr>
        <w:t>” has the meaning set forth in Section 10.1.3 (Ownership).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Quality Control Standards</w:t>
      </w:r>
      <w:r>
        <w:rPr>
          <w:rFonts w:ascii="Arial" w:cs="Arial" w:eastAsia="Arial" w:hAnsi="Arial"/>
          <w:sz w:val="18"/>
          <w:szCs w:val="18"/>
          <w:color w:val="auto"/>
        </w:rPr>
        <w:t>” has the meaning given to it in Section 10.9.2 (Quality Control).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Receiving Party</w:t>
      </w:r>
      <w:r>
        <w:rPr>
          <w:rFonts w:ascii="Arial" w:cs="Arial" w:eastAsia="Arial" w:hAnsi="Arial"/>
          <w:sz w:val="18"/>
          <w:szCs w:val="18"/>
          <w:color w:val="auto"/>
        </w:rPr>
        <w:t>” has the meaning set forth in Section 9.2 (Obligations).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Renewal Term</w:t>
      </w:r>
      <w:r>
        <w:rPr>
          <w:rFonts w:ascii="Arial" w:cs="Arial" w:eastAsia="Arial" w:hAnsi="Arial"/>
          <w:sz w:val="18"/>
          <w:szCs w:val="18"/>
          <w:color w:val="auto"/>
        </w:rPr>
        <w:t>” has the meaning set forth in Section 6.1 (Term).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Senior Designee</w:t>
      </w:r>
      <w:r>
        <w:rPr>
          <w:rFonts w:ascii="Arial" w:cs="Arial" w:eastAsia="Arial" w:hAnsi="Arial"/>
          <w:sz w:val="18"/>
          <w:szCs w:val="18"/>
          <w:color w:val="auto"/>
        </w:rPr>
        <w:t>” has the meaning set forth in Section 18.11.1 (Dispute Resolution).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Senior Secured Note</w:t>
      </w:r>
      <w:r>
        <w:rPr>
          <w:rFonts w:ascii="Arial" w:cs="Arial" w:eastAsia="Arial" w:hAnsi="Arial"/>
          <w:sz w:val="16"/>
          <w:szCs w:val="16"/>
          <w:color w:val="auto"/>
        </w:rPr>
        <w:t>” means that certain senior secured note or notes issued by University to Provider pursuant to the Credit Agreement.</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Services</w:t>
      </w:r>
      <w:r>
        <w:rPr>
          <w:rFonts w:ascii="Arial" w:cs="Arial" w:eastAsia="Arial" w:hAnsi="Arial"/>
          <w:sz w:val="18"/>
          <w:szCs w:val="18"/>
          <w:color w:val="auto"/>
        </w:rPr>
        <w:t>” means the services set forth in this Agreement or any Exhibit hereto, or on one or more Services Addenda.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Services Addenda</w:t>
      </w:r>
      <w:r>
        <w:rPr>
          <w:rFonts w:ascii="Arial" w:cs="Arial" w:eastAsia="Arial" w:hAnsi="Arial"/>
          <w:sz w:val="18"/>
          <w:szCs w:val="18"/>
          <w:color w:val="auto"/>
        </w:rPr>
        <w:t>” has the meaning set forth in Section 3.3 (Services Addenda).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Services Fees</w:t>
      </w:r>
      <w:r>
        <w:rPr>
          <w:rFonts w:ascii="Arial" w:cs="Arial" w:eastAsia="Arial" w:hAnsi="Arial"/>
          <w:sz w:val="18"/>
          <w:szCs w:val="18"/>
          <w:color w:val="auto"/>
        </w:rPr>
        <w:t>” has the meaning set forth in Section 5.1 (Services Fees; Payment Terms).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Services Personnel</w:t>
      </w:r>
      <w:r>
        <w:rPr>
          <w:rFonts w:ascii="Arial" w:cs="Arial" w:eastAsia="Arial" w:hAnsi="Arial"/>
          <w:sz w:val="18"/>
          <w:szCs w:val="18"/>
          <w:color w:val="auto"/>
        </w:rPr>
        <w:t>” has the meaning set forth in Section 3.9 (Services Personnel).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Services Transfer Notice</w:t>
      </w:r>
      <w:r>
        <w:rPr>
          <w:rFonts w:ascii="Arial" w:cs="Arial" w:eastAsia="Arial" w:hAnsi="Arial"/>
          <w:sz w:val="18"/>
          <w:szCs w:val="18"/>
          <w:color w:val="auto"/>
        </w:rPr>
        <w:t>” has the meaning set forth in Section 6.9 (Assumption of Certain Services Functions).</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Exhibit 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940"/>
          </w:cols>
          <w:pgMar w:left="240" w:top="341" w:right="719" w:bottom="1440" w:gutter="0" w:footer="0" w:header="0"/>
        </w:sectPr>
      </w:pPr>
    </w:p>
    <w:bookmarkStart w:id="48" w:name="page49"/>
    <w:bookmarkEnd w:id="48"/>
    <w:p>
      <w:pPr>
        <w:ind w:right="1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State Educational Agency</w:t>
      </w:r>
      <w:r>
        <w:rPr>
          <w:rFonts w:ascii="Arial" w:cs="Arial" w:eastAsia="Arial" w:hAnsi="Arial"/>
          <w:sz w:val="18"/>
          <w:szCs w:val="18"/>
          <w:color w:val="auto"/>
        </w:rPr>
        <w:t>” means any state educational licensing body that (a) provides a license, authorization or exemption necessary for University to conduct its Educational Activities in that state, whether at a physical location, online or through other distance education delivery methods, or (b) administers any student financial aid programs at the state level.</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Submission</w:t>
      </w:r>
      <w:r>
        <w:rPr>
          <w:rFonts w:ascii="Arial" w:cs="Arial" w:eastAsia="Arial" w:hAnsi="Arial"/>
          <w:sz w:val="18"/>
          <w:szCs w:val="18"/>
          <w:color w:val="auto"/>
        </w:rPr>
        <w:t>” has the meaning set forth in Section 18.11.2 (Dispute Resolution).</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w:t>
      </w:r>
      <w:r>
        <w:rPr>
          <w:rFonts w:ascii="Arial" w:cs="Arial" w:eastAsia="Arial" w:hAnsi="Arial"/>
          <w:sz w:val="18"/>
          <w:szCs w:val="18"/>
          <w:color w:val="auto"/>
        </w:rPr>
        <w:t>” means any tax, levy, impost, duty or other charge or withholding of a similar nature (including any penalty or interest payable in connection with any failure to pay or any delay in paying any of the same) imposed or required by Applicable Law.</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Title IV</w:t>
      </w:r>
      <w:r>
        <w:rPr>
          <w:rFonts w:ascii="Arial" w:cs="Arial" w:eastAsia="Arial" w:hAnsi="Arial"/>
          <w:sz w:val="18"/>
          <w:szCs w:val="18"/>
          <w:color w:val="auto"/>
        </w:rPr>
        <w:t>” means Title IV of the HEA, and any amendments or successor statutes thereto.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Title IV Program</w:t>
      </w:r>
      <w:r>
        <w:rPr>
          <w:rFonts w:ascii="Arial" w:cs="Arial" w:eastAsia="Arial" w:hAnsi="Arial"/>
          <w:sz w:val="17"/>
          <w:szCs w:val="17"/>
          <w:color w:val="auto"/>
        </w:rPr>
        <w:t>” means any program of student financial assistance administered pursuant to Title IV as set forth at 34 C.F.R. § 668.1(c).</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Transition Period</w:t>
      </w:r>
      <w:r>
        <w:rPr>
          <w:rFonts w:ascii="Arial" w:cs="Arial" w:eastAsia="Arial" w:hAnsi="Arial"/>
          <w:sz w:val="18"/>
          <w:szCs w:val="18"/>
          <w:color w:val="auto"/>
        </w:rPr>
        <w:t>” has the meaning set forth in Section 6.8 (Transition Services).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Transition Services</w:t>
      </w:r>
      <w:r>
        <w:rPr>
          <w:rFonts w:ascii="Arial" w:cs="Arial" w:eastAsia="Arial" w:hAnsi="Arial"/>
          <w:sz w:val="18"/>
          <w:szCs w:val="18"/>
          <w:color w:val="auto"/>
        </w:rPr>
        <w:t>” has the meaning set forth in Section 6.8 (Transition Services).</w:t>
      </w:r>
    </w:p>
    <w:p>
      <w:pPr>
        <w:spacing w:after="0" w:line="225"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University</w:t>
      </w:r>
      <w:r>
        <w:rPr>
          <w:rFonts w:ascii="Arial" w:cs="Arial" w:eastAsia="Arial" w:hAnsi="Arial"/>
          <w:sz w:val="17"/>
          <w:szCs w:val="17"/>
          <w:color w:val="auto"/>
        </w:rPr>
        <w:t>” has the meaning set forth in the preamble to this Agreement. Unless the context otherwise requires, references herein to “University” include references to the postsecondary educational institution known as “Grand Canyon University” that is operated by University.</w:t>
      </w:r>
    </w:p>
    <w:p>
      <w:pPr>
        <w:spacing w:after="0" w:line="14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University Bylaws</w:t>
      </w:r>
      <w:r>
        <w:rPr>
          <w:rFonts w:ascii="Arial" w:cs="Arial" w:eastAsia="Arial" w:hAnsi="Arial"/>
          <w:sz w:val="18"/>
          <w:szCs w:val="18"/>
          <w:color w:val="auto"/>
        </w:rPr>
        <w:t>” means the bylaws of University as in effect on the date hereof and as may be amended and/or amended and restated from time to time after the date hereof.</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University Indemnitees</w:t>
      </w:r>
      <w:r>
        <w:rPr>
          <w:rFonts w:ascii="Arial" w:cs="Arial" w:eastAsia="Arial" w:hAnsi="Arial"/>
          <w:sz w:val="18"/>
          <w:szCs w:val="18"/>
          <w:color w:val="auto"/>
        </w:rPr>
        <w:t>” has the meaning set forth in Section 8.1 (Indemnification of University).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University Intellectual Property</w:t>
      </w:r>
      <w:r>
        <w:rPr>
          <w:rFonts w:ascii="Arial" w:cs="Arial" w:eastAsia="Arial" w:hAnsi="Arial"/>
          <w:sz w:val="18"/>
          <w:szCs w:val="18"/>
          <w:color w:val="auto"/>
        </w:rPr>
        <w:t>” has the meaning set forth in Section 10.1.2 (Definition).</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University Marks</w:t>
      </w:r>
      <w:r>
        <w:rPr>
          <w:rFonts w:ascii="Arial" w:cs="Arial" w:eastAsia="Arial" w:hAnsi="Arial"/>
          <w:sz w:val="18"/>
          <w:szCs w:val="18"/>
          <w:color w:val="auto"/>
        </w:rPr>
        <w:t>” means the trade names, registered domain names, service marks, seals, trademarks, trade dress, corporate names and logos used by University or its Affiliates in connection with the Educational Activities, including the Programs.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Updates</w:t>
      </w:r>
      <w:r>
        <w:rPr>
          <w:rFonts w:ascii="Arial" w:cs="Arial" w:eastAsia="Arial" w:hAnsi="Arial"/>
          <w:sz w:val="18"/>
          <w:szCs w:val="18"/>
          <w:color w:val="auto"/>
        </w:rPr>
        <w:t>” has the meaning set forth in Section 3.3 (Services Addenda).</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[End of Exhibit A]</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Exhibit 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49" w:name="page50"/>
    <w:bookmarkEnd w:id="49"/>
    <w:p>
      <w:pPr>
        <w:jc w:val="center"/>
        <w:ind w:right="-39"/>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SERVICES</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With respect to University, Provider shall, subject to the terms and conditions in this Agreement, provide a specific bundle of technological, marketing, promotional, development and/or support Services, including student support services. The following list and description represents the set of Services that Provider will provide to University under this Agreement, with any additional Services or deletions to such Services to be provided in an applicable Services Addendum. Notwithstanding the foregoing, Provider will at all times provide at least three (3) Services in addition to the enrollment services described in Section 2 below. For clarity, no Services Addendum shall be required for the Services described in this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however, the Parties may further detail the Services described in this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or add or remove Services in a Services Addendum. In addition, Provider agrees that all Services related to marketing and student recruiting/enrollment are encompassed in this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and no additional Services related to such matters shall be made part of any Services Addendum.</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left="1300" w:hanging="644"/>
        <w:spacing w:after="0"/>
        <w:tabs>
          <w:tab w:leader="none" w:pos="130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Marketing</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25" w:lineRule="exact"/>
        <w:rPr>
          <w:sz w:val="20"/>
          <w:szCs w:val="20"/>
          <w:color w:val="auto"/>
        </w:rPr>
      </w:pPr>
    </w:p>
    <w:p>
      <w:pPr>
        <w:ind w:right="500" w:firstLine="1297"/>
        <w:spacing w:after="0" w:line="266" w:lineRule="auto"/>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color w:val="auto"/>
        </w:rPr>
        <w:t>Subject to University oversight and approval, Provider shall create and carry out marketing and promotional strategies</w:t>
      </w:r>
      <w:r>
        <w:rPr>
          <w:rFonts w:ascii="Arial" w:cs="Arial" w:eastAsia="Arial" w:hAnsi="Arial"/>
          <w:sz w:val="18"/>
          <w:szCs w:val="18"/>
          <w:b w:val="1"/>
          <w:bCs w:val="1"/>
          <w:color w:val="auto"/>
        </w:rPr>
        <w:t xml:space="preserve"> </w:t>
      </w:r>
      <w:r>
        <w:rPr>
          <w:rFonts w:ascii="Arial" w:cs="Arial" w:eastAsia="Arial" w:hAnsi="Arial"/>
          <w:sz w:val="18"/>
          <w:szCs w:val="18"/>
          <w:color w:val="auto"/>
        </w:rPr>
        <w:t>(collectively, “</w:t>
      </w:r>
      <w:r>
        <w:rPr>
          <w:rFonts w:ascii="Arial" w:cs="Arial" w:eastAsia="Arial" w:hAnsi="Arial"/>
          <w:sz w:val="18"/>
          <w:szCs w:val="18"/>
          <w:b w:val="1"/>
          <w:bCs w:val="1"/>
          <w:i w:val="1"/>
          <w:iCs w:val="1"/>
          <w:color w:val="auto"/>
        </w:rPr>
        <w:t>Promotion Strategies</w:t>
      </w:r>
      <w:r>
        <w:rPr>
          <w:rFonts w:ascii="Arial" w:cs="Arial" w:eastAsia="Arial" w:hAnsi="Arial"/>
          <w:sz w:val="18"/>
          <w:szCs w:val="18"/>
          <w:color w:val="auto"/>
        </w:rPr>
        <w:t>”) targeted toward building the brand of University and awareness of its Programs and generating a flow of quality applications from prospective students to University. In furtherance of the foregoing:</w:t>
      </w:r>
    </w:p>
    <w:p>
      <w:pPr>
        <w:spacing w:after="0" w:line="176" w:lineRule="exact"/>
        <w:rPr>
          <w:sz w:val="20"/>
          <w:szCs w:val="20"/>
          <w:color w:val="auto"/>
        </w:rPr>
      </w:pPr>
    </w:p>
    <w:p>
      <w:pPr>
        <w:ind w:right="80" w:firstLine="1945"/>
        <w:spacing w:after="0" w:line="261" w:lineRule="auto"/>
        <w:rPr>
          <w:sz w:val="20"/>
          <w:szCs w:val="20"/>
          <w:color w:val="auto"/>
        </w:rPr>
      </w:pPr>
      <w:r>
        <w:rPr>
          <w:rFonts w:ascii="Arial" w:cs="Arial" w:eastAsia="Arial" w:hAnsi="Arial"/>
          <w:sz w:val="18"/>
          <w:szCs w:val="18"/>
          <w:b w:val="1"/>
          <w:bCs w:val="1"/>
          <w:color w:val="auto"/>
        </w:rPr>
        <w:t xml:space="preserve">1.1.1 </w:t>
      </w:r>
      <w:r>
        <w:rPr>
          <w:rFonts w:ascii="Arial" w:cs="Arial" w:eastAsia="Arial" w:hAnsi="Arial"/>
          <w:sz w:val="18"/>
          <w:szCs w:val="18"/>
          <w:color w:val="auto"/>
        </w:rPr>
        <w:t>Provider shall develop a quarterly written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and appropriate marketing materials covering various media</w:t>
      </w:r>
      <w:r>
        <w:rPr>
          <w:rFonts w:ascii="Arial" w:cs="Arial" w:eastAsia="Arial" w:hAnsi="Arial"/>
          <w:sz w:val="18"/>
          <w:szCs w:val="18"/>
          <w:b w:val="1"/>
          <w:bCs w:val="1"/>
          <w:color w:val="auto"/>
        </w:rPr>
        <w:t xml:space="preserve"> </w:t>
      </w:r>
      <w:r>
        <w:rPr>
          <w:rFonts w:ascii="Arial" w:cs="Arial" w:eastAsia="Arial" w:hAnsi="Arial"/>
          <w:sz w:val="18"/>
          <w:szCs w:val="18"/>
          <w:color w:val="auto"/>
        </w:rPr>
        <w:t>channels for University and shall, upon prior approval by University, execute the Plan. Provider shall fund and develop appropriate materials and content to cover all reasonable media platforms. The Plan and all materials related to University or its Programs, including advertising copy, shall be subject to University’s written approval prior to any use thereof.</w:t>
      </w:r>
    </w:p>
    <w:p>
      <w:pPr>
        <w:spacing w:after="0" w:line="180" w:lineRule="exact"/>
        <w:rPr>
          <w:sz w:val="20"/>
          <w:szCs w:val="20"/>
          <w:color w:val="auto"/>
        </w:rPr>
      </w:pPr>
    </w:p>
    <w:p>
      <w:pPr>
        <w:ind w:right="260" w:firstLine="1945"/>
        <w:spacing w:after="0" w:line="282" w:lineRule="auto"/>
        <w:rPr>
          <w:sz w:val="20"/>
          <w:szCs w:val="20"/>
          <w:color w:val="auto"/>
        </w:rPr>
      </w:pPr>
      <w:r>
        <w:rPr>
          <w:rFonts w:ascii="Arial" w:cs="Arial" w:eastAsia="Arial" w:hAnsi="Arial"/>
          <w:sz w:val="18"/>
          <w:szCs w:val="18"/>
          <w:b w:val="1"/>
          <w:bCs w:val="1"/>
          <w:color w:val="auto"/>
        </w:rPr>
        <w:t xml:space="preserve">1.1.2 </w:t>
      </w:r>
      <w:r>
        <w:rPr>
          <w:rFonts w:ascii="Arial" w:cs="Arial" w:eastAsia="Arial" w:hAnsi="Arial"/>
          <w:sz w:val="18"/>
          <w:szCs w:val="18"/>
          <w:color w:val="auto"/>
        </w:rPr>
        <w:t>At any time when major changes to the Plan are proposed, Provider will submit the revised Plan, along with materials</w:t>
      </w:r>
      <w:r>
        <w:rPr>
          <w:rFonts w:ascii="Arial" w:cs="Arial" w:eastAsia="Arial" w:hAnsi="Arial"/>
          <w:sz w:val="18"/>
          <w:szCs w:val="18"/>
          <w:b w:val="1"/>
          <w:bCs w:val="1"/>
          <w:color w:val="auto"/>
        </w:rPr>
        <w:t xml:space="preserve"> </w:t>
      </w:r>
      <w:r>
        <w:rPr>
          <w:rFonts w:ascii="Arial" w:cs="Arial" w:eastAsia="Arial" w:hAnsi="Arial"/>
          <w:sz w:val="18"/>
          <w:szCs w:val="18"/>
          <w:color w:val="auto"/>
        </w:rPr>
        <w:t>related to University or its Programs, to the appropriate office designated by University for review and approval.</w:t>
      </w:r>
    </w:p>
    <w:p>
      <w:pPr>
        <w:spacing w:after="0" w:line="162" w:lineRule="exact"/>
        <w:rPr>
          <w:sz w:val="20"/>
          <w:szCs w:val="20"/>
          <w:color w:val="auto"/>
        </w:rPr>
      </w:pPr>
    </w:p>
    <w:p>
      <w:pPr>
        <w:ind w:right="780" w:firstLine="1945"/>
        <w:spacing w:after="0" w:line="347" w:lineRule="auto"/>
        <w:rPr>
          <w:sz w:val="20"/>
          <w:szCs w:val="20"/>
          <w:color w:val="auto"/>
        </w:rPr>
      </w:pPr>
      <w:r>
        <w:rPr>
          <w:rFonts w:ascii="Arial" w:cs="Arial" w:eastAsia="Arial" w:hAnsi="Arial"/>
          <w:sz w:val="16"/>
          <w:szCs w:val="16"/>
          <w:b w:val="1"/>
          <w:bCs w:val="1"/>
          <w:color w:val="auto"/>
        </w:rPr>
        <w:t xml:space="preserve">1.1.3 </w:t>
      </w:r>
      <w:r>
        <w:rPr>
          <w:rFonts w:ascii="Arial" w:cs="Arial" w:eastAsia="Arial" w:hAnsi="Arial"/>
          <w:sz w:val="16"/>
          <w:szCs w:val="16"/>
          <w:color w:val="auto"/>
        </w:rPr>
        <w:t>Provider will, as part of the Promotion Strategies, establish alliances between University and other educational</w:t>
      </w:r>
      <w:r>
        <w:rPr>
          <w:rFonts w:ascii="Arial" w:cs="Arial" w:eastAsia="Arial" w:hAnsi="Arial"/>
          <w:sz w:val="16"/>
          <w:szCs w:val="16"/>
          <w:b w:val="1"/>
          <w:bCs w:val="1"/>
          <w:color w:val="auto"/>
        </w:rPr>
        <w:t xml:space="preserve"> </w:t>
      </w:r>
      <w:r>
        <w:rPr>
          <w:rFonts w:ascii="Arial" w:cs="Arial" w:eastAsia="Arial" w:hAnsi="Arial"/>
          <w:sz w:val="16"/>
          <w:szCs w:val="16"/>
          <w:color w:val="auto"/>
        </w:rPr>
        <w:t>organizations, including high schools and related associations, subject to University’s prior approval of the types of alliances requested.</w:t>
      </w:r>
    </w:p>
    <w:p>
      <w:pPr>
        <w:spacing w:after="0" w:line="116" w:lineRule="exact"/>
        <w:rPr>
          <w:sz w:val="20"/>
          <w:szCs w:val="20"/>
          <w:color w:val="auto"/>
        </w:rPr>
      </w:pPr>
    </w:p>
    <w:p>
      <w:pPr>
        <w:ind w:firstLine="1297"/>
        <w:spacing w:after="0" w:line="258" w:lineRule="auto"/>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color w:val="auto"/>
        </w:rPr>
        <w:t>The content of each Plan shall be owned by University as University Intellectual Property. If Provider is engaged to develop plans</w:t>
      </w:r>
      <w:r>
        <w:rPr>
          <w:rFonts w:ascii="Arial" w:cs="Arial" w:eastAsia="Arial" w:hAnsi="Arial"/>
          <w:sz w:val="18"/>
          <w:szCs w:val="18"/>
          <w:b w:val="1"/>
          <w:bCs w:val="1"/>
          <w:color w:val="auto"/>
        </w:rPr>
        <w:t xml:space="preserve"> </w:t>
      </w:r>
      <w:r>
        <w:rPr>
          <w:rFonts w:ascii="Arial" w:cs="Arial" w:eastAsia="Arial" w:hAnsi="Arial"/>
          <w:sz w:val="18"/>
          <w:szCs w:val="18"/>
          <w:color w:val="auto"/>
        </w:rPr>
        <w:t>for other educational institutions, Provider shall have the right to develop such plans, including using knowledge, tools, frameworks, architecture, strategies, tactics and information of general application that are included in a Plan or used in connection with the development of a Plan (collectively,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Information</w:t>
      </w:r>
      <w:r>
        <w:rPr>
          <w:rFonts w:ascii="Arial" w:cs="Arial" w:eastAsia="Arial" w:hAnsi="Arial"/>
          <w:sz w:val="18"/>
          <w:szCs w:val="18"/>
          <w:color w:val="auto"/>
        </w:rPr>
        <w:t>”). If Provider develops any such Plan Information, including any of the foregoing that are included in a Plan, then such Plan Information shall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Provider Intellectual Property. Provider hereby grants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Exhibit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50" w:name="page51"/>
    <w:bookmarkEnd w:id="50"/>
    <w:p>
      <w:pPr>
        <w:ind w:right="60"/>
        <w:spacing w:after="0" w:line="257" w:lineRule="auto"/>
        <w:rPr>
          <w:sz w:val="20"/>
          <w:szCs w:val="20"/>
          <w:color w:val="auto"/>
        </w:rPr>
      </w:pPr>
      <w:r>
        <w:rPr>
          <w:rFonts w:ascii="Arial" w:cs="Arial" w:eastAsia="Arial" w:hAnsi="Arial"/>
          <w:sz w:val="18"/>
          <w:szCs w:val="18"/>
          <w:color w:val="auto"/>
        </w:rPr>
        <w:t>to University a non-exclusive, worldwide, royalty-free, perpetual, irrevocable license (without the right to sublicense) to use Plan Information that is Provider Intellectual Property in connection with the execution and performance of the applicable Plan(s), subject to the terms in this Agreement. If University develops any Plan Information, then such Plan Information shall be University Intellectual Property. University hereby grants to Provider a non-exclusive, worldwide, royalty-free, perpetual, irrevocable license (without the right to sublicense) to use such Plan Information that is University Intellectual Property in connection with the development of plans for other educational institutions.</w:t>
      </w:r>
    </w:p>
    <w:p>
      <w:pPr>
        <w:spacing w:after="0" w:line="184" w:lineRule="exact"/>
        <w:rPr>
          <w:sz w:val="20"/>
          <w:szCs w:val="20"/>
          <w:color w:val="auto"/>
        </w:rPr>
      </w:pPr>
    </w:p>
    <w:p>
      <w:pPr>
        <w:ind w:left="1300" w:hanging="644"/>
        <w:spacing w:after="0"/>
        <w:tabs>
          <w:tab w:leader="none" w:pos="130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Enrollment Services and Budget Consultations</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25" w:lineRule="exact"/>
        <w:rPr>
          <w:sz w:val="20"/>
          <w:szCs w:val="20"/>
          <w:color w:val="auto"/>
        </w:rPr>
      </w:pPr>
    </w:p>
    <w:p>
      <w:pPr>
        <w:ind w:right="60" w:firstLine="1297"/>
        <w:spacing w:after="0" w:line="255" w:lineRule="auto"/>
        <w:rPr>
          <w:sz w:val="20"/>
          <w:szCs w:val="20"/>
          <w:color w:val="auto"/>
        </w:rPr>
      </w:pPr>
      <w:r>
        <w:rPr>
          <w:rFonts w:ascii="Arial" w:cs="Arial" w:eastAsia="Arial" w:hAnsi="Arial"/>
          <w:sz w:val="18"/>
          <w:szCs w:val="18"/>
          <w:b w:val="1"/>
          <w:bCs w:val="1"/>
          <w:color w:val="auto"/>
        </w:rPr>
        <w:t xml:space="preserve">2.1 </w:t>
      </w:r>
      <w:r>
        <w:rPr>
          <w:rFonts w:ascii="Arial" w:cs="Arial" w:eastAsia="Arial" w:hAnsi="Arial"/>
          <w:sz w:val="18"/>
          <w:szCs w:val="18"/>
          <w:color w:val="auto"/>
        </w:rPr>
        <w:t>University shall have final discretion over the enrollment budget. University shall develop an annual enrollment budget that will</w:t>
      </w:r>
      <w:r>
        <w:rPr>
          <w:rFonts w:ascii="Arial" w:cs="Arial" w:eastAsia="Arial" w:hAnsi="Arial"/>
          <w:sz w:val="18"/>
          <w:szCs w:val="18"/>
          <w:b w:val="1"/>
          <w:bCs w:val="1"/>
          <w:color w:val="auto"/>
        </w:rPr>
        <w:t xml:space="preserve"> </w:t>
      </w:r>
      <w:r>
        <w:rPr>
          <w:rFonts w:ascii="Arial" w:cs="Arial" w:eastAsia="Arial" w:hAnsi="Arial"/>
          <w:sz w:val="18"/>
          <w:szCs w:val="18"/>
          <w:color w:val="auto"/>
        </w:rPr>
        <w:t>include projected enrollment targets by Program, pricing (including tuition, fees, room and board), and scholarship amounts, together with the projected numbers of students that will graduate from University, drop Programs, or re-enter Programs. Prior to final approval by University, University shall provide this budget to Provider for its review and comment, and Provider shall provide University with input on the projected budget, including any changes that may be required in order to deliver the Services, and will review the Provider’s progress toward meeting this budget monthly. Notwithstanding the foregoing, University shall have sole and final authority with respect to adoption of this budget. Subject to University’s oversight and pursuant to a written plans and procedures approved by University, Provider will:</w:t>
      </w:r>
    </w:p>
    <w:p>
      <w:pPr>
        <w:spacing w:after="0" w:line="189" w:lineRule="exact"/>
        <w:rPr>
          <w:sz w:val="20"/>
          <w:szCs w:val="20"/>
          <w:color w:val="auto"/>
        </w:rPr>
      </w:pPr>
    </w:p>
    <w:p>
      <w:pPr>
        <w:ind w:right="160" w:firstLine="1945"/>
        <w:spacing w:after="0" w:line="266" w:lineRule="auto"/>
        <w:rPr>
          <w:sz w:val="20"/>
          <w:szCs w:val="20"/>
          <w:color w:val="auto"/>
        </w:rPr>
      </w:pPr>
      <w:r>
        <w:rPr>
          <w:rFonts w:ascii="Arial" w:cs="Arial" w:eastAsia="Arial" w:hAnsi="Arial"/>
          <w:sz w:val="18"/>
          <w:szCs w:val="18"/>
          <w:b w:val="1"/>
          <w:bCs w:val="1"/>
          <w:color w:val="auto"/>
        </w:rPr>
        <w:t xml:space="preserve">2.1.1 </w:t>
      </w:r>
      <w:r>
        <w:rPr>
          <w:rFonts w:ascii="Arial" w:cs="Arial" w:eastAsia="Arial" w:hAnsi="Arial"/>
          <w:sz w:val="18"/>
          <w:szCs w:val="18"/>
          <w:color w:val="auto"/>
        </w:rPr>
        <w:t>provide prospective students with transparent information on program requirements, finance options, degree time to</w:t>
      </w:r>
      <w:r>
        <w:rPr>
          <w:rFonts w:ascii="Arial" w:cs="Arial" w:eastAsia="Arial" w:hAnsi="Arial"/>
          <w:sz w:val="18"/>
          <w:szCs w:val="18"/>
          <w:b w:val="1"/>
          <w:bCs w:val="1"/>
          <w:color w:val="auto"/>
        </w:rPr>
        <w:t xml:space="preserve"> </w:t>
      </w:r>
      <w:r>
        <w:rPr>
          <w:rFonts w:ascii="Arial" w:cs="Arial" w:eastAsia="Arial" w:hAnsi="Arial"/>
          <w:sz w:val="18"/>
          <w:szCs w:val="18"/>
          <w:color w:val="auto"/>
        </w:rPr>
        <w:t>completion (through unofficial evaluations of transfer credits as prospective students provide them) and net price calculator results in alignment with agreed upon Key Performance Indicators (“</w:t>
      </w:r>
      <w:r>
        <w:rPr>
          <w:rFonts w:ascii="Arial" w:cs="Arial" w:eastAsia="Arial" w:hAnsi="Arial"/>
          <w:sz w:val="18"/>
          <w:szCs w:val="18"/>
          <w:b w:val="1"/>
          <w:bCs w:val="1"/>
          <w:i w:val="1"/>
          <w:iCs w:val="1"/>
          <w:color w:val="auto"/>
        </w:rPr>
        <w:t>KPIs</w:t>
      </w:r>
      <w:r>
        <w:rPr>
          <w:rFonts w:ascii="Arial" w:cs="Arial" w:eastAsia="Arial" w:hAnsi="Arial"/>
          <w:sz w:val="18"/>
          <w:szCs w:val="18"/>
          <w:color w:val="auto"/>
        </w:rPr>
        <w:t>”).</w:t>
      </w:r>
    </w:p>
    <w:p>
      <w:pPr>
        <w:spacing w:after="0" w:line="176" w:lineRule="exact"/>
        <w:rPr>
          <w:sz w:val="20"/>
          <w:szCs w:val="20"/>
          <w:color w:val="auto"/>
        </w:rPr>
      </w:pPr>
    </w:p>
    <w:p>
      <w:pPr>
        <w:ind w:right="60" w:firstLine="1945"/>
        <w:spacing w:after="0" w:line="347" w:lineRule="auto"/>
        <w:rPr>
          <w:sz w:val="20"/>
          <w:szCs w:val="20"/>
          <w:color w:val="auto"/>
        </w:rPr>
      </w:pPr>
      <w:r>
        <w:rPr>
          <w:rFonts w:ascii="Arial" w:cs="Arial" w:eastAsia="Arial" w:hAnsi="Arial"/>
          <w:sz w:val="16"/>
          <w:szCs w:val="16"/>
          <w:b w:val="1"/>
          <w:bCs w:val="1"/>
          <w:color w:val="auto"/>
        </w:rPr>
        <w:t xml:space="preserve">2.1.2 </w:t>
      </w:r>
      <w:r>
        <w:rPr>
          <w:rFonts w:ascii="Arial" w:cs="Arial" w:eastAsia="Arial" w:hAnsi="Arial"/>
          <w:sz w:val="16"/>
          <w:szCs w:val="16"/>
          <w:color w:val="auto"/>
        </w:rPr>
        <w:t>Provide guidance as needed to prospective students through the Program application process using Provider’s application</w:t>
      </w:r>
      <w:r>
        <w:rPr>
          <w:rFonts w:ascii="Arial" w:cs="Arial" w:eastAsia="Arial" w:hAnsi="Arial"/>
          <w:sz w:val="16"/>
          <w:szCs w:val="16"/>
          <w:b w:val="1"/>
          <w:bCs w:val="1"/>
          <w:color w:val="auto"/>
        </w:rPr>
        <w:t xml:space="preserve"> </w:t>
      </w:r>
      <w:r>
        <w:rPr>
          <w:rFonts w:ascii="Arial" w:cs="Arial" w:eastAsia="Arial" w:hAnsi="Arial"/>
          <w:sz w:val="16"/>
          <w:szCs w:val="16"/>
          <w:color w:val="auto"/>
        </w:rPr>
        <w:t>platform and forward completed applications that satisfy University’s admissions standards to University’s admissions office for review and acceptance.</w:t>
      </w:r>
    </w:p>
    <w:p>
      <w:pPr>
        <w:spacing w:after="0" w:line="116" w:lineRule="exact"/>
        <w:rPr>
          <w:sz w:val="20"/>
          <w:szCs w:val="20"/>
          <w:color w:val="auto"/>
        </w:rPr>
      </w:pPr>
    </w:p>
    <w:p>
      <w:pPr>
        <w:ind w:left="1960"/>
        <w:spacing w:after="0"/>
        <w:tabs>
          <w:tab w:leader="none" w:pos="2600" w:val="left"/>
        </w:tabs>
        <w:rPr>
          <w:sz w:val="20"/>
          <w:szCs w:val="20"/>
          <w:color w:val="auto"/>
        </w:rPr>
      </w:pPr>
      <w:r>
        <w:rPr>
          <w:rFonts w:ascii="Arial" w:cs="Arial" w:eastAsia="Arial" w:hAnsi="Arial"/>
          <w:sz w:val="18"/>
          <w:szCs w:val="18"/>
          <w:b w:val="1"/>
          <w:bCs w:val="1"/>
          <w:color w:val="auto"/>
        </w:rPr>
        <w:t>2.1.3</w:t>
      </w:r>
      <w:r>
        <w:rPr>
          <w:sz w:val="20"/>
          <w:szCs w:val="20"/>
          <w:color w:val="auto"/>
        </w:rPr>
        <w:tab/>
      </w:r>
      <w:r>
        <w:rPr>
          <w:rFonts w:ascii="Arial" w:cs="Arial" w:eastAsia="Arial" w:hAnsi="Arial"/>
          <w:sz w:val="16"/>
          <w:szCs w:val="16"/>
          <w:color w:val="auto"/>
        </w:rPr>
        <w:t>determine levels of satisfaction using student surveys per the goals of the University Strategic Plan.</w:t>
      </w:r>
    </w:p>
    <w:p>
      <w:pPr>
        <w:spacing w:after="0" w:line="225" w:lineRule="exact"/>
        <w:rPr>
          <w:sz w:val="20"/>
          <w:szCs w:val="20"/>
          <w:color w:val="auto"/>
        </w:rPr>
      </w:pPr>
    </w:p>
    <w:p>
      <w:pPr>
        <w:ind w:right="80" w:firstLine="656"/>
        <w:spacing w:after="0" w:line="282" w:lineRule="auto"/>
        <w:tabs>
          <w:tab w:leader="none" w:pos="1296"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Student Support Services Counseling</w:t>
      </w:r>
      <w:r>
        <w:rPr>
          <w:rFonts w:ascii="Arial" w:cs="Arial" w:eastAsia="Arial" w:hAnsi="Arial"/>
          <w:sz w:val="18"/>
          <w:szCs w:val="18"/>
          <w:b w:val="1"/>
          <w:bCs w:val="1"/>
          <w:color w:val="auto"/>
        </w:rPr>
        <w:t>.</w:t>
      </w:r>
      <w:r>
        <w:rPr>
          <w:rFonts w:ascii="Arial" w:cs="Arial" w:eastAsia="Arial" w:hAnsi="Arial"/>
          <w:sz w:val="18"/>
          <w:szCs w:val="18"/>
          <w:color w:val="auto"/>
        </w:rPr>
        <w:t>* Subject to University’s oversight and pursuant to written plans, policies and procedures approved</w:t>
      </w:r>
      <w:r>
        <w:rPr>
          <w:rFonts w:ascii="Arial" w:cs="Arial" w:eastAsia="Arial" w:hAnsi="Arial"/>
          <w:sz w:val="18"/>
          <w:szCs w:val="18"/>
          <w:b w:val="1"/>
          <w:bCs w:val="1"/>
          <w:color w:val="auto"/>
        </w:rPr>
        <w:t xml:space="preserve"> </w:t>
      </w:r>
      <w:r>
        <w:rPr>
          <w:rFonts w:ascii="Arial" w:cs="Arial" w:eastAsia="Arial" w:hAnsi="Arial"/>
          <w:sz w:val="18"/>
          <w:szCs w:val="18"/>
          <w:color w:val="auto"/>
        </w:rPr>
        <w:t>by University, Provider will:</w:t>
      </w:r>
    </w:p>
    <w:p>
      <w:pPr>
        <w:spacing w:after="0" w:line="162" w:lineRule="exact"/>
        <w:rPr>
          <w:sz w:val="20"/>
          <w:szCs w:val="20"/>
          <w:color w:val="auto"/>
        </w:rPr>
      </w:pPr>
    </w:p>
    <w:p>
      <w:pPr>
        <w:ind w:firstLine="1297"/>
        <w:spacing w:after="0" w:line="261" w:lineRule="auto"/>
        <w:rPr>
          <w:sz w:val="20"/>
          <w:szCs w:val="20"/>
          <w:color w:val="auto"/>
        </w:rPr>
      </w:pPr>
      <w:r>
        <w:rPr>
          <w:rFonts w:ascii="Arial" w:cs="Arial" w:eastAsia="Arial" w:hAnsi="Arial"/>
          <w:sz w:val="18"/>
          <w:szCs w:val="18"/>
          <w:b w:val="1"/>
          <w:bCs w:val="1"/>
          <w:color w:val="auto"/>
        </w:rPr>
        <w:t xml:space="preserve">3.1 </w:t>
      </w:r>
      <w:r>
        <w:rPr>
          <w:rFonts w:ascii="Arial" w:cs="Arial" w:eastAsia="Arial" w:hAnsi="Arial"/>
          <w:sz w:val="18"/>
          <w:szCs w:val="18"/>
          <w:color w:val="auto"/>
        </w:rPr>
        <w:t>provide all students with an assigned advisor after all application documentation has been processed and proactively work with</w:t>
      </w:r>
      <w:r>
        <w:rPr>
          <w:rFonts w:ascii="Arial" w:cs="Arial" w:eastAsia="Arial" w:hAnsi="Arial"/>
          <w:sz w:val="18"/>
          <w:szCs w:val="18"/>
          <w:b w:val="1"/>
          <w:bCs w:val="1"/>
          <w:color w:val="auto"/>
        </w:rPr>
        <w:t xml:space="preserve"> </w:t>
      </w:r>
      <w:r>
        <w:rPr>
          <w:rFonts w:ascii="Arial" w:cs="Arial" w:eastAsia="Arial" w:hAnsi="Arial"/>
          <w:sz w:val="18"/>
          <w:szCs w:val="18"/>
          <w:color w:val="auto"/>
        </w:rPr>
        <w:t>students throughout the entire Program. Such advisors will, under University’s oversight, provide guidance pertaining to the student’s selected Program according to University-approved training materials and in alignment with agreed upon KPIs. University shall retain the right to provide students with faculty and other advisors.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1" w:name="page52"/>
    <w:bookmarkEnd w:id="51"/>
    <w:p>
      <w:pPr>
        <w:ind w:right="140" w:firstLine="1297"/>
        <w:spacing w:after="0" w:line="282" w:lineRule="auto"/>
        <w:rPr>
          <w:sz w:val="20"/>
          <w:szCs w:val="20"/>
          <w:color w:val="auto"/>
        </w:rPr>
      </w:pPr>
      <w:r>
        <w:rPr>
          <w:rFonts w:ascii="Arial" w:cs="Arial" w:eastAsia="Arial" w:hAnsi="Arial"/>
          <w:sz w:val="18"/>
          <w:szCs w:val="18"/>
          <w:b w:val="1"/>
          <w:bCs w:val="1"/>
          <w:color w:val="auto"/>
        </w:rPr>
        <w:t xml:space="preserve">3.2 </w:t>
      </w:r>
      <w:r>
        <w:rPr>
          <w:rFonts w:ascii="Arial" w:cs="Arial" w:eastAsia="Arial" w:hAnsi="Arial"/>
          <w:sz w:val="18"/>
          <w:szCs w:val="18"/>
          <w:color w:val="auto"/>
        </w:rPr>
        <w:t>assist students with scheduling and program change options, and contact students during the pendency of their Programs to help</w:t>
      </w:r>
      <w:r>
        <w:rPr>
          <w:rFonts w:ascii="Arial" w:cs="Arial" w:eastAsia="Arial" w:hAnsi="Arial"/>
          <w:sz w:val="18"/>
          <w:szCs w:val="18"/>
          <w:b w:val="1"/>
          <w:bCs w:val="1"/>
          <w:color w:val="auto"/>
        </w:rPr>
        <w:t xml:space="preserve"> </w:t>
      </w:r>
      <w:r>
        <w:rPr>
          <w:rFonts w:ascii="Arial" w:cs="Arial" w:eastAsia="Arial" w:hAnsi="Arial"/>
          <w:sz w:val="18"/>
          <w:szCs w:val="18"/>
          <w:color w:val="auto"/>
        </w:rPr>
        <w:t>with retention in alignment with agreed upon KPIs.</w:t>
      </w:r>
    </w:p>
    <w:p>
      <w:pPr>
        <w:spacing w:after="0" w:line="162" w:lineRule="exact"/>
        <w:rPr>
          <w:sz w:val="20"/>
          <w:szCs w:val="20"/>
          <w:color w:val="auto"/>
        </w:rPr>
      </w:pPr>
    </w:p>
    <w:p>
      <w:pPr>
        <w:ind w:right="320" w:firstLine="1297"/>
        <w:spacing w:after="0" w:line="282" w:lineRule="auto"/>
        <w:rPr>
          <w:sz w:val="20"/>
          <w:szCs w:val="20"/>
          <w:color w:val="auto"/>
        </w:rPr>
      </w:pPr>
      <w:r>
        <w:rPr>
          <w:rFonts w:ascii="Arial" w:cs="Arial" w:eastAsia="Arial" w:hAnsi="Arial"/>
          <w:sz w:val="18"/>
          <w:szCs w:val="18"/>
          <w:b w:val="1"/>
          <w:bCs w:val="1"/>
          <w:color w:val="auto"/>
        </w:rPr>
        <w:t xml:space="preserve">3.3 </w:t>
      </w:r>
      <w:r>
        <w:rPr>
          <w:rFonts w:ascii="Arial" w:cs="Arial" w:eastAsia="Arial" w:hAnsi="Arial"/>
          <w:sz w:val="18"/>
          <w:szCs w:val="18"/>
          <w:color w:val="auto"/>
        </w:rPr>
        <w:t>help students, where necessary, to secure field experience placements to satisfy their Program requirements in alignment with</w:t>
      </w:r>
      <w:r>
        <w:rPr>
          <w:rFonts w:ascii="Arial" w:cs="Arial" w:eastAsia="Arial" w:hAnsi="Arial"/>
          <w:sz w:val="18"/>
          <w:szCs w:val="18"/>
          <w:b w:val="1"/>
          <w:bCs w:val="1"/>
          <w:color w:val="auto"/>
        </w:rPr>
        <w:t xml:space="preserve"> </w:t>
      </w:r>
      <w:r>
        <w:rPr>
          <w:rFonts w:ascii="Arial" w:cs="Arial" w:eastAsia="Arial" w:hAnsi="Arial"/>
          <w:sz w:val="18"/>
          <w:szCs w:val="18"/>
          <w:color w:val="auto"/>
        </w:rPr>
        <w:t>agreed upon KPIs.</w:t>
      </w:r>
    </w:p>
    <w:p>
      <w:pPr>
        <w:spacing w:after="0" w:line="162"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6"/>
          <w:szCs w:val="16"/>
          <w:color w:val="auto"/>
        </w:rPr>
        <w:t>determine levels of satisfaction using student surveys in alignment with agreed upon KPIs.</w:t>
      </w:r>
    </w:p>
    <w:p>
      <w:pPr>
        <w:spacing w:after="0" w:line="225" w:lineRule="exact"/>
        <w:rPr>
          <w:sz w:val="20"/>
          <w:szCs w:val="20"/>
          <w:color w:val="auto"/>
        </w:rPr>
      </w:pPr>
    </w:p>
    <w:p>
      <w:pPr>
        <w:ind w:right="100" w:firstLine="656"/>
        <w:spacing w:after="0" w:line="293" w:lineRule="auto"/>
        <w:tabs>
          <w:tab w:leader="none" w:pos="1296" w:val="left"/>
        </w:tabs>
        <w:numPr>
          <w:ilvl w:val="1"/>
          <w:numId w:val="3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Document Intake</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University oversight (including as provided in Section 2.1.4 of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Exhibit B</w:t>
      </w:r>
      <w:r>
        <w:rPr>
          <w:rFonts w:ascii="Arial" w:cs="Arial" w:eastAsia="Arial" w:hAnsi="Arial"/>
          <w:sz w:val="16"/>
          <w:szCs w:val="16"/>
          <w:color w:val="auto"/>
        </w:rPr>
        <w:t>, above), Provider will collect</w:t>
      </w:r>
      <w:r>
        <w:rPr>
          <w:rFonts w:ascii="Arial" w:cs="Arial" w:eastAsia="Arial" w:hAnsi="Arial"/>
          <w:sz w:val="16"/>
          <w:szCs w:val="16"/>
          <w:b w:val="1"/>
          <w:bCs w:val="1"/>
          <w:color w:val="auto"/>
        </w:rPr>
        <w:t xml:space="preserve"> </w:t>
      </w:r>
      <w:r>
        <w:rPr>
          <w:rFonts w:ascii="Arial" w:cs="Arial" w:eastAsia="Arial" w:hAnsi="Arial"/>
          <w:sz w:val="16"/>
          <w:szCs w:val="16"/>
          <w:color w:val="auto"/>
        </w:rPr>
        <w:t>all application documents from prospective students and enter them into the student information system (SIS) maintained for University within two</w:t>
      </w:r>
    </w:p>
    <w:p>
      <w:pPr>
        <w:spacing w:after="0" w:line="1" w:lineRule="exact"/>
        <w:rPr>
          <w:rFonts w:ascii="Arial" w:cs="Arial" w:eastAsia="Arial" w:hAnsi="Arial"/>
          <w:sz w:val="16"/>
          <w:szCs w:val="16"/>
          <w:b w:val="1"/>
          <w:bCs w:val="1"/>
          <w:color w:val="auto"/>
        </w:rPr>
      </w:pPr>
    </w:p>
    <w:p>
      <w:pPr>
        <w:ind w:right="40" w:firstLine="8"/>
        <w:spacing w:after="0" w:line="255" w:lineRule="auto"/>
        <w:tabs>
          <w:tab w:leader="none" w:pos="2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Business Days of receipt. Provider will also request all transcripts from any prior institutions students have attended and enter them into the SIS within five (5) Business Days of receipt. University will be exclusively responsible for evaluating prior institutions and courses and making admissions decisions in accordance with the criteria set forth in the UPH.</w:t>
      </w:r>
    </w:p>
    <w:p>
      <w:pPr>
        <w:spacing w:after="0" w:line="186" w:lineRule="exact"/>
        <w:rPr>
          <w:rFonts w:ascii="Arial" w:cs="Arial" w:eastAsia="Arial" w:hAnsi="Arial"/>
          <w:sz w:val="18"/>
          <w:szCs w:val="18"/>
          <w:color w:val="auto"/>
        </w:rPr>
      </w:pPr>
    </w:p>
    <w:p>
      <w:pPr>
        <w:ind w:left="1300" w:hanging="644"/>
        <w:spacing w:after="0"/>
        <w:tabs>
          <w:tab w:leader="none" w:pos="1300" w:val="left"/>
        </w:tabs>
        <w:numPr>
          <w:ilvl w:val="1"/>
          <w:numId w:val="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Student Records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Provider will:</w:t>
      </w:r>
    </w:p>
    <w:p>
      <w:pPr>
        <w:spacing w:after="0" w:line="225" w:lineRule="exact"/>
        <w:rPr>
          <w:rFonts w:ascii="Arial" w:cs="Arial" w:eastAsia="Arial" w:hAnsi="Arial"/>
          <w:sz w:val="18"/>
          <w:szCs w:val="18"/>
          <w:b w:val="1"/>
          <w:bCs w:val="1"/>
          <w:color w:val="auto"/>
        </w:rPr>
      </w:pPr>
    </w:p>
    <w:p>
      <w:pPr>
        <w:ind w:left="13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5.1</w:t>
      </w:r>
      <w:r>
        <w:rPr>
          <w:rFonts w:ascii="Arial" w:cs="Arial" w:eastAsia="Arial" w:hAnsi="Arial"/>
          <w:sz w:val="17"/>
          <w:szCs w:val="17"/>
          <w:color w:val="auto"/>
        </w:rPr>
        <w:t>[***] as determined by University.</w:t>
      </w:r>
    </w:p>
    <w:p>
      <w:pPr>
        <w:spacing w:after="0" w:line="225" w:lineRule="exact"/>
        <w:rPr>
          <w:rFonts w:ascii="Arial" w:cs="Arial" w:eastAsia="Arial" w:hAnsi="Arial"/>
          <w:sz w:val="18"/>
          <w:szCs w:val="18"/>
          <w:b w:val="1"/>
          <w:bCs w:val="1"/>
          <w:color w:val="auto"/>
        </w:rPr>
      </w:pPr>
    </w:p>
    <w:p>
      <w:pPr>
        <w:ind w:left="13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5.2</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13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5.3</w:t>
      </w:r>
      <w:r>
        <w:rPr>
          <w:rFonts w:ascii="Arial" w:cs="Arial" w:eastAsia="Arial" w:hAnsi="Arial"/>
          <w:sz w:val="18"/>
          <w:szCs w:val="18"/>
          <w:color w:val="auto"/>
        </w:rPr>
        <w:t>[***]</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5.5</w:t>
      </w:r>
      <w:r>
        <w:rPr>
          <w:sz w:val="20"/>
          <w:szCs w:val="20"/>
          <w:color w:val="auto"/>
        </w:rPr>
        <w:tab/>
      </w:r>
      <w:r>
        <w:rPr>
          <w:rFonts w:ascii="Arial" w:cs="Arial" w:eastAsia="Arial" w:hAnsi="Arial"/>
          <w:sz w:val="16"/>
          <w:szCs w:val="16"/>
          <w:color w:val="auto"/>
        </w:rPr>
        <w:t>[***] All status changes and documents provided are based on the students meeting qualifications set by University.</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5.6</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1300" w:hanging="644"/>
        <w:spacing w:after="0"/>
        <w:tabs>
          <w:tab w:leader="none" w:pos="130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Curriculum Services</w:t>
      </w:r>
      <w:r>
        <w:rPr>
          <w:rFonts w:ascii="Arial" w:cs="Arial" w:eastAsia="Arial" w:hAnsi="Arial"/>
          <w:sz w:val="18"/>
          <w:szCs w:val="18"/>
          <w:b w:val="1"/>
          <w:bCs w:val="1"/>
          <w:color w:val="auto"/>
        </w:rPr>
        <w:t>.</w:t>
      </w:r>
    </w:p>
    <w:p>
      <w:pPr>
        <w:spacing w:after="0" w:line="225" w:lineRule="exact"/>
        <w:rPr>
          <w:sz w:val="20"/>
          <w:szCs w:val="20"/>
          <w:color w:val="auto"/>
        </w:rPr>
      </w:pPr>
    </w:p>
    <w:p>
      <w:pPr>
        <w:ind w:firstLine="1297"/>
        <w:spacing w:after="0" w:line="281" w:lineRule="auto"/>
        <w:rPr>
          <w:sz w:val="20"/>
          <w:szCs w:val="20"/>
          <w:color w:val="auto"/>
        </w:rPr>
      </w:pPr>
      <w:r>
        <w:rPr>
          <w:rFonts w:ascii="Arial" w:cs="Arial" w:eastAsia="Arial" w:hAnsi="Arial"/>
          <w:sz w:val="17"/>
          <w:szCs w:val="17"/>
          <w:b w:val="1"/>
          <w:bCs w:val="1"/>
          <w:color w:val="auto"/>
        </w:rPr>
        <w:t xml:space="preserve">6.1 </w:t>
      </w:r>
      <w:r>
        <w:rPr>
          <w:rFonts w:ascii="Arial" w:cs="Arial" w:eastAsia="Arial" w:hAnsi="Arial"/>
          <w:sz w:val="17"/>
          <w:szCs w:val="17"/>
          <w:color w:val="auto"/>
        </w:rPr>
        <w:t>University is responsible for all educational content provided in Course Materials and Courses. In collaboration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University’s faculty, Provider will assist with the Program and Course design by providing curricular assistance and recommendations with respect to content and techniques that make use of the available technologies and methods embodied in the Platform in order to endeavor to meet the needs of University’s students and Programs. Provider may also provide other related support as necessary and as agreed by the Parties.</w:t>
      </w:r>
    </w:p>
    <w:p>
      <w:pPr>
        <w:spacing w:after="0" w:line="165" w:lineRule="exact"/>
        <w:rPr>
          <w:sz w:val="20"/>
          <w:szCs w:val="20"/>
          <w:color w:val="auto"/>
        </w:rPr>
      </w:pPr>
    </w:p>
    <w:p>
      <w:pPr>
        <w:ind w:right="240" w:firstLine="1297"/>
        <w:spacing w:after="0" w:line="282" w:lineRule="auto"/>
        <w:rPr>
          <w:sz w:val="20"/>
          <w:szCs w:val="20"/>
          <w:color w:val="auto"/>
        </w:rPr>
      </w:pPr>
      <w:r>
        <w:rPr>
          <w:rFonts w:ascii="Arial" w:cs="Arial" w:eastAsia="Arial" w:hAnsi="Arial"/>
          <w:sz w:val="18"/>
          <w:szCs w:val="18"/>
          <w:b w:val="1"/>
          <w:bCs w:val="1"/>
          <w:color w:val="auto"/>
        </w:rPr>
        <w:t xml:space="preserve">6.2 </w:t>
      </w:r>
      <w:r>
        <w:rPr>
          <w:rFonts w:ascii="Arial" w:cs="Arial" w:eastAsia="Arial" w:hAnsi="Arial"/>
          <w:sz w:val="18"/>
          <w:szCs w:val="18"/>
          <w:color w:val="auto"/>
        </w:rPr>
        <w:t>University will determine the selection of Programs to be offered and will provide faculty and content experts to determine the</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 to be covered in the Courses.</w:t>
      </w:r>
    </w:p>
    <w:p>
      <w:pPr>
        <w:spacing w:after="0" w:line="162"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6"/>
          <w:szCs w:val="16"/>
          <w:color w:val="auto"/>
        </w:rPr>
        <w:t>University-designated faculty will work with Provider to identify and license academic resources relevant to the Programs and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Courses.</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Exhibit 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37" w:right="319" w:bottom="1440" w:gutter="0" w:footer="0" w:header="0"/>
        </w:sectPr>
      </w:pPr>
    </w:p>
    <w:bookmarkStart w:id="52" w:name="page53"/>
    <w:bookmarkEnd w:id="52"/>
    <w:p>
      <w:pPr>
        <w:ind w:right="380" w:firstLine="656"/>
        <w:spacing w:after="0" w:line="313" w:lineRule="auto"/>
        <w:tabs>
          <w:tab w:leader="none" w:pos="1296" w:val="left"/>
        </w:tabs>
        <w:numPr>
          <w:ilvl w:val="0"/>
          <w:numId w:val="3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Accounting Services</w:t>
      </w:r>
      <w:r>
        <w:rPr>
          <w:rFonts w:ascii="Arial" w:cs="Arial" w:eastAsia="Arial" w:hAnsi="Arial"/>
          <w:sz w:val="17"/>
          <w:szCs w:val="17"/>
          <w:b w:val="1"/>
          <w:bCs w:val="1"/>
          <w:color w:val="auto"/>
        </w:rPr>
        <w:t xml:space="preserve">. </w:t>
      </w:r>
      <w:r>
        <w:rPr>
          <w:rFonts w:ascii="Arial" w:cs="Arial" w:eastAsia="Arial" w:hAnsi="Arial"/>
          <w:sz w:val="17"/>
          <w:szCs w:val="17"/>
          <w:color w:val="auto"/>
        </w:rPr>
        <w:t>The provision of the accounting services described in this section is intended merely to provide costs savings to</w:t>
      </w:r>
      <w:r>
        <w:rPr>
          <w:rFonts w:ascii="Arial" w:cs="Arial" w:eastAsia="Arial" w:hAnsi="Arial"/>
          <w:sz w:val="17"/>
          <w:szCs w:val="17"/>
          <w:b w:val="1"/>
          <w:bCs w:val="1"/>
          <w:color w:val="auto"/>
        </w:rPr>
        <w:t xml:space="preserve"> </w:t>
      </w:r>
      <w:r>
        <w:rPr>
          <w:rFonts w:ascii="Arial" w:cs="Arial" w:eastAsia="Arial" w:hAnsi="Arial"/>
          <w:sz w:val="17"/>
          <w:szCs w:val="17"/>
          <w:color w:val="auto"/>
        </w:rPr>
        <w:t>University; such services shall be provided at University’s discretion and any such services will be subject to University oversight.</w:t>
      </w:r>
    </w:p>
    <w:p>
      <w:pPr>
        <w:spacing w:after="0" w:line="138" w:lineRule="exact"/>
        <w:rPr>
          <w:sz w:val="20"/>
          <w:szCs w:val="20"/>
          <w:color w:val="auto"/>
        </w:rPr>
      </w:pPr>
    </w:p>
    <w:p>
      <w:pPr>
        <w:ind w:firstLine="1297"/>
        <w:spacing w:after="0" w:line="261" w:lineRule="auto"/>
        <w:rPr>
          <w:sz w:val="20"/>
          <w:szCs w:val="20"/>
          <w:color w:val="auto"/>
        </w:rPr>
      </w:pPr>
      <w:r>
        <w:rPr>
          <w:rFonts w:ascii="Arial" w:cs="Arial" w:eastAsia="Arial" w:hAnsi="Arial"/>
          <w:sz w:val="18"/>
          <w:szCs w:val="18"/>
          <w:b w:val="1"/>
          <w:bCs w:val="1"/>
          <w:color w:val="auto"/>
        </w:rPr>
        <w:t xml:space="preserve">7.1 </w:t>
      </w:r>
      <w:r>
        <w:rPr>
          <w:rFonts w:ascii="Arial" w:cs="Arial" w:eastAsia="Arial" w:hAnsi="Arial"/>
          <w:sz w:val="18"/>
          <w:szCs w:val="18"/>
          <w:b w:val="1"/>
          <w:bCs w:val="1"/>
          <w:i w:val="1"/>
          <w:iCs w:val="1"/>
          <w:color w:val="auto"/>
        </w:rPr>
        <w:t>Payroll</w:t>
      </w:r>
      <w:r>
        <w:rPr>
          <w:rFonts w:ascii="Arial" w:cs="Arial" w:eastAsia="Arial" w:hAnsi="Arial"/>
          <w:sz w:val="18"/>
          <w:szCs w:val="18"/>
          <w:b w:val="1"/>
          <w:bCs w:val="1"/>
          <w:color w:val="auto"/>
        </w:rPr>
        <w:t xml:space="preserve">. </w:t>
      </w:r>
      <w:r>
        <w:rPr>
          <w:rFonts w:ascii="Arial" w:cs="Arial" w:eastAsia="Arial" w:hAnsi="Arial"/>
          <w:sz w:val="18"/>
          <w:szCs w:val="18"/>
          <w:color w:val="auto"/>
        </w:rPr>
        <w:t>Provider will utilize its third-party payroll provider to process payroll of University employees and faculty as specified in</w:t>
      </w:r>
      <w:r>
        <w:rPr>
          <w:rFonts w:ascii="Arial" w:cs="Arial" w:eastAsia="Arial" w:hAnsi="Arial"/>
          <w:sz w:val="18"/>
          <w:szCs w:val="18"/>
          <w:b w:val="1"/>
          <w:bCs w:val="1"/>
          <w:color w:val="auto"/>
        </w:rPr>
        <w:t xml:space="preserve"> </w:t>
      </w:r>
      <w:r>
        <w:rPr>
          <w:rFonts w:ascii="Arial" w:cs="Arial" w:eastAsia="Arial" w:hAnsi="Arial"/>
          <w:sz w:val="18"/>
          <w:szCs w:val="18"/>
          <w:color w:val="auto"/>
        </w:rPr>
        <w:t>an agreed upon calendar year. Provider will maintain University’s online paycheck system on behalf of University. Provider will work with such third-party payroll provider to, or will itself act to, remit all withheld Taxes and payroll contributions on behalf of University per IRS rules and deadlines and will be responsible for preparing and sending out during the year all forms by applicable IRS deadlines.</w:t>
      </w:r>
    </w:p>
    <w:p>
      <w:pPr>
        <w:spacing w:after="0" w:line="180" w:lineRule="exact"/>
        <w:rPr>
          <w:sz w:val="20"/>
          <w:szCs w:val="20"/>
          <w:color w:val="auto"/>
        </w:rPr>
      </w:pPr>
    </w:p>
    <w:p>
      <w:pPr>
        <w:ind w:right="20" w:firstLine="1297"/>
        <w:spacing w:after="0" w:line="254" w:lineRule="auto"/>
        <w:rPr>
          <w:sz w:val="20"/>
          <w:szCs w:val="20"/>
          <w:color w:val="auto"/>
        </w:rPr>
      </w:pPr>
      <w:r>
        <w:rPr>
          <w:rFonts w:ascii="Arial" w:cs="Arial" w:eastAsia="Arial" w:hAnsi="Arial"/>
          <w:sz w:val="18"/>
          <w:szCs w:val="18"/>
          <w:b w:val="1"/>
          <w:bCs w:val="1"/>
          <w:color w:val="auto"/>
        </w:rPr>
        <w:t xml:space="preserve">7.2 </w:t>
      </w:r>
      <w:r>
        <w:rPr>
          <w:rFonts w:ascii="Arial" w:cs="Arial" w:eastAsia="Arial" w:hAnsi="Arial"/>
          <w:sz w:val="18"/>
          <w:szCs w:val="18"/>
          <w:b w:val="1"/>
          <w:bCs w:val="1"/>
          <w:i w:val="1"/>
          <w:iCs w:val="1"/>
          <w:color w:val="auto"/>
        </w:rPr>
        <w:t>Accounts Payable (Vendor)</w:t>
      </w:r>
      <w:r>
        <w:rPr>
          <w:rFonts w:ascii="Arial" w:cs="Arial" w:eastAsia="Arial" w:hAnsi="Arial"/>
          <w:sz w:val="18"/>
          <w:szCs w:val="18"/>
          <w:b w:val="1"/>
          <w:bCs w:val="1"/>
          <w:color w:val="auto"/>
        </w:rPr>
        <w:t xml:space="preserve">. </w:t>
      </w:r>
      <w:r>
        <w:rPr>
          <w:rFonts w:ascii="Arial" w:cs="Arial" w:eastAsia="Arial" w:hAnsi="Arial"/>
          <w:sz w:val="18"/>
          <w:szCs w:val="18"/>
          <w:color w:val="auto"/>
        </w:rPr>
        <w:t>Provider will provide and maintain an accounts payable system for University and will train and</w:t>
      </w:r>
      <w:r>
        <w:rPr>
          <w:rFonts w:ascii="Arial" w:cs="Arial" w:eastAsia="Arial" w:hAnsi="Arial"/>
          <w:sz w:val="18"/>
          <w:szCs w:val="18"/>
          <w:b w:val="1"/>
          <w:bCs w:val="1"/>
          <w:color w:val="auto"/>
        </w:rPr>
        <w:t xml:space="preserve"> </w:t>
      </w:r>
      <w:r>
        <w:rPr>
          <w:rFonts w:ascii="Arial" w:cs="Arial" w:eastAsia="Arial" w:hAnsi="Arial"/>
          <w:sz w:val="18"/>
          <w:szCs w:val="18"/>
          <w:color w:val="auto"/>
        </w:rPr>
        <w:t>assist University personnel in the use of such system. Provider will input University invoices within two (2) Business Days of being received as long as the vendor has been properly approved by University and a University purchase order has been created. Otherwise, Provider will contact the applicable University department within two (2) Business Days to create a purchase order. Upon University’s prior approval of invoice amounts, Provider will authorize the payment of invoices from University’s account on University’s behalf per payment terms on invoice or net 30 days. Provider reserves the right to choose the method of payment (check, Automated Clearing House (“</w:t>
      </w:r>
      <w:r>
        <w:rPr>
          <w:rFonts w:ascii="Arial" w:cs="Arial" w:eastAsia="Arial" w:hAnsi="Arial"/>
          <w:sz w:val="18"/>
          <w:szCs w:val="18"/>
          <w:b w:val="1"/>
          <w:bCs w:val="1"/>
          <w:i w:val="1"/>
          <w:iCs w:val="1"/>
          <w:color w:val="auto"/>
        </w:rPr>
        <w:t>ACH</w:t>
      </w:r>
      <w:r>
        <w:rPr>
          <w:rFonts w:ascii="Arial" w:cs="Arial" w:eastAsia="Arial" w:hAnsi="Arial"/>
          <w:sz w:val="18"/>
          <w:szCs w:val="18"/>
          <w:color w:val="auto"/>
        </w:rPr>
        <w:t>”), or credit card) as long as it does not result in additional expense to University or create issues with a vendor. All vendor statements will be properly reviewed by the Parties within thirty (30) days of being received and issues will be resolved timely. University understands that it must respond within two (2) Business Days with respect to inquiries and requests for assistance or the deadlines will not be met.</w:t>
      </w:r>
    </w:p>
    <w:p>
      <w:pPr>
        <w:spacing w:after="0" w:line="189" w:lineRule="exact"/>
        <w:rPr>
          <w:sz w:val="20"/>
          <w:szCs w:val="20"/>
          <w:color w:val="auto"/>
        </w:rPr>
      </w:pPr>
    </w:p>
    <w:p>
      <w:pPr>
        <w:ind w:right="40" w:firstLine="1297"/>
        <w:spacing w:after="0" w:line="314" w:lineRule="auto"/>
        <w:rPr>
          <w:sz w:val="20"/>
          <w:szCs w:val="20"/>
          <w:color w:val="auto"/>
        </w:rPr>
      </w:pPr>
      <w:r>
        <w:rPr>
          <w:rFonts w:ascii="Arial" w:cs="Arial" w:eastAsia="Arial" w:hAnsi="Arial"/>
          <w:sz w:val="16"/>
          <w:szCs w:val="16"/>
          <w:b w:val="1"/>
          <w:bCs w:val="1"/>
          <w:color w:val="auto"/>
        </w:rPr>
        <w:t xml:space="preserve">7.3 </w:t>
      </w:r>
      <w:r>
        <w:rPr>
          <w:rFonts w:ascii="Arial" w:cs="Arial" w:eastAsia="Arial" w:hAnsi="Arial"/>
          <w:sz w:val="16"/>
          <w:szCs w:val="16"/>
          <w:b w:val="1"/>
          <w:bCs w:val="1"/>
          <w:i w:val="1"/>
          <w:iCs w:val="1"/>
          <w:color w:val="auto"/>
        </w:rPr>
        <w:t>Accounts Payable (Travel &amp; Entertainment)</w:t>
      </w:r>
      <w:r>
        <w:rPr>
          <w:rFonts w:ascii="Arial" w:cs="Arial" w:eastAsia="Arial" w:hAnsi="Arial"/>
          <w:sz w:val="16"/>
          <w:szCs w:val="16"/>
          <w:b w:val="1"/>
          <w:bCs w:val="1"/>
          <w:color w:val="auto"/>
        </w:rPr>
        <w:t xml:space="preserve">. </w:t>
      </w:r>
      <w:r>
        <w:rPr>
          <w:rFonts w:ascii="Arial" w:cs="Arial" w:eastAsia="Arial" w:hAnsi="Arial"/>
          <w:sz w:val="16"/>
          <w:szCs w:val="16"/>
          <w:color w:val="auto"/>
        </w:rPr>
        <w:t>Provider will provide and maintain an expense reporting system for University and</w:t>
      </w:r>
      <w:r>
        <w:rPr>
          <w:rFonts w:ascii="Arial" w:cs="Arial" w:eastAsia="Arial" w:hAnsi="Arial"/>
          <w:sz w:val="16"/>
          <w:szCs w:val="16"/>
          <w:b w:val="1"/>
          <w:bCs w:val="1"/>
          <w:color w:val="auto"/>
        </w:rPr>
        <w:t xml:space="preserve"> </w:t>
      </w:r>
      <w:r>
        <w:rPr>
          <w:rFonts w:ascii="Arial" w:cs="Arial" w:eastAsia="Arial" w:hAnsi="Arial"/>
          <w:sz w:val="16"/>
          <w:szCs w:val="16"/>
          <w:color w:val="auto"/>
        </w:rPr>
        <w:t>will train and assist University in the use of such system. University will set travel policies for its employees, and Provider will audit compliance with such policies. Once expense reports are submitted through the system, Provider will have three (3) Business Days to audit or to request additional backup.</w:t>
      </w:r>
    </w:p>
    <w:p>
      <w:pPr>
        <w:spacing w:after="0" w:line="142" w:lineRule="exact"/>
        <w:rPr>
          <w:sz w:val="20"/>
          <w:szCs w:val="20"/>
          <w:color w:val="auto"/>
        </w:rPr>
      </w:pPr>
    </w:p>
    <w:p>
      <w:pPr>
        <w:ind w:right="20" w:firstLine="1297"/>
        <w:spacing w:after="0" w:line="281" w:lineRule="auto"/>
        <w:rPr>
          <w:sz w:val="20"/>
          <w:szCs w:val="20"/>
          <w:color w:val="auto"/>
        </w:rPr>
      </w:pPr>
      <w:r>
        <w:rPr>
          <w:rFonts w:ascii="Arial" w:cs="Arial" w:eastAsia="Arial" w:hAnsi="Arial"/>
          <w:sz w:val="17"/>
          <w:szCs w:val="17"/>
          <w:b w:val="1"/>
          <w:bCs w:val="1"/>
          <w:color w:val="auto"/>
        </w:rPr>
        <w:t xml:space="preserve">7.4 </w:t>
      </w:r>
      <w:r>
        <w:rPr>
          <w:rFonts w:ascii="Arial" w:cs="Arial" w:eastAsia="Arial" w:hAnsi="Arial"/>
          <w:sz w:val="17"/>
          <w:szCs w:val="17"/>
          <w:b w:val="1"/>
          <w:bCs w:val="1"/>
          <w:i w:val="1"/>
          <w:iCs w:val="1"/>
          <w:color w:val="auto"/>
        </w:rPr>
        <w:t>Accounts Payable (PCard).</w:t>
      </w:r>
      <w:r>
        <w:rPr>
          <w:rFonts w:ascii="Arial" w:cs="Arial" w:eastAsia="Arial" w:hAnsi="Arial"/>
          <w:sz w:val="17"/>
          <w:szCs w:val="17"/>
          <w:b w:val="1"/>
          <w:bCs w:val="1"/>
          <w:color w:val="auto"/>
        </w:rPr>
        <w:t xml:space="preserve"> </w:t>
      </w:r>
      <w:r>
        <w:rPr>
          <w:rFonts w:ascii="Arial" w:cs="Arial" w:eastAsia="Arial" w:hAnsi="Arial"/>
          <w:sz w:val="17"/>
          <w:szCs w:val="17"/>
          <w:color w:val="auto"/>
        </w:rPr>
        <w:t>Provider will provide and maintain the purchasing cards and reconciliation system for University and</w:t>
      </w:r>
      <w:r>
        <w:rPr>
          <w:rFonts w:ascii="Arial" w:cs="Arial" w:eastAsia="Arial" w:hAnsi="Arial"/>
          <w:sz w:val="17"/>
          <w:szCs w:val="17"/>
          <w:b w:val="1"/>
          <w:bCs w:val="1"/>
          <w:color w:val="auto"/>
        </w:rPr>
        <w:t xml:space="preserve"> </w:t>
      </w:r>
      <w:r>
        <w:rPr>
          <w:rFonts w:ascii="Arial" w:cs="Arial" w:eastAsia="Arial" w:hAnsi="Arial"/>
          <w:sz w:val="17"/>
          <w:szCs w:val="17"/>
          <w:color w:val="auto"/>
        </w:rPr>
        <w:t>will train and assist University personnel in the use of such system. University will create approval processes to issue new cards and will set policies for their use, and Provider will audit compliance with such processes and policies. Once PCard reconciliations are submitted through the system, Provider will have thirty (30) days to audit or to request additional backup. University will follow IRS guidelines for documentation requirements.</w:t>
      </w:r>
    </w:p>
    <w:p>
      <w:pPr>
        <w:spacing w:after="0" w:line="165" w:lineRule="exact"/>
        <w:rPr>
          <w:sz w:val="20"/>
          <w:szCs w:val="20"/>
          <w:color w:val="auto"/>
        </w:rPr>
      </w:pPr>
    </w:p>
    <w:p>
      <w:pPr>
        <w:ind w:right="80" w:firstLine="1297"/>
        <w:spacing w:after="0" w:line="229" w:lineRule="auto"/>
        <w:rPr>
          <w:sz w:val="20"/>
          <w:szCs w:val="20"/>
          <w:color w:val="auto"/>
        </w:rPr>
      </w:pPr>
      <w:r>
        <w:rPr>
          <w:rFonts w:ascii="Arial" w:cs="Arial" w:eastAsia="Arial" w:hAnsi="Arial"/>
          <w:sz w:val="18"/>
          <w:szCs w:val="18"/>
          <w:b w:val="1"/>
          <w:bCs w:val="1"/>
          <w:color w:val="auto"/>
        </w:rPr>
        <w:t xml:space="preserve">7.5 </w:t>
      </w:r>
      <w:r>
        <w:rPr>
          <w:rFonts w:ascii="Arial" w:cs="Arial" w:eastAsia="Arial" w:hAnsi="Arial"/>
          <w:sz w:val="18"/>
          <w:szCs w:val="18"/>
          <w:b w:val="1"/>
          <w:bCs w:val="1"/>
          <w:i w:val="1"/>
          <w:iCs w:val="1"/>
          <w:color w:val="auto"/>
        </w:rPr>
        <w:t>General Ledger (Month End Close)</w:t>
      </w:r>
      <w:r>
        <w:rPr>
          <w:rFonts w:ascii="Arial" w:cs="Arial" w:eastAsia="Arial" w:hAnsi="Arial"/>
          <w:sz w:val="18"/>
          <w:szCs w:val="18"/>
          <w:b w:val="1"/>
          <w:bCs w:val="1"/>
          <w:color w:val="auto"/>
        </w:rPr>
        <w:t xml:space="preserve">. </w:t>
      </w:r>
      <w:r>
        <w:rPr>
          <w:rFonts w:ascii="Arial" w:cs="Arial" w:eastAsia="Arial" w:hAnsi="Arial"/>
          <w:sz w:val="18"/>
          <w:szCs w:val="18"/>
          <w:color w:val="auto"/>
        </w:rPr>
        <w:t>Provider will provide and maintain the general ledger system to be used for University’s</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statement production and will provide view access to University’s accounting personnel. Provider will close the books (excluding Tax entries) for each calendar month by the tenth (10</w:t>
      </w:r>
      <w:r>
        <w:rPr>
          <w:rFonts w:ascii="Arial" w:cs="Arial" w:eastAsia="Arial" w:hAnsi="Arial"/>
          <w:sz w:val="23"/>
          <w:szCs w:val="23"/>
          <w:color w:val="auto"/>
          <w:vertAlign w:val="superscript"/>
        </w:rPr>
        <w:t>th</w:t>
      </w:r>
      <w:r>
        <w:rPr>
          <w:rFonts w:ascii="Arial" w:cs="Arial" w:eastAsia="Arial" w:hAnsi="Arial"/>
          <w:sz w:val="18"/>
          <w:szCs w:val="18"/>
          <w:color w:val="auto"/>
        </w:rPr>
        <w:t>) Business Day of the following calendar month (e.g., for the month of May, the tenth (10</w:t>
      </w:r>
      <w:r>
        <w:rPr>
          <w:rFonts w:ascii="Arial" w:cs="Arial" w:eastAsia="Arial" w:hAnsi="Arial"/>
          <w:sz w:val="23"/>
          <w:szCs w:val="23"/>
          <w:color w:val="auto"/>
          <w:vertAlign w:val="superscript"/>
        </w:rPr>
        <w:t>th</w:t>
      </w:r>
      <w:r>
        <w:rPr>
          <w:rFonts w:ascii="Arial" w:cs="Arial" w:eastAsia="Arial" w:hAnsi="Arial"/>
          <w:sz w:val="18"/>
          <w:szCs w:val="18"/>
          <w:color w:val="auto"/>
        </w:rPr>
        <w:t>) Business Day of June). University understands that it must have all entries and accruals to Provider by the fifth (5th) Business Day of such following calendar month or the Provider close timeline may be delayed. Provider will</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Exhibit 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53" w:name="page54"/>
    <w:bookmarkEnd w:id="53"/>
    <w:p>
      <w:pPr>
        <w:spacing w:after="0" w:line="264" w:lineRule="auto"/>
        <w:rPr>
          <w:sz w:val="20"/>
          <w:szCs w:val="20"/>
          <w:color w:val="auto"/>
        </w:rPr>
      </w:pPr>
      <w:r>
        <w:rPr>
          <w:rFonts w:ascii="Arial" w:cs="Arial" w:eastAsia="Arial" w:hAnsi="Arial"/>
          <w:sz w:val="18"/>
          <w:szCs w:val="18"/>
          <w:color w:val="auto"/>
        </w:rPr>
        <w:t>reconcile all necessary balance sheet accounts by the twenty-fifth (25th) day of such following calendar month. Provider will prepare all required audit schedules per reasonable due date set by University’s audit firm. Provider will respond to all general ledger questions from University within two (2) Business Days.</w:t>
      </w:r>
    </w:p>
    <w:p>
      <w:pPr>
        <w:spacing w:after="0" w:line="177" w:lineRule="exact"/>
        <w:rPr>
          <w:sz w:val="20"/>
          <w:szCs w:val="20"/>
          <w:color w:val="auto"/>
        </w:rPr>
      </w:pPr>
    </w:p>
    <w:p>
      <w:pPr>
        <w:ind w:firstLine="1297"/>
        <w:spacing w:after="0" w:line="277" w:lineRule="auto"/>
        <w:rPr>
          <w:sz w:val="20"/>
          <w:szCs w:val="20"/>
          <w:color w:val="auto"/>
        </w:rPr>
      </w:pPr>
      <w:r>
        <w:rPr>
          <w:rFonts w:ascii="Arial" w:cs="Arial" w:eastAsia="Arial" w:hAnsi="Arial"/>
          <w:sz w:val="17"/>
          <w:szCs w:val="17"/>
          <w:b w:val="1"/>
          <w:bCs w:val="1"/>
          <w:color w:val="auto"/>
        </w:rPr>
        <w:t xml:space="preserve">7.6 </w:t>
      </w:r>
      <w:r>
        <w:rPr>
          <w:rFonts w:ascii="Arial" w:cs="Arial" w:eastAsia="Arial" w:hAnsi="Arial"/>
          <w:sz w:val="17"/>
          <w:szCs w:val="17"/>
          <w:b w:val="1"/>
          <w:bCs w:val="1"/>
          <w:i w:val="1"/>
          <w:iCs w:val="1"/>
          <w:color w:val="auto"/>
        </w:rPr>
        <w:t>General Ledger (Fixed Assets)</w:t>
      </w:r>
      <w:r>
        <w:rPr>
          <w:rFonts w:ascii="Arial" w:cs="Arial" w:eastAsia="Arial" w:hAnsi="Arial"/>
          <w:sz w:val="17"/>
          <w:szCs w:val="17"/>
          <w:b w:val="1"/>
          <w:bCs w:val="1"/>
          <w:color w:val="auto"/>
        </w:rPr>
        <w:t xml:space="preserve">. </w:t>
      </w:r>
      <w:r>
        <w:rPr>
          <w:rFonts w:ascii="Arial" w:cs="Arial" w:eastAsia="Arial" w:hAnsi="Arial"/>
          <w:sz w:val="17"/>
          <w:szCs w:val="17"/>
          <w:color w:val="auto"/>
        </w:rPr>
        <w:t>Provider will provide and maintain the fixed asset system to record and track all University assets</w:t>
      </w:r>
      <w:r>
        <w:rPr>
          <w:rFonts w:ascii="Arial" w:cs="Arial" w:eastAsia="Arial" w:hAnsi="Arial"/>
          <w:sz w:val="17"/>
          <w:szCs w:val="17"/>
          <w:b w:val="1"/>
          <w:bCs w:val="1"/>
          <w:color w:val="auto"/>
        </w:rPr>
        <w:t xml:space="preserve"> </w:t>
      </w:r>
      <w:r>
        <w:rPr>
          <w:rFonts w:ascii="Arial" w:cs="Arial" w:eastAsia="Arial" w:hAnsi="Arial"/>
          <w:sz w:val="17"/>
          <w:szCs w:val="17"/>
          <w:color w:val="auto"/>
        </w:rPr>
        <w:t>and will provide reports to University personnel as needed. Provider will enter the fixed assets into the system at each calendar month end and will close the fixed asset books for any calendar month by the fifth (5th) Business Day of the following calendar month. Provider will prepare all required fixed asset schedules by the tenth (10th) Business Day of such following month. Provider will prepare all required audit schedules per due date set by University’s audit firm. Provider will respond to all fixed asset questions from University within two (2) Business Days.</w:t>
      </w:r>
    </w:p>
    <w:p>
      <w:pPr>
        <w:spacing w:after="0" w:line="168" w:lineRule="exact"/>
        <w:rPr>
          <w:sz w:val="20"/>
          <w:szCs w:val="20"/>
          <w:color w:val="auto"/>
        </w:rPr>
      </w:pPr>
    </w:p>
    <w:p>
      <w:pPr>
        <w:jc w:val="both"/>
        <w:ind w:right="80" w:firstLine="1297"/>
        <w:spacing w:after="0" w:line="289" w:lineRule="auto"/>
        <w:rPr>
          <w:sz w:val="20"/>
          <w:szCs w:val="20"/>
          <w:color w:val="auto"/>
        </w:rPr>
      </w:pPr>
      <w:r>
        <w:rPr>
          <w:rFonts w:ascii="Arial" w:cs="Arial" w:eastAsia="Arial" w:hAnsi="Arial"/>
          <w:sz w:val="16"/>
          <w:szCs w:val="16"/>
          <w:b w:val="1"/>
          <w:bCs w:val="1"/>
          <w:color w:val="auto"/>
        </w:rPr>
        <w:t xml:space="preserve">7.7 </w:t>
      </w:r>
      <w:r>
        <w:rPr>
          <w:rFonts w:ascii="Arial" w:cs="Arial" w:eastAsia="Arial" w:hAnsi="Arial"/>
          <w:sz w:val="16"/>
          <w:szCs w:val="16"/>
          <w:b w:val="1"/>
          <w:bCs w:val="1"/>
          <w:i w:val="1"/>
          <w:iCs w:val="1"/>
          <w:color w:val="auto"/>
        </w:rPr>
        <w:t>General Ledger (Bank Reconciliations)</w:t>
      </w:r>
      <w:r>
        <w:rPr>
          <w:rFonts w:ascii="Arial" w:cs="Arial" w:eastAsia="Arial" w:hAnsi="Arial"/>
          <w:sz w:val="16"/>
          <w:szCs w:val="16"/>
          <w:b w:val="1"/>
          <w:bCs w:val="1"/>
          <w:color w:val="auto"/>
        </w:rPr>
        <w:t xml:space="preserve">. </w:t>
      </w:r>
      <w:r>
        <w:rPr>
          <w:rFonts w:ascii="Arial" w:cs="Arial" w:eastAsia="Arial" w:hAnsi="Arial"/>
          <w:sz w:val="16"/>
          <w:szCs w:val="16"/>
          <w:color w:val="auto"/>
        </w:rPr>
        <w:t>Provider will perform bank reconciliations for University. Provider will have access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all required University bank accounts as specified in </w:t>
      </w:r>
      <w:r>
        <w:rPr>
          <w:rFonts w:ascii="Arial" w:cs="Arial" w:eastAsia="Arial" w:hAnsi="Arial"/>
          <w:sz w:val="16"/>
          <w:szCs w:val="16"/>
          <w:u w:val="single" w:color="auto"/>
          <w:color w:val="auto"/>
        </w:rPr>
        <w:t>Schedule B-7.7</w:t>
      </w:r>
      <w:r>
        <w:rPr>
          <w:rFonts w:ascii="Arial" w:cs="Arial" w:eastAsia="Arial" w:hAnsi="Arial"/>
          <w:sz w:val="16"/>
          <w:szCs w:val="16"/>
          <w:color w:val="auto"/>
        </w:rPr>
        <w:t xml:space="preserve"> hereto solely for purposes of making vendor payments and other purposes authorized by University. Provider will prepare a daily cash requirements report which will be sent to University’s vice president of business and finance by noon daily.</w:t>
      </w:r>
    </w:p>
    <w:p>
      <w:pPr>
        <w:spacing w:after="0" w:line="2"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Provider will complete all cash entries for any calendar month by the third (3rd) Business Day of the following calendar month. Provider will complete all bank reconciliations by the last day of such following calendar month. All outstanding items which are errors will be researched and removed from reconciliation within thirty (30) days from the reconciled date. Provider will represent University with all banks and negotiate and ensure University is receiving the lowest fees and rates possible.</w:t>
      </w:r>
    </w:p>
    <w:p>
      <w:pPr>
        <w:spacing w:after="0" w:line="186" w:lineRule="exact"/>
        <w:rPr>
          <w:sz w:val="20"/>
          <w:szCs w:val="20"/>
          <w:color w:val="auto"/>
        </w:rPr>
      </w:pPr>
    </w:p>
    <w:p>
      <w:pPr>
        <w:ind w:right="40" w:firstLine="1297"/>
        <w:spacing w:after="0" w:line="261" w:lineRule="auto"/>
        <w:rPr>
          <w:sz w:val="20"/>
          <w:szCs w:val="20"/>
          <w:color w:val="auto"/>
        </w:rPr>
      </w:pPr>
      <w:r>
        <w:rPr>
          <w:rFonts w:ascii="Arial" w:cs="Arial" w:eastAsia="Arial" w:hAnsi="Arial"/>
          <w:sz w:val="18"/>
          <w:szCs w:val="18"/>
          <w:b w:val="1"/>
          <w:bCs w:val="1"/>
          <w:color w:val="auto"/>
        </w:rPr>
        <w:t xml:space="preserve">7.8 </w:t>
      </w:r>
      <w:r>
        <w:rPr>
          <w:rFonts w:ascii="Arial" w:cs="Arial" w:eastAsia="Arial" w:hAnsi="Arial"/>
          <w:sz w:val="18"/>
          <w:szCs w:val="18"/>
          <w:b w:val="1"/>
          <w:bCs w:val="1"/>
          <w:i w:val="1"/>
          <w:iCs w:val="1"/>
          <w:color w:val="auto"/>
        </w:rPr>
        <w:t>General Ledger (Investment)</w:t>
      </w:r>
      <w:r>
        <w:rPr>
          <w:rFonts w:ascii="Arial" w:cs="Arial" w:eastAsia="Arial" w:hAnsi="Arial"/>
          <w:sz w:val="18"/>
          <w:szCs w:val="18"/>
          <w:b w:val="1"/>
          <w:bCs w:val="1"/>
          <w:color w:val="auto"/>
        </w:rPr>
        <w:t xml:space="preserve">. </w:t>
      </w:r>
      <w:r>
        <w:rPr>
          <w:rFonts w:ascii="Arial" w:cs="Arial" w:eastAsia="Arial" w:hAnsi="Arial"/>
          <w:sz w:val="18"/>
          <w:szCs w:val="18"/>
          <w:color w:val="auto"/>
        </w:rPr>
        <w:t>At University’s option, Provider will invest and manage excess University’s funds in short-term</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investments of University’s choice. Provider will provide reconciliations for any calendar month by the tenth (10th) day of the following calendar month and keep detailed records of the investments. University will create an investment policy which Provider will follow. Provider will produce a quarterly investment summary that will be sent to University’s vice president of business and finance.</w:t>
      </w:r>
    </w:p>
    <w:p>
      <w:pPr>
        <w:spacing w:after="0" w:line="180" w:lineRule="exact"/>
        <w:rPr>
          <w:sz w:val="20"/>
          <w:szCs w:val="20"/>
          <w:color w:val="auto"/>
        </w:rPr>
      </w:pPr>
    </w:p>
    <w:p>
      <w:pPr>
        <w:ind w:right="120" w:firstLine="1297"/>
        <w:spacing w:after="0" w:line="282" w:lineRule="auto"/>
        <w:rPr>
          <w:sz w:val="20"/>
          <w:szCs w:val="20"/>
          <w:color w:val="auto"/>
        </w:rPr>
      </w:pPr>
      <w:r>
        <w:rPr>
          <w:rFonts w:ascii="Arial" w:cs="Arial" w:eastAsia="Arial" w:hAnsi="Arial"/>
          <w:sz w:val="18"/>
          <w:szCs w:val="18"/>
          <w:b w:val="1"/>
          <w:bCs w:val="1"/>
          <w:color w:val="auto"/>
        </w:rPr>
        <w:t xml:space="preserve">7.9 </w:t>
      </w:r>
      <w:r>
        <w:rPr>
          <w:rFonts w:ascii="Arial" w:cs="Arial" w:eastAsia="Arial" w:hAnsi="Arial"/>
          <w:sz w:val="18"/>
          <w:szCs w:val="18"/>
          <w:b w:val="1"/>
          <w:bCs w:val="1"/>
          <w:i w:val="1"/>
          <w:iCs w:val="1"/>
          <w:color w:val="auto"/>
        </w:rPr>
        <w:t>Student Accounting (Adjustments)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Provider agrees to process all adjustment tickets within two (2) Business Days. All auto and</w:t>
      </w:r>
      <w:r>
        <w:rPr>
          <w:rFonts w:ascii="Arial" w:cs="Arial" w:eastAsia="Arial" w:hAnsi="Arial"/>
          <w:sz w:val="18"/>
          <w:szCs w:val="18"/>
          <w:b w:val="1"/>
          <w:bCs w:val="1"/>
          <w:color w:val="auto"/>
        </w:rPr>
        <w:t xml:space="preserve"> </w:t>
      </w:r>
      <w:r>
        <w:rPr>
          <w:rFonts w:ascii="Arial" w:cs="Arial" w:eastAsia="Arial" w:hAnsi="Arial"/>
          <w:sz w:val="18"/>
          <w:szCs w:val="18"/>
          <w:color w:val="auto"/>
        </w:rPr>
        <w:t>recurring adjustments will be processed per agreed upon schedules.</w:t>
      </w:r>
    </w:p>
    <w:p>
      <w:pPr>
        <w:spacing w:after="0" w:line="162" w:lineRule="exact"/>
        <w:rPr>
          <w:sz w:val="20"/>
          <w:szCs w:val="20"/>
          <w:color w:val="auto"/>
        </w:rPr>
      </w:pPr>
    </w:p>
    <w:p>
      <w:pPr>
        <w:ind w:right="20" w:firstLine="1297"/>
        <w:spacing w:after="0" w:line="261" w:lineRule="auto"/>
        <w:rPr>
          <w:sz w:val="20"/>
          <w:szCs w:val="20"/>
          <w:color w:val="auto"/>
        </w:rPr>
      </w:pPr>
      <w:r>
        <w:rPr>
          <w:rFonts w:ascii="Arial" w:cs="Arial" w:eastAsia="Arial" w:hAnsi="Arial"/>
          <w:sz w:val="18"/>
          <w:szCs w:val="18"/>
          <w:b w:val="1"/>
          <w:bCs w:val="1"/>
          <w:color w:val="auto"/>
        </w:rPr>
        <w:t xml:space="preserve">7.10 </w:t>
      </w:r>
      <w:r>
        <w:rPr>
          <w:rFonts w:ascii="Arial" w:cs="Arial" w:eastAsia="Arial" w:hAnsi="Arial"/>
          <w:sz w:val="18"/>
          <w:szCs w:val="18"/>
          <w:b w:val="1"/>
          <w:bCs w:val="1"/>
          <w:i w:val="1"/>
          <w:iCs w:val="1"/>
          <w:color w:val="auto"/>
        </w:rPr>
        <w:t>Financial Reporting</w:t>
      </w:r>
      <w:r>
        <w:rPr>
          <w:rFonts w:ascii="Arial" w:cs="Arial" w:eastAsia="Arial" w:hAnsi="Arial"/>
          <w:sz w:val="18"/>
          <w:szCs w:val="18"/>
          <w:b w:val="1"/>
          <w:bCs w:val="1"/>
          <w:color w:val="auto"/>
        </w:rPr>
        <w:t xml:space="preserve">. </w:t>
      </w:r>
      <w:r>
        <w:rPr>
          <w:rFonts w:ascii="Arial" w:cs="Arial" w:eastAsia="Arial" w:hAnsi="Arial"/>
          <w:sz w:val="18"/>
          <w:szCs w:val="18"/>
          <w:color w:val="auto"/>
        </w:rPr>
        <w:t>Provider will produce monthly financial statements for University for each calendar month, which statement</w:t>
      </w:r>
      <w:r>
        <w:rPr>
          <w:rFonts w:ascii="Arial" w:cs="Arial" w:eastAsia="Arial" w:hAnsi="Arial"/>
          <w:sz w:val="18"/>
          <w:szCs w:val="18"/>
          <w:b w:val="1"/>
          <w:bCs w:val="1"/>
          <w:color w:val="auto"/>
        </w:rPr>
        <w:t xml:space="preserve"> </w:t>
      </w:r>
      <w:r>
        <w:rPr>
          <w:rFonts w:ascii="Arial" w:cs="Arial" w:eastAsia="Arial" w:hAnsi="Arial"/>
          <w:sz w:val="18"/>
          <w:szCs w:val="18"/>
          <w:color w:val="auto"/>
        </w:rPr>
        <w:t>will be a balance sheet, income statement and cash flow statement along with a budget to actual spend comparison, by the fifteen (15th) day of the following calendar month. Provider will work with University’s outside audit firm such that University can issue and file its audited financial statements with the DOE by the applicable due date following the end of each Fiscal Year.</w:t>
      </w:r>
    </w:p>
    <w:p>
      <w:pPr>
        <w:spacing w:after="0" w:line="180"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b w:val="1"/>
          <w:bCs w:val="1"/>
          <w:color w:val="auto"/>
        </w:rPr>
        <w:t>7.11</w:t>
      </w:r>
      <w:r>
        <w:rPr>
          <w:sz w:val="20"/>
          <w:szCs w:val="20"/>
          <w:color w:val="auto"/>
        </w:rPr>
        <w:tab/>
      </w:r>
      <w:r>
        <w:rPr>
          <w:rFonts w:ascii="Arial" w:cs="Arial" w:eastAsia="Arial" w:hAnsi="Arial"/>
          <w:sz w:val="16"/>
          <w:szCs w:val="16"/>
          <w:b w:val="1"/>
          <w:bCs w:val="1"/>
          <w:i w:val="1"/>
          <w:iCs w:val="1"/>
          <w:color w:val="auto"/>
        </w:rPr>
        <w:t>Budgeting</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Provider will assist University with preparing an annual budget using a budget calendar determined by University.</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For purposes of clarity, Provider acknowledges and agrees that University shall have sole and final authority with respect to adoption of an annual budget.</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4" w:name="page55"/>
    <w:bookmarkEnd w:id="54"/>
    <w:p>
      <w:pPr>
        <w:ind w:right="40" w:firstLine="1297"/>
        <w:spacing w:after="0" w:line="313" w:lineRule="auto"/>
        <w:rPr>
          <w:sz w:val="20"/>
          <w:szCs w:val="20"/>
          <w:color w:val="auto"/>
        </w:rPr>
      </w:pPr>
      <w:r>
        <w:rPr>
          <w:rFonts w:ascii="Arial" w:cs="Arial" w:eastAsia="Arial" w:hAnsi="Arial"/>
          <w:sz w:val="17"/>
          <w:szCs w:val="17"/>
          <w:b w:val="1"/>
          <w:bCs w:val="1"/>
          <w:color w:val="auto"/>
        </w:rPr>
        <w:t xml:space="preserve">7.12 </w:t>
      </w:r>
      <w:r>
        <w:rPr>
          <w:rFonts w:ascii="Arial" w:cs="Arial" w:eastAsia="Arial" w:hAnsi="Arial"/>
          <w:sz w:val="17"/>
          <w:szCs w:val="17"/>
          <w:b w:val="1"/>
          <w:bCs w:val="1"/>
          <w:i w:val="1"/>
          <w:iCs w:val="1"/>
          <w:color w:val="auto"/>
        </w:rPr>
        <w:t>Taxes</w:t>
      </w:r>
      <w:r>
        <w:rPr>
          <w:rFonts w:ascii="Arial" w:cs="Arial" w:eastAsia="Arial" w:hAnsi="Arial"/>
          <w:sz w:val="17"/>
          <w:szCs w:val="17"/>
          <w:b w:val="1"/>
          <w:bCs w:val="1"/>
          <w:color w:val="auto"/>
        </w:rPr>
        <w:t xml:space="preserve">. </w:t>
      </w:r>
      <w:r>
        <w:rPr>
          <w:rFonts w:ascii="Arial" w:cs="Arial" w:eastAsia="Arial" w:hAnsi="Arial"/>
          <w:sz w:val="17"/>
          <w:szCs w:val="17"/>
          <w:color w:val="auto"/>
        </w:rPr>
        <w:t>Provider will assist University in calculating its applicable Tax liabilities, filing Tax or other relevant information returns</w:t>
      </w:r>
      <w:r>
        <w:rPr>
          <w:rFonts w:ascii="Arial" w:cs="Arial" w:eastAsia="Arial" w:hAnsi="Arial"/>
          <w:sz w:val="17"/>
          <w:szCs w:val="17"/>
          <w:b w:val="1"/>
          <w:bCs w:val="1"/>
          <w:color w:val="auto"/>
        </w:rPr>
        <w:t xml:space="preserve"> </w:t>
      </w:r>
      <w:r>
        <w:rPr>
          <w:rFonts w:ascii="Arial" w:cs="Arial" w:eastAsia="Arial" w:hAnsi="Arial"/>
          <w:sz w:val="17"/>
          <w:szCs w:val="17"/>
          <w:color w:val="auto"/>
        </w:rPr>
        <w:t>and applications, making required Tax payments, and complying with the rules and regulations governing any tax-exempt bonds issued by University.</w:t>
      </w:r>
    </w:p>
    <w:p>
      <w:pPr>
        <w:spacing w:after="0" w:line="138" w:lineRule="exact"/>
        <w:rPr>
          <w:sz w:val="20"/>
          <w:szCs w:val="20"/>
          <w:color w:val="auto"/>
        </w:rPr>
      </w:pPr>
    </w:p>
    <w:p>
      <w:pPr>
        <w:ind w:right="140" w:firstLine="656"/>
        <w:spacing w:after="0" w:line="347" w:lineRule="auto"/>
        <w:tabs>
          <w:tab w:leader="none" w:pos="1296" w:val="left"/>
        </w:tabs>
        <w:numPr>
          <w:ilvl w:val="0"/>
          <w:numId w:val="3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Financial Aid Services</w:t>
      </w:r>
      <w:r>
        <w:rPr>
          <w:rFonts w:ascii="Arial" w:cs="Arial" w:eastAsia="Arial" w:hAnsi="Arial"/>
          <w:sz w:val="16"/>
          <w:szCs w:val="16"/>
          <w:b w:val="1"/>
          <w:bCs w:val="1"/>
          <w:color w:val="auto"/>
        </w:rPr>
        <w:t xml:space="preserve">. </w:t>
      </w:r>
      <w:r>
        <w:rPr>
          <w:rFonts w:ascii="Arial" w:cs="Arial" w:eastAsia="Arial" w:hAnsi="Arial"/>
          <w:sz w:val="16"/>
          <w:szCs w:val="16"/>
          <w:color w:val="auto"/>
        </w:rPr>
        <w:t>Provider will provide (or engage other third parties to provide) certain financial aid services as set forth herein.</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Parties acknowledge that these services may result in Provider being classified as a “Third-Party Servicer” as defined in 34 C.F.R. § 668.2.</w:t>
      </w:r>
    </w:p>
    <w:p>
      <w:pPr>
        <w:spacing w:after="0" w:line="116"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6"/>
          <w:szCs w:val="16"/>
          <w:color w:val="auto"/>
        </w:rPr>
        <w:t>Provider shall provide the following services:</w:t>
      </w:r>
    </w:p>
    <w:p>
      <w:pPr>
        <w:spacing w:after="0" w:line="225" w:lineRule="exact"/>
        <w:rPr>
          <w:sz w:val="20"/>
          <w:szCs w:val="20"/>
          <w:color w:val="auto"/>
        </w:rPr>
      </w:pPr>
    </w:p>
    <w:p>
      <w:pPr>
        <w:ind w:right="20" w:firstLine="1945"/>
        <w:spacing w:after="0" w:line="293" w:lineRule="auto"/>
        <w:rPr>
          <w:sz w:val="20"/>
          <w:szCs w:val="20"/>
          <w:color w:val="auto"/>
        </w:rPr>
      </w:pPr>
      <w:r>
        <w:rPr>
          <w:rFonts w:ascii="Arial" w:cs="Arial" w:eastAsia="Arial" w:hAnsi="Arial"/>
          <w:sz w:val="16"/>
          <w:szCs w:val="16"/>
          <w:b w:val="1"/>
          <w:bCs w:val="1"/>
          <w:color w:val="auto"/>
        </w:rPr>
        <w:t xml:space="preserve">8.1.1 </w:t>
      </w:r>
      <w:r>
        <w:rPr>
          <w:rFonts w:ascii="Arial" w:cs="Arial" w:eastAsia="Arial" w:hAnsi="Arial"/>
          <w:sz w:val="16"/>
          <w:szCs w:val="16"/>
          <w:color w:val="auto"/>
        </w:rPr>
        <w:t>subject to University’s final approval, awarding, certifying, originating, and disbursing Title IV Program funds upon the</w:t>
      </w:r>
      <w:r>
        <w:rPr>
          <w:rFonts w:ascii="Arial" w:cs="Arial" w:eastAsia="Arial" w:hAnsi="Arial"/>
          <w:sz w:val="16"/>
          <w:szCs w:val="16"/>
          <w:b w:val="1"/>
          <w:bCs w:val="1"/>
          <w:color w:val="auto"/>
        </w:rPr>
        <w:t xml:space="preserve"> </w:t>
      </w:r>
      <w:r>
        <w:rPr>
          <w:rFonts w:ascii="Arial" w:cs="Arial" w:eastAsia="Arial" w:hAnsi="Arial"/>
          <w:sz w:val="16"/>
          <w:szCs w:val="16"/>
          <w:color w:val="auto"/>
        </w:rPr>
        <w:t>successful collection of all required documents needed to fulfill both federal and institutional requirements, with certifications to be processed within five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(5) business days of receipt of all documents.</w:t>
      </w:r>
    </w:p>
    <w:p>
      <w:pPr>
        <w:spacing w:after="0" w:line="207" w:lineRule="exact"/>
        <w:rPr>
          <w:sz w:val="20"/>
          <w:szCs w:val="20"/>
          <w:color w:val="auto"/>
        </w:rPr>
      </w:pPr>
    </w:p>
    <w:p>
      <w:pPr>
        <w:jc w:val="both"/>
        <w:ind w:right="360" w:firstLine="1945"/>
        <w:spacing w:after="0" w:line="266" w:lineRule="auto"/>
        <w:rPr>
          <w:sz w:val="20"/>
          <w:szCs w:val="20"/>
          <w:color w:val="auto"/>
        </w:rPr>
      </w:pPr>
      <w:r>
        <w:rPr>
          <w:rFonts w:ascii="Arial" w:cs="Arial" w:eastAsia="Arial" w:hAnsi="Arial"/>
          <w:sz w:val="18"/>
          <w:szCs w:val="18"/>
          <w:b w:val="1"/>
          <w:bCs w:val="1"/>
          <w:color w:val="auto"/>
        </w:rPr>
        <w:t xml:space="preserve">8.1.2 </w:t>
      </w:r>
      <w:r>
        <w:rPr>
          <w:rFonts w:ascii="Arial" w:cs="Arial" w:eastAsia="Arial" w:hAnsi="Arial"/>
          <w:sz w:val="18"/>
          <w:szCs w:val="18"/>
          <w:color w:val="auto"/>
        </w:rPr>
        <w:t>delivering Title IV Program credit balance refunds to students (whether via cash, check, ACH, debit card,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means); processing Return of Title IV Program funds for all Title IV Program students who have ceased to be enrolled at least half time; and providing financial counseling and entrance and exit loan counseling, including in person, by mail, or electronically.</w:t>
      </w:r>
    </w:p>
    <w:p>
      <w:pPr>
        <w:spacing w:after="0" w:line="176" w:lineRule="exact"/>
        <w:rPr>
          <w:sz w:val="20"/>
          <w:szCs w:val="20"/>
          <w:color w:val="auto"/>
        </w:rPr>
      </w:pPr>
    </w:p>
    <w:p>
      <w:pPr>
        <w:ind w:right="120" w:firstLine="1945"/>
        <w:spacing w:after="0" w:line="266" w:lineRule="auto"/>
        <w:rPr>
          <w:sz w:val="20"/>
          <w:szCs w:val="20"/>
          <w:color w:val="auto"/>
        </w:rPr>
      </w:pPr>
      <w:r>
        <w:rPr>
          <w:rFonts w:ascii="Arial" w:cs="Arial" w:eastAsia="Arial" w:hAnsi="Arial"/>
          <w:sz w:val="18"/>
          <w:szCs w:val="18"/>
          <w:b w:val="1"/>
          <w:bCs w:val="1"/>
          <w:color w:val="auto"/>
        </w:rPr>
        <w:t xml:space="preserve">8.1.3 </w:t>
      </w:r>
      <w:r>
        <w:rPr>
          <w:rFonts w:ascii="Arial" w:cs="Arial" w:eastAsia="Arial" w:hAnsi="Arial"/>
          <w:sz w:val="18"/>
          <w:szCs w:val="18"/>
          <w:color w:val="auto"/>
        </w:rPr>
        <w:t>financial aid consulting, including financial aid staffing, interim management, processing support, and/or development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maintenance of written policies and procedures approved by University; </w:t>
      </w:r>
      <w:r>
        <w:rPr>
          <w:rFonts w:ascii="Arial" w:cs="Arial" w:eastAsia="Arial" w:hAnsi="Arial"/>
          <w:sz w:val="18"/>
          <w:szCs w:val="18"/>
          <w:u w:val="single" w:color="auto"/>
          <w:color w:val="auto"/>
        </w:rPr>
        <w:t>provided</w:t>
      </w:r>
      <w:r>
        <w:rPr>
          <w:rFonts w:ascii="Arial" w:cs="Arial" w:eastAsia="Arial" w:hAnsi="Arial"/>
          <w:sz w:val="18"/>
          <w:szCs w:val="18"/>
          <w:color w:val="auto"/>
        </w:rPr>
        <w:t>, that any policy and procedure updates that affect the processing of financial aid must be approved by University before enacting.</w:t>
      </w:r>
    </w:p>
    <w:p>
      <w:pPr>
        <w:spacing w:after="0" w:line="176" w:lineRule="exact"/>
        <w:rPr>
          <w:sz w:val="20"/>
          <w:szCs w:val="20"/>
          <w:color w:val="auto"/>
        </w:rPr>
      </w:pPr>
    </w:p>
    <w:p>
      <w:pPr>
        <w:ind w:right="260" w:firstLine="1945"/>
        <w:spacing w:after="0" w:line="258" w:lineRule="auto"/>
        <w:rPr>
          <w:sz w:val="20"/>
          <w:szCs w:val="20"/>
          <w:color w:val="auto"/>
        </w:rPr>
      </w:pPr>
      <w:r>
        <w:rPr>
          <w:rFonts w:ascii="Arial" w:cs="Arial" w:eastAsia="Arial" w:hAnsi="Arial"/>
          <w:sz w:val="18"/>
          <w:szCs w:val="18"/>
          <w:b w:val="1"/>
          <w:bCs w:val="1"/>
          <w:color w:val="auto"/>
        </w:rPr>
        <w:t xml:space="preserve">8.1.4 </w:t>
      </w:r>
      <w:r>
        <w:rPr>
          <w:rFonts w:ascii="Arial" w:cs="Arial" w:eastAsia="Arial" w:hAnsi="Arial"/>
          <w:sz w:val="18"/>
          <w:szCs w:val="18"/>
          <w:color w:val="auto"/>
        </w:rPr>
        <w:t>subject to University’s final approval and in accordance with Applicable Law or the requirements of Educational</w:t>
      </w:r>
      <w:r>
        <w:rPr>
          <w:rFonts w:ascii="Arial" w:cs="Arial" w:eastAsia="Arial" w:hAnsi="Arial"/>
          <w:sz w:val="18"/>
          <w:szCs w:val="18"/>
          <w:b w:val="1"/>
          <w:bCs w:val="1"/>
          <w:color w:val="auto"/>
        </w:rPr>
        <w:t xml:space="preserve"> </w:t>
      </w:r>
      <w:r>
        <w:rPr>
          <w:rFonts w:ascii="Arial" w:cs="Arial" w:eastAsia="Arial" w:hAnsi="Arial"/>
          <w:sz w:val="18"/>
          <w:szCs w:val="18"/>
          <w:color w:val="auto"/>
        </w:rPr>
        <w:t>Agencies, preparing and/or submitting required reports, including enrollment reporting to the National Student Loan Data System, the Integrated Postsecondary Education Data System, the Fiscal Operations report, and monthly and annual reconciliations of federal funds, preparing or disseminating required consumer information disclosures, including general, campus crime, drug and alcohol prevention, graduation rates, placement rates, and gainful employment disclosures.</w:t>
      </w:r>
    </w:p>
    <w:p>
      <w:pPr>
        <w:spacing w:after="0" w:line="184" w:lineRule="exact"/>
        <w:rPr>
          <w:sz w:val="20"/>
          <w:szCs w:val="20"/>
          <w:color w:val="auto"/>
        </w:rPr>
      </w:pPr>
    </w:p>
    <w:p>
      <w:pPr>
        <w:ind w:left="1960"/>
        <w:spacing w:after="0"/>
        <w:tabs>
          <w:tab w:leader="none" w:pos="2600" w:val="left"/>
        </w:tabs>
        <w:rPr>
          <w:sz w:val="20"/>
          <w:szCs w:val="20"/>
          <w:color w:val="auto"/>
        </w:rPr>
      </w:pPr>
      <w:r>
        <w:rPr>
          <w:rFonts w:ascii="Arial" w:cs="Arial" w:eastAsia="Arial" w:hAnsi="Arial"/>
          <w:sz w:val="18"/>
          <w:szCs w:val="18"/>
          <w:b w:val="1"/>
          <w:bCs w:val="1"/>
          <w:color w:val="auto"/>
        </w:rPr>
        <w:t>8.1.5</w:t>
      </w:r>
      <w:r>
        <w:rPr>
          <w:sz w:val="20"/>
          <w:szCs w:val="20"/>
          <w:color w:val="auto"/>
        </w:rPr>
        <w:tab/>
      </w:r>
      <w:r>
        <w:rPr>
          <w:rFonts w:ascii="Arial" w:cs="Arial" w:eastAsia="Arial" w:hAnsi="Arial"/>
          <w:sz w:val="16"/>
          <w:szCs w:val="16"/>
          <w:color w:val="auto"/>
        </w:rPr>
        <w:t>electronic storage and maintenance of Title IV Program-related records.</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6"/>
          <w:szCs w:val="16"/>
          <w:color w:val="auto"/>
        </w:rPr>
        <w:t>Provider hereby represents and warrants to University that it will, and hereby agrees to:</w:t>
      </w:r>
    </w:p>
    <w:p>
      <w:pPr>
        <w:spacing w:after="0" w:line="225" w:lineRule="exact"/>
        <w:rPr>
          <w:sz w:val="20"/>
          <w:szCs w:val="20"/>
          <w:color w:val="auto"/>
        </w:rPr>
      </w:pPr>
    </w:p>
    <w:p>
      <w:pPr>
        <w:ind w:firstLine="1945"/>
        <w:spacing w:after="0" w:line="261" w:lineRule="auto"/>
        <w:rPr>
          <w:sz w:val="20"/>
          <w:szCs w:val="20"/>
          <w:color w:val="auto"/>
        </w:rPr>
      </w:pPr>
      <w:r>
        <w:rPr>
          <w:rFonts w:ascii="Arial" w:cs="Arial" w:eastAsia="Arial" w:hAnsi="Arial"/>
          <w:sz w:val="18"/>
          <w:szCs w:val="18"/>
          <w:b w:val="1"/>
          <w:bCs w:val="1"/>
          <w:color w:val="auto"/>
        </w:rPr>
        <w:t xml:space="preserve">8.2.1 </w:t>
      </w:r>
      <w:r>
        <w:rPr>
          <w:rFonts w:ascii="Arial" w:cs="Arial" w:eastAsia="Arial" w:hAnsi="Arial"/>
          <w:sz w:val="18"/>
          <w:szCs w:val="18"/>
          <w:color w:val="auto"/>
        </w:rPr>
        <w:t>Comply with all statutory provisions of or applicable to Title IV of the HEA, all regulatory provisions prescribed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that statutory authority, and all special arrangements, agreements, limitations, suspensions and terminations entered into under the authority of statutes applicable to Title IV of the HEA, including the requirement to use any funds that Provider administers under any Title IV Program and any interest or other earnings thereon solely for the purposes specified in and in accordance with that Title IV Program.</w:t>
      </w:r>
    </w:p>
    <w:p>
      <w:pPr>
        <w:spacing w:after="0" w:line="18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Exhibit 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240" w:top="337" w:right="379" w:bottom="1440" w:gutter="0" w:footer="0" w:header="0"/>
        </w:sectPr>
      </w:pPr>
    </w:p>
    <w:bookmarkStart w:id="55" w:name="page56"/>
    <w:bookmarkEnd w:id="55"/>
    <w:p>
      <w:pPr>
        <w:ind w:firstLine="1945"/>
        <w:spacing w:after="0" w:line="261" w:lineRule="auto"/>
        <w:rPr>
          <w:sz w:val="20"/>
          <w:szCs w:val="20"/>
          <w:color w:val="auto"/>
        </w:rPr>
      </w:pPr>
      <w:r>
        <w:rPr>
          <w:rFonts w:ascii="Arial" w:cs="Arial" w:eastAsia="Arial" w:hAnsi="Arial"/>
          <w:sz w:val="18"/>
          <w:szCs w:val="18"/>
          <w:b w:val="1"/>
          <w:bCs w:val="1"/>
          <w:color w:val="auto"/>
        </w:rPr>
        <w:t xml:space="preserve">8.2.2 </w:t>
      </w:r>
      <w:r>
        <w:rPr>
          <w:rFonts w:ascii="Arial" w:cs="Arial" w:eastAsia="Arial" w:hAnsi="Arial"/>
          <w:sz w:val="18"/>
          <w:szCs w:val="18"/>
          <w:color w:val="auto"/>
        </w:rPr>
        <w:t>Refer to the Office of Inspector General of the DOE for investigation any information indicating there is reasonable cause</w:t>
      </w:r>
      <w:r>
        <w:rPr>
          <w:rFonts w:ascii="Arial" w:cs="Arial" w:eastAsia="Arial" w:hAnsi="Arial"/>
          <w:sz w:val="18"/>
          <w:szCs w:val="18"/>
          <w:b w:val="1"/>
          <w:bCs w:val="1"/>
          <w:color w:val="auto"/>
        </w:rPr>
        <w:t xml:space="preserve"> </w:t>
      </w:r>
      <w:r>
        <w:rPr>
          <w:rFonts w:ascii="Arial" w:cs="Arial" w:eastAsia="Arial" w:hAnsi="Arial"/>
          <w:sz w:val="18"/>
          <w:szCs w:val="18"/>
          <w:color w:val="auto"/>
        </w:rPr>
        <w:t>to believe that University might have engaged in fraud or other criminal misconduct in connection with University’s administration of any Title IV Program or an applicant for Title IV Program assistance might have engaged in fraud or other criminal misconduct in connection with his or her application. Examples of the type of information that must be referred are:</w:t>
      </w:r>
    </w:p>
    <w:p>
      <w:pPr>
        <w:spacing w:after="0" w:line="184" w:lineRule="exact"/>
        <w:rPr>
          <w:sz w:val="20"/>
          <w:szCs w:val="20"/>
          <w:color w:val="auto"/>
        </w:rPr>
      </w:pPr>
    </w:p>
    <w:p>
      <w:pPr>
        <w:ind w:left="3300" w:hanging="699"/>
        <w:spacing w:after="0"/>
        <w:tabs>
          <w:tab w:leader="none" w:pos="3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False claims for Title IV Program assistance;</w:t>
      </w:r>
    </w:p>
    <w:p>
      <w:pPr>
        <w:spacing w:after="0" w:line="225" w:lineRule="exact"/>
        <w:rPr>
          <w:rFonts w:ascii="Arial" w:cs="Arial" w:eastAsia="Arial" w:hAnsi="Arial"/>
          <w:sz w:val="18"/>
          <w:szCs w:val="18"/>
          <w:color w:val="auto"/>
        </w:rPr>
      </w:pPr>
    </w:p>
    <w:p>
      <w:pPr>
        <w:ind w:left="3300" w:hanging="699"/>
        <w:spacing w:after="0"/>
        <w:tabs>
          <w:tab w:leader="none" w:pos="3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False claims of independent student status;</w:t>
      </w:r>
    </w:p>
    <w:p>
      <w:pPr>
        <w:spacing w:after="0" w:line="225" w:lineRule="exact"/>
        <w:rPr>
          <w:rFonts w:ascii="Arial" w:cs="Arial" w:eastAsia="Arial" w:hAnsi="Arial"/>
          <w:sz w:val="18"/>
          <w:szCs w:val="18"/>
          <w:color w:val="auto"/>
        </w:rPr>
      </w:pPr>
    </w:p>
    <w:p>
      <w:pPr>
        <w:ind w:left="3300" w:hanging="699"/>
        <w:spacing w:after="0"/>
        <w:tabs>
          <w:tab w:leader="none" w:pos="3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False claims of citizenship;</w:t>
      </w:r>
    </w:p>
    <w:p>
      <w:pPr>
        <w:spacing w:after="0" w:line="225" w:lineRule="exact"/>
        <w:rPr>
          <w:rFonts w:ascii="Arial" w:cs="Arial" w:eastAsia="Arial" w:hAnsi="Arial"/>
          <w:sz w:val="18"/>
          <w:szCs w:val="18"/>
          <w:color w:val="auto"/>
        </w:rPr>
      </w:pPr>
    </w:p>
    <w:p>
      <w:pPr>
        <w:ind w:left="3300" w:hanging="699"/>
        <w:spacing w:after="0"/>
        <w:tabs>
          <w:tab w:leader="none" w:pos="3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Use of false identities;</w:t>
      </w:r>
    </w:p>
    <w:p>
      <w:pPr>
        <w:spacing w:after="0" w:line="225" w:lineRule="exact"/>
        <w:rPr>
          <w:rFonts w:ascii="Arial" w:cs="Arial" w:eastAsia="Arial" w:hAnsi="Arial"/>
          <w:sz w:val="18"/>
          <w:szCs w:val="18"/>
          <w:color w:val="auto"/>
        </w:rPr>
      </w:pPr>
    </w:p>
    <w:p>
      <w:pPr>
        <w:ind w:left="3320" w:hanging="719"/>
        <w:spacing w:after="0"/>
        <w:tabs>
          <w:tab w:leader="none" w:pos="3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Forgery of signatures or certifications;</w:t>
      </w:r>
    </w:p>
    <w:p>
      <w:pPr>
        <w:spacing w:after="0" w:line="225" w:lineRule="exact"/>
        <w:rPr>
          <w:rFonts w:ascii="Arial" w:cs="Arial" w:eastAsia="Arial" w:hAnsi="Arial"/>
          <w:sz w:val="18"/>
          <w:szCs w:val="18"/>
          <w:color w:val="auto"/>
        </w:rPr>
      </w:pPr>
    </w:p>
    <w:p>
      <w:pPr>
        <w:ind w:left="3320" w:hanging="719"/>
        <w:spacing w:after="0"/>
        <w:tabs>
          <w:tab w:leader="none" w:pos="3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False statements of income; and</w:t>
      </w:r>
    </w:p>
    <w:p>
      <w:pPr>
        <w:spacing w:after="0" w:line="225" w:lineRule="exact"/>
        <w:rPr>
          <w:rFonts w:ascii="Arial" w:cs="Arial" w:eastAsia="Arial" w:hAnsi="Arial"/>
          <w:sz w:val="18"/>
          <w:szCs w:val="18"/>
          <w:color w:val="auto"/>
        </w:rPr>
      </w:pPr>
    </w:p>
    <w:p>
      <w:pPr>
        <w:jc w:val="both"/>
        <w:ind w:left="660" w:right="220" w:firstLine="1941"/>
        <w:spacing w:after="0" w:line="264" w:lineRule="auto"/>
        <w:tabs>
          <w:tab w:leader="none" w:pos="3305"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Payment of any commission, bonus or other incentive payment based in any part, directly or indirectly, upon success in securing enrollments or the award of financial aid to any person or entity engaged in any student recruitment or admission activity or in making decisions regarding the award of Title IV Program funds.</w:t>
      </w:r>
    </w:p>
    <w:p>
      <w:pPr>
        <w:spacing w:after="0" w:line="177" w:lineRule="exact"/>
        <w:rPr>
          <w:sz w:val="20"/>
          <w:szCs w:val="20"/>
          <w:color w:val="auto"/>
        </w:rPr>
      </w:pPr>
    </w:p>
    <w:p>
      <w:pPr>
        <w:jc w:val="both"/>
        <w:ind w:right="580" w:firstLine="1945"/>
        <w:spacing w:after="0" w:line="289" w:lineRule="auto"/>
        <w:rPr>
          <w:sz w:val="20"/>
          <w:szCs w:val="20"/>
          <w:color w:val="auto"/>
        </w:rPr>
      </w:pPr>
      <w:r>
        <w:rPr>
          <w:rFonts w:ascii="Arial" w:cs="Arial" w:eastAsia="Arial" w:hAnsi="Arial"/>
          <w:sz w:val="17"/>
          <w:szCs w:val="17"/>
          <w:b w:val="1"/>
          <w:bCs w:val="1"/>
          <w:color w:val="auto"/>
        </w:rPr>
        <w:t xml:space="preserve">8.2.3 </w:t>
      </w:r>
      <w:r>
        <w:rPr>
          <w:rFonts w:ascii="Arial" w:cs="Arial" w:eastAsia="Arial" w:hAnsi="Arial"/>
          <w:sz w:val="17"/>
          <w:szCs w:val="17"/>
          <w:color w:val="auto"/>
        </w:rPr>
        <w:t>Be jointly and severally liable with University to the Secretary of the DOE (the “</w:t>
      </w:r>
      <w:r>
        <w:rPr>
          <w:rFonts w:ascii="Arial" w:cs="Arial" w:eastAsia="Arial" w:hAnsi="Arial"/>
          <w:sz w:val="17"/>
          <w:szCs w:val="17"/>
          <w:b w:val="1"/>
          <w:bCs w:val="1"/>
          <w:i w:val="1"/>
          <w:iCs w:val="1"/>
          <w:color w:val="auto"/>
        </w:rPr>
        <w:t>Secretary</w:t>
      </w:r>
      <w:r>
        <w:rPr>
          <w:rFonts w:ascii="Arial" w:cs="Arial" w:eastAsia="Arial" w:hAnsi="Arial"/>
          <w:sz w:val="17"/>
          <w:szCs w:val="17"/>
          <w:color w:val="auto"/>
        </w:rPr>
        <w:t>”) for any violation by</w:t>
      </w:r>
      <w:r>
        <w:rPr>
          <w:rFonts w:ascii="Arial" w:cs="Arial" w:eastAsia="Arial" w:hAnsi="Arial"/>
          <w:sz w:val="17"/>
          <w:szCs w:val="17"/>
          <w:b w:val="1"/>
          <w:bCs w:val="1"/>
          <w:color w:val="auto"/>
        </w:rPr>
        <w:t xml:space="preserve"> </w:t>
      </w:r>
      <w:r>
        <w:rPr>
          <w:rFonts w:ascii="Arial" w:cs="Arial" w:eastAsia="Arial" w:hAnsi="Arial"/>
          <w:sz w:val="17"/>
          <w:szCs w:val="17"/>
          <w:color w:val="auto"/>
        </w:rPr>
        <w:t>Provider of any statutory provision of or applicable to Title IV of the HEA, any regulatory provision prescribed under that statutory authority, and any applicable special arrangement, agreement, or limitation entered into under the authority of statutes applicable to Title IV of the HEA.</w:t>
      </w:r>
    </w:p>
    <w:p>
      <w:pPr>
        <w:spacing w:after="0" w:line="158" w:lineRule="exact"/>
        <w:rPr>
          <w:sz w:val="20"/>
          <w:szCs w:val="20"/>
          <w:color w:val="auto"/>
        </w:rPr>
      </w:pPr>
    </w:p>
    <w:p>
      <w:pPr>
        <w:ind w:right="420" w:firstLine="1945"/>
        <w:spacing w:after="0" w:line="282" w:lineRule="auto"/>
        <w:rPr>
          <w:sz w:val="20"/>
          <w:szCs w:val="20"/>
          <w:color w:val="auto"/>
        </w:rPr>
      </w:pPr>
      <w:r>
        <w:rPr>
          <w:rFonts w:ascii="Arial" w:cs="Arial" w:eastAsia="Arial" w:hAnsi="Arial"/>
          <w:sz w:val="18"/>
          <w:szCs w:val="18"/>
          <w:b w:val="1"/>
          <w:bCs w:val="1"/>
          <w:color w:val="auto"/>
        </w:rPr>
        <w:t xml:space="preserve">8.2.4 </w:t>
      </w:r>
      <w:r>
        <w:rPr>
          <w:rFonts w:ascii="Arial" w:cs="Arial" w:eastAsia="Arial" w:hAnsi="Arial"/>
          <w:sz w:val="18"/>
          <w:szCs w:val="18"/>
          <w:color w:val="auto"/>
        </w:rPr>
        <w:t>If Provider disburses funds (including funds received under the Title IV Programs) or delivers federal Stafford Loan</w:t>
      </w:r>
      <w:r>
        <w:rPr>
          <w:rFonts w:ascii="Arial" w:cs="Arial" w:eastAsia="Arial" w:hAnsi="Arial"/>
          <w:sz w:val="18"/>
          <w:szCs w:val="18"/>
          <w:b w:val="1"/>
          <w:bCs w:val="1"/>
          <w:color w:val="auto"/>
        </w:rPr>
        <w:t xml:space="preserve"> </w:t>
      </w:r>
      <w:r>
        <w:rPr>
          <w:rFonts w:ascii="Arial" w:cs="Arial" w:eastAsia="Arial" w:hAnsi="Arial"/>
          <w:sz w:val="18"/>
          <w:szCs w:val="18"/>
          <w:color w:val="auto"/>
        </w:rPr>
        <w:t>Program proceeds to a student, Provider will:</w:t>
      </w:r>
    </w:p>
    <w:p>
      <w:pPr>
        <w:spacing w:after="0" w:line="166" w:lineRule="exact"/>
        <w:rPr>
          <w:sz w:val="20"/>
          <w:szCs w:val="20"/>
          <w:color w:val="auto"/>
        </w:rPr>
      </w:pPr>
    </w:p>
    <w:p>
      <w:pPr>
        <w:jc w:val="both"/>
        <w:ind w:left="660" w:right="680" w:firstLine="1941"/>
        <w:spacing w:after="0" w:line="342" w:lineRule="auto"/>
        <w:tabs>
          <w:tab w:leader="none" w:pos="3305"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Confirm the eligibility of the student before making that disbursement or delivering those funds, which confirmation must include, but is not limited to, any applicable information contained in the records required under 34 C.F.R. § 668.24; and</w:t>
      </w:r>
    </w:p>
    <w:p>
      <w:pPr>
        <w:spacing w:after="0" w:line="123" w:lineRule="exact"/>
        <w:rPr>
          <w:rFonts w:ascii="Arial" w:cs="Arial" w:eastAsia="Arial" w:hAnsi="Arial"/>
          <w:sz w:val="16"/>
          <w:szCs w:val="16"/>
          <w:color w:val="auto"/>
        </w:rPr>
      </w:pPr>
    </w:p>
    <w:p>
      <w:pPr>
        <w:ind w:left="660" w:right="260" w:firstLine="1941"/>
        <w:spacing w:after="0" w:line="308" w:lineRule="auto"/>
        <w:tabs>
          <w:tab w:leader="none" w:pos="3295" w:val="left"/>
        </w:tabs>
        <w:numPr>
          <w:ilvl w:val="0"/>
          <w:numId w:val="36"/>
        </w:numPr>
        <w:rPr>
          <w:rFonts w:ascii="Arial" w:cs="Arial" w:eastAsia="Arial" w:hAnsi="Arial"/>
          <w:sz w:val="17"/>
          <w:szCs w:val="17"/>
          <w:color w:val="auto"/>
        </w:rPr>
      </w:pPr>
      <w:r>
        <w:rPr>
          <w:rFonts w:ascii="Arial" w:cs="Arial" w:eastAsia="Arial" w:hAnsi="Arial"/>
          <w:sz w:val="17"/>
          <w:szCs w:val="17"/>
          <w:color w:val="auto"/>
        </w:rPr>
        <w:t>Calculate and return any unearned Title IV Program funds to the Title IV Program accounts and the student’s lender, as appropriate, in accordance with the provisions of 34 C.F.R. §§ 668.21 and 668.22, and applicable program regulations.</w:t>
      </w:r>
    </w:p>
    <w:p>
      <w:pPr>
        <w:spacing w:after="0" w:line="143" w:lineRule="exact"/>
        <w:rPr>
          <w:sz w:val="20"/>
          <w:szCs w:val="20"/>
          <w:color w:val="auto"/>
        </w:rPr>
      </w:pPr>
    </w:p>
    <w:p>
      <w:pPr>
        <w:ind w:right="440" w:firstLine="1945"/>
        <w:spacing w:after="0" w:line="282" w:lineRule="auto"/>
        <w:rPr>
          <w:sz w:val="20"/>
          <w:szCs w:val="20"/>
          <w:color w:val="auto"/>
        </w:rPr>
      </w:pPr>
      <w:r>
        <w:rPr>
          <w:rFonts w:ascii="Arial" w:cs="Arial" w:eastAsia="Arial" w:hAnsi="Arial"/>
          <w:sz w:val="18"/>
          <w:szCs w:val="18"/>
          <w:b w:val="1"/>
          <w:bCs w:val="1"/>
          <w:color w:val="auto"/>
        </w:rPr>
        <w:t xml:space="preserve">8.2.5 </w:t>
      </w:r>
      <w:r>
        <w:rPr>
          <w:rFonts w:ascii="Arial" w:cs="Arial" w:eastAsia="Arial" w:hAnsi="Arial"/>
          <w:sz w:val="18"/>
          <w:szCs w:val="18"/>
          <w:color w:val="auto"/>
        </w:rPr>
        <w:t>If either Party terminates this Agreement, or if Provider stops providing services for the administration of a Title IV</w:t>
      </w:r>
      <w:r>
        <w:rPr>
          <w:rFonts w:ascii="Arial" w:cs="Arial" w:eastAsia="Arial" w:hAnsi="Arial"/>
          <w:sz w:val="18"/>
          <w:szCs w:val="18"/>
          <w:b w:val="1"/>
          <w:bCs w:val="1"/>
          <w:color w:val="auto"/>
        </w:rPr>
        <w:t xml:space="preserve"> </w:t>
      </w:r>
      <w:r>
        <w:rPr>
          <w:rFonts w:ascii="Arial" w:cs="Arial" w:eastAsia="Arial" w:hAnsi="Arial"/>
          <w:sz w:val="18"/>
          <w:szCs w:val="18"/>
          <w:color w:val="auto"/>
        </w:rPr>
        <w:t>Program, goes out of business, or files a petition under the Bankruptcy Code, Provider will return to University all:</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56" w:name="page57"/>
    <w:bookmarkEnd w:id="56"/>
    <w:p>
      <w:pPr>
        <w:ind w:left="3300" w:hanging="699"/>
        <w:spacing w:after="0"/>
        <w:tabs>
          <w:tab w:leader="none" w:pos="33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Records in Provider’s possession pertaining to the University’s participation in the Title IV Programs for which</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Services are no longer provided; and</w:t>
      </w:r>
    </w:p>
    <w:p>
      <w:pPr>
        <w:spacing w:after="0" w:line="210" w:lineRule="exact"/>
        <w:rPr>
          <w:rFonts w:ascii="Arial" w:cs="Arial" w:eastAsia="Arial" w:hAnsi="Arial"/>
          <w:sz w:val="16"/>
          <w:szCs w:val="16"/>
          <w:color w:val="auto"/>
        </w:rPr>
      </w:pPr>
    </w:p>
    <w:p>
      <w:pPr>
        <w:ind w:left="660" w:right="140" w:firstLine="1941"/>
        <w:spacing w:after="0" w:line="277" w:lineRule="auto"/>
        <w:tabs>
          <w:tab w:leader="none" w:pos="3295" w:val="left"/>
        </w:tabs>
        <w:numPr>
          <w:ilvl w:val="0"/>
          <w:numId w:val="37"/>
        </w:numPr>
        <w:rPr>
          <w:rFonts w:ascii="Arial" w:cs="Arial" w:eastAsia="Arial" w:hAnsi="Arial"/>
          <w:sz w:val="18"/>
          <w:szCs w:val="18"/>
          <w:color w:val="auto"/>
        </w:rPr>
      </w:pPr>
      <w:r>
        <w:rPr>
          <w:rFonts w:ascii="Arial" w:cs="Arial" w:eastAsia="Arial" w:hAnsi="Arial"/>
          <w:sz w:val="18"/>
          <w:szCs w:val="18"/>
          <w:color w:val="auto"/>
        </w:rPr>
        <w:t>Funds, including Title IV Program funds, received from or on behalf of University or University’s students, for the purpose of the Title IV Programs for which Services are no longer provided.</w:t>
      </w:r>
    </w:p>
    <w:p>
      <w:pPr>
        <w:spacing w:after="0" w:line="166" w:lineRule="exact"/>
        <w:rPr>
          <w:sz w:val="20"/>
          <w:szCs w:val="20"/>
          <w:color w:val="auto"/>
        </w:rPr>
      </w:pPr>
    </w:p>
    <w:p>
      <w:pPr>
        <w:ind w:left="1960"/>
        <w:spacing w:after="0"/>
        <w:tabs>
          <w:tab w:leader="none" w:pos="2600" w:val="left"/>
        </w:tabs>
        <w:rPr>
          <w:sz w:val="20"/>
          <w:szCs w:val="20"/>
          <w:color w:val="auto"/>
        </w:rPr>
      </w:pPr>
      <w:r>
        <w:rPr>
          <w:rFonts w:ascii="Arial" w:cs="Arial" w:eastAsia="Arial" w:hAnsi="Arial"/>
          <w:sz w:val="18"/>
          <w:szCs w:val="18"/>
          <w:b w:val="1"/>
          <w:bCs w:val="1"/>
          <w:color w:val="auto"/>
        </w:rPr>
        <w:t>8.2.6</w:t>
      </w:r>
      <w:r>
        <w:rPr>
          <w:sz w:val="20"/>
          <w:szCs w:val="20"/>
          <w:color w:val="auto"/>
        </w:rPr>
        <w:tab/>
      </w:r>
      <w:r>
        <w:rPr>
          <w:rFonts w:ascii="Arial" w:cs="Arial" w:eastAsia="Arial" w:hAnsi="Arial"/>
          <w:sz w:val="16"/>
          <w:szCs w:val="16"/>
          <w:color w:val="auto"/>
        </w:rPr>
        <w:t>Provider also hereby represents and warrants that:</w:t>
      </w:r>
    </w:p>
    <w:p>
      <w:pPr>
        <w:spacing w:after="0" w:line="229" w:lineRule="exact"/>
        <w:rPr>
          <w:sz w:val="20"/>
          <w:szCs w:val="20"/>
          <w:color w:val="auto"/>
        </w:rPr>
      </w:pPr>
    </w:p>
    <w:p>
      <w:pPr>
        <w:ind w:left="3300" w:hanging="699"/>
        <w:spacing w:after="0"/>
        <w:tabs>
          <w:tab w:leader="none" w:pos="3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It has not been limited, suspended, or terminated by the Secretary within the preceding five (5) years;</w:t>
      </w:r>
    </w:p>
    <w:p>
      <w:pPr>
        <w:spacing w:after="0" w:line="225" w:lineRule="exact"/>
        <w:rPr>
          <w:rFonts w:ascii="Arial" w:cs="Arial" w:eastAsia="Arial" w:hAnsi="Arial"/>
          <w:sz w:val="18"/>
          <w:szCs w:val="18"/>
          <w:color w:val="auto"/>
        </w:rPr>
      </w:pPr>
    </w:p>
    <w:p>
      <w:pPr>
        <w:ind w:left="660" w:right="260" w:firstLine="1941"/>
        <w:spacing w:after="0" w:line="277" w:lineRule="auto"/>
        <w:tabs>
          <w:tab w:leader="none" w:pos="3295" w:val="left"/>
        </w:tabs>
        <w:numPr>
          <w:ilvl w:val="0"/>
          <w:numId w:val="38"/>
        </w:numPr>
        <w:rPr>
          <w:rFonts w:ascii="Arial" w:cs="Arial" w:eastAsia="Arial" w:hAnsi="Arial"/>
          <w:sz w:val="18"/>
          <w:szCs w:val="18"/>
          <w:color w:val="auto"/>
        </w:rPr>
      </w:pPr>
      <w:r>
        <w:rPr>
          <w:rFonts w:ascii="Arial" w:cs="Arial" w:eastAsia="Arial" w:hAnsi="Arial"/>
          <w:sz w:val="18"/>
          <w:szCs w:val="18"/>
          <w:color w:val="auto"/>
        </w:rPr>
        <w:t>It has not had an audit finding resulting in its having to repay an amount greater than five percent (5%) of the funds that Provider administered under the Title IV Program for any award year;</w:t>
      </w:r>
    </w:p>
    <w:p>
      <w:pPr>
        <w:spacing w:after="0" w:line="170" w:lineRule="exact"/>
        <w:rPr>
          <w:rFonts w:ascii="Arial" w:cs="Arial" w:eastAsia="Arial" w:hAnsi="Arial"/>
          <w:sz w:val="18"/>
          <w:szCs w:val="18"/>
          <w:color w:val="auto"/>
        </w:rPr>
      </w:pPr>
    </w:p>
    <w:p>
      <w:pPr>
        <w:ind w:left="660" w:right="220" w:firstLine="1941"/>
        <w:spacing w:after="0" w:line="277" w:lineRule="auto"/>
        <w:tabs>
          <w:tab w:leader="none" w:pos="3295" w:val="left"/>
        </w:tabs>
        <w:numPr>
          <w:ilvl w:val="0"/>
          <w:numId w:val="38"/>
        </w:numPr>
        <w:rPr>
          <w:rFonts w:ascii="Arial" w:cs="Arial" w:eastAsia="Arial" w:hAnsi="Arial"/>
          <w:sz w:val="18"/>
          <w:szCs w:val="18"/>
          <w:color w:val="auto"/>
        </w:rPr>
      </w:pPr>
      <w:r>
        <w:rPr>
          <w:rFonts w:ascii="Arial" w:cs="Arial" w:eastAsia="Arial" w:hAnsi="Arial"/>
          <w:sz w:val="18"/>
          <w:szCs w:val="18"/>
          <w:color w:val="auto"/>
        </w:rPr>
        <w:t>It has not been cited during the preceding five (5) years for failure to submit audit reports required under Title IV of the HEA in a timely fashion; and</w:t>
      </w:r>
    </w:p>
    <w:p>
      <w:pPr>
        <w:spacing w:after="0" w:line="170" w:lineRule="exact"/>
        <w:rPr>
          <w:rFonts w:ascii="Arial" w:cs="Arial" w:eastAsia="Arial" w:hAnsi="Arial"/>
          <w:sz w:val="18"/>
          <w:szCs w:val="18"/>
          <w:color w:val="auto"/>
        </w:rPr>
      </w:pPr>
    </w:p>
    <w:p>
      <w:pPr>
        <w:ind w:left="660" w:right="320" w:firstLine="1941"/>
        <w:spacing w:after="0" w:line="264" w:lineRule="auto"/>
        <w:tabs>
          <w:tab w:leader="none" w:pos="3305"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In the event Provider sub-contracts any Title IV services set forth in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of this Agreement, Provider shall immediately identify the contractor and provide a copy of such contract to University, which contract shall identify in reasonable detail all functions to be performed by such contractor.</w:t>
      </w:r>
    </w:p>
    <w:p>
      <w:pPr>
        <w:spacing w:after="0" w:line="177" w:lineRule="exact"/>
        <w:rPr>
          <w:sz w:val="20"/>
          <w:szCs w:val="20"/>
          <w:color w:val="auto"/>
        </w:rPr>
      </w:pPr>
    </w:p>
    <w:p>
      <w:pPr>
        <w:ind w:firstLine="1945"/>
        <w:spacing w:after="0" w:line="298" w:lineRule="auto"/>
        <w:rPr>
          <w:sz w:val="20"/>
          <w:szCs w:val="20"/>
          <w:color w:val="auto"/>
        </w:rPr>
      </w:pPr>
      <w:r>
        <w:rPr>
          <w:rFonts w:ascii="Arial" w:cs="Arial" w:eastAsia="Arial" w:hAnsi="Arial"/>
          <w:sz w:val="16"/>
          <w:szCs w:val="16"/>
          <w:b w:val="1"/>
          <w:bCs w:val="1"/>
          <w:color w:val="auto"/>
        </w:rPr>
        <w:t xml:space="preserve">8.2.7 </w:t>
      </w:r>
      <w:r>
        <w:rPr>
          <w:rFonts w:ascii="Arial" w:cs="Arial" w:eastAsia="Arial" w:hAnsi="Arial"/>
          <w:sz w:val="16"/>
          <w:szCs w:val="16"/>
          <w:color w:val="auto"/>
        </w:rPr>
        <w:t>Provider agrees to implement and maintain appropriate safeguards to protect all customer information in its possession, in</w:t>
      </w:r>
      <w:r>
        <w:rPr>
          <w:rFonts w:ascii="Arial" w:cs="Arial" w:eastAsia="Arial" w:hAnsi="Arial"/>
          <w:sz w:val="16"/>
          <w:szCs w:val="16"/>
          <w:b w:val="1"/>
          <w:bCs w:val="1"/>
          <w:color w:val="auto"/>
        </w:rPr>
        <w:t xml:space="preserve"> </w:t>
      </w:r>
      <w:r>
        <w:rPr>
          <w:rFonts w:ascii="Arial" w:cs="Arial" w:eastAsia="Arial" w:hAnsi="Arial"/>
          <w:sz w:val="16"/>
          <w:szCs w:val="16"/>
          <w:color w:val="auto"/>
        </w:rPr>
        <w:t>compliance with FERPA and the information security requirements established by the Federal Trade Commission, regardless of whether such information pertains to students, parents, or other individuals with whom University has a customer relationship, or pertains to the customers of other financial institutions that have provided such information to University. For purposes hereof, “customer information” means any record containing nonpublic personal information about a customer, whether in paper, electronic, or other form, that is handled or maintained by or on behalf of the University or its Affiliates.</w:t>
      </w:r>
    </w:p>
    <w:p>
      <w:pPr>
        <w:spacing w:after="0" w:line="154" w:lineRule="exact"/>
        <w:rPr>
          <w:sz w:val="20"/>
          <w:szCs w:val="20"/>
          <w:color w:val="auto"/>
        </w:rPr>
      </w:pPr>
    </w:p>
    <w:p>
      <w:pPr>
        <w:ind w:right="80" w:firstLine="656"/>
        <w:spacing w:after="0" w:line="313" w:lineRule="auto"/>
        <w:tabs>
          <w:tab w:leader="none" w:pos="1368" w:val="left"/>
        </w:tabs>
        <w:numPr>
          <w:ilvl w:val="0"/>
          <w:numId w:val="3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Procurement Services</w:t>
      </w:r>
      <w:r>
        <w:rPr>
          <w:rFonts w:ascii="Arial" w:cs="Arial" w:eastAsia="Arial" w:hAnsi="Arial"/>
          <w:sz w:val="17"/>
          <w:szCs w:val="17"/>
          <w:b w:val="1"/>
          <w:bCs w:val="1"/>
          <w:color w:val="auto"/>
        </w:rPr>
        <w:t xml:space="preserve">. </w:t>
      </w:r>
      <w:r>
        <w:rPr>
          <w:rFonts w:ascii="Arial" w:cs="Arial" w:eastAsia="Arial" w:hAnsi="Arial"/>
          <w:sz w:val="17"/>
          <w:szCs w:val="17"/>
          <w:color w:val="auto"/>
        </w:rPr>
        <w:t>The provision of the procurement services described in this section is intended merely to provide costs savings to</w:t>
      </w:r>
      <w:r>
        <w:rPr>
          <w:rFonts w:ascii="Arial" w:cs="Arial" w:eastAsia="Arial" w:hAnsi="Arial"/>
          <w:sz w:val="17"/>
          <w:szCs w:val="17"/>
          <w:b w:val="1"/>
          <w:bCs w:val="1"/>
          <w:color w:val="auto"/>
        </w:rPr>
        <w:t xml:space="preserve"> </w:t>
      </w:r>
      <w:r>
        <w:rPr>
          <w:rFonts w:ascii="Arial" w:cs="Arial" w:eastAsia="Arial" w:hAnsi="Arial"/>
          <w:sz w:val="17"/>
          <w:szCs w:val="17"/>
          <w:color w:val="auto"/>
        </w:rPr>
        <w:t>University; such services shall be provided at University’s discretion and any such services will be subject to University oversight.</w:t>
      </w:r>
    </w:p>
    <w:p>
      <w:pPr>
        <w:spacing w:after="0" w:line="138" w:lineRule="exact"/>
        <w:rPr>
          <w:sz w:val="20"/>
          <w:szCs w:val="20"/>
          <w:color w:val="auto"/>
        </w:rPr>
      </w:pPr>
    </w:p>
    <w:p>
      <w:pPr>
        <w:ind w:right="820" w:firstLine="1297"/>
        <w:spacing w:after="0" w:line="282" w:lineRule="auto"/>
        <w:rPr>
          <w:sz w:val="20"/>
          <w:szCs w:val="20"/>
          <w:color w:val="auto"/>
        </w:rPr>
      </w:pPr>
      <w:r>
        <w:rPr>
          <w:rFonts w:ascii="Arial" w:cs="Arial" w:eastAsia="Arial" w:hAnsi="Arial"/>
          <w:sz w:val="18"/>
          <w:szCs w:val="18"/>
          <w:b w:val="1"/>
          <w:bCs w:val="1"/>
          <w:color w:val="auto"/>
        </w:rPr>
        <w:t xml:space="preserve">9.1 </w:t>
      </w:r>
      <w:r>
        <w:rPr>
          <w:rFonts w:ascii="Arial" w:cs="Arial" w:eastAsia="Arial" w:hAnsi="Arial"/>
          <w:sz w:val="18"/>
          <w:szCs w:val="18"/>
          <w:color w:val="auto"/>
        </w:rPr>
        <w:t>Provider will utilize its purchasing department upon request by University personnel to secure products and services for</w:t>
      </w:r>
      <w:r>
        <w:rPr>
          <w:rFonts w:ascii="Arial" w:cs="Arial" w:eastAsia="Arial" w:hAnsi="Arial"/>
          <w:sz w:val="18"/>
          <w:szCs w:val="18"/>
          <w:b w:val="1"/>
          <w:bCs w:val="1"/>
          <w:color w:val="auto"/>
        </w:rPr>
        <w:t xml:space="preserve"> </w:t>
      </w:r>
      <w:r>
        <w:rPr>
          <w:rFonts w:ascii="Arial" w:cs="Arial" w:eastAsia="Arial" w:hAnsi="Arial"/>
          <w:sz w:val="18"/>
          <w:szCs w:val="18"/>
          <w:color w:val="auto"/>
        </w:rPr>
        <w:t>University, including travel services;</w:t>
      </w:r>
    </w:p>
    <w:p>
      <w:pPr>
        <w:spacing w:after="0" w:line="162"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6"/>
          <w:szCs w:val="16"/>
          <w:color w:val="auto"/>
        </w:rPr>
        <w:t>Upon request by University personnel, Provider will review vendor contracts provided by University personnel; and</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9.3</w:t>
      </w:r>
      <w:r>
        <w:rPr>
          <w:sz w:val="20"/>
          <w:szCs w:val="20"/>
          <w:color w:val="auto"/>
        </w:rPr>
        <w:tab/>
      </w:r>
      <w:r>
        <w:rPr>
          <w:rFonts w:ascii="Arial" w:cs="Arial" w:eastAsia="Arial" w:hAnsi="Arial"/>
          <w:sz w:val="16"/>
          <w:szCs w:val="16"/>
          <w:color w:val="auto"/>
        </w:rPr>
        <w:t>Provider will provide and maintain a procurement system for University and will train and assist University personnel in the use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such system.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parties acknowledge that, as currently designed, Provider’s procurement software requires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7" w:name="page58"/>
    <w:bookmarkEnd w:id="57"/>
    <w:p>
      <w:pPr>
        <w:ind w:right="200"/>
        <w:spacing w:after="0" w:line="277" w:lineRule="auto"/>
        <w:rPr>
          <w:sz w:val="20"/>
          <w:szCs w:val="20"/>
          <w:color w:val="auto"/>
        </w:rPr>
      </w:pPr>
      <w:r>
        <w:rPr>
          <w:rFonts w:ascii="Arial" w:cs="Arial" w:eastAsia="Arial" w:hAnsi="Arial"/>
          <w:sz w:val="18"/>
          <w:szCs w:val="18"/>
          <w:color w:val="auto"/>
        </w:rPr>
        <w:t>that an authorized employee of Provider “approve” any purchase order. Provider covenants and agrees that it will approve any purchase order submitted by University for processing through the Provider procurement department.</w:t>
      </w:r>
    </w:p>
    <w:p>
      <w:pPr>
        <w:spacing w:after="0" w:line="166" w:lineRule="exact"/>
        <w:rPr>
          <w:sz w:val="20"/>
          <w:szCs w:val="20"/>
          <w:color w:val="auto"/>
        </w:rPr>
      </w:pPr>
    </w:p>
    <w:p>
      <w:pPr>
        <w:ind w:firstLine="656"/>
        <w:spacing w:after="0" w:line="258" w:lineRule="auto"/>
        <w:tabs>
          <w:tab w:leader="none" w:pos="1323"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Audit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The provision of the audit services described in this section is intended merely to provide costs savings to University; such</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shall be provided at University’s discretion and any such services will be subject to University oversight. Provider will work with the Board of Trustees of University to develop an annual internal audit plan for University and then will assist University, upon request, in performing internal auditing services for University in accordance with such plan. The Parties anticipate that such plan will include audits of at least four (4) University departments annually, although University has discretion regarding the number of annual audits.</w:t>
      </w:r>
    </w:p>
    <w:p>
      <w:pPr>
        <w:spacing w:after="0" w:line="183" w:lineRule="exact"/>
        <w:rPr>
          <w:rFonts w:ascii="Arial" w:cs="Arial" w:eastAsia="Arial" w:hAnsi="Arial"/>
          <w:sz w:val="18"/>
          <w:szCs w:val="18"/>
          <w:b w:val="1"/>
          <w:bCs w:val="1"/>
          <w:color w:val="auto"/>
        </w:rPr>
      </w:pPr>
    </w:p>
    <w:p>
      <w:pPr>
        <w:ind w:right="100" w:firstLine="656"/>
        <w:spacing w:after="0" w:line="313" w:lineRule="auto"/>
        <w:tabs>
          <w:tab w:leader="none" w:pos="1313" w:val="left"/>
        </w:tabs>
        <w:numPr>
          <w:ilvl w:val="0"/>
          <w:numId w:val="4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Human Resources</w:t>
      </w:r>
      <w:r>
        <w:rPr>
          <w:rFonts w:ascii="Arial" w:cs="Arial" w:eastAsia="Arial" w:hAnsi="Arial"/>
          <w:sz w:val="17"/>
          <w:szCs w:val="17"/>
          <w:b w:val="1"/>
          <w:bCs w:val="1"/>
          <w:color w:val="auto"/>
        </w:rPr>
        <w:t xml:space="preserve">. </w:t>
      </w:r>
      <w:r>
        <w:rPr>
          <w:rFonts w:ascii="Arial" w:cs="Arial" w:eastAsia="Arial" w:hAnsi="Arial"/>
          <w:sz w:val="17"/>
          <w:szCs w:val="17"/>
          <w:color w:val="auto"/>
        </w:rPr>
        <w:t>The provision of the human resources services described in this section is intended merely to provide costs savings to</w:t>
      </w:r>
      <w:r>
        <w:rPr>
          <w:rFonts w:ascii="Arial" w:cs="Arial" w:eastAsia="Arial" w:hAnsi="Arial"/>
          <w:sz w:val="17"/>
          <w:szCs w:val="17"/>
          <w:b w:val="1"/>
          <w:bCs w:val="1"/>
          <w:color w:val="auto"/>
        </w:rPr>
        <w:t xml:space="preserve"> </w:t>
      </w:r>
      <w:r>
        <w:rPr>
          <w:rFonts w:ascii="Arial" w:cs="Arial" w:eastAsia="Arial" w:hAnsi="Arial"/>
          <w:sz w:val="17"/>
          <w:szCs w:val="17"/>
          <w:color w:val="auto"/>
        </w:rPr>
        <w:t>University; such services shall be provided at University’s discretion and any such services will be subject to University oversight.</w:t>
      </w:r>
    </w:p>
    <w:p>
      <w:pPr>
        <w:spacing w:after="0" w:line="138" w:lineRule="exact"/>
        <w:rPr>
          <w:sz w:val="20"/>
          <w:szCs w:val="20"/>
          <w:color w:val="auto"/>
        </w:rPr>
      </w:pPr>
    </w:p>
    <w:p>
      <w:pPr>
        <w:ind w:right="80" w:firstLine="1297"/>
        <w:spacing w:after="0" w:line="256" w:lineRule="auto"/>
        <w:rPr>
          <w:sz w:val="20"/>
          <w:szCs w:val="20"/>
          <w:color w:val="auto"/>
        </w:rPr>
      </w:pPr>
      <w:r>
        <w:rPr>
          <w:rFonts w:ascii="Arial" w:cs="Arial" w:eastAsia="Arial" w:hAnsi="Arial"/>
          <w:sz w:val="18"/>
          <w:szCs w:val="18"/>
          <w:b w:val="1"/>
          <w:bCs w:val="1"/>
          <w:color w:val="auto"/>
        </w:rPr>
        <w:t xml:space="preserve">11.1 </w:t>
      </w:r>
      <w:r>
        <w:rPr>
          <w:rFonts w:ascii="Arial" w:cs="Arial" w:eastAsia="Arial" w:hAnsi="Arial"/>
          <w:sz w:val="18"/>
          <w:szCs w:val="18"/>
          <w:color w:val="auto"/>
        </w:rPr>
        <w:t>Provider will provide guidance and support to University in University’s goal of preventing and resolving workplace issues.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University policies, such guidance and support will include consulting with business leaders and employees on performance management, human resources policies, business unit restructures, workforce planning and formal complaint investigation and response. Provider will meet annually with University to ensure service quality and responsiveness remains at an acceptable level. Following these meetings, Provider will implement requested changes within forty-five (45) calendar days. Provider will investigate and respond to formal legal complaints within thirty (30) calendar days of receipt and/or according to the applicable legally required deadlines.</w:t>
      </w:r>
    </w:p>
    <w:p>
      <w:pPr>
        <w:spacing w:after="0" w:line="188" w:lineRule="exact"/>
        <w:rPr>
          <w:sz w:val="20"/>
          <w:szCs w:val="20"/>
          <w:color w:val="auto"/>
        </w:rPr>
      </w:pPr>
    </w:p>
    <w:p>
      <w:pPr>
        <w:ind w:right="20" w:firstLine="1297"/>
        <w:spacing w:after="0" w:line="258" w:lineRule="auto"/>
        <w:rPr>
          <w:sz w:val="20"/>
          <w:szCs w:val="20"/>
          <w:color w:val="auto"/>
        </w:rPr>
      </w:pPr>
      <w:r>
        <w:rPr>
          <w:rFonts w:ascii="Arial" w:cs="Arial" w:eastAsia="Arial" w:hAnsi="Arial"/>
          <w:sz w:val="18"/>
          <w:szCs w:val="18"/>
          <w:b w:val="1"/>
          <w:bCs w:val="1"/>
          <w:color w:val="auto"/>
        </w:rPr>
        <w:t xml:space="preserve">11.2 </w:t>
      </w:r>
      <w:r>
        <w:rPr>
          <w:rFonts w:ascii="Arial" w:cs="Arial" w:eastAsia="Arial" w:hAnsi="Arial"/>
          <w:sz w:val="18"/>
          <w:szCs w:val="18"/>
          <w:color w:val="auto"/>
        </w:rPr>
        <w:t>University has exclusive authority regarding all hiring decisions for University personnel. Provider will, at the request of</w:t>
      </w:r>
      <w:r>
        <w:rPr>
          <w:rFonts w:ascii="Arial" w:cs="Arial" w:eastAsia="Arial" w:hAnsi="Arial"/>
          <w:sz w:val="18"/>
          <w:szCs w:val="18"/>
          <w:b w:val="1"/>
          <w:bCs w:val="1"/>
          <w:color w:val="auto"/>
        </w:rPr>
        <w:t xml:space="preserve"> </w:t>
      </w:r>
      <w:r>
        <w:rPr>
          <w:rFonts w:ascii="Arial" w:cs="Arial" w:eastAsia="Arial" w:hAnsi="Arial"/>
          <w:sz w:val="18"/>
          <w:szCs w:val="18"/>
          <w:color w:val="auto"/>
        </w:rPr>
        <w:t>University, assist University in its employee recruitment process, including sourcing, interviewing and on-boarding employees. Provider will maintain an external job posting website for the University. Provider will post University approved position requisitions within two (2) Business Days from receipt and launch the onboarding process within two (2) Business Days of making University approved employment offers. The target average time to fill open positions will be forty-five (45) days.</w:t>
      </w:r>
    </w:p>
    <w:p>
      <w:pPr>
        <w:spacing w:after="0" w:line="184" w:lineRule="exact"/>
        <w:rPr>
          <w:sz w:val="20"/>
          <w:szCs w:val="20"/>
          <w:color w:val="auto"/>
        </w:rPr>
      </w:pPr>
    </w:p>
    <w:p>
      <w:pPr>
        <w:jc w:val="both"/>
        <w:ind w:right="140" w:firstLine="1297"/>
        <w:spacing w:after="0" w:line="261" w:lineRule="auto"/>
        <w:rPr>
          <w:sz w:val="20"/>
          <w:szCs w:val="20"/>
          <w:color w:val="auto"/>
        </w:rPr>
      </w:pPr>
      <w:r>
        <w:rPr>
          <w:rFonts w:ascii="Arial" w:cs="Arial" w:eastAsia="Arial" w:hAnsi="Arial"/>
          <w:sz w:val="18"/>
          <w:szCs w:val="18"/>
          <w:b w:val="1"/>
          <w:bCs w:val="1"/>
          <w:color w:val="auto"/>
        </w:rPr>
        <w:t xml:space="preserve">11.3 </w:t>
      </w:r>
      <w:r>
        <w:rPr>
          <w:rFonts w:ascii="Arial" w:cs="Arial" w:eastAsia="Arial" w:hAnsi="Arial"/>
          <w:sz w:val="18"/>
          <w:szCs w:val="18"/>
          <w:color w:val="auto"/>
        </w:rPr>
        <w:t>University has exclusive authority regarding all compensation decisions for University personnel. Provider will, at the request of</w:t>
      </w:r>
      <w:r>
        <w:rPr>
          <w:rFonts w:ascii="Arial" w:cs="Arial" w:eastAsia="Arial" w:hAnsi="Arial"/>
          <w:sz w:val="18"/>
          <w:szCs w:val="18"/>
          <w:b w:val="1"/>
          <w:bCs w:val="1"/>
          <w:color w:val="auto"/>
        </w:rPr>
        <w:t xml:space="preserve"> </w:t>
      </w:r>
      <w:r>
        <w:rPr>
          <w:rFonts w:ascii="Arial" w:cs="Arial" w:eastAsia="Arial" w:hAnsi="Arial"/>
          <w:sz w:val="18"/>
          <w:szCs w:val="18"/>
          <w:color w:val="auto"/>
        </w:rPr>
        <w:t>University, provide compensation consulting to University, including assisting in creating job descriptions, conducting market compensation, headcount and turnover analyses and managing salary administration plans. Provider will respond to all compensation related requests or questions from University within fifteen (15) Business Days.</w:t>
      </w:r>
    </w:p>
    <w:p>
      <w:pPr>
        <w:spacing w:after="0" w:line="180" w:lineRule="exact"/>
        <w:rPr>
          <w:sz w:val="20"/>
          <w:szCs w:val="20"/>
          <w:color w:val="auto"/>
        </w:rPr>
      </w:pPr>
    </w:p>
    <w:p>
      <w:pPr>
        <w:ind w:right="200" w:firstLine="1297"/>
        <w:spacing w:after="0" w:line="261" w:lineRule="auto"/>
        <w:rPr>
          <w:sz w:val="20"/>
          <w:szCs w:val="20"/>
          <w:color w:val="auto"/>
        </w:rPr>
      </w:pPr>
      <w:r>
        <w:rPr>
          <w:rFonts w:ascii="Arial" w:cs="Arial" w:eastAsia="Arial" w:hAnsi="Arial"/>
          <w:sz w:val="18"/>
          <w:szCs w:val="18"/>
          <w:b w:val="1"/>
          <w:bCs w:val="1"/>
          <w:color w:val="auto"/>
        </w:rPr>
        <w:t xml:space="preserve">11.4 </w:t>
      </w:r>
      <w:r>
        <w:rPr>
          <w:rFonts w:ascii="Arial" w:cs="Arial" w:eastAsia="Arial" w:hAnsi="Arial"/>
          <w:sz w:val="18"/>
          <w:szCs w:val="18"/>
          <w:color w:val="auto"/>
        </w:rPr>
        <w:t>Provider will provide HR system technology for automated HR business processes, employee and manager self-service, and</w:t>
      </w:r>
      <w:r>
        <w:rPr>
          <w:rFonts w:ascii="Arial" w:cs="Arial" w:eastAsia="Arial" w:hAnsi="Arial"/>
          <w:sz w:val="18"/>
          <w:szCs w:val="18"/>
          <w:b w:val="1"/>
          <w:bCs w:val="1"/>
          <w:color w:val="auto"/>
        </w:rPr>
        <w:t xml:space="preserve"> </w:t>
      </w:r>
      <w:r>
        <w:rPr>
          <w:rFonts w:ascii="Arial" w:cs="Arial" w:eastAsia="Arial" w:hAnsi="Arial"/>
          <w:sz w:val="18"/>
          <w:szCs w:val="18"/>
          <w:color w:val="auto"/>
        </w:rPr>
        <w:t>reporting and analytics that support University initiatives; execute HR system technology updates, changes and new functionality/business requests that support business goals; and provide communication, training and support to all HR system users and manage all employee data. Provider will provide 99% HR system availability in any given year.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8" w:name="page59"/>
    <w:bookmarkEnd w:id="58"/>
    <w:p>
      <w:pPr>
        <w:ind w:firstLine="1297"/>
        <w:spacing w:after="0" w:line="261" w:lineRule="auto"/>
        <w:rPr>
          <w:sz w:val="20"/>
          <w:szCs w:val="20"/>
          <w:color w:val="auto"/>
        </w:rPr>
      </w:pPr>
      <w:r>
        <w:rPr>
          <w:rFonts w:ascii="Arial" w:cs="Arial" w:eastAsia="Arial" w:hAnsi="Arial"/>
          <w:sz w:val="18"/>
          <w:szCs w:val="18"/>
          <w:b w:val="1"/>
          <w:bCs w:val="1"/>
          <w:color w:val="auto"/>
        </w:rPr>
        <w:t xml:space="preserve">11.5 </w:t>
      </w:r>
      <w:r>
        <w:rPr>
          <w:rFonts w:ascii="Arial" w:cs="Arial" w:eastAsia="Arial" w:hAnsi="Arial"/>
          <w:sz w:val="18"/>
          <w:szCs w:val="18"/>
          <w:color w:val="auto"/>
        </w:rPr>
        <w:t>University has exclusive authority regarding all employee group insurance and retirement plan decisions for University personnel.</w:t>
      </w:r>
      <w:r>
        <w:rPr>
          <w:rFonts w:ascii="Arial" w:cs="Arial" w:eastAsia="Arial" w:hAnsi="Arial"/>
          <w:sz w:val="18"/>
          <w:szCs w:val="18"/>
          <w:b w:val="1"/>
          <w:bCs w:val="1"/>
          <w:color w:val="auto"/>
        </w:rPr>
        <w:t xml:space="preserve"> </w:t>
      </w:r>
      <w:r>
        <w:rPr>
          <w:rFonts w:ascii="Arial" w:cs="Arial" w:eastAsia="Arial" w:hAnsi="Arial"/>
          <w:sz w:val="18"/>
          <w:szCs w:val="18"/>
          <w:color w:val="auto"/>
        </w:rPr>
        <w:t>Provider will advise University on group benefit plan design and procurement. Provider will provide University with an annual review of benefit cost prior to the designated open enrollment period. Provider will represent University with all employee benefit vendors and negotiate and present University options regarding fees and rates.</w:t>
      </w:r>
    </w:p>
    <w:p>
      <w:pPr>
        <w:spacing w:after="0" w:line="180" w:lineRule="exact"/>
        <w:rPr>
          <w:sz w:val="20"/>
          <w:szCs w:val="20"/>
          <w:color w:val="auto"/>
        </w:rPr>
      </w:pPr>
    </w:p>
    <w:p>
      <w:pPr>
        <w:ind w:right="120" w:firstLine="1297"/>
        <w:spacing w:after="0" w:line="314" w:lineRule="auto"/>
        <w:rPr>
          <w:sz w:val="20"/>
          <w:szCs w:val="20"/>
          <w:color w:val="auto"/>
        </w:rPr>
      </w:pPr>
      <w:r>
        <w:rPr>
          <w:rFonts w:ascii="Arial" w:cs="Arial" w:eastAsia="Arial" w:hAnsi="Arial"/>
          <w:sz w:val="16"/>
          <w:szCs w:val="16"/>
          <w:b w:val="1"/>
          <w:bCs w:val="1"/>
          <w:color w:val="auto"/>
        </w:rPr>
        <w:t xml:space="preserve">11.6 </w:t>
      </w:r>
      <w:r>
        <w:rPr>
          <w:rFonts w:ascii="Arial" w:cs="Arial" w:eastAsia="Arial" w:hAnsi="Arial"/>
          <w:sz w:val="16"/>
          <w:szCs w:val="16"/>
          <w:color w:val="auto"/>
        </w:rPr>
        <w:t>Provider will be the central point of contact for all University employees in respect of providing employee benefits and leave</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administration, resolving general HR inquiries and offering assistance with any HR system. Provider will provide HR Service Center support for employees five (5) days per week (7:00 a.m. to 5:00 p.m., Monday through Friday). Provider will respond to calls and emails within two (2) Business Days.</w:t>
      </w:r>
    </w:p>
    <w:p>
      <w:pPr>
        <w:spacing w:after="0" w:line="142" w:lineRule="exact"/>
        <w:rPr>
          <w:sz w:val="20"/>
          <w:szCs w:val="20"/>
          <w:color w:val="auto"/>
        </w:rPr>
      </w:pPr>
    </w:p>
    <w:p>
      <w:pPr>
        <w:ind w:right="100" w:firstLine="1297"/>
        <w:spacing w:after="0" w:line="298" w:lineRule="auto"/>
        <w:rPr>
          <w:sz w:val="20"/>
          <w:szCs w:val="20"/>
          <w:color w:val="auto"/>
        </w:rPr>
      </w:pPr>
      <w:r>
        <w:rPr>
          <w:rFonts w:ascii="Arial" w:cs="Arial" w:eastAsia="Arial" w:hAnsi="Arial"/>
          <w:sz w:val="16"/>
          <w:szCs w:val="16"/>
          <w:b w:val="1"/>
          <w:bCs w:val="1"/>
          <w:color w:val="auto"/>
        </w:rPr>
        <w:t xml:space="preserve">11.7 </w:t>
      </w:r>
      <w:r>
        <w:rPr>
          <w:rFonts w:ascii="Arial" w:cs="Arial" w:eastAsia="Arial" w:hAnsi="Arial"/>
          <w:sz w:val="16"/>
          <w:szCs w:val="16"/>
          <w:color w:val="auto"/>
        </w:rPr>
        <w:t>Provider will provide the following services: New Hire Orientations, Staff Onboarding Programs, Staff Development</w:t>
      </w:r>
      <w:r>
        <w:rPr>
          <w:rFonts w:ascii="Arial" w:cs="Arial" w:eastAsia="Arial" w:hAnsi="Arial"/>
          <w:sz w:val="16"/>
          <w:szCs w:val="16"/>
          <w:b w:val="1"/>
          <w:bCs w:val="1"/>
          <w:color w:val="auto"/>
        </w:rPr>
        <w:t xml:space="preserve"> </w:t>
      </w:r>
      <w:r>
        <w:rPr>
          <w:rFonts w:ascii="Arial" w:cs="Arial" w:eastAsia="Arial" w:hAnsi="Arial"/>
          <w:sz w:val="16"/>
          <w:szCs w:val="16"/>
          <w:color w:val="auto"/>
        </w:rPr>
        <w:t>Programs/Modules, Management Development Programs/Modules, Compliance Modules, New Policy/Procedure/System/Programmatic Trainings, and Staff Management Performance Evaluations. Provider will provide new hire orientation and onboarding programs on a monthly basis (based on organizational needs), Development Programs for staff twice per year, Development Programs for managers annually, Compliance Modules annually, Other Staff and Management modules/trainings as needed/available. Provider will provide Staff and Management Performance Evaluations a minimum of once per year.</w:t>
      </w:r>
    </w:p>
    <w:p>
      <w:pPr>
        <w:spacing w:after="0" w:line="154"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b w:val="1"/>
          <w:bCs w:val="1"/>
          <w:color w:val="auto"/>
        </w:rPr>
        <w:t>11.8</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1340" w:hanging="684"/>
        <w:spacing w:after="0"/>
        <w:tabs>
          <w:tab w:leader="none" w:pos="134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Technology</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25" w:lineRule="exact"/>
        <w:rPr>
          <w:sz w:val="20"/>
          <w:szCs w:val="20"/>
          <w:color w:val="auto"/>
        </w:rPr>
      </w:pPr>
    </w:p>
    <w:p>
      <w:pPr>
        <w:ind w:right="20" w:firstLine="1297"/>
        <w:spacing w:after="0" w:line="254" w:lineRule="auto"/>
        <w:rPr>
          <w:sz w:val="20"/>
          <w:szCs w:val="20"/>
          <w:color w:val="auto"/>
        </w:rPr>
      </w:pPr>
      <w:r>
        <w:rPr>
          <w:rFonts w:ascii="Arial" w:cs="Arial" w:eastAsia="Arial" w:hAnsi="Arial"/>
          <w:sz w:val="18"/>
          <w:szCs w:val="18"/>
          <w:b w:val="1"/>
          <w:bCs w:val="1"/>
          <w:color w:val="auto"/>
        </w:rPr>
        <w:t xml:space="preserve">12.1 </w:t>
      </w:r>
      <w:r>
        <w:rPr>
          <w:rFonts w:ascii="Arial" w:cs="Arial" w:eastAsia="Arial" w:hAnsi="Arial"/>
          <w:sz w:val="18"/>
          <w:szCs w:val="18"/>
          <w:color w:val="auto"/>
        </w:rPr>
        <w:t>Provider has built, and shall maintain, periodically revise, and host a technology platform for University, to serve as an online</w:t>
      </w:r>
      <w:r>
        <w:rPr>
          <w:rFonts w:ascii="Arial" w:cs="Arial" w:eastAsia="Arial" w:hAnsi="Arial"/>
          <w:sz w:val="18"/>
          <w:szCs w:val="18"/>
          <w:b w:val="1"/>
          <w:bCs w:val="1"/>
          <w:color w:val="auto"/>
        </w:rPr>
        <w:t xml:space="preserve"> </w:t>
      </w:r>
      <w:r>
        <w:rPr>
          <w:rFonts w:ascii="Arial" w:cs="Arial" w:eastAsia="Arial" w:hAnsi="Arial"/>
          <w:sz w:val="18"/>
          <w:szCs w:val="18"/>
          <w:color w:val="auto"/>
        </w:rPr>
        <w:t>communication portal for University students, University faculty, course coordinators, course assistants, interns and University staff and to enable online applications, course delivery, communications, development and maintenance of student portfolios, placement services and such other functions as are mutually agreed to by the parties (the “</w:t>
      </w:r>
      <w:r>
        <w:rPr>
          <w:rFonts w:ascii="Arial" w:cs="Arial" w:eastAsia="Arial" w:hAnsi="Arial"/>
          <w:sz w:val="18"/>
          <w:szCs w:val="18"/>
          <w:b w:val="1"/>
          <w:bCs w:val="1"/>
          <w:i w:val="1"/>
          <w:iCs w:val="1"/>
          <w:color w:val="auto"/>
        </w:rPr>
        <w:t>Platform</w:t>
      </w:r>
      <w:r>
        <w:rPr>
          <w:rFonts w:ascii="Arial" w:cs="Arial" w:eastAsia="Arial" w:hAnsi="Arial"/>
          <w:sz w:val="18"/>
          <w:szCs w:val="18"/>
          <w:color w:val="auto"/>
        </w:rPr>
        <w:t>”). Provider will use commercially reasonable efforts to provide University students with online access to the Platform, including electronic Course Materials (Canyon Connect), student information and contact management systems that will be used by University students and employees via the Platform. At the Effective Date, the systems and functionality of the Platform shall be consistent with the Platform as provided immediately prior to the Effective Date. Thereafter, subject to Section 3.3 (Services Addenda) of the Agreement, and in the course of providing the Services, Provider will use commercially reasonable efforts to improve the systems and functionality of the Platform and develop additional systems and functionality to improve the Platform’s learning experience for University faculty and students. Provider will prioritize development efforts with input from University.</w:t>
      </w:r>
    </w:p>
    <w:p>
      <w:pPr>
        <w:spacing w:after="0" w:line="186" w:lineRule="exact"/>
        <w:rPr>
          <w:sz w:val="20"/>
          <w:szCs w:val="20"/>
          <w:color w:val="auto"/>
        </w:rPr>
      </w:pPr>
    </w:p>
    <w:p>
      <w:pPr>
        <w:ind w:right="20" w:firstLine="1297"/>
        <w:spacing w:after="0" w:line="266" w:lineRule="auto"/>
        <w:rPr>
          <w:sz w:val="20"/>
          <w:szCs w:val="20"/>
          <w:color w:val="auto"/>
        </w:rPr>
      </w:pPr>
      <w:r>
        <w:rPr>
          <w:rFonts w:ascii="Arial" w:cs="Arial" w:eastAsia="Arial" w:hAnsi="Arial"/>
          <w:sz w:val="18"/>
          <w:szCs w:val="18"/>
          <w:b w:val="1"/>
          <w:bCs w:val="1"/>
          <w:color w:val="auto"/>
        </w:rPr>
        <w:t xml:space="preserve">12.2 </w:t>
      </w:r>
      <w:r>
        <w:rPr>
          <w:rFonts w:ascii="Arial" w:cs="Arial" w:eastAsia="Arial" w:hAnsi="Arial"/>
          <w:sz w:val="18"/>
          <w:szCs w:val="18"/>
          <w:color w:val="auto"/>
        </w:rPr>
        <w:t>The specifications and performance standards for the Platform are as follows. Any changes that materially degrade such</w:t>
      </w:r>
      <w:r>
        <w:rPr>
          <w:rFonts w:ascii="Arial" w:cs="Arial" w:eastAsia="Arial" w:hAnsi="Arial"/>
          <w:sz w:val="18"/>
          <w:szCs w:val="18"/>
          <w:b w:val="1"/>
          <w:bCs w:val="1"/>
          <w:color w:val="auto"/>
        </w:rPr>
        <w:t xml:space="preserve"> </w:t>
      </w:r>
      <w:r>
        <w:rPr>
          <w:rFonts w:ascii="Arial" w:cs="Arial" w:eastAsia="Arial" w:hAnsi="Arial"/>
          <w:sz w:val="18"/>
          <w:szCs w:val="18"/>
          <w:color w:val="auto"/>
        </w:rPr>
        <w:t>specifications and standards shall be subject to the written approval of University. Periodically, Provider may propose enhancements to the specifications and performance standards for the Platform, all of which shall be subject to review by University at University’s request.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59" w:name="page60"/>
    <w:bookmarkEnd w:id="59"/>
    <w:p>
      <w:pPr>
        <w:ind w:left="1960"/>
        <w:spacing w:after="0"/>
        <w:tabs>
          <w:tab w:leader="none" w:pos="2600" w:val="left"/>
        </w:tabs>
        <w:rPr>
          <w:sz w:val="20"/>
          <w:szCs w:val="20"/>
          <w:color w:val="auto"/>
        </w:rPr>
      </w:pPr>
      <w:r>
        <w:rPr>
          <w:rFonts w:ascii="Arial" w:cs="Arial" w:eastAsia="Arial" w:hAnsi="Arial"/>
          <w:sz w:val="18"/>
          <w:szCs w:val="18"/>
          <w:b w:val="1"/>
          <w:bCs w:val="1"/>
          <w:color w:val="auto"/>
        </w:rPr>
        <w:t>12.2.1</w:t>
      </w:r>
      <w:r>
        <w:rPr>
          <w:sz w:val="20"/>
          <w:szCs w:val="20"/>
          <w:color w:val="auto"/>
        </w:rPr>
        <w:tab/>
      </w:r>
      <w:r>
        <w:rPr>
          <w:rFonts w:ascii="Arial" w:cs="Arial" w:eastAsia="Arial" w:hAnsi="Arial"/>
          <w:sz w:val="16"/>
          <w:szCs w:val="16"/>
          <w:i w:val="1"/>
          <w:iCs w:val="1"/>
          <w:color w:val="auto"/>
        </w:rPr>
        <w:t>Technical Support for Students</w:t>
      </w:r>
      <w:r>
        <w:rPr>
          <w:rFonts w:ascii="Arial" w:cs="Arial" w:eastAsia="Arial" w:hAnsi="Arial"/>
          <w:sz w:val="16"/>
          <w:szCs w:val="16"/>
          <w:color w:val="auto"/>
        </w:rPr>
        <w:t>. Provider will provide technical support to all enrolled students of University regarding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Platform [***].</w:t>
      </w:r>
    </w:p>
    <w:p>
      <w:pPr>
        <w:spacing w:after="0" w:line="207" w:lineRule="exact"/>
        <w:rPr>
          <w:sz w:val="20"/>
          <w:szCs w:val="20"/>
          <w:color w:val="auto"/>
        </w:rPr>
      </w:pPr>
    </w:p>
    <w:p>
      <w:pPr>
        <w:ind w:left="1960"/>
        <w:spacing w:after="0"/>
        <w:tabs>
          <w:tab w:leader="none" w:pos="2600" w:val="left"/>
        </w:tabs>
        <w:rPr>
          <w:sz w:val="20"/>
          <w:szCs w:val="20"/>
          <w:color w:val="auto"/>
        </w:rPr>
      </w:pPr>
      <w:r>
        <w:rPr>
          <w:rFonts w:ascii="Arial" w:cs="Arial" w:eastAsia="Arial" w:hAnsi="Arial"/>
          <w:sz w:val="18"/>
          <w:szCs w:val="18"/>
          <w:b w:val="1"/>
          <w:bCs w:val="1"/>
          <w:color w:val="auto"/>
        </w:rPr>
        <w:t>12.2.2</w:t>
      </w:r>
      <w:r>
        <w:rPr>
          <w:sz w:val="20"/>
          <w:szCs w:val="20"/>
          <w:color w:val="auto"/>
        </w:rPr>
        <w:tab/>
      </w:r>
      <w:r>
        <w:rPr>
          <w:rFonts w:ascii="Arial" w:cs="Arial" w:eastAsia="Arial" w:hAnsi="Arial"/>
          <w:sz w:val="16"/>
          <w:szCs w:val="16"/>
          <w:i w:val="1"/>
          <w:iCs w:val="1"/>
          <w:color w:val="auto"/>
        </w:rPr>
        <w:t>Help Desk Support for University Employees</w:t>
      </w:r>
      <w:r>
        <w:rPr>
          <w:rFonts w:ascii="Arial" w:cs="Arial" w:eastAsia="Arial" w:hAnsi="Arial"/>
          <w:sz w:val="16"/>
          <w:szCs w:val="16"/>
          <w:color w:val="auto"/>
        </w:rPr>
        <w:t>. Provider will provide an IT Help Desk available to University employees.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 Provider will measure satisfaction by quality assurance scoring and ticket resolution follow up calls. The other metrics above will be tracked.</w:t>
      </w:r>
    </w:p>
    <w:p>
      <w:pPr>
        <w:spacing w:after="0" w:line="218" w:lineRule="exact"/>
        <w:rPr>
          <w:sz w:val="20"/>
          <w:szCs w:val="20"/>
          <w:color w:val="auto"/>
        </w:rPr>
      </w:pPr>
    </w:p>
    <w:p>
      <w:pPr>
        <w:ind w:right="280" w:firstLine="1297"/>
        <w:spacing w:after="0" w:line="282" w:lineRule="auto"/>
        <w:rPr>
          <w:sz w:val="20"/>
          <w:szCs w:val="20"/>
          <w:color w:val="auto"/>
        </w:rPr>
      </w:pPr>
      <w:r>
        <w:rPr>
          <w:rFonts w:ascii="Arial" w:cs="Arial" w:eastAsia="Arial" w:hAnsi="Arial"/>
          <w:sz w:val="18"/>
          <w:szCs w:val="18"/>
          <w:b w:val="1"/>
          <w:bCs w:val="1"/>
          <w:color w:val="auto"/>
        </w:rPr>
        <w:t xml:space="preserve">12.3 </w:t>
      </w:r>
      <w:r>
        <w:rPr>
          <w:rFonts w:ascii="Arial" w:cs="Arial" w:eastAsia="Arial" w:hAnsi="Arial"/>
          <w:sz w:val="18"/>
          <w:szCs w:val="18"/>
          <w:color w:val="auto"/>
        </w:rPr>
        <w:t>Provider will make available to University an IT infrastructure for mutually agreed applications and such infrastructure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designed to be an always available, 24x7 full service network. [***]</w:t>
      </w:r>
    </w:p>
    <w:p>
      <w:pPr>
        <w:spacing w:after="0" w:line="162"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12.4</w:t>
      </w:r>
      <w:r>
        <w:rPr>
          <w:sz w:val="20"/>
          <w:szCs w:val="20"/>
          <w:color w:val="auto"/>
        </w:rPr>
        <w:tab/>
      </w:r>
      <w:r>
        <w:rPr>
          <w:rFonts w:ascii="Arial" w:cs="Arial" w:eastAsia="Arial" w:hAnsi="Arial"/>
          <w:sz w:val="16"/>
          <w:szCs w:val="16"/>
          <w:color w:val="auto"/>
        </w:rPr>
        <w:t>Provider will provide those software and technology capabilities to University as are currently provided as of the Effective Date.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each of these capabilities, Provider will work with University to define in more detail the following:</w:t>
      </w:r>
    </w:p>
    <w:p>
      <w:pPr>
        <w:spacing w:after="0" w:line="207" w:lineRule="exact"/>
        <w:rPr>
          <w:sz w:val="20"/>
          <w:szCs w:val="20"/>
          <w:color w:val="auto"/>
        </w:rPr>
      </w:pPr>
    </w:p>
    <w:p>
      <w:pPr>
        <w:ind w:left="1960"/>
        <w:spacing w:after="0"/>
        <w:tabs>
          <w:tab w:leader="none" w:pos="2600" w:val="left"/>
        </w:tabs>
        <w:rPr>
          <w:sz w:val="20"/>
          <w:szCs w:val="20"/>
          <w:color w:val="auto"/>
        </w:rPr>
      </w:pPr>
      <w:r>
        <w:rPr>
          <w:rFonts w:ascii="Arial" w:cs="Arial" w:eastAsia="Arial" w:hAnsi="Arial"/>
          <w:sz w:val="18"/>
          <w:szCs w:val="18"/>
          <w:b w:val="1"/>
          <w:bCs w:val="1"/>
          <w:color w:val="auto"/>
        </w:rPr>
        <w:t>12.4.1</w:t>
      </w:r>
      <w:r>
        <w:rPr>
          <w:sz w:val="20"/>
          <w:szCs w:val="20"/>
          <w:color w:val="auto"/>
        </w:rPr>
        <w:tab/>
      </w:r>
      <w:r>
        <w:rPr>
          <w:rFonts w:ascii="Arial" w:cs="Arial" w:eastAsia="Arial" w:hAnsi="Arial"/>
          <w:sz w:val="16"/>
          <w:szCs w:val="16"/>
          <w:color w:val="auto"/>
        </w:rPr>
        <w:t>Service or capability being provided;</w:t>
      </w:r>
    </w:p>
    <w:p>
      <w:pPr>
        <w:spacing w:after="0" w:line="225" w:lineRule="exact"/>
        <w:rPr>
          <w:sz w:val="20"/>
          <w:szCs w:val="20"/>
          <w:color w:val="auto"/>
        </w:rPr>
      </w:pPr>
    </w:p>
    <w:p>
      <w:pPr>
        <w:ind w:left="1960"/>
        <w:spacing w:after="0"/>
        <w:tabs>
          <w:tab w:leader="none" w:pos="2600" w:val="left"/>
        </w:tabs>
        <w:rPr>
          <w:sz w:val="20"/>
          <w:szCs w:val="20"/>
          <w:color w:val="auto"/>
        </w:rPr>
      </w:pPr>
      <w:r>
        <w:rPr>
          <w:rFonts w:ascii="Arial" w:cs="Arial" w:eastAsia="Arial" w:hAnsi="Arial"/>
          <w:sz w:val="18"/>
          <w:szCs w:val="18"/>
          <w:b w:val="1"/>
          <w:bCs w:val="1"/>
          <w:color w:val="auto"/>
        </w:rPr>
        <w:t>12.4.2</w:t>
      </w:r>
      <w:r>
        <w:rPr>
          <w:sz w:val="20"/>
          <w:szCs w:val="20"/>
          <w:color w:val="auto"/>
        </w:rPr>
        <w:tab/>
      </w:r>
      <w:r>
        <w:rPr>
          <w:rFonts w:ascii="Arial" w:cs="Arial" w:eastAsia="Arial" w:hAnsi="Arial"/>
          <w:sz w:val="16"/>
          <w:szCs w:val="16"/>
          <w:color w:val="auto"/>
        </w:rPr>
        <w:t>The service level agreement (“</w:t>
      </w:r>
      <w:r>
        <w:rPr>
          <w:rFonts w:ascii="Arial" w:cs="Arial" w:eastAsia="Arial" w:hAnsi="Arial"/>
          <w:sz w:val="16"/>
          <w:szCs w:val="16"/>
          <w:b w:val="1"/>
          <w:bCs w:val="1"/>
          <w:i w:val="1"/>
          <w:iCs w:val="1"/>
          <w:color w:val="auto"/>
        </w:rPr>
        <w:t>SLA</w:t>
      </w:r>
      <w:r>
        <w:rPr>
          <w:rFonts w:ascii="Arial" w:cs="Arial" w:eastAsia="Arial" w:hAnsi="Arial"/>
          <w:sz w:val="16"/>
          <w:szCs w:val="16"/>
          <w:color w:val="auto"/>
        </w:rPr>
        <w:t>”) related to the service or capability;</w:t>
      </w:r>
    </w:p>
    <w:p>
      <w:pPr>
        <w:spacing w:after="0" w:line="225" w:lineRule="exact"/>
        <w:rPr>
          <w:sz w:val="20"/>
          <w:szCs w:val="20"/>
          <w:color w:val="auto"/>
        </w:rPr>
      </w:pPr>
    </w:p>
    <w:p>
      <w:pPr>
        <w:ind w:left="1960"/>
        <w:spacing w:after="0"/>
        <w:tabs>
          <w:tab w:leader="none" w:pos="2600" w:val="left"/>
        </w:tabs>
        <w:rPr>
          <w:sz w:val="20"/>
          <w:szCs w:val="20"/>
          <w:color w:val="auto"/>
        </w:rPr>
      </w:pPr>
      <w:r>
        <w:rPr>
          <w:rFonts w:ascii="Arial" w:cs="Arial" w:eastAsia="Arial" w:hAnsi="Arial"/>
          <w:sz w:val="18"/>
          <w:szCs w:val="18"/>
          <w:b w:val="1"/>
          <w:bCs w:val="1"/>
          <w:color w:val="auto"/>
        </w:rPr>
        <w:t>12.4.3</w:t>
      </w:r>
      <w:r>
        <w:rPr>
          <w:sz w:val="20"/>
          <w:szCs w:val="20"/>
          <w:color w:val="auto"/>
        </w:rPr>
        <w:tab/>
      </w:r>
      <w:r>
        <w:rPr>
          <w:rFonts w:ascii="Arial" w:cs="Arial" w:eastAsia="Arial" w:hAnsi="Arial"/>
          <w:sz w:val="16"/>
          <w:szCs w:val="16"/>
          <w:color w:val="auto"/>
        </w:rPr>
        <w:t>Processes related to the service or capability;</w:t>
      </w:r>
    </w:p>
    <w:p>
      <w:pPr>
        <w:spacing w:after="0" w:line="225" w:lineRule="exact"/>
        <w:rPr>
          <w:sz w:val="20"/>
          <w:szCs w:val="20"/>
          <w:color w:val="auto"/>
        </w:rPr>
      </w:pPr>
    </w:p>
    <w:p>
      <w:pPr>
        <w:ind w:left="1960"/>
        <w:spacing w:after="0"/>
        <w:tabs>
          <w:tab w:leader="none" w:pos="2600" w:val="left"/>
        </w:tabs>
        <w:rPr>
          <w:sz w:val="20"/>
          <w:szCs w:val="20"/>
          <w:color w:val="auto"/>
        </w:rPr>
      </w:pPr>
      <w:r>
        <w:rPr>
          <w:rFonts w:ascii="Arial" w:cs="Arial" w:eastAsia="Arial" w:hAnsi="Arial"/>
          <w:sz w:val="18"/>
          <w:szCs w:val="18"/>
          <w:b w:val="1"/>
          <w:bCs w:val="1"/>
          <w:color w:val="auto"/>
        </w:rPr>
        <w:t>12.4.4</w:t>
      </w:r>
      <w:r>
        <w:rPr>
          <w:sz w:val="20"/>
          <w:szCs w:val="20"/>
          <w:color w:val="auto"/>
        </w:rPr>
        <w:tab/>
      </w:r>
      <w:r>
        <w:rPr>
          <w:rFonts w:ascii="Arial" w:cs="Arial" w:eastAsia="Arial" w:hAnsi="Arial"/>
          <w:sz w:val="16"/>
          <w:szCs w:val="16"/>
          <w:color w:val="auto"/>
        </w:rPr>
        <w:t>Limitations related to the service or capability;</w:t>
      </w:r>
    </w:p>
    <w:p>
      <w:pPr>
        <w:spacing w:after="0" w:line="225" w:lineRule="exact"/>
        <w:rPr>
          <w:sz w:val="20"/>
          <w:szCs w:val="20"/>
          <w:color w:val="auto"/>
        </w:rPr>
      </w:pPr>
    </w:p>
    <w:p>
      <w:pPr>
        <w:ind w:left="1960"/>
        <w:spacing w:after="0"/>
        <w:tabs>
          <w:tab w:leader="none" w:pos="2600" w:val="left"/>
        </w:tabs>
        <w:rPr>
          <w:sz w:val="20"/>
          <w:szCs w:val="20"/>
          <w:color w:val="auto"/>
        </w:rPr>
      </w:pPr>
      <w:r>
        <w:rPr>
          <w:rFonts w:ascii="Arial" w:cs="Arial" w:eastAsia="Arial" w:hAnsi="Arial"/>
          <w:sz w:val="18"/>
          <w:szCs w:val="18"/>
          <w:b w:val="1"/>
          <w:bCs w:val="1"/>
          <w:color w:val="auto"/>
        </w:rPr>
        <w:t>12.4.5</w:t>
      </w:r>
      <w:r>
        <w:rPr>
          <w:sz w:val="20"/>
          <w:szCs w:val="20"/>
          <w:color w:val="auto"/>
        </w:rPr>
        <w:tab/>
      </w:r>
      <w:r>
        <w:rPr>
          <w:rFonts w:ascii="Arial" w:cs="Arial" w:eastAsia="Arial" w:hAnsi="Arial"/>
          <w:sz w:val="16"/>
          <w:szCs w:val="16"/>
          <w:color w:val="auto"/>
        </w:rPr>
        <w:t>How new services or capabilities beyond the baseline services and capabilities are added and how cost is determined; and</w:t>
      </w:r>
    </w:p>
    <w:p>
      <w:pPr>
        <w:spacing w:after="0" w:line="225" w:lineRule="exact"/>
        <w:rPr>
          <w:sz w:val="20"/>
          <w:szCs w:val="20"/>
          <w:color w:val="auto"/>
        </w:rPr>
      </w:pPr>
    </w:p>
    <w:p>
      <w:pPr>
        <w:ind w:left="1960"/>
        <w:spacing w:after="0"/>
        <w:tabs>
          <w:tab w:leader="none" w:pos="2600" w:val="left"/>
        </w:tabs>
        <w:rPr>
          <w:sz w:val="20"/>
          <w:szCs w:val="20"/>
          <w:color w:val="auto"/>
        </w:rPr>
      </w:pPr>
      <w:r>
        <w:rPr>
          <w:rFonts w:ascii="Arial" w:cs="Arial" w:eastAsia="Arial" w:hAnsi="Arial"/>
          <w:sz w:val="18"/>
          <w:szCs w:val="18"/>
          <w:b w:val="1"/>
          <w:bCs w:val="1"/>
          <w:color w:val="auto"/>
        </w:rPr>
        <w:t>12.4.6</w:t>
      </w:r>
      <w:r>
        <w:rPr>
          <w:sz w:val="20"/>
          <w:szCs w:val="20"/>
          <w:color w:val="auto"/>
        </w:rPr>
        <w:tab/>
      </w:r>
      <w:r>
        <w:rPr>
          <w:rFonts w:ascii="Arial" w:cs="Arial" w:eastAsia="Arial" w:hAnsi="Arial"/>
          <w:sz w:val="16"/>
          <w:szCs w:val="16"/>
          <w:color w:val="auto"/>
        </w:rPr>
        <w:t>Regular reporting related to the service or capability as provided in the SLA.</w:t>
      </w:r>
    </w:p>
    <w:p>
      <w:pPr>
        <w:spacing w:after="0" w:line="225" w:lineRule="exact"/>
        <w:rPr>
          <w:sz w:val="20"/>
          <w:szCs w:val="20"/>
          <w:color w:val="auto"/>
        </w:rPr>
      </w:pPr>
    </w:p>
    <w:p>
      <w:pPr>
        <w:ind w:right="200" w:firstLine="1297"/>
        <w:spacing w:after="0" w:line="282" w:lineRule="auto"/>
        <w:rPr>
          <w:sz w:val="20"/>
          <w:szCs w:val="20"/>
          <w:color w:val="auto"/>
        </w:rPr>
      </w:pPr>
      <w:r>
        <w:rPr>
          <w:rFonts w:ascii="Arial" w:cs="Arial" w:eastAsia="Arial" w:hAnsi="Arial"/>
          <w:sz w:val="18"/>
          <w:szCs w:val="18"/>
          <w:b w:val="1"/>
          <w:bCs w:val="1"/>
          <w:color w:val="auto"/>
        </w:rPr>
        <w:t xml:space="preserve">12.5 </w:t>
      </w:r>
      <w:r>
        <w:rPr>
          <w:rFonts w:ascii="Arial" w:cs="Arial" w:eastAsia="Arial" w:hAnsi="Arial"/>
          <w:sz w:val="18"/>
          <w:szCs w:val="18"/>
          <w:color w:val="auto"/>
        </w:rPr>
        <w:t>Subject to the exclusions described in Section 12.7 below, services to be provided by Provider to University include, but are not</w:t>
      </w:r>
      <w:r>
        <w:rPr>
          <w:rFonts w:ascii="Arial" w:cs="Arial" w:eastAsia="Arial" w:hAnsi="Arial"/>
          <w:sz w:val="18"/>
          <w:szCs w:val="18"/>
          <w:b w:val="1"/>
          <w:bCs w:val="1"/>
          <w:color w:val="auto"/>
        </w:rPr>
        <w:t xml:space="preserve"> </w:t>
      </w:r>
      <w:r>
        <w:rPr>
          <w:rFonts w:ascii="Arial" w:cs="Arial" w:eastAsia="Arial" w:hAnsi="Arial"/>
          <w:sz w:val="18"/>
          <w:szCs w:val="18"/>
          <w:color w:val="auto"/>
        </w:rPr>
        <w:t>limited to, the following:</w:t>
      </w:r>
    </w:p>
    <w:p>
      <w:pPr>
        <w:spacing w:after="0" w:line="162" w:lineRule="exact"/>
        <w:rPr>
          <w:sz w:val="20"/>
          <w:szCs w:val="20"/>
          <w:color w:val="auto"/>
        </w:rPr>
      </w:pPr>
    </w:p>
    <w:p>
      <w:pPr>
        <w:ind w:left="1960"/>
        <w:spacing w:after="0"/>
        <w:tabs>
          <w:tab w:leader="none" w:pos="2600" w:val="left"/>
        </w:tabs>
        <w:rPr>
          <w:sz w:val="20"/>
          <w:szCs w:val="20"/>
          <w:color w:val="auto"/>
        </w:rPr>
      </w:pPr>
      <w:r>
        <w:rPr>
          <w:rFonts w:ascii="Arial" w:cs="Arial" w:eastAsia="Arial" w:hAnsi="Arial"/>
          <w:sz w:val="18"/>
          <w:szCs w:val="18"/>
          <w:b w:val="1"/>
          <w:bCs w:val="1"/>
          <w:color w:val="auto"/>
        </w:rPr>
        <w:t>12.5.1</w:t>
      </w:r>
      <w:r>
        <w:rPr>
          <w:sz w:val="20"/>
          <w:szCs w:val="20"/>
          <w:color w:val="auto"/>
        </w:rPr>
        <w:tab/>
      </w:r>
      <w:r>
        <w:rPr>
          <w:rFonts w:ascii="Arial" w:cs="Arial" w:eastAsia="Arial" w:hAnsi="Arial"/>
          <w:sz w:val="16"/>
          <w:szCs w:val="16"/>
          <w:color w:val="auto"/>
        </w:rPr>
        <w:t>Staff desktop technology support;</w:t>
      </w:r>
    </w:p>
    <w:p>
      <w:pPr>
        <w:spacing w:after="0" w:line="225" w:lineRule="exact"/>
        <w:rPr>
          <w:sz w:val="20"/>
          <w:szCs w:val="20"/>
          <w:color w:val="auto"/>
        </w:rPr>
      </w:pPr>
    </w:p>
    <w:p>
      <w:pPr>
        <w:ind w:left="1960"/>
        <w:spacing w:after="0"/>
        <w:tabs>
          <w:tab w:leader="none" w:pos="2600" w:val="left"/>
        </w:tabs>
        <w:rPr>
          <w:sz w:val="20"/>
          <w:szCs w:val="20"/>
          <w:color w:val="auto"/>
        </w:rPr>
      </w:pPr>
      <w:r>
        <w:rPr>
          <w:rFonts w:ascii="Arial" w:cs="Arial" w:eastAsia="Arial" w:hAnsi="Arial"/>
          <w:sz w:val="18"/>
          <w:szCs w:val="18"/>
          <w:b w:val="1"/>
          <w:bCs w:val="1"/>
          <w:color w:val="auto"/>
        </w:rPr>
        <w:t>12.5.2</w:t>
      </w:r>
      <w:r>
        <w:rPr>
          <w:sz w:val="20"/>
          <w:szCs w:val="20"/>
          <w:color w:val="auto"/>
        </w:rPr>
        <w:tab/>
      </w:r>
      <w:r>
        <w:rPr>
          <w:rFonts w:ascii="Arial" w:cs="Arial" w:eastAsia="Arial" w:hAnsi="Arial"/>
          <w:sz w:val="16"/>
          <w:szCs w:val="16"/>
          <w:color w:val="auto"/>
        </w:rPr>
        <w:t>Classroom technology support;</w:t>
      </w:r>
    </w:p>
    <w:p>
      <w:pPr>
        <w:spacing w:after="0" w:line="225" w:lineRule="exact"/>
        <w:rPr>
          <w:sz w:val="20"/>
          <w:szCs w:val="20"/>
          <w:color w:val="auto"/>
        </w:rPr>
      </w:pPr>
    </w:p>
    <w:p>
      <w:pPr>
        <w:ind w:left="1960"/>
        <w:spacing w:after="0"/>
        <w:tabs>
          <w:tab w:leader="none" w:pos="2600" w:val="left"/>
        </w:tabs>
        <w:rPr>
          <w:sz w:val="20"/>
          <w:szCs w:val="20"/>
          <w:color w:val="auto"/>
        </w:rPr>
      </w:pPr>
      <w:r>
        <w:rPr>
          <w:rFonts w:ascii="Arial" w:cs="Arial" w:eastAsia="Arial" w:hAnsi="Arial"/>
          <w:sz w:val="18"/>
          <w:szCs w:val="18"/>
          <w:b w:val="1"/>
          <w:bCs w:val="1"/>
          <w:color w:val="auto"/>
        </w:rPr>
        <w:t>12.5.3</w:t>
      </w:r>
      <w:r>
        <w:rPr>
          <w:sz w:val="20"/>
          <w:szCs w:val="20"/>
          <w:color w:val="auto"/>
        </w:rPr>
        <w:tab/>
      </w:r>
      <w:r>
        <w:rPr>
          <w:rFonts w:ascii="Arial" w:cs="Arial" w:eastAsia="Arial" w:hAnsi="Arial"/>
          <w:sz w:val="16"/>
          <w:szCs w:val="16"/>
          <w:color w:val="auto"/>
        </w:rPr>
        <w:t>Miscellaneous campus technology support;</w:t>
      </w:r>
    </w:p>
    <w:p>
      <w:pPr>
        <w:spacing w:after="0" w:line="225" w:lineRule="exact"/>
        <w:rPr>
          <w:sz w:val="20"/>
          <w:szCs w:val="20"/>
          <w:color w:val="auto"/>
        </w:rPr>
      </w:pPr>
    </w:p>
    <w:p>
      <w:pPr>
        <w:ind w:left="1960"/>
        <w:spacing w:after="0"/>
        <w:tabs>
          <w:tab w:leader="none" w:pos="2600" w:val="left"/>
        </w:tabs>
        <w:rPr>
          <w:sz w:val="20"/>
          <w:szCs w:val="20"/>
          <w:color w:val="auto"/>
        </w:rPr>
      </w:pPr>
      <w:r>
        <w:rPr>
          <w:rFonts w:ascii="Arial" w:cs="Arial" w:eastAsia="Arial" w:hAnsi="Arial"/>
          <w:sz w:val="18"/>
          <w:szCs w:val="18"/>
          <w:b w:val="1"/>
          <w:bCs w:val="1"/>
          <w:color w:val="auto"/>
        </w:rPr>
        <w:t>12.5.4</w:t>
      </w:r>
      <w:r>
        <w:rPr>
          <w:sz w:val="20"/>
          <w:szCs w:val="20"/>
          <w:color w:val="auto"/>
        </w:rPr>
        <w:tab/>
      </w:r>
      <w:r>
        <w:rPr>
          <w:rFonts w:ascii="Arial" w:cs="Arial" w:eastAsia="Arial" w:hAnsi="Arial"/>
          <w:sz w:val="16"/>
          <w:szCs w:val="16"/>
          <w:color w:val="auto"/>
        </w:rPr>
        <w:t>Point of sale terminal support;</w:t>
      </w:r>
    </w:p>
    <w:p>
      <w:pPr>
        <w:spacing w:after="0" w:line="225" w:lineRule="exact"/>
        <w:rPr>
          <w:sz w:val="20"/>
          <w:szCs w:val="20"/>
          <w:color w:val="auto"/>
        </w:rPr>
      </w:pPr>
    </w:p>
    <w:p>
      <w:pPr>
        <w:ind w:left="1960"/>
        <w:spacing w:after="0"/>
        <w:tabs>
          <w:tab w:leader="none" w:pos="2600" w:val="left"/>
        </w:tabs>
        <w:rPr>
          <w:sz w:val="20"/>
          <w:szCs w:val="20"/>
          <w:color w:val="auto"/>
        </w:rPr>
      </w:pPr>
      <w:r>
        <w:rPr>
          <w:rFonts w:ascii="Arial" w:cs="Arial" w:eastAsia="Arial" w:hAnsi="Arial"/>
          <w:sz w:val="18"/>
          <w:szCs w:val="18"/>
          <w:b w:val="1"/>
          <w:bCs w:val="1"/>
          <w:color w:val="auto"/>
        </w:rPr>
        <w:t>12.5.5</w:t>
      </w:r>
      <w:r>
        <w:rPr>
          <w:sz w:val="20"/>
          <w:szCs w:val="20"/>
          <w:color w:val="auto"/>
        </w:rPr>
        <w:tab/>
      </w:r>
      <w:r>
        <w:rPr>
          <w:rFonts w:ascii="Arial" w:cs="Arial" w:eastAsia="Arial" w:hAnsi="Arial"/>
          <w:sz w:val="16"/>
          <w:szCs w:val="16"/>
          <w:color w:val="auto"/>
        </w:rPr>
        <w:t>Phone and cell phone support;</w:t>
      </w:r>
    </w:p>
    <w:p>
      <w:pPr>
        <w:spacing w:after="0" w:line="225" w:lineRule="exact"/>
        <w:rPr>
          <w:sz w:val="20"/>
          <w:szCs w:val="20"/>
          <w:color w:val="auto"/>
        </w:rPr>
      </w:pPr>
    </w:p>
    <w:p>
      <w:pPr>
        <w:ind w:left="1960"/>
        <w:spacing w:after="0"/>
        <w:tabs>
          <w:tab w:leader="none" w:pos="2600" w:val="left"/>
        </w:tabs>
        <w:rPr>
          <w:sz w:val="20"/>
          <w:szCs w:val="20"/>
          <w:color w:val="auto"/>
        </w:rPr>
      </w:pPr>
      <w:r>
        <w:rPr>
          <w:rFonts w:ascii="Arial" w:cs="Arial" w:eastAsia="Arial" w:hAnsi="Arial"/>
          <w:sz w:val="18"/>
          <w:szCs w:val="18"/>
          <w:b w:val="1"/>
          <w:bCs w:val="1"/>
          <w:color w:val="auto"/>
        </w:rPr>
        <w:t>12.5.6</w:t>
      </w:r>
      <w:r>
        <w:rPr>
          <w:sz w:val="20"/>
          <w:szCs w:val="20"/>
          <w:color w:val="auto"/>
        </w:rPr>
        <w:tab/>
      </w:r>
      <w:r>
        <w:rPr>
          <w:rFonts w:ascii="Arial" w:cs="Arial" w:eastAsia="Arial" w:hAnsi="Arial"/>
          <w:sz w:val="16"/>
          <w:szCs w:val="16"/>
          <w:color w:val="auto"/>
        </w:rPr>
        <w:t>Student and faculty technical support;</w:t>
      </w:r>
    </w:p>
    <w:p>
      <w:pPr>
        <w:spacing w:after="0" w:line="225" w:lineRule="exact"/>
        <w:rPr>
          <w:sz w:val="20"/>
          <w:szCs w:val="20"/>
          <w:color w:val="auto"/>
        </w:rPr>
      </w:pPr>
    </w:p>
    <w:p>
      <w:pPr>
        <w:jc w:val="center"/>
        <w:ind w:right="-239"/>
        <w:spacing w:after="0"/>
        <w:tabs>
          <w:tab w:leader="none" w:pos="200" w:val="left"/>
        </w:tabs>
        <w:rPr>
          <w:sz w:val="20"/>
          <w:szCs w:val="20"/>
          <w:color w:val="auto"/>
        </w:rPr>
      </w:pPr>
      <w:r>
        <w:rPr>
          <w:rFonts w:ascii="Arial" w:cs="Arial" w:eastAsia="Arial" w:hAnsi="Arial"/>
          <w:sz w:val="18"/>
          <w:szCs w:val="18"/>
          <w:b w:val="1"/>
          <w:bCs w:val="1"/>
          <w:color w:val="auto"/>
        </w:rPr>
        <w:t>12.5.7</w:t>
      </w:r>
      <w:r>
        <w:rPr>
          <w:sz w:val="20"/>
          <w:szCs w:val="20"/>
          <w:color w:val="auto"/>
        </w:rPr>
        <w:tab/>
      </w:r>
      <w:r>
        <w:rPr>
          <w:rFonts w:ascii="Arial" w:cs="Arial" w:eastAsia="Arial" w:hAnsi="Arial"/>
          <w:sz w:val="16"/>
          <w:szCs w:val="16"/>
          <w:color w:val="auto"/>
        </w:rPr>
        <w:t>Staff and student software application support on applications built or sourced for University; and</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Exhibit 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60" w:name="page61"/>
    <w:bookmarkEnd w:id="60"/>
    <w:p>
      <w:pPr>
        <w:ind w:left="1960"/>
        <w:spacing w:after="0"/>
        <w:tabs>
          <w:tab w:leader="none" w:pos="2600" w:val="left"/>
        </w:tabs>
        <w:rPr>
          <w:sz w:val="20"/>
          <w:szCs w:val="20"/>
          <w:color w:val="auto"/>
        </w:rPr>
      </w:pPr>
      <w:r>
        <w:rPr>
          <w:rFonts w:ascii="Arial" w:cs="Arial" w:eastAsia="Arial" w:hAnsi="Arial"/>
          <w:sz w:val="18"/>
          <w:szCs w:val="18"/>
          <w:b w:val="1"/>
          <w:bCs w:val="1"/>
          <w:color w:val="auto"/>
        </w:rPr>
        <w:t>12.5.8</w:t>
      </w:r>
      <w:r>
        <w:rPr>
          <w:sz w:val="20"/>
          <w:szCs w:val="20"/>
          <w:color w:val="auto"/>
        </w:rPr>
        <w:tab/>
      </w:r>
      <w:r>
        <w:rPr>
          <w:rFonts w:ascii="Arial" w:cs="Arial" w:eastAsia="Arial" w:hAnsi="Arial"/>
          <w:sz w:val="16"/>
          <w:szCs w:val="16"/>
          <w:color w:val="auto"/>
        </w:rPr>
        <w:t>Cybersecurity services, support and incident response for all infrastructure and software provided by Provider.</w:t>
      </w:r>
    </w:p>
    <w:p>
      <w:pPr>
        <w:spacing w:after="0" w:line="225" w:lineRule="exact"/>
        <w:rPr>
          <w:sz w:val="20"/>
          <w:szCs w:val="20"/>
          <w:color w:val="auto"/>
        </w:rPr>
      </w:pPr>
    </w:p>
    <w:p>
      <w:pPr>
        <w:ind w:right="20" w:firstLine="1297"/>
        <w:spacing w:after="0" w:line="282" w:lineRule="auto"/>
        <w:rPr>
          <w:sz w:val="20"/>
          <w:szCs w:val="20"/>
          <w:color w:val="auto"/>
        </w:rPr>
      </w:pPr>
      <w:r>
        <w:rPr>
          <w:rFonts w:ascii="Arial" w:cs="Arial" w:eastAsia="Arial" w:hAnsi="Arial"/>
          <w:sz w:val="18"/>
          <w:szCs w:val="18"/>
          <w:b w:val="1"/>
          <w:bCs w:val="1"/>
          <w:color w:val="auto"/>
        </w:rPr>
        <w:t xml:space="preserve">12.6 </w:t>
      </w:r>
      <w:r>
        <w:rPr>
          <w:rFonts w:ascii="Arial" w:cs="Arial" w:eastAsia="Arial" w:hAnsi="Arial"/>
          <w:sz w:val="18"/>
          <w:szCs w:val="18"/>
          <w:color w:val="auto"/>
        </w:rPr>
        <w:t>Subject to the exclusions described in Section 12.7 below, capabilities that Provider will provide to University include, but are not</w:t>
      </w:r>
      <w:r>
        <w:rPr>
          <w:rFonts w:ascii="Arial" w:cs="Arial" w:eastAsia="Arial" w:hAnsi="Arial"/>
          <w:sz w:val="18"/>
          <w:szCs w:val="18"/>
          <w:b w:val="1"/>
          <w:bCs w:val="1"/>
          <w:color w:val="auto"/>
        </w:rPr>
        <w:t xml:space="preserve"> </w:t>
      </w:r>
      <w:r>
        <w:rPr>
          <w:rFonts w:ascii="Arial" w:cs="Arial" w:eastAsia="Arial" w:hAnsi="Arial"/>
          <w:sz w:val="18"/>
          <w:szCs w:val="18"/>
          <w:color w:val="auto"/>
        </w:rPr>
        <w:t>limited to, the following:</w:t>
      </w:r>
    </w:p>
    <w:p>
      <w:pPr>
        <w:spacing w:after="0" w:line="162" w:lineRule="exact"/>
        <w:rPr>
          <w:sz w:val="20"/>
          <w:szCs w:val="20"/>
          <w:color w:val="auto"/>
        </w:rPr>
      </w:pPr>
    </w:p>
    <w:p>
      <w:pPr>
        <w:ind w:left="1960"/>
        <w:spacing w:after="0"/>
        <w:tabs>
          <w:tab w:leader="none" w:pos="2600" w:val="left"/>
        </w:tabs>
        <w:rPr>
          <w:sz w:val="20"/>
          <w:szCs w:val="20"/>
          <w:color w:val="auto"/>
        </w:rPr>
      </w:pPr>
      <w:r>
        <w:rPr>
          <w:rFonts w:ascii="Arial" w:cs="Arial" w:eastAsia="Arial" w:hAnsi="Arial"/>
          <w:sz w:val="18"/>
          <w:szCs w:val="18"/>
          <w:b w:val="1"/>
          <w:bCs w:val="1"/>
          <w:color w:val="auto"/>
        </w:rPr>
        <w:t>12.6.1</w:t>
      </w:r>
      <w:r>
        <w:rPr>
          <w:sz w:val="20"/>
          <w:szCs w:val="20"/>
          <w:color w:val="auto"/>
        </w:rPr>
        <w:tab/>
      </w:r>
      <w:r>
        <w:rPr>
          <w:rFonts w:ascii="Arial" w:cs="Arial" w:eastAsia="Arial" w:hAnsi="Arial"/>
          <w:sz w:val="16"/>
          <w:szCs w:val="16"/>
          <w:color w:val="auto"/>
        </w:rPr>
        <w:t>Campus networking;</w:t>
      </w:r>
    </w:p>
    <w:p>
      <w:pPr>
        <w:spacing w:after="0" w:line="225" w:lineRule="exact"/>
        <w:rPr>
          <w:sz w:val="20"/>
          <w:szCs w:val="20"/>
          <w:color w:val="auto"/>
        </w:rPr>
      </w:pPr>
    </w:p>
    <w:p>
      <w:pPr>
        <w:ind w:left="1960"/>
        <w:spacing w:after="0"/>
        <w:tabs>
          <w:tab w:leader="none" w:pos="2600" w:val="left"/>
        </w:tabs>
        <w:rPr>
          <w:sz w:val="20"/>
          <w:szCs w:val="20"/>
          <w:color w:val="auto"/>
        </w:rPr>
      </w:pPr>
      <w:r>
        <w:rPr>
          <w:rFonts w:ascii="Arial" w:cs="Arial" w:eastAsia="Arial" w:hAnsi="Arial"/>
          <w:sz w:val="18"/>
          <w:szCs w:val="18"/>
          <w:b w:val="1"/>
          <w:bCs w:val="1"/>
          <w:color w:val="auto"/>
        </w:rPr>
        <w:t>12.6.2</w:t>
      </w:r>
      <w:r>
        <w:rPr>
          <w:sz w:val="20"/>
          <w:szCs w:val="20"/>
          <w:color w:val="auto"/>
        </w:rPr>
        <w:tab/>
      </w:r>
      <w:r>
        <w:rPr>
          <w:rFonts w:ascii="Arial" w:cs="Arial" w:eastAsia="Arial" w:hAnsi="Arial"/>
          <w:sz w:val="16"/>
          <w:szCs w:val="16"/>
          <w:color w:val="auto"/>
        </w:rPr>
        <w:t>Campus wireless;</w:t>
      </w:r>
    </w:p>
    <w:p>
      <w:pPr>
        <w:spacing w:after="0" w:line="225" w:lineRule="exact"/>
        <w:rPr>
          <w:sz w:val="20"/>
          <w:szCs w:val="20"/>
          <w:color w:val="auto"/>
        </w:rPr>
      </w:pPr>
    </w:p>
    <w:p>
      <w:pPr>
        <w:ind w:left="1960"/>
        <w:spacing w:after="0"/>
        <w:tabs>
          <w:tab w:leader="none" w:pos="2600" w:val="left"/>
        </w:tabs>
        <w:rPr>
          <w:sz w:val="20"/>
          <w:szCs w:val="20"/>
          <w:color w:val="auto"/>
        </w:rPr>
      </w:pPr>
      <w:r>
        <w:rPr>
          <w:rFonts w:ascii="Arial" w:cs="Arial" w:eastAsia="Arial" w:hAnsi="Arial"/>
          <w:sz w:val="18"/>
          <w:szCs w:val="18"/>
          <w:b w:val="1"/>
          <w:bCs w:val="1"/>
          <w:color w:val="auto"/>
        </w:rPr>
        <w:t>12.6.3</w:t>
      </w:r>
      <w:r>
        <w:rPr>
          <w:sz w:val="20"/>
          <w:szCs w:val="20"/>
          <w:color w:val="auto"/>
        </w:rPr>
        <w:tab/>
      </w:r>
      <w:r>
        <w:rPr>
          <w:rFonts w:ascii="Arial" w:cs="Arial" w:eastAsia="Arial" w:hAnsi="Arial"/>
          <w:sz w:val="15"/>
          <w:szCs w:val="15"/>
          <w:color w:val="auto"/>
        </w:rPr>
        <w:t>Campus phone services;</w:t>
      </w:r>
    </w:p>
    <w:p>
      <w:pPr>
        <w:spacing w:after="0" w:line="225" w:lineRule="exact"/>
        <w:rPr>
          <w:sz w:val="20"/>
          <w:szCs w:val="20"/>
          <w:color w:val="auto"/>
        </w:rPr>
      </w:pPr>
    </w:p>
    <w:p>
      <w:pPr>
        <w:ind w:left="1960"/>
        <w:spacing w:after="0"/>
        <w:tabs>
          <w:tab w:leader="none" w:pos="2600" w:val="left"/>
        </w:tabs>
        <w:rPr>
          <w:sz w:val="20"/>
          <w:szCs w:val="20"/>
          <w:color w:val="auto"/>
        </w:rPr>
      </w:pPr>
      <w:r>
        <w:rPr>
          <w:rFonts w:ascii="Arial" w:cs="Arial" w:eastAsia="Arial" w:hAnsi="Arial"/>
          <w:sz w:val="18"/>
          <w:szCs w:val="18"/>
          <w:b w:val="1"/>
          <w:bCs w:val="1"/>
          <w:color w:val="auto"/>
        </w:rPr>
        <w:t>12.6.4</w:t>
      </w:r>
      <w:r>
        <w:rPr>
          <w:sz w:val="20"/>
          <w:szCs w:val="20"/>
          <w:color w:val="auto"/>
        </w:rPr>
        <w:tab/>
      </w:r>
      <w:r>
        <w:rPr>
          <w:rFonts w:ascii="Arial" w:cs="Arial" w:eastAsia="Arial" w:hAnsi="Arial"/>
          <w:sz w:val="16"/>
          <w:szCs w:val="16"/>
          <w:color w:val="auto"/>
        </w:rPr>
        <w:t>Student software licensing;</w:t>
      </w:r>
    </w:p>
    <w:p>
      <w:pPr>
        <w:spacing w:after="0" w:line="225" w:lineRule="exact"/>
        <w:rPr>
          <w:sz w:val="20"/>
          <w:szCs w:val="20"/>
          <w:color w:val="auto"/>
        </w:rPr>
      </w:pPr>
    </w:p>
    <w:p>
      <w:pPr>
        <w:ind w:left="1960"/>
        <w:spacing w:after="0"/>
        <w:tabs>
          <w:tab w:leader="none" w:pos="2600" w:val="left"/>
        </w:tabs>
        <w:rPr>
          <w:sz w:val="20"/>
          <w:szCs w:val="20"/>
          <w:color w:val="auto"/>
        </w:rPr>
      </w:pPr>
      <w:r>
        <w:rPr>
          <w:rFonts w:ascii="Arial" w:cs="Arial" w:eastAsia="Arial" w:hAnsi="Arial"/>
          <w:sz w:val="18"/>
          <w:szCs w:val="18"/>
          <w:b w:val="1"/>
          <w:bCs w:val="1"/>
          <w:color w:val="auto"/>
        </w:rPr>
        <w:t>12.6.5</w:t>
      </w:r>
      <w:r>
        <w:rPr>
          <w:sz w:val="20"/>
          <w:szCs w:val="20"/>
          <w:color w:val="auto"/>
        </w:rPr>
        <w:tab/>
      </w:r>
      <w:r>
        <w:rPr>
          <w:rFonts w:ascii="Arial" w:cs="Arial" w:eastAsia="Arial" w:hAnsi="Arial"/>
          <w:sz w:val="16"/>
          <w:szCs w:val="16"/>
          <w:color w:val="auto"/>
        </w:rPr>
        <w:t>Library integrations; and</w:t>
      </w:r>
    </w:p>
    <w:p>
      <w:pPr>
        <w:spacing w:after="0" w:line="225" w:lineRule="exact"/>
        <w:rPr>
          <w:sz w:val="20"/>
          <w:szCs w:val="20"/>
          <w:color w:val="auto"/>
        </w:rPr>
      </w:pPr>
    </w:p>
    <w:p>
      <w:pPr>
        <w:ind w:left="1960"/>
        <w:spacing w:after="0"/>
        <w:tabs>
          <w:tab w:leader="none" w:pos="2600" w:val="left"/>
        </w:tabs>
        <w:rPr>
          <w:sz w:val="20"/>
          <w:szCs w:val="20"/>
          <w:color w:val="auto"/>
        </w:rPr>
      </w:pPr>
      <w:r>
        <w:rPr>
          <w:rFonts w:ascii="Arial" w:cs="Arial" w:eastAsia="Arial" w:hAnsi="Arial"/>
          <w:sz w:val="18"/>
          <w:szCs w:val="18"/>
          <w:b w:val="1"/>
          <w:bCs w:val="1"/>
          <w:color w:val="auto"/>
        </w:rPr>
        <w:t>12.6.6</w:t>
      </w:r>
      <w:r>
        <w:rPr>
          <w:sz w:val="20"/>
          <w:szCs w:val="20"/>
          <w:color w:val="auto"/>
        </w:rPr>
        <w:tab/>
      </w:r>
      <w:r>
        <w:rPr>
          <w:rFonts w:ascii="Arial" w:cs="Arial" w:eastAsia="Arial" w:hAnsi="Arial"/>
          <w:sz w:val="16"/>
          <w:szCs w:val="16"/>
          <w:color w:val="auto"/>
        </w:rPr>
        <w:t>Data analytics/reporting.</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12.7</w:t>
      </w:r>
      <w:r>
        <w:rPr>
          <w:sz w:val="20"/>
          <w:szCs w:val="20"/>
          <w:color w:val="auto"/>
        </w:rPr>
        <w:tab/>
      </w:r>
      <w:r>
        <w:rPr>
          <w:rFonts w:ascii="Arial" w:cs="Arial" w:eastAsia="Arial" w:hAnsi="Arial"/>
          <w:sz w:val="16"/>
          <w:szCs w:val="16"/>
          <w:color w:val="auto"/>
        </w:rPr>
        <w:t>Capabilities and services that are not included as part of this Agreement include:</w:t>
      </w:r>
    </w:p>
    <w:p>
      <w:pPr>
        <w:spacing w:after="0" w:line="225" w:lineRule="exact"/>
        <w:rPr>
          <w:sz w:val="20"/>
          <w:szCs w:val="20"/>
          <w:color w:val="auto"/>
        </w:rPr>
      </w:pPr>
    </w:p>
    <w:p>
      <w:pPr>
        <w:ind w:left="1960"/>
        <w:spacing w:after="0"/>
        <w:tabs>
          <w:tab w:leader="none" w:pos="2600" w:val="left"/>
        </w:tabs>
        <w:rPr>
          <w:sz w:val="20"/>
          <w:szCs w:val="20"/>
          <w:color w:val="auto"/>
        </w:rPr>
      </w:pPr>
      <w:r>
        <w:rPr>
          <w:rFonts w:ascii="Arial" w:cs="Arial" w:eastAsia="Arial" w:hAnsi="Arial"/>
          <w:sz w:val="18"/>
          <w:szCs w:val="18"/>
          <w:b w:val="1"/>
          <w:bCs w:val="1"/>
          <w:color w:val="auto"/>
        </w:rPr>
        <w:t>12.7.1</w:t>
      </w:r>
      <w:r>
        <w:rPr>
          <w:sz w:val="20"/>
          <w:szCs w:val="20"/>
          <w:color w:val="auto"/>
        </w:rPr>
        <w:tab/>
      </w:r>
      <w:r>
        <w:rPr>
          <w:rFonts w:ascii="Arial" w:cs="Arial" w:eastAsia="Arial" w:hAnsi="Arial"/>
          <w:sz w:val="16"/>
          <w:szCs w:val="16"/>
          <w:color w:val="auto"/>
        </w:rPr>
        <w:t>Engineering lab support or maintenance other than desktop, network and phone; and</w:t>
      </w:r>
    </w:p>
    <w:p>
      <w:pPr>
        <w:spacing w:after="0" w:line="225" w:lineRule="exact"/>
        <w:rPr>
          <w:sz w:val="20"/>
          <w:szCs w:val="20"/>
          <w:color w:val="auto"/>
        </w:rPr>
      </w:pPr>
    </w:p>
    <w:p>
      <w:pPr>
        <w:ind w:left="1960"/>
        <w:spacing w:after="0"/>
        <w:tabs>
          <w:tab w:leader="none" w:pos="2600" w:val="left"/>
        </w:tabs>
        <w:rPr>
          <w:sz w:val="20"/>
          <w:szCs w:val="20"/>
          <w:color w:val="auto"/>
        </w:rPr>
      </w:pPr>
      <w:r>
        <w:rPr>
          <w:rFonts w:ascii="Arial" w:cs="Arial" w:eastAsia="Arial" w:hAnsi="Arial"/>
          <w:sz w:val="18"/>
          <w:szCs w:val="18"/>
          <w:b w:val="1"/>
          <w:bCs w:val="1"/>
          <w:color w:val="auto"/>
        </w:rPr>
        <w:t>12.7.2</w:t>
      </w:r>
      <w:r>
        <w:rPr>
          <w:sz w:val="20"/>
          <w:szCs w:val="20"/>
          <w:color w:val="auto"/>
        </w:rPr>
        <w:tab/>
      </w:r>
      <w:r>
        <w:rPr>
          <w:rFonts w:ascii="Arial" w:cs="Arial" w:eastAsia="Arial" w:hAnsi="Arial"/>
          <w:sz w:val="16"/>
          <w:szCs w:val="16"/>
          <w:color w:val="auto"/>
        </w:rPr>
        <w:t>Healthcare lab support or maintenance other than desktop, network and phone.</w:t>
      </w:r>
    </w:p>
    <w:p>
      <w:pPr>
        <w:spacing w:after="0" w:line="225" w:lineRule="exact"/>
        <w:rPr>
          <w:sz w:val="20"/>
          <w:szCs w:val="20"/>
          <w:color w:val="auto"/>
        </w:rPr>
      </w:pPr>
    </w:p>
    <w:p>
      <w:pPr>
        <w:ind w:right="20" w:firstLine="1297"/>
        <w:spacing w:after="0" w:line="266" w:lineRule="auto"/>
        <w:rPr>
          <w:sz w:val="20"/>
          <w:szCs w:val="20"/>
          <w:color w:val="auto"/>
        </w:rPr>
      </w:pPr>
      <w:r>
        <w:rPr>
          <w:rFonts w:ascii="Arial" w:cs="Arial" w:eastAsia="Arial" w:hAnsi="Arial"/>
          <w:sz w:val="18"/>
          <w:szCs w:val="18"/>
          <w:b w:val="1"/>
          <w:bCs w:val="1"/>
          <w:color w:val="auto"/>
        </w:rPr>
        <w:t xml:space="preserve">12.8 </w:t>
      </w:r>
      <w:r>
        <w:rPr>
          <w:rFonts w:ascii="Arial" w:cs="Arial" w:eastAsia="Arial" w:hAnsi="Arial"/>
          <w:sz w:val="18"/>
          <w:szCs w:val="18"/>
          <w:color w:val="auto"/>
        </w:rPr>
        <w:t>Anything in the foregoing to the contrary notwithstanding, University shall be responsible for all third party expenses and charges</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associated with campus Internet access and other telecom services for students, faculty, staff and others, including with respect to computers, audio/visual equipment, other hardware, and television/cable services.</w:t>
      </w:r>
    </w:p>
    <w:p>
      <w:pPr>
        <w:spacing w:after="0" w:line="176" w:lineRule="exact"/>
        <w:rPr>
          <w:sz w:val="20"/>
          <w:szCs w:val="20"/>
          <w:color w:val="auto"/>
        </w:rPr>
      </w:pPr>
    </w:p>
    <w:p>
      <w:pPr>
        <w:ind w:firstLine="1297"/>
        <w:spacing w:after="0" w:line="258" w:lineRule="auto"/>
        <w:rPr>
          <w:sz w:val="20"/>
          <w:szCs w:val="20"/>
          <w:color w:val="auto"/>
        </w:rPr>
      </w:pPr>
      <w:r>
        <w:rPr>
          <w:rFonts w:ascii="Arial" w:cs="Arial" w:eastAsia="Arial" w:hAnsi="Arial"/>
          <w:sz w:val="18"/>
          <w:szCs w:val="18"/>
          <w:b w:val="1"/>
          <w:bCs w:val="1"/>
          <w:color w:val="auto"/>
        </w:rPr>
        <w:t xml:space="preserve">12.9 </w:t>
      </w:r>
      <w:r>
        <w:rPr>
          <w:rFonts w:ascii="Arial" w:cs="Arial" w:eastAsia="Arial" w:hAnsi="Arial"/>
          <w:sz w:val="18"/>
          <w:szCs w:val="18"/>
          <w:color w:val="auto"/>
        </w:rPr>
        <w:t>Provider and University’s designated IT liaisons will meet on a regular basis to review current work and backlog of requested</w:t>
      </w:r>
      <w:r>
        <w:rPr>
          <w:rFonts w:ascii="Arial" w:cs="Arial" w:eastAsia="Arial" w:hAnsi="Arial"/>
          <w:sz w:val="18"/>
          <w:szCs w:val="18"/>
          <w:b w:val="1"/>
          <w:bCs w:val="1"/>
          <w:color w:val="auto"/>
        </w:rPr>
        <w:t xml:space="preserve"> </w:t>
      </w:r>
      <w:r>
        <w:rPr>
          <w:rFonts w:ascii="Arial" w:cs="Arial" w:eastAsia="Arial" w:hAnsi="Arial"/>
          <w:sz w:val="18"/>
          <w:szCs w:val="18"/>
          <w:color w:val="auto"/>
        </w:rPr>
        <w:t>changes to IT systems, services or capabilities. University’s designated IT liaisons will participate in setting the priorities of work being done on their behalf. Provider will propose and get approval for standard and exceptional system maintenance windows and provide advance documentation of all changes occurring during a maintenance window. When appropriate, University will be part of the validation testing after the maintenance occurs and will decide whether the changes are accepted or should be rolled back.</w:t>
      </w:r>
    </w:p>
    <w:p>
      <w:pPr>
        <w:spacing w:after="0" w:line="184" w:lineRule="exact"/>
        <w:rPr>
          <w:sz w:val="20"/>
          <w:szCs w:val="20"/>
          <w:color w:val="auto"/>
        </w:rPr>
      </w:pPr>
    </w:p>
    <w:p>
      <w:pPr>
        <w:ind w:right="420" w:firstLine="656"/>
        <w:spacing w:after="0" w:line="282" w:lineRule="auto"/>
        <w:tabs>
          <w:tab w:leader="none" w:pos="1323"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Business Analytics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Based on University’s determination of the type of information needed, Provider will provide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analytics to support the operational as well as academic departments of University.</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Exhibit 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61" w:name="page62"/>
    <w:bookmarkEnd w:id="61"/>
    <w:p>
      <w:pPr>
        <w:ind w:left="1300" w:hanging="644"/>
        <w:spacing w:after="0"/>
        <w:tabs>
          <w:tab w:leader="none" w:pos="130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Faculty Operations</w:t>
      </w:r>
      <w:r>
        <w:rPr>
          <w:rFonts w:ascii="Arial" w:cs="Arial" w:eastAsia="Arial" w:hAnsi="Arial"/>
          <w:sz w:val="18"/>
          <w:szCs w:val="18"/>
          <w:b w:val="1"/>
          <w:bCs w:val="1"/>
          <w:color w:val="auto"/>
        </w:rPr>
        <w:t>.</w:t>
      </w:r>
    </w:p>
    <w:p>
      <w:pPr>
        <w:spacing w:after="0" w:line="225" w:lineRule="exact"/>
        <w:rPr>
          <w:sz w:val="20"/>
          <w:szCs w:val="20"/>
          <w:color w:val="auto"/>
        </w:rPr>
      </w:pPr>
    </w:p>
    <w:p>
      <w:pPr>
        <w:ind w:right="180" w:firstLine="1297"/>
        <w:spacing w:after="0" w:line="261" w:lineRule="auto"/>
        <w:rPr>
          <w:sz w:val="20"/>
          <w:szCs w:val="20"/>
          <w:color w:val="auto"/>
        </w:rPr>
      </w:pPr>
      <w:r>
        <w:rPr>
          <w:rFonts w:ascii="Arial" w:cs="Arial" w:eastAsia="Arial" w:hAnsi="Arial"/>
          <w:sz w:val="18"/>
          <w:szCs w:val="18"/>
          <w:b w:val="1"/>
          <w:bCs w:val="1"/>
          <w:color w:val="auto"/>
        </w:rPr>
        <w:t xml:space="preserve">14.1 </w:t>
      </w:r>
      <w:r>
        <w:rPr>
          <w:rFonts w:ascii="Arial" w:cs="Arial" w:eastAsia="Arial" w:hAnsi="Arial"/>
          <w:sz w:val="18"/>
          <w:szCs w:val="18"/>
          <w:color w:val="auto"/>
        </w:rPr>
        <w:t>Under the direction of University and University faculty, Provider will recruit and schedule faculty based on qualifications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expressed needs of University and its colleges. Provider will screen candidates and schedule faculty based on policies created by University’s colleges and faculty. University college deans will be responsible for determining who is hired as University faculty and who is qualified to teach respective Courses. [***]</w:t>
      </w:r>
    </w:p>
    <w:p>
      <w:pPr>
        <w:spacing w:after="0" w:line="180" w:lineRule="exact"/>
        <w:rPr>
          <w:sz w:val="20"/>
          <w:szCs w:val="20"/>
          <w:color w:val="auto"/>
        </w:rPr>
      </w:pPr>
    </w:p>
    <w:p>
      <w:pPr>
        <w:ind w:right="60" w:firstLine="1297"/>
        <w:spacing w:after="0" w:line="289" w:lineRule="auto"/>
        <w:rPr>
          <w:sz w:val="20"/>
          <w:szCs w:val="20"/>
          <w:color w:val="auto"/>
        </w:rPr>
      </w:pPr>
      <w:r>
        <w:rPr>
          <w:rFonts w:ascii="Arial" w:cs="Arial" w:eastAsia="Arial" w:hAnsi="Arial"/>
          <w:sz w:val="17"/>
          <w:szCs w:val="17"/>
          <w:b w:val="1"/>
          <w:bCs w:val="1"/>
          <w:color w:val="auto"/>
        </w:rPr>
        <w:t xml:space="preserve">14.2 </w:t>
      </w:r>
      <w:r>
        <w:rPr>
          <w:rFonts w:ascii="Arial" w:cs="Arial" w:eastAsia="Arial" w:hAnsi="Arial"/>
          <w:sz w:val="17"/>
          <w:szCs w:val="17"/>
          <w:color w:val="auto"/>
        </w:rPr>
        <w:t>Under the direction of University college deans and faculty, Provider will [***]. Provider will evaluate adjunct faculty according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to University standards and provide evaluation results to University college deans. Provider will support University colleges in processing evaluations; </w:t>
      </w:r>
      <w:r>
        <w:rPr>
          <w:rFonts w:ascii="Arial" w:cs="Arial" w:eastAsia="Arial" w:hAnsi="Arial"/>
          <w:sz w:val="17"/>
          <w:szCs w:val="17"/>
          <w:u w:val="single" w:color="auto"/>
          <w:color w:val="auto"/>
        </w:rPr>
        <w:t>provided</w:t>
      </w:r>
      <w:r>
        <w:rPr>
          <w:rFonts w:ascii="Arial" w:cs="Arial" w:eastAsia="Arial" w:hAnsi="Arial"/>
          <w:sz w:val="17"/>
          <w:szCs w:val="17"/>
          <w:color w:val="auto"/>
        </w:rPr>
        <w:t>, that University and its college deans shall determine employment statuses including terminations of all faculty and adjuncts.</w:t>
      </w:r>
    </w:p>
    <w:p>
      <w:pPr>
        <w:spacing w:after="0" w:line="158" w:lineRule="exact"/>
        <w:rPr>
          <w:sz w:val="20"/>
          <w:szCs w:val="20"/>
          <w:color w:val="auto"/>
        </w:rPr>
      </w:pPr>
    </w:p>
    <w:p>
      <w:pPr>
        <w:ind w:left="1340" w:hanging="684"/>
        <w:spacing w:after="0"/>
        <w:tabs>
          <w:tab w:leader="none" w:pos="134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Compliance Monitoring and Audits</w:t>
      </w:r>
      <w:r>
        <w:rPr>
          <w:rFonts w:ascii="Arial" w:cs="Arial" w:eastAsia="Arial" w:hAnsi="Arial"/>
          <w:sz w:val="18"/>
          <w:szCs w:val="18"/>
          <w:b w:val="1"/>
          <w:bCs w:val="1"/>
          <w:color w:val="auto"/>
        </w:rPr>
        <w:t xml:space="preserve">. </w:t>
      </w:r>
      <w:r>
        <w:rPr>
          <w:rFonts w:ascii="Arial" w:cs="Arial" w:eastAsia="Arial" w:hAnsi="Arial"/>
          <w:sz w:val="18"/>
          <w:szCs w:val="18"/>
          <w:color w:val="auto"/>
        </w:rPr>
        <w:t>In furtherance of, but subject to, Section 5.4 (Examinations) of the Agreement:</w:t>
      </w:r>
    </w:p>
    <w:p>
      <w:pPr>
        <w:spacing w:after="0" w:line="225" w:lineRule="exact"/>
        <w:rPr>
          <w:sz w:val="20"/>
          <w:szCs w:val="20"/>
          <w:color w:val="auto"/>
        </w:rPr>
      </w:pPr>
    </w:p>
    <w:p>
      <w:pPr>
        <w:ind w:right="20" w:firstLine="1297"/>
        <w:spacing w:after="0" w:line="255" w:lineRule="auto"/>
        <w:rPr>
          <w:sz w:val="20"/>
          <w:szCs w:val="20"/>
          <w:color w:val="auto"/>
        </w:rPr>
      </w:pPr>
      <w:r>
        <w:rPr>
          <w:rFonts w:ascii="Arial" w:cs="Arial" w:eastAsia="Arial" w:hAnsi="Arial"/>
          <w:sz w:val="18"/>
          <w:szCs w:val="18"/>
          <w:b w:val="1"/>
          <w:bCs w:val="1"/>
          <w:color w:val="auto"/>
        </w:rPr>
        <w:t xml:space="preserve">15.1 </w:t>
      </w:r>
      <w:r>
        <w:rPr>
          <w:rFonts w:ascii="Arial" w:cs="Arial" w:eastAsia="Arial" w:hAnsi="Arial"/>
          <w:sz w:val="18"/>
          <w:szCs w:val="18"/>
          <w:color w:val="auto"/>
        </w:rPr>
        <w:t>Provider shall (a) measure, monitor, and track the performance of its Services, conduct internal audits and self-testing, and</w:t>
      </w:r>
      <w:r>
        <w:rPr>
          <w:rFonts w:ascii="Arial" w:cs="Arial" w:eastAsia="Arial" w:hAnsi="Arial"/>
          <w:sz w:val="18"/>
          <w:szCs w:val="18"/>
          <w:b w:val="1"/>
          <w:bCs w:val="1"/>
          <w:color w:val="auto"/>
        </w:rPr>
        <w:t xml:space="preserve"> </w:t>
      </w:r>
      <w:r>
        <w:rPr>
          <w:rFonts w:ascii="Arial" w:cs="Arial" w:eastAsia="Arial" w:hAnsi="Arial"/>
          <w:sz w:val="18"/>
          <w:szCs w:val="18"/>
          <w:color w:val="auto"/>
        </w:rPr>
        <w:t>compare such performance to the standards and other specifications and standards provided for in this Agreement, (b) detect and promptly cure deficiencies, and (c) report such performance, deficiencies and cures to University on a quarterly or other basis as agreed between the Parties in a form mutually agreed by the Parties from time to time. Such assessment of the performance of Provider’s Services shall include providing University an opportunity to assess or comment to Provider on Provider’s performance of its Services, irrespective of any other measurements. If required by Applicable Law, Provider shall also provide to University, initially and on an annual basis thereafter, a copy of a Statement on Standards for Attestation Engagements (SSAE) No. 16 report obtained by Provider from an auditing firm reasonably acceptable to University with respect to Provider’s operations related to its Services under this Agreement.</w:t>
      </w:r>
    </w:p>
    <w:p>
      <w:pPr>
        <w:spacing w:after="0" w:line="185" w:lineRule="exact"/>
        <w:rPr>
          <w:sz w:val="20"/>
          <w:szCs w:val="20"/>
          <w:color w:val="auto"/>
        </w:rPr>
      </w:pPr>
    </w:p>
    <w:p>
      <w:pPr>
        <w:ind w:right="60" w:firstLine="1297"/>
        <w:spacing w:after="0" w:line="258" w:lineRule="auto"/>
        <w:rPr>
          <w:sz w:val="20"/>
          <w:szCs w:val="20"/>
          <w:color w:val="auto"/>
        </w:rPr>
      </w:pPr>
      <w:r>
        <w:rPr>
          <w:rFonts w:ascii="Arial" w:cs="Arial" w:eastAsia="Arial" w:hAnsi="Arial"/>
          <w:sz w:val="18"/>
          <w:szCs w:val="18"/>
          <w:b w:val="1"/>
          <w:bCs w:val="1"/>
          <w:color w:val="auto"/>
        </w:rPr>
        <w:t xml:space="preserve">15.2 </w:t>
      </w:r>
      <w:r>
        <w:rPr>
          <w:rFonts w:ascii="Arial" w:cs="Arial" w:eastAsia="Arial" w:hAnsi="Arial"/>
          <w:sz w:val="18"/>
          <w:szCs w:val="18"/>
          <w:color w:val="auto"/>
        </w:rPr>
        <w:t>As requested by University in writing (but not more than once per Fiscal Year), Provider shall provide reasonable, mutually</w:t>
      </w:r>
      <w:r>
        <w:rPr>
          <w:rFonts w:ascii="Arial" w:cs="Arial" w:eastAsia="Arial" w:hAnsi="Arial"/>
          <w:sz w:val="18"/>
          <w:szCs w:val="18"/>
          <w:b w:val="1"/>
          <w:bCs w:val="1"/>
          <w:color w:val="auto"/>
        </w:rPr>
        <w:t xml:space="preserve"> </w:t>
      </w:r>
      <w:r>
        <w:rPr>
          <w:rFonts w:ascii="Arial" w:cs="Arial" w:eastAsia="Arial" w:hAnsi="Arial"/>
          <w:sz w:val="18"/>
          <w:szCs w:val="18"/>
          <w:color w:val="auto"/>
        </w:rPr>
        <w:t>acceptable, written certifications as to Provider’s compliance with Applicable Law. For the avoidance of doubt, such written certifications shall include any sub-certifications reasonably required by University to enable University to provide its own written certifications to any Governmental Entity as required by Applicable Law or contract. University shall consult with Provider prior to agreeing to provide certifications with regard to University and its Programs that will require a Provider sub-certification.</w:t>
      </w:r>
    </w:p>
    <w:p>
      <w:pPr>
        <w:spacing w:after="0" w:line="184"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b w:val="1"/>
          <w:bCs w:val="1"/>
          <w:color w:val="auto"/>
        </w:rPr>
        <w:t xml:space="preserve">15.3 </w:t>
      </w:r>
      <w:r>
        <w:rPr>
          <w:rFonts w:ascii="Arial" w:cs="Arial" w:eastAsia="Arial" w:hAnsi="Arial"/>
          <w:sz w:val="18"/>
          <w:szCs w:val="18"/>
          <w:color w:val="auto"/>
        </w:rPr>
        <w:t>Upon University’s request and subject to Provider’s then-current confidentiality, security and data protection procedures, Provider</w:t>
      </w:r>
      <w:r>
        <w:rPr>
          <w:rFonts w:ascii="Arial" w:cs="Arial" w:eastAsia="Arial" w:hAnsi="Arial"/>
          <w:sz w:val="18"/>
          <w:szCs w:val="18"/>
          <w:b w:val="1"/>
          <w:bCs w:val="1"/>
          <w:color w:val="auto"/>
        </w:rPr>
        <w:t xml:space="preserve"> </w:t>
      </w:r>
      <w:r>
        <w:rPr>
          <w:rFonts w:ascii="Arial" w:cs="Arial" w:eastAsia="Arial" w:hAnsi="Arial"/>
          <w:sz w:val="18"/>
          <w:szCs w:val="18"/>
          <w:color w:val="auto"/>
        </w:rPr>
        <w:t>will permit University’s authorized representatives and auditors to visit with the appropriate personnel at Provider, and will provide University with access to or copies of (a) applicable Provider records, including testing results (whether conducted by Provider or a third-party), (b) Provider’s compliance policies and procedures applicable to Provider’s operations related to its Services, and (c) any other records required to be delivered by Provider pursuant to this Agreement, in each case in order to conduct due diligence on, audit, inspect or otherwise examine Provider’s operations, computer systems and access controls directly relating to its performance hereunder (collectively, “</w:t>
      </w:r>
      <w:r>
        <w:rPr>
          <w:rFonts w:ascii="Arial" w:cs="Arial" w:eastAsia="Arial" w:hAnsi="Arial"/>
          <w:sz w:val="18"/>
          <w:szCs w:val="18"/>
          <w:b w:val="1"/>
          <w:bCs w:val="1"/>
          <w:i w:val="1"/>
          <w:iCs w:val="1"/>
          <w:color w:val="auto"/>
        </w:rPr>
        <w:t>Reviews</w:t>
      </w:r>
      <w:r>
        <w:rPr>
          <w:rFonts w:ascii="Arial" w:cs="Arial" w:eastAsia="Arial" w:hAnsi="Arial"/>
          <w:sz w:val="18"/>
          <w:szCs w:val="18"/>
          <w:color w:val="auto"/>
        </w:rPr>
        <w:t>”). University agrees that Reviews will be completed at Provider’s facilities upon</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Exhibit 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62" w:name="page63"/>
    <w:bookmarkEnd w:id="62"/>
    <w:p>
      <w:pPr>
        <w:ind w:right="620"/>
        <w:spacing w:after="0" w:line="277" w:lineRule="auto"/>
        <w:rPr>
          <w:sz w:val="20"/>
          <w:szCs w:val="20"/>
          <w:color w:val="auto"/>
        </w:rPr>
      </w:pPr>
      <w:r>
        <w:rPr>
          <w:rFonts w:ascii="Arial" w:cs="Arial" w:eastAsia="Arial" w:hAnsi="Arial"/>
          <w:sz w:val="18"/>
          <w:szCs w:val="18"/>
          <w:color w:val="auto"/>
        </w:rPr>
        <w:t>reasonable advance notice during regular business hours. The parties will cooperate in good faith to minimize the disruption associated with Reviews, including the timing of such Reviews.</w:t>
      </w:r>
    </w:p>
    <w:p>
      <w:pPr>
        <w:spacing w:after="0" w:line="166" w:lineRule="exact"/>
        <w:rPr>
          <w:sz w:val="20"/>
          <w:szCs w:val="20"/>
          <w:color w:val="auto"/>
        </w:rPr>
      </w:pPr>
    </w:p>
    <w:p>
      <w:pPr>
        <w:ind w:right="220" w:firstLine="1297"/>
        <w:spacing w:after="0" w:line="266" w:lineRule="auto"/>
        <w:rPr>
          <w:sz w:val="20"/>
          <w:szCs w:val="20"/>
          <w:color w:val="auto"/>
        </w:rPr>
      </w:pPr>
      <w:r>
        <w:rPr>
          <w:rFonts w:ascii="Arial" w:cs="Arial" w:eastAsia="Arial" w:hAnsi="Arial"/>
          <w:sz w:val="18"/>
          <w:szCs w:val="18"/>
          <w:b w:val="1"/>
          <w:bCs w:val="1"/>
          <w:color w:val="auto"/>
        </w:rPr>
        <w:t xml:space="preserve">15.4 </w:t>
      </w:r>
      <w:r>
        <w:rPr>
          <w:rFonts w:ascii="Arial" w:cs="Arial" w:eastAsia="Arial" w:hAnsi="Arial"/>
          <w:sz w:val="18"/>
          <w:szCs w:val="18"/>
          <w:color w:val="auto"/>
        </w:rPr>
        <w:t>If Provider receives a request or demand from an Educational Agency requesting a Review, Provider shall notify University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promptly, and Provider shall work with University and such Educational Agency in conducting and responding to any such request for a Review; </w:t>
      </w:r>
      <w:r>
        <w:rPr>
          <w:rFonts w:ascii="Arial" w:cs="Arial" w:eastAsia="Arial" w:hAnsi="Arial"/>
          <w:sz w:val="18"/>
          <w:szCs w:val="18"/>
          <w:u w:val="single" w:color="auto"/>
          <w:color w:val="auto"/>
        </w:rPr>
        <w:t>provided</w:t>
      </w:r>
      <w:r>
        <w:rPr>
          <w:rFonts w:ascii="Arial" w:cs="Arial" w:eastAsia="Arial" w:hAnsi="Arial"/>
          <w:sz w:val="18"/>
          <w:szCs w:val="18"/>
          <w:color w:val="auto"/>
        </w:rPr>
        <w:t>, that Provider shall not be required to provide a Review to any third party, except as required by Applicable Law.</w:t>
      </w:r>
    </w:p>
    <w:p>
      <w:pPr>
        <w:spacing w:after="0" w:line="176" w:lineRule="exact"/>
        <w:rPr>
          <w:sz w:val="20"/>
          <w:szCs w:val="20"/>
          <w:color w:val="auto"/>
        </w:rPr>
      </w:pPr>
    </w:p>
    <w:p>
      <w:pPr>
        <w:ind w:firstLine="1297"/>
        <w:spacing w:after="0" w:line="258" w:lineRule="auto"/>
        <w:rPr>
          <w:sz w:val="20"/>
          <w:szCs w:val="20"/>
          <w:color w:val="auto"/>
        </w:rPr>
      </w:pPr>
      <w:r>
        <w:rPr>
          <w:rFonts w:ascii="Arial" w:cs="Arial" w:eastAsia="Arial" w:hAnsi="Arial"/>
          <w:sz w:val="18"/>
          <w:szCs w:val="18"/>
          <w:b w:val="1"/>
          <w:bCs w:val="1"/>
          <w:color w:val="auto"/>
        </w:rPr>
        <w:t xml:space="preserve">15.5 </w:t>
      </w:r>
      <w:r>
        <w:rPr>
          <w:rFonts w:ascii="Arial" w:cs="Arial" w:eastAsia="Arial" w:hAnsi="Arial"/>
          <w:sz w:val="18"/>
          <w:szCs w:val="18"/>
          <w:color w:val="auto"/>
        </w:rPr>
        <w:t>Subject to Provider’s then-current confidentiality, security, and data protection procedures, (a) Provider will discuss with</w:t>
      </w:r>
      <w:r>
        <w:rPr>
          <w:rFonts w:ascii="Arial" w:cs="Arial" w:eastAsia="Arial" w:hAnsi="Arial"/>
          <w:sz w:val="18"/>
          <w:szCs w:val="18"/>
          <w:b w:val="1"/>
          <w:bCs w:val="1"/>
          <w:color w:val="auto"/>
        </w:rPr>
        <w:t xml:space="preserve"> </w:t>
      </w:r>
      <w:r>
        <w:rPr>
          <w:rFonts w:ascii="Arial" w:cs="Arial" w:eastAsia="Arial" w:hAnsi="Arial"/>
          <w:sz w:val="18"/>
          <w:szCs w:val="18"/>
          <w:color w:val="auto"/>
        </w:rPr>
        <w:t>University personnel, or provide summaries to University of, any material violations of Provider’s code of ethics or other compliance-related policies and procedures by Provider personnel related to Provider’s performance hereunder, and (b) Provider will promptly notify University of (and, if requested by University, provide University summaries of) material changes to Provider’s code of ethics and other compliance-related policies and procedures applicable to Provider’s performance hereunder in accordance with HLC requirements.</w:t>
      </w:r>
    </w:p>
    <w:p>
      <w:pPr>
        <w:spacing w:after="0" w:line="184" w:lineRule="exact"/>
        <w:rPr>
          <w:sz w:val="20"/>
          <w:szCs w:val="20"/>
          <w:color w:val="auto"/>
        </w:rPr>
      </w:pPr>
    </w:p>
    <w:p>
      <w:pPr>
        <w:ind w:right="60" w:firstLine="1297"/>
        <w:spacing w:after="0" w:line="289" w:lineRule="auto"/>
        <w:rPr>
          <w:sz w:val="20"/>
          <w:szCs w:val="20"/>
          <w:color w:val="auto"/>
        </w:rPr>
      </w:pPr>
      <w:r>
        <w:rPr>
          <w:rFonts w:ascii="Arial" w:cs="Arial" w:eastAsia="Arial" w:hAnsi="Arial"/>
          <w:sz w:val="16"/>
          <w:szCs w:val="16"/>
          <w:b w:val="1"/>
          <w:bCs w:val="1"/>
          <w:color w:val="auto"/>
        </w:rPr>
        <w:t xml:space="preserve">15.6 </w:t>
      </w:r>
      <w:r>
        <w:rPr>
          <w:rFonts w:ascii="Arial" w:cs="Arial" w:eastAsia="Arial" w:hAnsi="Arial"/>
          <w:sz w:val="16"/>
          <w:szCs w:val="16"/>
          <w:color w:val="auto"/>
        </w:rPr>
        <w:t>If Provider fails to meet a specification or standard in the performance of any Service under this Agreement, or if a deficiency is</w:t>
      </w:r>
      <w:r>
        <w:rPr>
          <w:rFonts w:ascii="Arial" w:cs="Arial" w:eastAsia="Arial" w:hAnsi="Arial"/>
          <w:sz w:val="16"/>
          <w:szCs w:val="16"/>
          <w:b w:val="1"/>
          <w:bCs w:val="1"/>
          <w:color w:val="auto"/>
        </w:rPr>
        <w:t xml:space="preserve"> </w:t>
      </w:r>
      <w:r>
        <w:rPr>
          <w:rFonts w:ascii="Arial" w:cs="Arial" w:eastAsia="Arial" w:hAnsi="Arial"/>
          <w:sz w:val="16"/>
          <w:szCs w:val="16"/>
          <w:color w:val="auto"/>
        </w:rPr>
        <w:t>identified as a result of any self-testing, SAS 70 audit or other monitoring or other Review contemplated in this Section 15.6, as soon as practicable following knowledge of such failure or deficiency, Provider shall, at its expense (a) perform an analysis to identify the cause of any such failure or deficiency,</w:t>
      </w:r>
    </w:p>
    <w:p>
      <w:pPr>
        <w:spacing w:after="0" w:line="2" w:lineRule="exact"/>
        <w:rPr>
          <w:sz w:val="20"/>
          <w:szCs w:val="20"/>
          <w:color w:val="auto"/>
        </w:rPr>
      </w:pPr>
    </w:p>
    <w:p>
      <w:pPr>
        <w:ind w:right="80" w:firstLine="8"/>
        <w:spacing w:after="0" w:line="281" w:lineRule="auto"/>
        <w:tabs>
          <w:tab w:leader="none" w:pos="255" w:val="left"/>
        </w:tabs>
        <w:numPr>
          <w:ilvl w:val="0"/>
          <w:numId w:val="45"/>
        </w:numPr>
        <w:rPr>
          <w:rFonts w:ascii="Arial" w:cs="Arial" w:eastAsia="Arial" w:hAnsi="Arial"/>
          <w:sz w:val="16"/>
          <w:szCs w:val="16"/>
          <w:color w:val="auto"/>
        </w:rPr>
      </w:pPr>
      <w:r>
        <w:rPr>
          <w:rFonts w:ascii="Arial" w:cs="Arial" w:eastAsia="Arial" w:hAnsi="Arial"/>
          <w:sz w:val="16"/>
          <w:szCs w:val="16"/>
          <w:color w:val="auto"/>
        </w:rPr>
        <w:t>provide University with a report identifying the cause of such failure or deficiency and describing the intended procedure/steps for correcting or resolving such failure or deficiency and the timeline for completing such procedure/steps, (c) if requested by University, meet with University (in person or by teleconference, through their respective Designees or otherwise) to discuss such failure or deficiency and such intended procedure/steps and timeline,</w:t>
      </w:r>
    </w:p>
    <w:p>
      <w:pPr>
        <w:spacing w:after="0" w:line="2" w:lineRule="exact"/>
        <w:rPr>
          <w:rFonts w:ascii="Arial" w:cs="Arial" w:eastAsia="Arial" w:hAnsi="Arial"/>
          <w:sz w:val="16"/>
          <w:szCs w:val="16"/>
          <w:color w:val="auto"/>
        </w:rPr>
      </w:pPr>
    </w:p>
    <w:p>
      <w:pPr>
        <w:ind w:right="340" w:firstLine="8"/>
        <w:spacing w:after="0" w:line="261" w:lineRule="auto"/>
        <w:tabs>
          <w:tab w:leader="none" w:pos="2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promptly cure such failure or deficiency and (e) after such failure or deficiency is cured, promptly notify University that such failure or deficiency has been cured.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[End of 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3" w:name="page64"/>
    <w:bookmarkEnd w:id="63"/>
    <w:p>
      <w:pPr>
        <w:jc w:val="center"/>
        <w:ind w:right="-19"/>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SERVICES ADDENDUM</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This SERVICES ADDENDUM (“</w:t>
      </w:r>
      <w:r>
        <w:rPr>
          <w:rFonts w:ascii="Arial" w:cs="Arial" w:eastAsia="Arial" w:hAnsi="Arial"/>
          <w:sz w:val="17"/>
          <w:szCs w:val="17"/>
          <w:b w:val="1"/>
          <w:bCs w:val="1"/>
          <w:i w:val="1"/>
          <w:iCs w:val="1"/>
          <w:color w:val="auto"/>
        </w:rPr>
        <w:t>SA</w:t>
      </w:r>
      <w:r>
        <w:rPr>
          <w:rFonts w:ascii="Arial" w:cs="Arial" w:eastAsia="Arial" w:hAnsi="Arial"/>
          <w:sz w:val="17"/>
          <w:szCs w:val="17"/>
          <w:color w:val="auto"/>
        </w:rPr>
        <w:t>”) is issued pursuant to, and incorporates by reference, that certain Master Services Agreement (as the same may be amended from time to time, the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dated July 1, 2018 by and between Grand Canyon University, an Arizona non-profit corporation formerly known as Gazelle University (“</w:t>
      </w:r>
      <w:r>
        <w:rPr>
          <w:rFonts w:ascii="Arial" w:cs="Arial" w:eastAsia="Arial" w:hAnsi="Arial"/>
          <w:sz w:val="17"/>
          <w:szCs w:val="17"/>
          <w:b w:val="1"/>
          <w:bCs w:val="1"/>
          <w:i w:val="1"/>
          <w:iCs w:val="1"/>
          <w:color w:val="auto"/>
        </w:rPr>
        <w:t>University</w:t>
      </w:r>
      <w:r>
        <w:rPr>
          <w:rFonts w:ascii="Arial" w:cs="Arial" w:eastAsia="Arial" w:hAnsi="Arial"/>
          <w:sz w:val="17"/>
          <w:szCs w:val="17"/>
          <w:color w:val="auto"/>
        </w:rPr>
        <w:t>”), and Grand Canyon Education, Inc., a Delaware corporation (“</w:t>
      </w:r>
      <w:r>
        <w:rPr>
          <w:rFonts w:ascii="Arial" w:cs="Arial" w:eastAsia="Arial" w:hAnsi="Arial"/>
          <w:sz w:val="17"/>
          <w:szCs w:val="17"/>
          <w:b w:val="1"/>
          <w:bCs w:val="1"/>
          <w:i w:val="1"/>
          <w:iCs w:val="1"/>
          <w:color w:val="auto"/>
        </w:rPr>
        <w:t>Provider</w:t>
      </w:r>
      <w:r>
        <w:rPr>
          <w:rFonts w:ascii="Arial" w:cs="Arial" w:eastAsia="Arial" w:hAnsi="Arial"/>
          <w:sz w:val="17"/>
          <w:szCs w:val="17"/>
          <w:color w:val="auto"/>
        </w:rPr>
        <w:t>”). This SA is effective as of the date set forth below (the “</w:t>
      </w:r>
      <w:r>
        <w:rPr>
          <w:rFonts w:ascii="Arial" w:cs="Arial" w:eastAsia="Arial" w:hAnsi="Arial"/>
          <w:sz w:val="17"/>
          <w:szCs w:val="17"/>
          <w:b w:val="1"/>
          <w:bCs w:val="1"/>
          <w:i w:val="1"/>
          <w:iCs w:val="1"/>
          <w:color w:val="auto"/>
        </w:rPr>
        <w:t>SA Effective Date</w:t>
      </w:r>
      <w:r>
        <w:rPr>
          <w:rFonts w:ascii="Arial" w:cs="Arial" w:eastAsia="Arial" w:hAnsi="Arial"/>
          <w:sz w:val="17"/>
          <w:szCs w:val="17"/>
          <w:color w:val="auto"/>
        </w:rPr>
        <w:t>”). In the event of a conflict between the terms and conditions of this SA and the terms and conditions in the body of the Agreement, the terms and conditions of the Agreement shall control to the extent of the conflict (unless this SA specifically identifies and overrides the conflicting term(s) and condition(s), in which event, the terms of this SA shall control for this SA only).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Unless otherwise defined in this SA, the capitalized terms used herein shall have the meanings ascribed to them in the Agreement.</w:t>
      </w:r>
    </w:p>
    <w:p>
      <w:pPr>
        <w:spacing w:after="0" w:line="225"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 xml:space="preserve">The purpose of this Services Addendum is to describe new Services, and related Deliverables and Specifications, that the Parties agree should be provided by Provider to University under the Agreement and, if applicable, describe payment terms for such new Services if payment is not intended to be covered by the arrangement described on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to the Agreement.</w:t>
      </w:r>
    </w:p>
    <w:p>
      <w:pPr>
        <w:spacing w:after="0" w:line="177" w:lineRule="exact"/>
        <w:rPr>
          <w:sz w:val="20"/>
          <w:szCs w:val="20"/>
          <w:color w:val="auto"/>
        </w:rPr>
      </w:pPr>
    </w:p>
    <w:p>
      <w:pPr>
        <w:spacing w:after="0"/>
        <w:tabs>
          <w:tab w:leader="none" w:pos="640" w:val="left"/>
          <w:tab w:leader="none" w:pos="26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b w:val="1"/>
          <w:bCs w:val="1"/>
          <w:color w:val="auto"/>
        </w:rPr>
        <w:t>SA Effective Date</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 20</w:t>
      </w:r>
    </w:p>
    <w:p>
      <w:pPr>
        <w:spacing w:after="0" w:line="225" w:lineRule="exact"/>
        <w:rPr>
          <w:sz w:val="20"/>
          <w:szCs w:val="20"/>
          <w:color w:val="auto"/>
        </w:rPr>
      </w:pPr>
    </w:p>
    <w:p>
      <w:pPr>
        <w:ind w:left="660" w:hanging="652"/>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Services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1300" w:right="2620" w:hanging="648"/>
        <w:spacing w:after="0" w:line="498" w:lineRule="auto"/>
        <w:rPr>
          <w:rFonts w:ascii="Arial" w:cs="Arial" w:eastAsia="Arial" w:hAnsi="Arial"/>
          <w:sz w:val="18"/>
          <w:szCs w:val="18"/>
          <w:color w:val="auto"/>
        </w:rPr>
      </w:pPr>
      <w:r>
        <w:rPr>
          <w:rFonts w:ascii="Arial" w:cs="Arial" w:eastAsia="Arial" w:hAnsi="Arial"/>
          <w:sz w:val="18"/>
          <w:szCs w:val="18"/>
          <w:color w:val="auto"/>
        </w:rPr>
        <w:t>Provider shall perform the following Services, subject to the terms and conditions in this SA and the Agreement: [</w:t>
      </w:r>
      <w:r>
        <w:rPr>
          <w:rFonts w:ascii="Arial" w:cs="Arial" w:eastAsia="Arial" w:hAnsi="Arial"/>
          <w:sz w:val="18"/>
          <w:szCs w:val="18"/>
          <w:i w:val="1"/>
          <w:iCs w:val="1"/>
          <w:color w:val="auto"/>
        </w:rPr>
        <w:t>Insert a detailed description of the Services that Provider shall perform.</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660" w:hanging="652"/>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Deliverables</w:t>
      </w:r>
      <w:r>
        <w:rPr>
          <w:rFonts w:ascii="Arial" w:cs="Arial" w:eastAsia="Arial" w:hAnsi="Arial"/>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deliverables (“</w:t>
      </w:r>
      <w:r>
        <w:rPr>
          <w:rFonts w:ascii="Arial" w:cs="Arial" w:eastAsia="Arial" w:hAnsi="Arial"/>
          <w:sz w:val="18"/>
          <w:szCs w:val="18"/>
          <w:b w:val="1"/>
          <w:bCs w:val="1"/>
          <w:i w:val="1"/>
          <w:iCs w:val="1"/>
          <w:color w:val="auto"/>
        </w:rPr>
        <w:t>Deliverables</w:t>
      </w:r>
      <w:r>
        <w:rPr>
          <w:rFonts w:ascii="Arial" w:cs="Arial" w:eastAsia="Arial" w:hAnsi="Arial"/>
          <w:sz w:val="18"/>
          <w:szCs w:val="18"/>
          <w:color w:val="auto"/>
        </w:rPr>
        <w:t>”) Provider shall provide to University under this SA are as follows: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Insert a description of the tangible deliverables that will be delivered to University, if any.</w:t>
      </w:r>
      <w:r>
        <w:rPr>
          <w:rFonts w:ascii="Arial" w:cs="Arial" w:eastAsia="Arial" w:hAnsi="Arial"/>
          <w:sz w:val="18"/>
          <w:szCs w:val="18"/>
          <w:color w:val="auto"/>
        </w:rPr>
        <w:t>]</w:t>
      </w:r>
    </w:p>
    <w:p>
      <w:pPr>
        <w:spacing w:after="0" w:line="225"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See comments below in the Section titled “Intellectual Property” regarding which party will own the Intellectual Property developed under</w:t>
      </w:r>
      <w:r>
        <w:rPr>
          <w:rFonts w:ascii="Arial" w:cs="Arial" w:eastAsia="Arial" w:hAnsi="Arial"/>
          <w:sz w:val="18"/>
          <w:szCs w:val="18"/>
          <w:color w:val="auto"/>
        </w:rPr>
        <w:t xml:space="preserve"> </w:t>
      </w:r>
      <w:r>
        <w:rPr>
          <w:rFonts w:ascii="Arial" w:cs="Arial" w:eastAsia="Arial" w:hAnsi="Arial"/>
          <w:sz w:val="18"/>
          <w:szCs w:val="18"/>
          <w:i w:val="1"/>
          <w:iCs w:val="1"/>
          <w:color w:val="auto"/>
        </w:rPr>
        <w:t>this SA, including any Intellectual Property in the Deliverables.</w:t>
      </w:r>
      <w:r>
        <w:rPr>
          <w:rFonts w:ascii="Arial" w:cs="Arial" w:eastAsia="Arial" w:hAnsi="Arial"/>
          <w:sz w:val="18"/>
          <w:szCs w:val="18"/>
          <w:color w:val="auto"/>
        </w:rPr>
        <w:t>]</w:t>
      </w:r>
    </w:p>
    <w:p>
      <w:pPr>
        <w:spacing w:after="0" w:line="166" w:lineRule="exact"/>
        <w:rPr>
          <w:sz w:val="20"/>
          <w:szCs w:val="20"/>
          <w:color w:val="auto"/>
        </w:rPr>
      </w:pPr>
    </w:p>
    <w:p>
      <w:pPr>
        <w:ind w:left="660" w:hanging="652"/>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Specifications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Services and Deliverables shall substantially conform to the following Specifications: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64" w:name="page65"/>
    <w:bookmarkEnd w:id="64"/>
    <w:p>
      <w:pPr>
        <w:ind w:left="129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Insert the specifications, requirements and testing criteria applicable to the Services and the Deliverables, if any.</w:t>
      </w:r>
      <w:r>
        <w:rPr>
          <w:rFonts w:ascii="Arial" w:cs="Arial" w:eastAsia="Arial" w:hAnsi="Arial"/>
          <w:sz w:val="18"/>
          <w:szCs w:val="18"/>
          <w:color w:val="auto"/>
        </w:rPr>
        <w:t>]</w:t>
      </w:r>
    </w:p>
    <w:p>
      <w:pPr>
        <w:spacing w:after="0" w:line="221" w:lineRule="exact"/>
        <w:rPr>
          <w:sz w:val="20"/>
          <w:szCs w:val="20"/>
          <w:color w:val="auto"/>
        </w:rPr>
      </w:pPr>
    </w:p>
    <w:p>
      <w:pPr>
        <w:ind w:left="652" w:hanging="652"/>
        <w:spacing w:after="0"/>
        <w:tabs>
          <w:tab w:leader="none" w:pos="652"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Time Schedule and Meetings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652"/>
        <w:spacing w:after="0" w:line="277"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Insert the time schedule for the provision of the Services and Deliverables, including any deadlines for the delivery of the Services and Deliverables,</w:t>
      </w:r>
      <w:r>
        <w:rPr>
          <w:rFonts w:ascii="Arial" w:cs="Arial" w:eastAsia="Arial" w:hAnsi="Arial"/>
          <w:sz w:val="18"/>
          <w:szCs w:val="18"/>
          <w:color w:val="auto"/>
        </w:rPr>
        <w:t xml:space="preserve"> </w:t>
      </w:r>
      <w:r>
        <w:rPr>
          <w:rFonts w:ascii="Arial" w:cs="Arial" w:eastAsia="Arial" w:hAnsi="Arial"/>
          <w:sz w:val="18"/>
          <w:szCs w:val="18"/>
          <w:i w:val="1"/>
          <w:iCs w:val="1"/>
          <w:color w:val="auto"/>
        </w:rPr>
        <w:t>and the time and place for any scheduled meetings.</w:t>
      </w:r>
      <w:r>
        <w:rPr>
          <w:rFonts w:ascii="Arial" w:cs="Arial" w:eastAsia="Arial" w:hAnsi="Arial"/>
          <w:sz w:val="18"/>
          <w:szCs w:val="18"/>
          <w:color w:val="auto"/>
        </w:rPr>
        <w:t>]</w:t>
      </w:r>
    </w:p>
    <w:p>
      <w:pPr>
        <w:spacing w:after="0" w:line="166" w:lineRule="exact"/>
        <w:rPr>
          <w:rFonts w:ascii="Arial" w:cs="Arial" w:eastAsia="Arial" w:hAnsi="Arial"/>
          <w:sz w:val="18"/>
          <w:szCs w:val="18"/>
          <w:color w:val="auto"/>
        </w:rPr>
      </w:pPr>
    </w:p>
    <w:p>
      <w:pPr>
        <w:ind w:left="652" w:right="9380" w:hanging="652"/>
        <w:spacing w:after="0" w:line="566" w:lineRule="auto"/>
        <w:tabs>
          <w:tab w:leader="none" w:pos="652" w:val="left"/>
        </w:tabs>
        <w:numPr>
          <w:ilvl w:val="0"/>
          <w:numId w:val="49"/>
        </w:numPr>
        <w:rPr>
          <w:rFonts w:ascii="Arial" w:cs="Arial" w:eastAsia="Arial" w:hAnsi="Arial"/>
          <w:sz w:val="16"/>
          <w:szCs w:val="16"/>
          <w:color w:val="auto"/>
        </w:rPr>
      </w:pPr>
      <w:r>
        <w:rPr>
          <w:rFonts w:ascii="Arial" w:cs="Arial" w:eastAsia="Arial" w:hAnsi="Arial"/>
          <w:sz w:val="16"/>
          <w:szCs w:val="16"/>
          <w:b w:val="1"/>
          <w:bCs w:val="1"/>
          <w:color w:val="auto"/>
        </w:rPr>
        <w:t>Points of Contact</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For Provider:</w:t>
      </w:r>
    </w:p>
    <w:p>
      <w:pPr>
        <w:ind w:left="652"/>
        <w:spacing w:after="0"/>
        <w:rPr>
          <w:rFonts w:ascii="Arial" w:cs="Arial" w:eastAsia="Arial" w:hAnsi="Arial"/>
          <w:sz w:val="16"/>
          <w:szCs w:val="16"/>
          <w:color w:val="auto"/>
        </w:rPr>
      </w:pPr>
      <w:r>
        <w:rPr>
          <w:rFonts w:ascii="Arial" w:cs="Arial" w:eastAsia="Arial" w:hAnsi="Arial"/>
          <w:sz w:val="18"/>
          <w:szCs w:val="18"/>
          <w:color w:val="auto"/>
        </w:rPr>
        <w:t>For University:</w:t>
      </w:r>
    </w:p>
    <w:p>
      <w:pPr>
        <w:spacing w:after="0" w:line="221" w:lineRule="exact"/>
        <w:rPr>
          <w:rFonts w:ascii="Arial" w:cs="Arial" w:eastAsia="Arial" w:hAnsi="Arial"/>
          <w:sz w:val="16"/>
          <w:szCs w:val="16"/>
          <w:color w:val="auto"/>
        </w:rPr>
      </w:pPr>
    </w:p>
    <w:p>
      <w:pPr>
        <w:ind w:left="652" w:hanging="652"/>
        <w:spacing w:after="0"/>
        <w:tabs>
          <w:tab w:leader="none" w:pos="652"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Term and Termination</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652"/>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Insert the term of the SA and termination rights.</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ind w:left="652" w:right="8640" w:hanging="652"/>
        <w:spacing w:after="0" w:line="533" w:lineRule="auto"/>
        <w:tabs>
          <w:tab w:leader="none" w:pos="652" w:val="left"/>
        </w:tabs>
        <w:numPr>
          <w:ilvl w:val="0"/>
          <w:numId w:val="49"/>
        </w:numPr>
        <w:rPr>
          <w:rFonts w:ascii="Arial" w:cs="Arial" w:eastAsia="Arial" w:hAnsi="Arial"/>
          <w:sz w:val="17"/>
          <w:szCs w:val="17"/>
          <w:color w:val="auto"/>
        </w:rPr>
      </w:pPr>
      <w:r>
        <w:rPr>
          <w:rFonts w:ascii="Arial" w:cs="Arial" w:eastAsia="Arial" w:hAnsi="Arial"/>
          <w:sz w:val="17"/>
          <w:szCs w:val="17"/>
          <w:b w:val="1"/>
          <w:bCs w:val="1"/>
          <w:color w:val="auto"/>
        </w:rPr>
        <w:t>Services Fees and Payment</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a. Services Fees:</w:t>
      </w:r>
    </w:p>
    <w:p>
      <w:pPr>
        <w:ind w:left="1292"/>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Insert a description of the Services Fees for the Services and Deliverables if intended not to be covered by</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Exhibit D</w:t>
      </w:r>
      <w:r>
        <w:rPr>
          <w:rFonts w:ascii="Arial" w:cs="Arial" w:eastAsia="Arial" w:hAnsi="Arial"/>
          <w:sz w:val="16"/>
          <w:szCs w:val="16"/>
          <w:color w:val="auto"/>
        </w:rPr>
        <w:t xml:space="preserve"> </w:t>
      </w:r>
      <w:r>
        <w:rPr>
          <w:rFonts w:ascii="Arial" w:cs="Arial" w:eastAsia="Arial" w:hAnsi="Arial"/>
          <w:sz w:val="16"/>
          <w:szCs w:val="16"/>
          <w:i w:val="1"/>
          <w:iCs w:val="1"/>
          <w:color w:val="auto"/>
        </w:rPr>
        <w:t>of the Agreement.</w:t>
      </w:r>
      <w:r>
        <w:rPr>
          <w:rFonts w:ascii="Arial" w:cs="Arial" w:eastAsia="Arial" w:hAnsi="Arial"/>
          <w:sz w:val="16"/>
          <w:szCs w:val="16"/>
          <w:color w:val="auto"/>
        </w:rPr>
        <w:t>]</w:t>
      </w:r>
    </w:p>
    <w:p>
      <w:pPr>
        <w:spacing w:after="0" w:line="248" w:lineRule="exact"/>
        <w:rPr>
          <w:sz w:val="20"/>
          <w:szCs w:val="20"/>
          <w:color w:val="auto"/>
        </w:rPr>
      </w:pPr>
    </w:p>
    <w:p>
      <w:pPr>
        <w:ind w:left="652"/>
        <w:spacing w:after="0"/>
        <w:rPr>
          <w:sz w:val="20"/>
          <w:szCs w:val="20"/>
          <w:color w:val="auto"/>
        </w:rPr>
      </w:pPr>
      <w:r>
        <w:rPr>
          <w:rFonts w:ascii="Arial" w:cs="Arial" w:eastAsia="Arial" w:hAnsi="Arial"/>
          <w:sz w:val="18"/>
          <w:szCs w:val="18"/>
          <w:color w:val="auto"/>
        </w:rPr>
        <w:t>b. Payment Terms:</w:t>
      </w:r>
    </w:p>
    <w:p>
      <w:pPr>
        <w:spacing w:after="0" w:line="225"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Insert the payment terms, if intended not to be covered by</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Exhibit D</w:t>
      </w:r>
      <w:r>
        <w:rPr>
          <w:rFonts w:ascii="Arial" w:cs="Arial" w:eastAsia="Arial" w:hAnsi="Arial"/>
          <w:sz w:val="18"/>
          <w:szCs w:val="18"/>
          <w:color w:val="auto"/>
        </w:rPr>
        <w:t xml:space="preserve"> </w:t>
      </w:r>
      <w:r>
        <w:rPr>
          <w:rFonts w:ascii="Arial" w:cs="Arial" w:eastAsia="Arial" w:hAnsi="Arial"/>
          <w:sz w:val="18"/>
          <w:szCs w:val="18"/>
          <w:i w:val="1"/>
          <w:iCs w:val="1"/>
          <w:color w:val="auto"/>
        </w:rPr>
        <w:t>of the Agreement.]</w:t>
      </w:r>
    </w:p>
    <w:p>
      <w:pPr>
        <w:spacing w:after="0" w:line="221" w:lineRule="exact"/>
        <w:rPr>
          <w:sz w:val="20"/>
          <w:szCs w:val="20"/>
          <w:color w:val="auto"/>
        </w:rPr>
      </w:pPr>
    </w:p>
    <w:p>
      <w:pPr>
        <w:ind w:left="652" w:hanging="652"/>
        <w:spacing w:after="0"/>
        <w:tabs>
          <w:tab w:leader="none" w:pos="652"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Intellectual Property</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652"/>
        <w:spacing w:after="0" w:line="297" w:lineRule="auto"/>
        <w:rPr>
          <w:rFonts w:ascii="Arial" w:cs="Arial" w:eastAsia="Arial" w:hAnsi="Arial"/>
          <w:sz w:val="18"/>
          <w:szCs w:val="18"/>
          <w:color w:val="auto"/>
        </w:rPr>
      </w:pPr>
      <w:r>
        <w:rPr>
          <w:rFonts w:ascii="Arial" w:cs="Arial" w:eastAsia="Arial" w:hAnsi="Arial"/>
          <w:sz w:val="16"/>
          <w:szCs w:val="16"/>
          <w:color w:val="auto"/>
        </w:rPr>
        <w:t>[</w:t>
      </w:r>
      <w:r>
        <w:rPr>
          <w:rFonts w:ascii="Arial" w:cs="Arial" w:eastAsia="Arial" w:hAnsi="Arial"/>
          <w:sz w:val="16"/>
          <w:szCs w:val="16"/>
          <w:i w:val="1"/>
          <w:iCs w:val="1"/>
          <w:color w:val="auto"/>
        </w:rPr>
        <w:t>If the Services will result in the development of new Intellectual Property, then indicate whether such Intellectual Property will be owned by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University as University Intellectual Property as contemplated by Section 10.2.2 (Ownership) of the Agreement or whether such Intellectual Property will remain the property of Provider. If such Intellectual Property is </w:t>
      </w:r>
      <w:r>
        <w:rPr>
          <w:rFonts w:ascii="Arial" w:cs="Arial" w:eastAsia="Arial" w:hAnsi="Arial"/>
          <w:sz w:val="16"/>
          <w:szCs w:val="16"/>
          <w:b w:val="1"/>
          <w:bCs w:val="1"/>
          <w:i w:val="1"/>
          <w:iCs w:val="1"/>
          <w:u w:val="single" w:color="auto"/>
          <w:color w:val="auto"/>
        </w:rPr>
        <w:t>not</w:t>
      </w:r>
      <w:r>
        <w:rPr>
          <w:rFonts w:ascii="Arial" w:cs="Arial" w:eastAsia="Arial" w:hAnsi="Arial"/>
          <w:sz w:val="16"/>
          <w:szCs w:val="16"/>
          <w:i w:val="1"/>
          <w:iCs w:val="1"/>
          <w:color w:val="auto"/>
        </w:rPr>
        <w:t xml:space="preserve"> University Intellectual Property and will therefore be owned by Provider, then specify what, if any, licenses are granted to University to use such Intellectual Property. If such Intellectual Property will be owned by University as University Intellectual Property, then specify what, if any, licenses are granted to Provider to use such Intellectual Property.</w:t>
      </w:r>
      <w:r>
        <w:rPr>
          <w:rFonts w:ascii="Arial" w:cs="Arial" w:eastAsia="Arial" w:hAnsi="Arial"/>
          <w:sz w:val="16"/>
          <w:szCs w:val="16"/>
          <w:color w:val="auto"/>
        </w:rPr>
        <w:t>]</w:t>
      </w:r>
    </w:p>
    <w:p>
      <w:pPr>
        <w:spacing w:after="0" w:line="154" w:lineRule="exact"/>
        <w:rPr>
          <w:rFonts w:ascii="Arial" w:cs="Arial" w:eastAsia="Arial" w:hAnsi="Arial"/>
          <w:sz w:val="18"/>
          <w:szCs w:val="18"/>
          <w:color w:val="auto"/>
        </w:rPr>
      </w:pPr>
    </w:p>
    <w:p>
      <w:pPr>
        <w:ind w:left="652" w:hanging="652"/>
        <w:spacing w:after="0"/>
        <w:tabs>
          <w:tab w:leader="none" w:pos="652"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Licenses to Third Party Technology or Materials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652" w:right="180" w:hanging="4"/>
        <w:spacing w:after="0" w:line="277" w:lineRule="auto"/>
        <w:tabs>
          <w:tab w:leader="none" w:pos="867"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Description: [</w:t>
      </w:r>
      <w:r>
        <w:rPr>
          <w:rFonts w:ascii="Arial" w:cs="Arial" w:eastAsia="Arial" w:hAnsi="Arial"/>
          <w:sz w:val="18"/>
          <w:szCs w:val="18"/>
          <w:i w:val="1"/>
          <w:iCs w:val="1"/>
          <w:color w:val="auto"/>
        </w:rPr>
        <w:t>Insert a detailed description of any licenses or other rights to technology, content or other materials required from any third party</w:t>
      </w:r>
      <w:r>
        <w:rPr>
          <w:rFonts w:ascii="Arial" w:cs="Arial" w:eastAsia="Arial" w:hAnsi="Arial"/>
          <w:sz w:val="18"/>
          <w:szCs w:val="18"/>
          <w:color w:val="auto"/>
        </w:rPr>
        <w:t xml:space="preserve"> </w:t>
      </w:r>
      <w:r>
        <w:rPr>
          <w:rFonts w:ascii="Arial" w:cs="Arial" w:eastAsia="Arial" w:hAnsi="Arial"/>
          <w:sz w:val="18"/>
          <w:szCs w:val="18"/>
          <w:i w:val="1"/>
          <w:iCs w:val="1"/>
          <w:color w:val="auto"/>
        </w:rPr>
        <w:t>for the performance of the Services or the Deliverables.</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872" w:hanging="224"/>
        <w:spacing w:after="0"/>
        <w:tabs>
          <w:tab w:leader="none" w:pos="872" w:val="left"/>
        </w:tabs>
        <w:numPr>
          <w:ilvl w:val="1"/>
          <w:numId w:val="50"/>
        </w:numPr>
        <w:rPr>
          <w:rFonts w:ascii="Arial" w:cs="Arial" w:eastAsia="Arial" w:hAnsi="Arial"/>
          <w:sz w:val="18"/>
          <w:szCs w:val="18"/>
          <w:color w:val="auto"/>
        </w:rPr>
      </w:pPr>
      <w:r>
        <w:rPr>
          <w:rFonts w:ascii="Arial" w:cs="Arial" w:eastAsia="Arial" w:hAnsi="Arial"/>
          <w:sz w:val="18"/>
          <w:szCs w:val="18"/>
          <w:color w:val="auto"/>
        </w:rPr>
        <w:t>Parties: [</w:t>
      </w:r>
      <w:r>
        <w:rPr>
          <w:rFonts w:ascii="Arial" w:cs="Arial" w:eastAsia="Arial" w:hAnsi="Arial"/>
          <w:sz w:val="18"/>
          <w:szCs w:val="18"/>
          <w:i w:val="1"/>
          <w:iCs w:val="1"/>
          <w:color w:val="auto"/>
        </w:rPr>
        <w:t>Indicate who will obtain the license: Provider or University.</w:t>
      </w:r>
      <w:r>
        <w:rPr>
          <w:rFonts w:ascii="Arial" w:cs="Arial" w:eastAsia="Arial" w:hAnsi="Arial"/>
          <w:sz w:val="18"/>
          <w:szCs w:val="18"/>
          <w:color w:val="auto"/>
        </w:rPr>
        <w:t>]</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Exhibit 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12"/>
          </w:cols>
          <w:pgMar w:left="248" w:top="341" w:right="239" w:bottom="1440" w:gutter="0" w:footer="0" w:header="0"/>
        </w:sectPr>
      </w:pPr>
    </w:p>
    <w:bookmarkStart w:id="65" w:name="page66"/>
    <w:bookmarkEnd w:id="65"/>
    <w:p>
      <w:pPr>
        <w:ind w:left="880" w:hanging="224"/>
        <w:spacing w:after="0"/>
        <w:tabs>
          <w:tab w:leader="none" w:pos="8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Fees: [</w:t>
      </w:r>
      <w:r>
        <w:rPr>
          <w:rFonts w:ascii="Arial" w:cs="Arial" w:eastAsia="Arial" w:hAnsi="Arial"/>
          <w:sz w:val="18"/>
          <w:szCs w:val="18"/>
          <w:i w:val="1"/>
          <w:iCs w:val="1"/>
          <w:color w:val="auto"/>
        </w:rPr>
        <w:t>Include fees, payment terms and responsible party.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80" w:hanging="224"/>
        <w:spacing w:after="0"/>
        <w:tabs>
          <w:tab w:leader="none" w:pos="8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Term: [</w:t>
      </w:r>
      <w:r>
        <w:rPr>
          <w:rFonts w:ascii="Arial" w:cs="Arial" w:eastAsia="Arial" w:hAnsi="Arial"/>
          <w:sz w:val="18"/>
          <w:szCs w:val="18"/>
          <w:i w:val="1"/>
          <w:iCs w:val="1"/>
          <w:color w:val="auto"/>
        </w:rPr>
        <w:t>Indicate license term.</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ind w:left="640" w:hanging="632"/>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Licenses to Provider Technology or Materials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660" w:right="140" w:hanging="4"/>
        <w:spacing w:after="0" w:line="277" w:lineRule="auto"/>
        <w:tabs>
          <w:tab w:leader="none" w:pos="875" w:val="left"/>
        </w:tabs>
        <w:numPr>
          <w:ilvl w:val="1"/>
          <w:numId w:val="52"/>
        </w:numPr>
        <w:rPr>
          <w:rFonts w:ascii="Arial" w:cs="Arial" w:eastAsia="Arial" w:hAnsi="Arial"/>
          <w:sz w:val="18"/>
          <w:szCs w:val="18"/>
          <w:color w:val="auto"/>
        </w:rPr>
      </w:pPr>
      <w:r>
        <w:rPr>
          <w:rFonts w:ascii="Arial" w:cs="Arial" w:eastAsia="Arial" w:hAnsi="Arial"/>
          <w:sz w:val="18"/>
          <w:szCs w:val="18"/>
          <w:color w:val="auto"/>
        </w:rPr>
        <w:t>Grant: [</w:t>
      </w:r>
      <w:r>
        <w:rPr>
          <w:rFonts w:ascii="Arial" w:cs="Arial" w:eastAsia="Arial" w:hAnsi="Arial"/>
          <w:sz w:val="18"/>
          <w:szCs w:val="18"/>
          <w:i w:val="1"/>
          <w:iCs w:val="1"/>
          <w:color w:val="auto"/>
        </w:rPr>
        <w:t>Include a grant of any licenses or other rights to technology, content or other materials from Provider to University or from University to</w:t>
      </w:r>
      <w:r>
        <w:rPr>
          <w:rFonts w:ascii="Arial" w:cs="Arial" w:eastAsia="Arial" w:hAnsi="Arial"/>
          <w:sz w:val="18"/>
          <w:szCs w:val="18"/>
          <w:color w:val="auto"/>
        </w:rPr>
        <w:t xml:space="preserve"> </w:t>
      </w:r>
      <w:r>
        <w:rPr>
          <w:rFonts w:ascii="Arial" w:cs="Arial" w:eastAsia="Arial" w:hAnsi="Arial"/>
          <w:sz w:val="18"/>
          <w:szCs w:val="18"/>
          <w:i w:val="1"/>
          <w:iCs w:val="1"/>
          <w:color w:val="auto"/>
        </w:rPr>
        <w:t>Provider for the performance of the Services or the Deliverables, or attach a separate license agreement.</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880" w:hanging="224"/>
        <w:spacing w:after="0"/>
        <w:tabs>
          <w:tab w:leader="none" w:pos="8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Fees: [</w:t>
      </w:r>
      <w:r>
        <w:rPr>
          <w:rFonts w:ascii="Arial" w:cs="Arial" w:eastAsia="Arial" w:hAnsi="Arial"/>
          <w:sz w:val="18"/>
          <w:szCs w:val="18"/>
          <w:i w:val="1"/>
          <w:iCs w:val="1"/>
          <w:color w:val="auto"/>
        </w:rPr>
        <w:t>Include fees and payment terms.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80" w:hanging="224"/>
        <w:spacing w:after="0"/>
        <w:tabs>
          <w:tab w:leader="none" w:pos="8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Term: [</w:t>
      </w:r>
      <w:r>
        <w:rPr>
          <w:rFonts w:ascii="Arial" w:cs="Arial" w:eastAsia="Arial" w:hAnsi="Arial"/>
          <w:sz w:val="18"/>
          <w:szCs w:val="18"/>
          <w:i w:val="1"/>
          <w:iCs w:val="1"/>
          <w:color w:val="auto"/>
        </w:rPr>
        <w:t>Indicate license term.</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80" w:hanging="224"/>
        <w:spacing w:after="0"/>
        <w:tabs>
          <w:tab w:leader="none" w:pos="8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Other: [</w:t>
      </w:r>
      <w:r>
        <w:rPr>
          <w:rFonts w:ascii="Arial" w:cs="Arial" w:eastAsia="Arial" w:hAnsi="Arial"/>
          <w:sz w:val="18"/>
          <w:szCs w:val="18"/>
          <w:i w:val="1"/>
          <w:iCs w:val="1"/>
          <w:color w:val="auto"/>
        </w:rPr>
        <w:t>Include any other license terms.</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ind w:left="660" w:hanging="652"/>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Subcontracting</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Include any limits on subcontracting. See Section 3.2 of the Agreement.</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ind w:left="660" w:hanging="652"/>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Other Terms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Insert a description of any additional terms or conditions applicable to the Services to be provided under this SA.</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an authorized representative of each Party has executed this SA as of the SA Effective Date written above.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gridSpan w:val="2"/>
          </w:tcPr>
          <w:p>
            <w:pPr>
              <w:spacing w:after="0"/>
              <w:rPr>
                <w:sz w:val="20"/>
                <w:szCs w:val="20"/>
                <w:color w:val="auto"/>
              </w:rPr>
            </w:pPr>
            <w:r>
              <w:rPr>
                <w:rFonts w:ascii="Arial" w:cs="Arial" w:eastAsia="Arial" w:hAnsi="Arial"/>
                <w:sz w:val="18"/>
                <w:szCs w:val="18"/>
                <w:b w:val="1"/>
                <w:bCs w:val="1"/>
                <w:color w:val="auto"/>
              </w:rPr>
              <w:t>Grand Canyon University</w:t>
            </w:r>
          </w:p>
        </w:tc>
        <w:tc>
          <w:tcPr>
            <w:tcW w:w="1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100" w:type="dxa"/>
            <w:vAlign w:val="bottom"/>
          </w:tcPr>
          <w:p>
            <w:pPr>
              <w:spacing w:after="0"/>
              <w:rPr>
                <w:sz w:val="20"/>
                <w:szCs w:val="20"/>
                <w:color w:val="auto"/>
              </w:rPr>
            </w:pPr>
            <w:r>
              <w:rPr>
                <w:rFonts w:ascii="Arial" w:cs="Arial" w:eastAsia="Arial" w:hAnsi="Arial"/>
                <w:sz w:val="18"/>
                <w:szCs w:val="18"/>
                <w:b w:val="1"/>
                <w:bCs w:val="1"/>
                <w:color w:val="auto"/>
              </w:rPr>
              <w:t>Grand Canyon Education, Inc.</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520" w:type="dxa"/>
            <w:vAlign w:val="bottom"/>
            <w:gridSpan w:val="2"/>
          </w:tcPr>
          <w:p>
            <w:pPr>
              <w:spacing w:after="0"/>
              <w:rPr>
                <w:sz w:val="20"/>
                <w:szCs w:val="20"/>
                <w:color w:val="auto"/>
              </w:rPr>
            </w:pPr>
            <w:r>
              <w:rPr>
                <w:rFonts w:ascii="Arial" w:cs="Arial" w:eastAsia="Arial" w:hAnsi="Arial"/>
                <w:sz w:val="18"/>
                <w:szCs w:val="18"/>
                <w:color w:val="auto"/>
              </w:rPr>
              <w:t>Signature:</w:t>
            </w:r>
          </w:p>
        </w:tc>
        <w:tc>
          <w:tcPr>
            <w:tcW w:w="1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Signature: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1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Name:</w:t>
            </w:r>
          </w:p>
        </w:tc>
        <w:tc>
          <w:tcPr>
            <w:tcW w:w="1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Name:</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5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610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Title:</w:t>
            </w:r>
          </w:p>
        </w:tc>
        <w:tc>
          <w:tcPr>
            <w:tcW w:w="1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Title:</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610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7900" w:type="dxa"/>
            <w:vAlign w:val="bottom"/>
            <w:gridSpan w:val="3"/>
          </w:tcPr>
          <w:p>
            <w:pPr>
              <w:jc w:val="center"/>
              <w:ind w:right="3430"/>
              <w:spacing w:after="0"/>
              <w:rPr>
                <w:sz w:val="20"/>
                <w:szCs w:val="20"/>
                <w:color w:val="auto"/>
              </w:rPr>
            </w:pPr>
            <w:r>
              <w:rPr>
                <w:rFonts w:ascii="Arial" w:cs="Arial" w:eastAsia="Arial" w:hAnsi="Arial"/>
                <w:sz w:val="18"/>
                <w:szCs w:val="18"/>
                <w:color w:val="auto"/>
                <w:w w:val="96"/>
              </w:rPr>
              <w:t>[End of Exhibit C]</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340" w:type="dxa"/>
            <w:vAlign w:val="bottom"/>
            <w:gridSpan w:val="2"/>
          </w:tcPr>
          <w:p>
            <w:pPr>
              <w:jc w:val="center"/>
              <w:ind w:right="4970"/>
              <w:spacing w:after="0"/>
              <w:rPr>
                <w:sz w:val="20"/>
                <w:szCs w:val="20"/>
                <w:color w:val="auto"/>
              </w:rPr>
            </w:pPr>
            <w:r>
              <w:rPr>
                <w:rFonts w:ascii="Arial" w:cs="Arial" w:eastAsia="Arial" w:hAnsi="Arial"/>
                <w:sz w:val="18"/>
                <w:szCs w:val="18"/>
                <w:color w:val="auto"/>
                <w:w w:val="95"/>
              </w:rPr>
              <w:t>Exhibit C-3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3500" w:type="dxa"/>
            <w:vAlign w:val="bottom"/>
            <w:tcBorders>
              <w:bottom w:val="single" w:sz="8" w:color="808080"/>
            </w:tcBorders>
          </w:tcPr>
          <w:p>
            <w:pPr>
              <w:spacing w:after="0"/>
              <w:rPr>
                <w:sz w:val="11"/>
                <w:szCs w:val="11"/>
                <w:color w:val="auto"/>
              </w:rPr>
            </w:pPr>
          </w:p>
        </w:tc>
        <w:tc>
          <w:tcPr>
            <w:tcW w:w="156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6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66" w:name="page67"/>
    <w:bookmarkEnd w:id="66"/>
    <w:p>
      <w:pPr>
        <w:jc w:val="center"/>
        <w:ind w:right="-39"/>
        <w:spacing w:after="0"/>
        <w:rPr>
          <w:sz w:val="20"/>
          <w:szCs w:val="20"/>
          <w:color w:val="auto"/>
        </w:rPr>
      </w:pPr>
      <w:r>
        <w:rPr>
          <w:rFonts w:ascii="Arial" w:cs="Arial" w:eastAsia="Arial" w:hAnsi="Arial"/>
          <w:sz w:val="18"/>
          <w:szCs w:val="18"/>
          <w:b w:val="1"/>
          <w:bCs w:val="1"/>
          <w:color w:val="auto"/>
        </w:rPr>
        <w:t>EXHIBIT 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PRICING AND PAYMENT TERMS; OTHER AGREEMENTS</w:t>
      </w:r>
    </w:p>
    <w:p>
      <w:pPr>
        <w:spacing w:after="0" w:line="225" w:lineRule="exact"/>
        <w:rPr>
          <w:sz w:val="20"/>
          <w:szCs w:val="20"/>
          <w:color w:val="auto"/>
        </w:rPr>
      </w:pPr>
    </w:p>
    <w:p>
      <w:pPr>
        <w:ind w:left="660" w:hanging="652"/>
        <w:spacing w:after="0"/>
        <w:tabs>
          <w:tab w:leader="none" w:pos="6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University Adjusted Gross Revenue</w:t>
      </w:r>
      <w:r>
        <w:rPr>
          <w:rFonts w:ascii="Arial" w:cs="Arial" w:eastAsia="Arial" w:hAnsi="Arial"/>
          <w:sz w:val="18"/>
          <w:szCs w:val="18"/>
          <w:color w:val="auto"/>
        </w:rPr>
        <w:t>.</w:t>
      </w:r>
    </w:p>
    <w:p>
      <w:pPr>
        <w:spacing w:after="0" w:line="22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For purposes of this Agreement, University adjusted gross revenue (“</w:t>
      </w:r>
      <w:r>
        <w:rPr>
          <w:rFonts w:ascii="Arial" w:cs="Arial" w:eastAsia="Arial" w:hAnsi="Arial"/>
          <w:sz w:val="18"/>
          <w:szCs w:val="18"/>
          <w:b w:val="1"/>
          <w:bCs w:val="1"/>
          <w:i w:val="1"/>
          <w:iCs w:val="1"/>
          <w:color w:val="auto"/>
        </w:rPr>
        <w:t>University Adjusted Gross Revenue</w:t>
      </w:r>
      <w:r>
        <w:rPr>
          <w:rFonts w:ascii="Arial" w:cs="Arial" w:eastAsia="Arial" w:hAnsi="Arial"/>
          <w:sz w:val="18"/>
          <w:szCs w:val="18"/>
          <w:color w:val="auto"/>
        </w:rPr>
        <w:t>”) consists of all revenue received by University or its Affiliates in respect of the following (in each case net of refunds and scholarships actually granted by University to its students to the extent accounted for as a discount to tuition):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left="660" w:hanging="652"/>
        <w:spacing w:after="0"/>
        <w:tabs>
          <w:tab w:leader="none" w:pos="6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Payment for Services</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right="200" w:firstLine="656"/>
        <w:spacing w:after="0" w:line="277" w:lineRule="auto"/>
        <w:tabs>
          <w:tab w:leader="none" w:pos="1343" w:val="left"/>
        </w:tabs>
        <w:numPr>
          <w:ilvl w:val="1"/>
          <w:numId w:val="54"/>
        </w:numPr>
        <w:rPr>
          <w:rFonts w:ascii="Arial" w:cs="Arial" w:eastAsia="Arial" w:hAnsi="Arial"/>
          <w:sz w:val="18"/>
          <w:szCs w:val="18"/>
          <w:color w:val="auto"/>
        </w:rPr>
      </w:pPr>
      <w:r>
        <w:rPr>
          <w:rFonts w:ascii="Arial" w:cs="Arial" w:eastAsia="Arial" w:hAnsi="Arial"/>
          <w:sz w:val="18"/>
          <w:szCs w:val="18"/>
          <w:u w:val="single" w:color="auto"/>
          <w:color w:val="auto"/>
        </w:rPr>
        <w:t>Services Fees</w:t>
      </w:r>
      <w:r>
        <w:rPr>
          <w:rFonts w:ascii="Arial" w:cs="Arial" w:eastAsia="Arial" w:hAnsi="Arial"/>
          <w:sz w:val="18"/>
          <w:szCs w:val="18"/>
          <w:color w:val="auto"/>
        </w:rPr>
        <w:t>. On a monthly basis, as provided in Section 3 below, University shall pay Services Fees to Provider for Services rendered hereunder in an amount equal to 60.0% of University Adjusted Gross Revenue.</w:t>
      </w:r>
    </w:p>
    <w:p>
      <w:pPr>
        <w:spacing w:after="0" w:line="170" w:lineRule="exact"/>
        <w:rPr>
          <w:rFonts w:ascii="Arial" w:cs="Arial" w:eastAsia="Arial" w:hAnsi="Arial"/>
          <w:sz w:val="18"/>
          <w:szCs w:val="18"/>
          <w:color w:val="auto"/>
        </w:rPr>
      </w:pPr>
    </w:p>
    <w:p>
      <w:pPr>
        <w:ind w:right="60" w:firstLine="656"/>
        <w:spacing w:after="0" w:line="284" w:lineRule="auto"/>
        <w:tabs>
          <w:tab w:leader="none" w:pos="1353" w:val="left"/>
        </w:tabs>
        <w:numPr>
          <w:ilvl w:val="1"/>
          <w:numId w:val="54"/>
        </w:numPr>
        <w:rPr>
          <w:rFonts w:ascii="Arial" w:cs="Arial" w:eastAsia="Arial" w:hAnsi="Arial"/>
          <w:sz w:val="16"/>
          <w:szCs w:val="16"/>
          <w:color w:val="auto"/>
        </w:rPr>
      </w:pPr>
      <w:r>
        <w:rPr>
          <w:rFonts w:ascii="Arial" w:cs="Arial" w:eastAsia="Arial" w:hAnsi="Arial"/>
          <w:sz w:val="16"/>
          <w:szCs w:val="16"/>
          <w:u w:val="single" w:color="auto"/>
          <w:color w:val="auto"/>
        </w:rPr>
        <w:t>Periodic Review</w:t>
      </w:r>
      <w:r>
        <w:rPr>
          <w:rFonts w:ascii="Arial" w:cs="Arial" w:eastAsia="Arial" w:hAnsi="Arial"/>
          <w:sz w:val="16"/>
          <w:szCs w:val="16"/>
          <w:color w:val="auto"/>
        </w:rPr>
        <w:t>. Not less than ninety (90) days prior to an Optional Adjustment Date (as defined below), either Party shall have the right (but not the obligation) to initiate a new or updated analysis (which may be a transfer pricing study or other market study, as applicable) for the purpose of determining whether the percentage of University Adjusted Gross Revenue payable by University to Provider pursuant to Section 2(a) of this Exhibit D following such Optional Adjustment Date should be adjusted (such adjusted percentage, the “</w:t>
      </w:r>
      <w:r>
        <w:rPr>
          <w:rFonts w:ascii="Arial" w:cs="Arial" w:eastAsia="Arial" w:hAnsi="Arial"/>
          <w:sz w:val="16"/>
          <w:szCs w:val="16"/>
          <w:b w:val="1"/>
          <w:bCs w:val="1"/>
          <w:i w:val="1"/>
          <w:iCs w:val="1"/>
          <w:color w:val="auto"/>
        </w:rPr>
        <w:t>Adjusted Percentage</w:t>
      </w:r>
      <w:r>
        <w:rPr>
          <w:rFonts w:ascii="Arial" w:cs="Arial" w:eastAsia="Arial" w:hAnsi="Arial"/>
          <w:sz w:val="16"/>
          <w:szCs w:val="16"/>
          <w:color w:val="auto"/>
        </w:rPr>
        <w:t>”). Such analysis shall be performed by a nationally recognized firm with experience in conducting such analyses and which is reasonably acceptable to both Parties (the “</w:t>
      </w:r>
      <w:r>
        <w:rPr>
          <w:rFonts w:ascii="Arial" w:cs="Arial" w:eastAsia="Arial" w:hAnsi="Arial"/>
          <w:sz w:val="16"/>
          <w:szCs w:val="16"/>
          <w:b w:val="1"/>
          <w:bCs w:val="1"/>
          <w:i w:val="1"/>
          <w:iCs w:val="1"/>
          <w:color w:val="auto"/>
        </w:rPr>
        <w:t>Pricing Firm</w:t>
      </w:r>
      <w:r>
        <w:rPr>
          <w:rFonts w:ascii="Arial" w:cs="Arial" w:eastAsia="Arial" w:hAnsi="Arial"/>
          <w:sz w:val="16"/>
          <w:szCs w:val="16"/>
          <w:color w:val="auto"/>
        </w:rPr>
        <w:t>”). The final analysis submitted by the Pricing Firm shall be binding and conclusive on the Parties and shall not be subject to challenge by either Party. If the Adjusted Percentage, as determined by the Pricing Firm, deviates by more than one (1) percentage point, without rounding, from the percentage set forth in</w:t>
      </w:r>
    </w:p>
    <w:p>
      <w:pPr>
        <w:spacing w:after="0" w:line="2" w:lineRule="exact"/>
        <w:rPr>
          <w:rFonts w:ascii="Arial" w:cs="Arial" w:eastAsia="Arial" w:hAnsi="Arial"/>
          <w:sz w:val="16"/>
          <w:szCs w:val="16"/>
          <w:color w:val="auto"/>
        </w:rPr>
      </w:pPr>
    </w:p>
    <w:p>
      <w:pPr>
        <w:spacing w:after="0" w:line="292" w:lineRule="auto"/>
        <w:rPr>
          <w:rFonts w:ascii="Arial" w:cs="Arial" w:eastAsia="Arial" w:hAnsi="Arial"/>
          <w:sz w:val="16"/>
          <w:szCs w:val="16"/>
          <w:color w:val="auto"/>
        </w:rPr>
      </w:pPr>
      <w:r>
        <w:rPr>
          <w:rFonts w:ascii="Arial" w:cs="Arial" w:eastAsia="Arial" w:hAnsi="Arial"/>
          <w:sz w:val="16"/>
          <w:szCs w:val="16"/>
          <w:color w:val="auto"/>
        </w:rPr>
        <w:t>Section 2(a) of this Exhibit D (as then in effect), then Section 2(a) of this Exhibit D shall be deemed amended as of the Optional Adjustment Date to reflect Adjusted Percentage and such Adjusted Percentage shall apply from and after the applicable Optional Adjustment Date. The Parties acknowledge that the analysis performed by the Pricing Firm may result in the percentage of University Adjusted Gross Revenue payable by University to Provider either changing (increasing or decreasing) or remaining the same. Each Party will bear half of the fees and costs charged by the Pricing Firm, but no other consideration shall be paid or exchanged between the Parties in connection with the analysis or in implementing any Adjusted Percentage, if applicable.</w:t>
      </w:r>
    </w:p>
    <w:p>
      <w:pPr>
        <w:spacing w:after="0" w:line="162" w:lineRule="exact"/>
        <w:rPr>
          <w:rFonts w:ascii="Arial" w:cs="Arial" w:eastAsia="Arial" w:hAnsi="Arial"/>
          <w:sz w:val="16"/>
          <w:szCs w:val="16"/>
          <w:color w:val="auto"/>
        </w:rPr>
      </w:pPr>
    </w:p>
    <w:p>
      <w:pPr>
        <w:ind w:right="100" w:firstLine="656"/>
        <w:spacing w:after="0" w:line="227" w:lineRule="auto"/>
        <w:tabs>
          <w:tab w:leader="none" w:pos="1343" w:val="left"/>
        </w:tabs>
        <w:numPr>
          <w:ilvl w:val="1"/>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Optional Adjustment Date</w:t>
      </w:r>
      <w:r>
        <w:rPr>
          <w:rFonts w:ascii="Arial" w:cs="Arial" w:eastAsia="Arial" w:hAnsi="Arial"/>
          <w:sz w:val="18"/>
          <w:szCs w:val="18"/>
          <w:color w:val="auto"/>
        </w:rPr>
        <w:t>” means any of the following: (a) the tenth (10</w:t>
      </w:r>
      <w:r>
        <w:rPr>
          <w:rFonts w:ascii="Arial" w:cs="Arial" w:eastAsia="Arial" w:hAnsi="Arial"/>
          <w:sz w:val="23"/>
          <w:szCs w:val="23"/>
          <w:color w:val="auto"/>
          <w:vertAlign w:val="superscript"/>
        </w:rPr>
        <w:t>th</w:t>
      </w:r>
      <w:r>
        <w:rPr>
          <w:rFonts w:ascii="Arial" w:cs="Arial" w:eastAsia="Arial" w:hAnsi="Arial"/>
          <w:sz w:val="18"/>
          <w:szCs w:val="18"/>
          <w:color w:val="auto"/>
        </w:rPr>
        <w:t>) anniversary of the Effective Date, and (b) thereafter, the first date of each Renewal Term.</w:t>
      </w:r>
    </w:p>
    <w:p>
      <w:pPr>
        <w:spacing w:after="0" w:line="198" w:lineRule="exact"/>
        <w:rPr>
          <w:rFonts w:ascii="Arial" w:cs="Arial" w:eastAsia="Arial" w:hAnsi="Arial"/>
          <w:sz w:val="18"/>
          <w:szCs w:val="18"/>
          <w:color w:val="auto"/>
        </w:rPr>
      </w:pPr>
    </w:p>
    <w:p>
      <w:pPr>
        <w:ind w:left="660" w:hanging="652"/>
        <w:spacing w:after="0"/>
        <w:tabs>
          <w:tab w:leader="none" w:pos="6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Reports and Payment</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right="300" w:firstLine="656"/>
        <w:spacing w:after="0" w:line="227" w:lineRule="auto"/>
        <w:tabs>
          <w:tab w:leader="none" w:pos="1343" w:val="left"/>
        </w:tabs>
        <w:numPr>
          <w:ilvl w:val="1"/>
          <w:numId w:val="54"/>
        </w:numPr>
        <w:rPr>
          <w:rFonts w:ascii="Arial" w:cs="Arial" w:eastAsia="Arial" w:hAnsi="Arial"/>
          <w:sz w:val="18"/>
          <w:szCs w:val="18"/>
          <w:color w:val="auto"/>
        </w:rPr>
      </w:pPr>
      <w:r>
        <w:rPr>
          <w:rFonts w:ascii="Arial" w:cs="Arial" w:eastAsia="Arial" w:hAnsi="Arial"/>
          <w:sz w:val="18"/>
          <w:szCs w:val="18"/>
          <w:color w:val="auto"/>
        </w:rPr>
        <w:t>University shall provide to Provider the following reports on or before the thirtieth (30</w:t>
      </w:r>
      <w:r>
        <w:rPr>
          <w:rFonts w:ascii="Arial" w:cs="Arial" w:eastAsia="Arial" w:hAnsi="Arial"/>
          <w:sz w:val="23"/>
          <w:szCs w:val="23"/>
          <w:color w:val="auto"/>
          <w:vertAlign w:val="superscript"/>
        </w:rPr>
        <w:t>th</w:t>
      </w:r>
      <w:r>
        <w:rPr>
          <w:rFonts w:ascii="Arial" w:cs="Arial" w:eastAsia="Arial" w:hAnsi="Arial"/>
          <w:sz w:val="18"/>
          <w:szCs w:val="18"/>
          <w:color w:val="auto"/>
        </w:rPr>
        <w:t>) day after the end of each calendar month during each calendar year:</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Exhibit 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67" w:name="page68"/>
    <w:bookmarkEnd w:id="67"/>
    <w:p>
      <w:pPr>
        <w:ind w:left="2020" w:hanging="715"/>
        <w:spacing w:after="0"/>
        <w:tabs>
          <w:tab w:leader="none" w:pos="2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left="2020" w:hanging="715"/>
        <w:spacing w:after="0"/>
        <w:tabs>
          <w:tab w:leader="none" w:pos="20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 reconciliation of the foregoing monthly reports against actual results obtained during the most recently completed reporting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period.</w:t>
      </w:r>
    </w:p>
    <w:p>
      <w:pPr>
        <w:spacing w:after="0" w:line="217" w:lineRule="exact"/>
        <w:rPr>
          <w:sz w:val="20"/>
          <w:szCs w:val="20"/>
          <w:color w:val="auto"/>
        </w:rPr>
      </w:pPr>
    </w:p>
    <w:p>
      <w:pPr>
        <w:ind w:firstLine="656"/>
        <w:spacing w:after="0" w:line="256" w:lineRule="auto"/>
        <w:tabs>
          <w:tab w:leader="none" w:pos="1353" w:val="left"/>
        </w:tabs>
        <w:numPr>
          <w:ilvl w:val="1"/>
          <w:numId w:val="56"/>
        </w:numPr>
        <w:rPr>
          <w:rFonts w:ascii="Arial" w:cs="Arial" w:eastAsia="Arial" w:hAnsi="Arial"/>
          <w:sz w:val="18"/>
          <w:szCs w:val="18"/>
          <w:color w:val="auto"/>
        </w:rPr>
      </w:pPr>
      <w:r>
        <w:rPr>
          <w:rFonts w:ascii="Arial" w:cs="Arial" w:eastAsia="Arial" w:hAnsi="Arial"/>
          <w:sz w:val="18"/>
          <w:szCs w:val="18"/>
          <w:color w:val="auto"/>
        </w:rPr>
        <w:t>Concurrently with the delivery of each monthly report required by Section 3(a), University shall also pay or adjust, as applicable, Provider’s portion of University Adjusted Gross Revenue for the subject reporting period by wire transfer of funds to such bank account as Provider may direct by notice to University no later than ten (10) Business Days prior to the scheduled date for such wire transfer. If no wire transfer instructions are provided within such period, then payment will be made by check.</w:t>
      </w:r>
    </w:p>
    <w:p>
      <w:pPr>
        <w:spacing w:after="0" w:line="197" w:lineRule="exact"/>
        <w:rPr>
          <w:rFonts w:ascii="Arial" w:cs="Arial" w:eastAsia="Arial" w:hAnsi="Arial"/>
          <w:sz w:val="18"/>
          <w:szCs w:val="18"/>
          <w:color w:val="auto"/>
        </w:rPr>
      </w:pPr>
    </w:p>
    <w:p>
      <w:pPr>
        <w:ind w:right="100" w:firstLine="656"/>
        <w:spacing w:after="0" w:line="268" w:lineRule="auto"/>
        <w:tabs>
          <w:tab w:leader="none" w:pos="1343"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payment by Provider to University to make up any post-reporting period adjustment shall be paid within thirty (30) days after Provider’s receipt of the applicable report.</w:t>
      </w:r>
    </w:p>
    <w:p>
      <w:pPr>
        <w:spacing w:after="0" w:line="180" w:lineRule="exact"/>
        <w:rPr>
          <w:rFonts w:ascii="Arial" w:cs="Arial" w:eastAsia="Arial" w:hAnsi="Arial"/>
          <w:sz w:val="18"/>
          <w:szCs w:val="18"/>
          <w:color w:val="auto"/>
        </w:rPr>
      </w:pPr>
    </w:p>
    <w:p>
      <w:pPr>
        <w:ind w:right="200" w:firstLine="656"/>
        <w:spacing w:after="0" w:line="275" w:lineRule="auto"/>
        <w:tabs>
          <w:tab w:leader="none" w:pos="1353" w:val="left"/>
        </w:tabs>
        <w:numPr>
          <w:ilvl w:val="1"/>
          <w:numId w:val="56"/>
        </w:numPr>
        <w:rPr>
          <w:rFonts w:ascii="Arial" w:cs="Arial" w:eastAsia="Arial" w:hAnsi="Arial"/>
          <w:sz w:val="18"/>
          <w:szCs w:val="18"/>
          <w:color w:val="auto"/>
        </w:rPr>
      </w:pPr>
      <w:r>
        <w:rPr>
          <w:rFonts w:ascii="Arial" w:cs="Arial" w:eastAsia="Arial" w:hAnsi="Arial"/>
          <w:sz w:val="18"/>
          <w:szCs w:val="18"/>
          <w:color w:val="auto"/>
        </w:rPr>
        <w:t xml:space="preserve">A final reconciliation and payment of </w:t>
      </w:r>
      <w:r>
        <w:rPr>
          <w:rFonts w:ascii="Arial" w:cs="Arial" w:eastAsia="Arial" w:hAnsi="Arial"/>
          <w:sz w:val="17"/>
          <w:szCs w:val="17"/>
          <w:color w:val="auto"/>
        </w:rPr>
        <w:t>amounts due from either party to the other pursuant to this Section 3 shall be made within thirty (30)</w:t>
      </w:r>
      <w:r>
        <w:rPr>
          <w:rFonts w:ascii="Arial" w:cs="Arial" w:eastAsia="Arial" w:hAnsi="Arial"/>
          <w:sz w:val="18"/>
          <w:szCs w:val="18"/>
          <w:color w:val="auto"/>
        </w:rPr>
        <w:t xml:space="preserve"> </w:t>
      </w:r>
      <w:r>
        <w:rPr>
          <w:rFonts w:ascii="Arial" w:cs="Arial" w:eastAsia="Arial" w:hAnsi="Arial"/>
          <w:sz w:val="17"/>
          <w:szCs w:val="17"/>
          <w:color w:val="auto"/>
        </w:rPr>
        <w:t>days after the termination or expiration of this Agreement.</w:t>
      </w:r>
    </w:p>
    <w:p>
      <w:pPr>
        <w:spacing w:after="0" w:line="169" w:lineRule="exact"/>
        <w:rPr>
          <w:rFonts w:ascii="Arial" w:cs="Arial" w:eastAsia="Arial" w:hAnsi="Arial"/>
          <w:sz w:val="18"/>
          <w:szCs w:val="18"/>
          <w:color w:val="auto"/>
        </w:rPr>
      </w:pPr>
    </w:p>
    <w:p>
      <w:pPr>
        <w:ind w:firstLine="8"/>
        <w:spacing w:after="0" w:line="273" w:lineRule="auto"/>
        <w:tabs>
          <w:tab w:leader="none" w:pos="648" w:val="left"/>
        </w:tabs>
        <w:numPr>
          <w:ilvl w:val="0"/>
          <w:numId w:val="57"/>
        </w:numPr>
        <w:rPr>
          <w:rFonts w:ascii="Arial" w:cs="Arial" w:eastAsia="Arial" w:hAnsi="Arial"/>
          <w:sz w:val="17"/>
          <w:szCs w:val="17"/>
          <w:b w:val="1"/>
          <w:bCs w:val="1"/>
          <w:color w:val="auto"/>
        </w:rPr>
      </w:pPr>
      <w:r>
        <w:rPr>
          <w:rFonts w:ascii="Arial" w:cs="Arial" w:eastAsia="Arial" w:hAnsi="Arial"/>
          <w:sz w:val="17"/>
          <w:szCs w:val="17"/>
          <w:b w:val="1"/>
          <w:bCs w:val="1"/>
          <w:color w:val="auto"/>
        </w:rPr>
        <w:t>Other Agreements between University and Provider</w:t>
      </w:r>
      <w:r>
        <w:rPr>
          <w:rFonts w:ascii="Arial" w:cs="Arial" w:eastAsia="Arial" w:hAnsi="Arial"/>
          <w:sz w:val="17"/>
          <w:szCs w:val="17"/>
          <w:color w:val="auto"/>
        </w:rPr>
        <w:t>. For so long as the Agreement remains in effect, Services Personnel who apply for and are</w:t>
      </w:r>
      <w:r>
        <w:rPr>
          <w:rFonts w:ascii="Arial" w:cs="Arial" w:eastAsia="Arial" w:hAnsi="Arial"/>
          <w:sz w:val="17"/>
          <w:szCs w:val="17"/>
          <w:b w:val="1"/>
          <w:bCs w:val="1"/>
          <w:color w:val="auto"/>
        </w:rPr>
        <w:t xml:space="preserve"> </w:t>
      </w:r>
      <w:r>
        <w:rPr>
          <w:rFonts w:ascii="Arial" w:cs="Arial" w:eastAsia="Arial" w:hAnsi="Arial"/>
          <w:sz w:val="17"/>
          <w:szCs w:val="17"/>
          <w:color w:val="auto"/>
        </w:rPr>
        <w:t>accepted into a Program at University will not be required to pay tuition or other University fees during their enrollment in any such Program (or Courses comprising such Program) which are in excess of (a) for Services Personnel who are enrolled in traditional Courses, [***], and (b) for Services Personnel who are enrolled in online Courses, [***]. If any Services Personnel are enrolled in a Program at the time the Agreement terminates, this Section 4 will remain in effect with respect to such Services Personnel for the duration of the then current Fiscal Year (ending on the next succeeding June 30) for so long as any such Services Personnel remains in continuous enrollment in such Program following such termination and through the end of such Fiscal Year. Provider shall be responsible for administering this employee benefit as regards Services Personnel.</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[End of Exhibit 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Exhibit 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EXHIBIT 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UNIVERSITY MARKS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Registered Trademarks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00" w:type="dxa"/>
            <w:vAlign w:val="bottom"/>
            <w:gridSpan w:val="2"/>
          </w:tcPr>
          <w:p>
            <w:pPr>
              <w:spacing w:after="0"/>
              <w:rPr>
                <w:sz w:val="20"/>
                <w:szCs w:val="20"/>
                <w:color w:val="auto"/>
              </w:rPr>
            </w:pPr>
            <w:r>
              <w:rPr>
                <w:rFonts w:ascii="Arial" w:cs="Arial" w:eastAsia="Arial" w:hAnsi="Arial"/>
                <w:sz w:val="14"/>
                <w:szCs w:val="14"/>
                <w:b w:val="1"/>
                <w:bCs w:val="1"/>
                <w:color w:val="auto"/>
              </w:rPr>
              <w:t>Mark</w:t>
            </w:r>
          </w:p>
        </w:tc>
        <w:tc>
          <w:tcPr>
            <w:tcW w:w="1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U.S. Reg. No.</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4"/>
              </w:rPr>
              <w:t>U.S. Reg. Date</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08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b w:val="1"/>
                <w:bCs w:val="1"/>
                <w:color w:val="auto"/>
              </w:rPr>
              <w:t>GRAND CANYON UNIVERSITY</w:t>
            </w:r>
            <w:r>
              <w:rPr>
                <w:rFonts w:ascii="Arial" w:cs="Arial" w:eastAsia="Arial" w:hAnsi="Arial"/>
                <w:sz w:val="18"/>
                <w:szCs w:val="18"/>
                <w:color w:val="auto"/>
              </w:rPr>
              <w:t>® (for apparel and expanded services)</w:t>
            </w:r>
          </w:p>
        </w:tc>
        <w:tc>
          <w:tcPr>
            <w:tcW w:w="17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color w:val="auto"/>
                <w:w w:val="89"/>
              </w:rPr>
              <w:t>5,421,628</w:t>
            </w:r>
          </w:p>
        </w:tc>
        <w:tc>
          <w:tcPr>
            <w:tcW w:w="220" w:type="dxa"/>
            <w:vAlign w:val="bottom"/>
          </w:tcPr>
          <w:p>
            <w:pPr>
              <w:spacing w:after="0"/>
              <w:rPr>
                <w:sz w:val="16"/>
                <w:szCs w:val="16"/>
                <w:color w:val="auto"/>
              </w:rPr>
            </w:pPr>
          </w:p>
        </w:tc>
        <w:tc>
          <w:tcPr>
            <w:tcW w:w="138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color w:val="auto"/>
                <w:w w:val="91"/>
              </w:rPr>
              <w:t>03/13/18</w:t>
            </w:r>
          </w:p>
        </w:tc>
        <w:tc>
          <w:tcPr>
            <w:tcW w:w="0" w:type="dxa"/>
            <w:vAlign w:val="bottom"/>
          </w:tcPr>
          <w:p>
            <w:pPr>
              <w:spacing w:after="0"/>
              <w:rPr>
                <w:sz w:val="1"/>
                <w:szCs w:val="1"/>
                <w:color w:val="auto"/>
              </w:rPr>
            </w:pPr>
          </w:p>
        </w:tc>
      </w:tr>
      <w:tr>
        <w:trPr>
          <w:trHeight w:val="234"/>
        </w:trPr>
        <w:tc>
          <w:tcPr>
            <w:tcW w:w="6100" w:type="dxa"/>
            <w:vAlign w:val="bottom"/>
            <w:gridSpan w:val="2"/>
          </w:tcPr>
          <w:p>
            <w:pPr>
              <w:spacing w:after="0"/>
              <w:rPr>
                <w:sz w:val="20"/>
                <w:szCs w:val="20"/>
                <w:color w:val="auto"/>
              </w:rPr>
            </w:pPr>
            <w:r>
              <w:rPr>
                <w:rFonts w:ascii="Arial" w:cs="Arial" w:eastAsia="Arial" w:hAnsi="Arial"/>
                <w:sz w:val="18"/>
                <w:szCs w:val="18"/>
                <w:b w:val="1"/>
                <w:bCs w:val="1"/>
                <w:color w:val="auto"/>
              </w:rPr>
              <w:t>GCU LEARNING LOUNGE</w:t>
            </w:r>
            <w:r>
              <w:rPr>
                <w:rFonts w:ascii="Arial" w:cs="Arial" w:eastAsia="Arial" w:hAnsi="Arial"/>
                <w:sz w:val="18"/>
                <w:szCs w:val="18"/>
                <w:color w:val="auto"/>
              </w:rPr>
              <w:t>®</w:t>
            </w:r>
          </w:p>
        </w:tc>
        <w:tc>
          <w:tcPr>
            <w:tcW w:w="3720" w:type="dxa"/>
            <w:vAlign w:val="bottom"/>
            <w:gridSpan w:val="3"/>
          </w:tcPr>
          <w:p>
            <w:pPr>
              <w:jc w:val="center"/>
              <w:ind w:left="1910"/>
              <w:spacing w:after="0"/>
              <w:rPr>
                <w:sz w:val="20"/>
                <w:szCs w:val="20"/>
                <w:color w:val="auto"/>
              </w:rPr>
            </w:pPr>
            <w:r>
              <w:rPr>
                <w:rFonts w:ascii="Arial" w:cs="Arial" w:eastAsia="Arial" w:hAnsi="Arial"/>
                <w:sz w:val="18"/>
                <w:szCs w:val="18"/>
                <w:color w:val="auto"/>
                <w:w w:val="89"/>
              </w:rPr>
              <w:t>5,372,732</w:t>
            </w:r>
          </w:p>
        </w:tc>
        <w:tc>
          <w:tcPr>
            <w:tcW w:w="22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01/08/18</w:t>
            </w:r>
          </w:p>
        </w:tc>
        <w:tc>
          <w:tcPr>
            <w:tcW w:w="0" w:type="dxa"/>
            <w:vAlign w:val="bottom"/>
          </w:tcPr>
          <w:p>
            <w:pPr>
              <w:spacing w:after="0"/>
              <w:rPr>
                <w:sz w:val="1"/>
                <w:szCs w:val="1"/>
                <w:color w:val="auto"/>
              </w:rPr>
            </w:pPr>
          </w:p>
        </w:tc>
      </w:tr>
      <w:tr>
        <w:trPr>
          <w:trHeight w:val="756"/>
        </w:trPr>
        <w:tc>
          <w:tcPr>
            <w:tcW w:w="2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3720" w:type="dxa"/>
            <w:vAlign w:val="bottom"/>
            <w:gridSpan w:val="3"/>
          </w:tcPr>
          <w:p>
            <w:pPr>
              <w:jc w:val="center"/>
              <w:ind w:left="1910"/>
              <w:spacing w:after="0"/>
              <w:rPr>
                <w:sz w:val="20"/>
                <w:szCs w:val="20"/>
                <w:color w:val="auto"/>
              </w:rPr>
            </w:pPr>
            <w:r>
              <w:rPr>
                <w:rFonts w:ascii="Arial" w:cs="Arial" w:eastAsia="Arial" w:hAnsi="Arial"/>
                <w:sz w:val="18"/>
                <w:szCs w:val="18"/>
                <w:color w:val="auto"/>
                <w:w w:val="89"/>
              </w:rPr>
              <w:t>5,357,629</w:t>
            </w:r>
          </w:p>
        </w:tc>
        <w:tc>
          <w:tcPr>
            <w:tcW w:w="22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12/19/17</w:t>
            </w:r>
          </w:p>
        </w:tc>
        <w:tc>
          <w:tcPr>
            <w:tcW w:w="0" w:type="dxa"/>
            <w:vAlign w:val="bottom"/>
          </w:tcPr>
          <w:p>
            <w:pPr>
              <w:spacing w:after="0"/>
              <w:rPr>
                <w:sz w:val="1"/>
                <w:szCs w:val="1"/>
                <w:color w:val="auto"/>
              </w:rPr>
            </w:pPr>
          </w:p>
        </w:tc>
      </w:tr>
      <w:tr>
        <w:trPr>
          <w:trHeight w:val="522"/>
        </w:trPr>
        <w:tc>
          <w:tcPr>
            <w:tcW w:w="6100" w:type="dxa"/>
            <w:vAlign w:val="bottom"/>
            <w:gridSpan w:val="2"/>
          </w:tcPr>
          <w:p>
            <w:pPr>
              <w:ind w:left="144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100" w:type="dxa"/>
            <w:vAlign w:val="bottom"/>
            <w:gridSpan w:val="2"/>
          </w:tcPr>
          <w:p>
            <w:pPr>
              <w:spacing w:after="0"/>
              <w:rPr>
                <w:sz w:val="20"/>
                <w:szCs w:val="20"/>
                <w:color w:val="auto"/>
              </w:rPr>
            </w:pPr>
            <w:r>
              <w:rPr>
                <w:rFonts w:ascii="Arial" w:cs="Arial" w:eastAsia="Arial" w:hAnsi="Arial"/>
                <w:sz w:val="18"/>
                <w:szCs w:val="18"/>
                <w:b w:val="1"/>
                <w:bCs w:val="1"/>
                <w:color w:val="auto"/>
              </w:rPr>
              <w:t>STAMPEDE</w:t>
            </w:r>
            <w:r>
              <w:rPr>
                <w:rFonts w:ascii="Arial" w:cs="Arial" w:eastAsia="Arial" w:hAnsi="Arial"/>
                <w:sz w:val="18"/>
                <w:szCs w:val="18"/>
                <w:color w:val="auto"/>
              </w:rPr>
              <w:t>®</w:t>
            </w:r>
          </w:p>
        </w:tc>
        <w:tc>
          <w:tcPr>
            <w:tcW w:w="3720" w:type="dxa"/>
            <w:vAlign w:val="bottom"/>
            <w:gridSpan w:val="3"/>
          </w:tcPr>
          <w:p>
            <w:pPr>
              <w:jc w:val="center"/>
              <w:ind w:left="1910"/>
              <w:spacing w:after="0"/>
              <w:rPr>
                <w:sz w:val="20"/>
                <w:szCs w:val="20"/>
                <w:color w:val="auto"/>
              </w:rPr>
            </w:pPr>
            <w:r>
              <w:rPr>
                <w:rFonts w:ascii="Arial" w:cs="Arial" w:eastAsia="Arial" w:hAnsi="Arial"/>
                <w:sz w:val="18"/>
                <w:szCs w:val="18"/>
                <w:color w:val="auto"/>
                <w:w w:val="89"/>
              </w:rPr>
              <w:t>5,325,489</w:t>
            </w:r>
          </w:p>
        </w:tc>
        <w:tc>
          <w:tcPr>
            <w:tcW w:w="2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10/31/17</w:t>
            </w:r>
          </w:p>
        </w:tc>
        <w:tc>
          <w:tcPr>
            <w:tcW w:w="0" w:type="dxa"/>
            <w:vAlign w:val="bottom"/>
          </w:tcPr>
          <w:p>
            <w:pPr>
              <w:spacing w:after="0"/>
              <w:rPr>
                <w:sz w:val="1"/>
                <w:szCs w:val="1"/>
                <w:color w:val="auto"/>
              </w:rPr>
            </w:pPr>
          </w:p>
        </w:tc>
      </w:tr>
      <w:tr>
        <w:trPr>
          <w:trHeight w:val="216"/>
        </w:trPr>
        <w:tc>
          <w:tcPr>
            <w:tcW w:w="6100" w:type="dxa"/>
            <w:vAlign w:val="bottom"/>
            <w:gridSpan w:val="2"/>
          </w:tcPr>
          <w:p>
            <w:pPr>
              <w:spacing w:after="0"/>
              <w:rPr>
                <w:sz w:val="20"/>
                <w:szCs w:val="20"/>
                <w:color w:val="auto"/>
              </w:rPr>
            </w:pPr>
            <w:r>
              <w:rPr>
                <w:rFonts w:ascii="Arial" w:cs="Arial" w:eastAsia="Arial" w:hAnsi="Arial"/>
                <w:sz w:val="18"/>
                <w:szCs w:val="18"/>
                <w:b w:val="1"/>
                <w:bCs w:val="1"/>
                <w:color w:val="auto"/>
              </w:rPr>
              <w:t>GCBC</w:t>
            </w:r>
            <w:r>
              <w:rPr>
                <w:rFonts w:ascii="Arial" w:cs="Arial" w:eastAsia="Arial" w:hAnsi="Arial"/>
                <w:sz w:val="18"/>
                <w:szCs w:val="18"/>
                <w:color w:val="auto"/>
              </w:rPr>
              <w:t>®</w:t>
            </w:r>
          </w:p>
        </w:tc>
        <w:tc>
          <w:tcPr>
            <w:tcW w:w="3720" w:type="dxa"/>
            <w:vAlign w:val="bottom"/>
            <w:gridSpan w:val="3"/>
          </w:tcPr>
          <w:p>
            <w:pPr>
              <w:jc w:val="center"/>
              <w:ind w:left="1910"/>
              <w:spacing w:after="0"/>
              <w:rPr>
                <w:sz w:val="20"/>
                <w:szCs w:val="20"/>
                <w:color w:val="auto"/>
              </w:rPr>
            </w:pPr>
            <w:r>
              <w:rPr>
                <w:rFonts w:ascii="Arial" w:cs="Arial" w:eastAsia="Arial" w:hAnsi="Arial"/>
                <w:sz w:val="18"/>
                <w:szCs w:val="18"/>
                <w:color w:val="auto"/>
                <w:w w:val="89"/>
              </w:rPr>
              <w:t>5,266,093</w:t>
            </w:r>
          </w:p>
        </w:tc>
        <w:tc>
          <w:tcPr>
            <w:tcW w:w="2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08/15/17</w:t>
            </w:r>
          </w:p>
        </w:tc>
        <w:tc>
          <w:tcPr>
            <w:tcW w:w="0" w:type="dxa"/>
            <w:vAlign w:val="bottom"/>
          </w:tcPr>
          <w:p>
            <w:pPr>
              <w:spacing w:after="0"/>
              <w:rPr>
                <w:sz w:val="1"/>
                <w:szCs w:val="1"/>
                <w:color w:val="auto"/>
              </w:rPr>
            </w:pPr>
          </w:p>
        </w:tc>
      </w:tr>
      <w:tr>
        <w:trPr>
          <w:trHeight w:val="234"/>
        </w:trPr>
        <w:tc>
          <w:tcPr>
            <w:tcW w:w="6100" w:type="dxa"/>
            <w:vAlign w:val="bottom"/>
            <w:gridSpan w:val="2"/>
          </w:tcPr>
          <w:p>
            <w:pPr>
              <w:spacing w:after="0"/>
              <w:rPr>
                <w:sz w:val="20"/>
                <w:szCs w:val="20"/>
                <w:color w:val="auto"/>
              </w:rPr>
            </w:pPr>
            <w:r>
              <w:rPr>
                <w:rFonts w:ascii="Arial" w:cs="Arial" w:eastAsia="Arial" w:hAnsi="Arial"/>
                <w:sz w:val="18"/>
                <w:szCs w:val="18"/>
                <w:b w:val="1"/>
                <w:bCs w:val="1"/>
                <w:color w:val="auto"/>
              </w:rPr>
              <w:t>LOPES UP!</w:t>
            </w:r>
            <w:r>
              <w:rPr>
                <w:rFonts w:ascii="Arial" w:cs="Arial" w:eastAsia="Arial" w:hAnsi="Arial"/>
                <w:sz w:val="18"/>
                <w:szCs w:val="18"/>
                <w:color w:val="auto"/>
              </w:rPr>
              <w:t>® (for shirts)</w:t>
            </w:r>
          </w:p>
        </w:tc>
        <w:tc>
          <w:tcPr>
            <w:tcW w:w="3720" w:type="dxa"/>
            <w:vAlign w:val="bottom"/>
            <w:gridSpan w:val="3"/>
          </w:tcPr>
          <w:p>
            <w:pPr>
              <w:jc w:val="center"/>
              <w:ind w:left="1910"/>
              <w:spacing w:after="0"/>
              <w:rPr>
                <w:sz w:val="20"/>
                <w:szCs w:val="20"/>
                <w:color w:val="auto"/>
              </w:rPr>
            </w:pPr>
            <w:r>
              <w:rPr>
                <w:rFonts w:ascii="Arial" w:cs="Arial" w:eastAsia="Arial" w:hAnsi="Arial"/>
                <w:sz w:val="18"/>
                <w:szCs w:val="18"/>
                <w:color w:val="auto"/>
                <w:w w:val="89"/>
              </w:rPr>
              <w:t>5,252,228</w:t>
            </w:r>
          </w:p>
        </w:tc>
        <w:tc>
          <w:tcPr>
            <w:tcW w:w="22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07/25/17</w:t>
            </w:r>
          </w:p>
        </w:tc>
        <w:tc>
          <w:tcPr>
            <w:tcW w:w="0" w:type="dxa"/>
            <w:vAlign w:val="bottom"/>
          </w:tcPr>
          <w:p>
            <w:pPr>
              <w:spacing w:after="0"/>
              <w:rPr>
                <w:sz w:val="1"/>
                <w:szCs w:val="1"/>
                <w:color w:val="auto"/>
              </w:rPr>
            </w:pPr>
          </w:p>
        </w:tc>
      </w:tr>
      <w:tr>
        <w:trPr>
          <w:trHeight w:val="441"/>
        </w:trPr>
        <w:tc>
          <w:tcPr>
            <w:tcW w:w="61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GCU </w:t>
            </w:r>
            <w:r>
              <w:rPr>
                <w:rFonts w:ascii="Arial" w:cs="Arial" w:eastAsia="Arial" w:hAnsi="Arial"/>
                <w:sz w:val="18"/>
                <w:szCs w:val="18"/>
                <w:color w:val="auto"/>
              </w:rPr>
              <w:t>(Varsity Stylized), non-color (for apparel, other merchandise):</w:t>
            </w:r>
          </w:p>
        </w:tc>
        <w:tc>
          <w:tcPr>
            <w:tcW w:w="3720" w:type="dxa"/>
            <w:vAlign w:val="bottom"/>
            <w:gridSpan w:val="3"/>
          </w:tcPr>
          <w:p>
            <w:pPr>
              <w:jc w:val="center"/>
              <w:ind w:left="1910"/>
              <w:spacing w:after="0"/>
              <w:rPr>
                <w:sz w:val="20"/>
                <w:szCs w:val="20"/>
                <w:color w:val="auto"/>
              </w:rPr>
            </w:pPr>
            <w:r>
              <w:rPr>
                <w:rFonts w:ascii="Arial" w:cs="Arial" w:eastAsia="Arial" w:hAnsi="Arial"/>
                <w:sz w:val="18"/>
                <w:szCs w:val="18"/>
                <w:color w:val="auto"/>
                <w:w w:val="89"/>
              </w:rPr>
              <w:t>5,216,662</w:t>
            </w:r>
          </w:p>
        </w:tc>
        <w:tc>
          <w:tcPr>
            <w:tcW w:w="22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06/06/17</w:t>
            </w:r>
          </w:p>
        </w:tc>
        <w:tc>
          <w:tcPr>
            <w:tcW w:w="0" w:type="dxa"/>
            <w:vAlign w:val="bottom"/>
          </w:tcPr>
          <w:p>
            <w:pPr>
              <w:spacing w:after="0"/>
              <w:rPr>
                <w:sz w:val="1"/>
                <w:szCs w:val="1"/>
                <w:color w:val="auto"/>
              </w:rPr>
            </w:pPr>
          </w:p>
        </w:tc>
      </w:tr>
      <w:tr>
        <w:trPr>
          <w:trHeight w:val="220"/>
        </w:trPr>
        <w:tc>
          <w:tcPr>
            <w:tcW w:w="6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FIND YOUR PURPOSE</w:t>
            </w:r>
            <w:r>
              <w:rPr>
                <w:rFonts w:ascii="Arial" w:cs="Arial" w:eastAsia="Arial" w:hAnsi="Arial"/>
                <w:sz w:val="18"/>
                <w:szCs w:val="18"/>
                <w:color w:val="auto"/>
              </w:rPr>
              <w:t>®</w:t>
            </w:r>
          </w:p>
        </w:tc>
        <w:tc>
          <w:tcPr>
            <w:tcW w:w="1760" w:type="dxa"/>
            <w:vAlign w:val="bottom"/>
          </w:tcPr>
          <w:p>
            <w:pPr>
              <w:jc w:val="right"/>
              <w:ind w:right="87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6100" w:type="dxa"/>
            <w:vAlign w:val="bottom"/>
            <w:gridSpan w:val="2"/>
            <w:vMerge w:val="continue"/>
          </w:tcPr>
          <w:p>
            <w:pPr>
              <w:spacing w:after="0"/>
              <w:rPr>
                <w:sz w:val="18"/>
                <w:szCs w:val="18"/>
                <w:color w:val="auto"/>
              </w:rPr>
            </w:pPr>
          </w:p>
        </w:tc>
        <w:tc>
          <w:tcPr>
            <w:tcW w:w="3720" w:type="dxa"/>
            <w:vAlign w:val="bottom"/>
            <w:gridSpan w:val="3"/>
          </w:tcPr>
          <w:p>
            <w:pPr>
              <w:jc w:val="center"/>
              <w:ind w:left="1910"/>
              <w:spacing w:after="0"/>
              <w:rPr>
                <w:sz w:val="20"/>
                <w:szCs w:val="20"/>
                <w:color w:val="auto"/>
              </w:rPr>
            </w:pPr>
            <w:r>
              <w:rPr>
                <w:rFonts w:ascii="Arial" w:cs="Arial" w:eastAsia="Arial" w:hAnsi="Arial"/>
                <w:sz w:val="18"/>
                <w:szCs w:val="18"/>
                <w:color w:val="auto"/>
                <w:w w:val="89"/>
              </w:rPr>
              <w:t>5,211,666</w:t>
            </w:r>
          </w:p>
        </w:tc>
        <w:tc>
          <w:tcPr>
            <w:tcW w:w="2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05/30/17</w:t>
            </w:r>
          </w:p>
        </w:tc>
        <w:tc>
          <w:tcPr>
            <w:tcW w:w="0" w:type="dxa"/>
            <w:vAlign w:val="bottom"/>
          </w:tcPr>
          <w:p>
            <w:pPr>
              <w:spacing w:after="0"/>
              <w:rPr>
                <w:sz w:val="1"/>
                <w:szCs w:val="1"/>
                <w:color w:val="auto"/>
              </w:rPr>
            </w:pPr>
          </w:p>
        </w:tc>
      </w:tr>
      <w:tr>
        <w:trPr>
          <w:trHeight w:val="216"/>
        </w:trPr>
        <w:tc>
          <w:tcPr>
            <w:tcW w:w="6100" w:type="dxa"/>
            <w:vAlign w:val="bottom"/>
            <w:gridSpan w:val="2"/>
          </w:tcPr>
          <w:p>
            <w:pPr>
              <w:spacing w:after="0"/>
              <w:rPr>
                <w:sz w:val="20"/>
                <w:szCs w:val="20"/>
                <w:color w:val="auto"/>
              </w:rPr>
            </w:pPr>
            <w:r>
              <w:rPr>
                <w:rFonts w:ascii="Arial" w:cs="Arial" w:eastAsia="Arial" w:hAnsi="Arial"/>
                <w:sz w:val="18"/>
                <w:szCs w:val="18"/>
                <w:b w:val="1"/>
                <w:bCs w:val="1"/>
                <w:color w:val="auto"/>
              </w:rPr>
              <w:t>CANYON</w:t>
            </w:r>
            <w:r>
              <w:rPr>
                <w:rFonts w:ascii="Arial" w:cs="Arial" w:eastAsia="Arial" w:hAnsi="Arial"/>
                <w:sz w:val="18"/>
                <w:szCs w:val="18"/>
                <w:color w:val="auto"/>
              </w:rPr>
              <w:t>® (for streaming music services)</w:t>
            </w:r>
          </w:p>
        </w:tc>
        <w:tc>
          <w:tcPr>
            <w:tcW w:w="3720" w:type="dxa"/>
            <w:vAlign w:val="bottom"/>
            <w:gridSpan w:val="3"/>
          </w:tcPr>
          <w:p>
            <w:pPr>
              <w:jc w:val="center"/>
              <w:ind w:left="1910"/>
              <w:spacing w:after="0"/>
              <w:rPr>
                <w:sz w:val="20"/>
                <w:szCs w:val="20"/>
                <w:color w:val="auto"/>
              </w:rPr>
            </w:pPr>
            <w:r>
              <w:rPr>
                <w:rFonts w:ascii="Arial" w:cs="Arial" w:eastAsia="Arial" w:hAnsi="Arial"/>
                <w:sz w:val="18"/>
                <w:szCs w:val="18"/>
                <w:color w:val="auto"/>
                <w:w w:val="89"/>
              </w:rPr>
              <w:t>5,121,212</w:t>
            </w:r>
          </w:p>
        </w:tc>
        <w:tc>
          <w:tcPr>
            <w:tcW w:w="2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01/10/17</w:t>
            </w:r>
          </w:p>
        </w:tc>
        <w:tc>
          <w:tcPr>
            <w:tcW w:w="0" w:type="dxa"/>
            <w:vAlign w:val="bottom"/>
          </w:tcPr>
          <w:p>
            <w:pPr>
              <w:spacing w:after="0"/>
              <w:rPr>
                <w:sz w:val="1"/>
                <w:szCs w:val="1"/>
                <w:color w:val="auto"/>
              </w:rPr>
            </w:pPr>
          </w:p>
        </w:tc>
      </w:tr>
      <w:tr>
        <w:trPr>
          <w:trHeight w:val="216"/>
        </w:trPr>
        <w:tc>
          <w:tcPr>
            <w:tcW w:w="6100" w:type="dxa"/>
            <w:vAlign w:val="bottom"/>
            <w:gridSpan w:val="2"/>
          </w:tcPr>
          <w:p>
            <w:pPr>
              <w:spacing w:after="0"/>
              <w:rPr>
                <w:sz w:val="20"/>
                <w:szCs w:val="20"/>
                <w:color w:val="auto"/>
              </w:rPr>
            </w:pPr>
            <w:r>
              <w:rPr>
                <w:rFonts w:ascii="Arial" w:cs="Arial" w:eastAsia="Arial" w:hAnsi="Arial"/>
                <w:sz w:val="18"/>
                <w:szCs w:val="18"/>
                <w:b w:val="1"/>
                <w:bCs w:val="1"/>
                <w:color w:val="auto"/>
              </w:rPr>
              <w:t>LOPES</w:t>
            </w:r>
            <w:r>
              <w:rPr>
                <w:rFonts w:ascii="Arial" w:cs="Arial" w:eastAsia="Arial" w:hAnsi="Arial"/>
                <w:sz w:val="18"/>
                <w:szCs w:val="18"/>
                <w:color w:val="auto"/>
              </w:rPr>
              <w:t>® (for athletic events, etc.)</w:t>
            </w:r>
          </w:p>
        </w:tc>
        <w:tc>
          <w:tcPr>
            <w:tcW w:w="3720" w:type="dxa"/>
            <w:vAlign w:val="bottom"/>
            <w:gridSpan w:val="3"/>
          </w:tcPr>
          <w:p>
            <w:pPr>
              <w:jc w:val="center"/>
              <w:ind w:left="1910"/>
              <w:spacing w:after="0"/>
              <w:rPr>
                <w:sz w:val="20"/>
                <w:szCs w:val="20"/>
                <w:color w:val="auto"/>
              </w:rPr>
            </w:pPr>
            <w:r>
              <w:rPr>
                <w:rFonts w:ascii="Arial" w:cs="Arial" w:eastAsia="Arial" w:hAnsi="Arial"/>
                <w:sz w:val="18"/>
                <w:szCs w:val="18"/>
                <w:color w:val="auto"/>
                <w:w w:val="89"/>
              </w:rPr>
              <w:t>5,094,661</w:t>
            </w:r>
          </w:p>
        </w:tc>
        <w:tc>
          <w:tcPr>
            <w:tcW w:w="2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12/06/16</w:t>
            </w:r>
          </w:p>
        </w:tc>
        <w:tc>
          <w:tcPr>
            <w:tcW w:w="0" w:type="dxa"/>
            <w:vAlign w:val="bottom"/>
          </w:tcPr>
          <w:p>
            <w:pPr>
              <w:spacing w:after="0"/>
              <w:rPr>
                <w:sz w:val="1"/>
                <w:szCs w:val="1"/>
                <w:color w:val="auto"/>
              </w:rPr>
            </w:pPr>
          </w:p>
        </w:tc>
      </w:tr>
      <w:tr>
        <w:trPr>
          <w:trHeight w:val="234"/>
        </w:trPr>
        <w:tc>
          <w:tcPr>
            <w:tcW w:w="6100" w:type="dxa"/>
            <w:vAlign w:val="bottom"/>
            <w:gridSpan w:val="2"/>
          </w:tcPr>
          <w:p>
            <w:pPr>
              <w:spacing w:after="0"/>
              <w:rPr>
                <w:sz w:val="20"/>
                <w:szCs w:val="20"/>
                <w:color w:val="auto"/>
              </w:rPr>
            </w:pPr>
            <w:r>
              <w:rPr>
                <w:rFonts w:ascii="Arial" w:cs="Arial" w:eastAsia="Arial" w:hAnsi="Arial"/>
                <w:sz w:val="18"/>
                <w:szCs w:val="18"/>
                <w:b w:val="1"/>
                <w:bCs w:val="1"/>
                <w:color w:val="auto"/>
              </w:rPr>
              <w:t>LOPES UP!</w:t>
            </w:r>
            <w:r>
              <w:rPr>
                <w:rFonts w:ascii="Arial" w:cs="Arial" w:eastAsia="Arial" w:hAnsi="Arial"/>
                <w:sz w:val="18"/>
                <w:szCs w:val="18"/>
                <w:color w:val="auto"/>
              </w:rPr>
              <w:t>® (for athletic events, etc.)</w:t>
            </w:r>
          </w:p>
        </w:tc>
        <w:tc>
          <w:tcPr>
            <w:tcW w:w="3720" w:type="dxa"/>
            <w:vAlign w:val="bottom"/>
            <w:gridSpan w:val="3"/>
          </w:tcPr>
          <w:p>
            <w:pPr>
              <w:jc w:val="center"/>
              <w:ind w:left="1910"/>
              <w:spacing w:after="0"/>
              <w:rPr>
                <w:sz w:val="20"/>
                <w:szCs w:val="20"/>
                <w:color w:val="auto"/>
              </w:rPr>
            </w:pPr>
            <w:r>
              <w:rPr>
                <w:rFonts w:ascii="Arial" w:cs="Arial" w:eastAsia="Arial" w:hAnsi="Arial"/>
                <w:sz w:val="18"/>
                <w:szCs w:val="18"/>
                <w:color w:val="auto"/>
                <w:w w:val="89"/>
              </w:rPr>
              <w:t>5,082,360</w:t>
            </w:r>
          </w:p>
        </w:tc>
        <w:tc>
          <w:tcPr>
            <w:tcW w:w="22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11/15/16</w:t>
            </w:r>
          </w:p>
        </w:tc>
        <w:tc>
          <w:tcPr>
            <w:tcW w:w="0" w:type="dxa"/>
            <w:vAlign w:val="bottom"/>
          </w:tcPr>
          <w:p>
            <w:pPr>
              <w:spacing w:after="0"/>
              <w:rPr>
                <w:sz w:val="1"/>
                <w:szCs w:val="1"/>
                <w:color w:val="auto"/>
              </w:rPr>
            </w:pPr>
          </w:p>
        </w:tc>
      </w:tr>
      <w:tr>
        <w:trPr>
          <w:trHeight w:val="441"/>
        </w:trPr>
        <w:tc>
          <w:tcPr>
            <w:tcW w:w="61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GCU </w:t>
            </w:r>
            <w:r>
              <w:rPr>
                <w:rFonts w:ascii="Arial" w:cs="Arial" w:eastAsia="Arial" w:hAnsi="Arial"/>
                <w:sz w:val="18"/>
                <w:szCs w:val="18"/>
                <w:color w:val="auto"/>
              </w:rPr>
              <w:t>(Varsity Stylized), non-color (for athletic events, etc.):</w:t>
            </w:r>
          </w:p>
        </w:tc>
        <w:tc>
          <w:tcPr>
            <w:tcW w:w="3720" w:type="dxa"/>
            <w:vAlign w:val="bottom"/>
            <w:gridSpan w:val="3"/>
          </w:tcPr>
          <w:p>
            <w:pPr>
              <w:jc w:val="center"/>
              <w:ind w:left="1910"/>
              <w:spacing w:after="0"/>
              <w:rPr>
                <w:sz w:val="20"/>
                <w:szCs w:val="20"/>
                <w:color w:val="auto"/>
              </w:rPr>
            </w:pPr>
            <w:r>
              <w:rPr>
                <w:rFonts w:ascii="Arial" w:cs="Arial" w:eastAsia="Arial" w:hAnsi="Arial"/>
                <w:sz w:val="18"/>
                <w:szCs w:val="18"/>
                <w:color w:val="auto"/>
                <w:w w:val="89"/>
              </w:rPr>
              <w:t>5,086,797</w:t>
            </w:r>
          </w:p>
        </w:tc>
        <w:tc>
          <w:tcPr>
            <w:tcW w:w="22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11/22/16</w:t>
            </w:r>
          </w:p>
        </w:tc>
        <w:tc>
          <w:tcPr>
            <w:tcW w:w="0" w:type="dxa"/>
            <w:vAlign w:val="bottom"/>
          </w:tcPr>
          <w:p>
            <w:pPr>
              <w:spacing w:after="0"/>
              <w:rPr>
                <w:sz w:val="1"/>
                <w:szCs w:val="1"/>
                <w:color w:val="auto"/>
              </w:rPr>
            </w:pPr>
          </w:p>
        </w:tc>
      </w:tr>
      <w:tr>
        <w:trPr>
          <w:trHeight w:val="220"/>
        </w:trPr>
        <w:tc>
          <w:tcPr>
            <w:tcW w:w="6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CANYON</w:t>
            </w:r>
            <w:r>
              <w:rPr>
                <w:rFonts w:ascii="Arial" w:cs="Arial" w:eastAsia="Arial" w:hAnsi="Arial"/>
                <w:sz w:val="18"/>
                <w:szCs w:val="18"/>
                <w:color w:val="auto"/>
              </w:rPr>
              <w:t>® (for athletic events, etc.)</w:t>
            </w:r>
          </w:p>
        </w:tc>
        <w:tc>
          <w:tcPr>
            <w:tcW w:w="1760" w:type="dxa"/>
            <w:vAlign w:val="bottom"/>
          </w:tcPr>
          <w:p>
            <w:pPr>
              <w:jc w:val="right"/>
              <w:ind w:right="87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gridSpan w:val="2"/>
            <w:vMerge w:val="continue"/>
          </w:tcPr>
          <w:p>
            <w:pPr>
              <w:spacing w:after="0"/>
              <w:rPr>
                <w:sz w:val="20"/>
                <w:szCs w:val="20"/>
                <w:color w:val="auto"/>
              </w:rPr>
            </w:pPr>
          </w:p>
        </w:tc>
        <w:tc>
          <w:tcPr>
            <w:tcW w:w="3720" w:type="dxa"/>
            <w:vAlign w:val="bottom"/>
            <w:gridSpan w:val="3"/>
          </w:tcPr>
          <w:p>
            <w:pPr>
              <w:jc w:val="center"/>
              <w:ind w:left="1910"/>
              <w:spacing w:after="0"/>
              <w:rPr>
                <w:sz w:val="20"/>
                <w:szCs w:val="20"/>
                <w:color w:val="auto"/>
              </w:rPr>
            </w:pPr>
            <w:r>
              <w:rPr>
                <w:rFonts w:ascii="Arial" w:cs="Arial" w:eastAsia="Arial" w:hAnsi="Arial"/>
                <w:sz w:val="18"/>
                <w:szCs w:val="18"/>
                <w:color w:val="auto"/>
                <w:w w:val="89"/>
              </w:rPr>
              <w:t>4,948,974</w:t>
            </w:r>
          </w:p>
        </w:tc>
        <w:tc>
          <w:tcPr>
            <w:tcW w:w="22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05/03/16</w:t>
            </w:r>
          </w:p>
        </w:tc>
        <w:tc>
          <w:tcPr>
            <w:tcW w:w="0" w:type="dxa"/>
            <w:vAlign w:val="bottom"/>
          </w:tcPr>
          <w:p>
            <w:pPr>
              <w:spacing w:after="0"/>
              <w:rPr>
                <w:sz w:val="1"/>
                <w:szCs w:val="1"/>
                <w:color w:val="auto"/>
              </w:rPr>
            </w:pPr>
          </w:p>
        </w:tc>
      </w:tr>
      <w:tr>
        <w:trPr>
          <w:trHeight w:val="527"/>
        </w:trPr>
        <w:tc>
          <w:tcPr>
            <w:tcW w:w="61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GCU </w:t>
            </w:r>
            <w:r>
              <w:rPr>
                <w:rFonts w:ascii="Arial" w:cs="Arial" w:eastAsia="Arial" w:hAnsi="Arial"/>
                <w:sz w:val="18"/>
                <w:szCs w:val="18"/>
                <w:color w:val="auto"/>
              </w:rPr>
              <w:t>(Stylized), non-color:</w:t>
            </w:r>
          </w:p>
        </w:tc>
        <w:tc>
          <w:tcPr>
            <w:tcW w:w="3720" w:type="dxa"/>
            <w:vAlign w:val="bottom"/>
            <w:gridSpan w:val="3"/>
          </w:tcPr>
          <w:p>
            <w:pPr>
              <w:jc w:val="center"/>
              <w:ind w:left="1910"/>
              <w:spacing w:after="0"/>
              <w:rPr>
                <w:sz w:val="20"/>
                <w:szCs w:val="20"/>
                <w:color w:val="auto"/>
              </w:rPr>
            </w:pPr>
            <w:r>
              <w:rPr>
                <w:rFonts w:ascii="Arial" w:cs="Arial" w:eastAsia="Arial" w:hAnsi="Arial"/>
                <w:sz w:val="18"/>
                <w:szCs w:val="18"/>
                <w:color w:val="auto"/>
                <w:w w:val="89"/>
              </w:rPr>
              <w:t>4,939,057</w:t>
            </w:r>
          </w:p>
        </w:tc>
        <w:tc>
          <w:tcPr>
            <w:tcW w:w="22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04/19/16</w:t>
            </w:r>
          </w:p>
        </w:tc>
        <w:tc>
          <w:tcPr>
            <w:tcW w:w="0" w:type="dxa"/>
            <w:vAlign w:val="bottom"/>
          </w:tcPr>
          <w:p>
            <w:pPr>
              <w:spacing w:after="0"/>
              <w:rPr>
                <w:sz w:val="1"/>
                <w:szCs w:val="1"/>
                <w:color w:val="auto"/>
              </w:rPr>
            </w:pPr>
          </w:p>
        </w:tc>
      </w:tr>
      <w:tr>
        <w:trPr>
          <w:trHeight w:val="296"/>
        </w:trPr>
        <w:tc>
          <w:tcPr>
            <w:tcW w:w="6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SCHOOL HOUSE CHALK</w:t>
            </w:r>
            <w:r>
              <w:rPr>
                <w:rFonts w:ascii="Arial" w:cs="Arial" w:eastAsia="Arial" w:hAnsi="Arial"/>
                <w:sz w:val="18"/>
                <w:szCs w:val="18"/>
                <w:color w:val="auto"/>
              </w:rPr>
              <w:t>®</w:t>
            </w:r>
          </w:p>
        </w:tc>
        <w:tc>
          <w:tcPr>
            <w:tcW w:w="1760" w:type="dxa"/>
            <w:vAlign w:val="bottom"/>
          </w:tcPr>
          <w:p>
            <w:pPr>
              <w:jc w:val="right"/>
              <w:ind w:right="8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100" w:type="dxa"/>
            <w:vAlign w:val="bottom"/>
            <w:gridSpan w:val="2"/>
            <w:vMerge w:val="continue"/>
          </w:tcPr>
          <w:p>
            <w:pPr>
              <w:spacing w:after="0"/>
              <w:rPr>
                <w:sz w:val="20"/>
                <w:szCs w:val="20"/>
                <w:color w:val="auto"/>
              </w:rPr>
            </w:pPr>
          </w:p>
        </w:tc>
        <w:tc>
          <w:tcPr>
            <w:tcW w:w="3720" w:type="dxa"/>
            <w:vAlign w:val="bottom"/>
            <w:gridSpan w:val="3"/>
          </w:tcPr>
          <w:p>
            <w:pPr>
              <w:jc w:val="center"/>
              <w:ind w:left="1910"/>
              <w:spacing w:after="0"/>
              <w:rPr>
                <w:sz w:val="20"/>
                <w:szCs w:val="20"/>
                <w:color w:val="auto"/>
              </w:rPr>
            </w:pPr>
            <w:r>
              <w:rPr>
                <w:rFonts w:ascii="Arial" w:cs="Arial" w:eastAsia="Arial" w:hAnsi="Arial"/>
                <w:sz w:val="18"/>
                <w:szCs w:val="18"/>
                <w:color w:val="auto"/>
                <w:w w:val="89"/>
              </w:rPr>
              <w:t>4,772,979</w:t>
            </w:r>
          </w:p>
        </w:tc>
        <w:tc>
          <w:tcPr>
            <w:tcW w:w="22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07/14/15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-3446780</wp:posOffset>
            </wp:positionV>
            <wp:extent cx="909320" cy="7886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6">
                      <a:extLst>
                        <a:ext uri="{28A0092B-C50C-407E-A947-70E740481C1C}"/>
                      </a:extLst>
                    </a:blip>
                    <a:srcRect/>
                    <a:stretch>
                      <a:fillRect/>
                    </a:stretch>
                  </pic:blipFill>
                  <pic:spPr bwMode="auto">
                    <a:xfrm>
                      <a:off x="0" y="0"/>
                      <a:ext cx="909320" cy="788670"/>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-2211705</wp:posOffset>
            </wp:positionV>
            <wp:extent cx="857885" cy="3943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7">
                      <a:extLst>
                        <a:ext uri="{28A0092B-C50C-407E-A947-70E740481C1C}"/>
                      </a:extLst>
                    </a:blip>
                    <a:srcRect/>
                    <a:stretch>
                      <a:fillRect/>
                    </a:stretch>
                  </pic:blipFill>
                  <pic:spPr bwMode="auto">
                    <a:xfrm>
                      <a:off x="0" y="0"/>
                      <a:ext cx="857885" cy="394335"/>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-1234440</wp:posOffset>
            </wp:positionV>
            <wp:extent cx="857885" cy="3943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8">
                      <a:extLst>
                        <a:ext uri="{28A0092B-C50C-407E-A947-70E740481C1C}"/>
                      </a:extLst>
                    </a:blip>
                    <a:srcRect/>
                    <a:stretch>
                      <a:fillRect/>
                    </a:stretch>
                  </pic:blipFill>
                  <pic:spPr bwMode="auto">
                    <a:xfrm>
                      <a:off x="0" y="0"/>
                      <a:ext cx="857885" cy="394335"/>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-668020</wp:posOffset>
            </wp:positionV>
            <wp:extent cx="857885" cy="4972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9">
                      <a:extLst>
                        <a:ext uri="{28A0092B-C50C-407E-A947-70E740481C1C}"/>
                      </a:extLst>
                    </a:blip>
                    <a:srcRect/>
                    <a:stretch>
                      <a:fillRect/>
                    </a:stretch>
                  </pic:blipFill>
                  <pic:spPr bwMode="auto">
                    <a:xfrm>
                      <a:off x="0" y="0"/>
                      <a:ext cx="857885" cy="49720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71"/>
        </w:trPr>
        <w:tc>
          <w:tcPr>
            <w:tcW w:w="5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Mark</w:t>
            </w:r>
          </w:p>
        </w:tc>
        <w:tc>
          <w:tcPr>
            <w:tcW w:w="19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U.S. Reg. No.</w:t>
            </w:r>
          </w:p>
        </w:tc>
        <w:tc>
          <w:tcPr>
            <w:tcW w:w="220" w:type="dxa"/>
            <w:vAlign w:val="bottom"/>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U.S. Reg. Date</w:t>
            </w:r>
          </w:p>
        </w:tc>
        <w:tc>
          <w:tcPr>
            <w:tcW w:w="0" w:type="dxa"/>
            <w:vAlign w:val="bottom"/>
          </w:tcPr>
          <w:p>
            <w:pPr>
              <w:spacing w:after="0"/>
              <w:rPr>
                <w:sz w:val="1"/>
                <w:szCs w:val="1"/>
                <w:color w:val="auto"/>
              </w:rPr>
            </w:pPr>
          </w:p>
        </w:tc>
      </w:tr>
      <w:tr>
        <w:trPr>
          <w:trHeight w:val="466"/>
        </w:trPr>
        <w:tc>
          <w:tcPr>
            <w:tcW w:w="5940" w:type="dxa"/>
            <w:vAlign w:val="bottom"/>
          </w:tcPr>
          <w:p>
            <w:pPr>
              <w:spacing w:after="0"/>
              <w:rPr>
                <w:sz w:val="20"/>
                <w:szCs w:val="20"/>
                <w:color w:val="auto"/>
              </w:rPr>
            </w:pPr>
            <w:r>
              <w:rPr>
                <w:rFonts w:ascii="Arial" w:cs="Arial" w:eastAsia="Arial" w:hAnsi="Arial"/>
                <w:sz w:val="18"/>
                <w:szCs w:val="18"/>
                <w:color w:val="auto"/>
              </w:rPr>
              <w:t>Antelope Design in colors Purple and Black:</w:t>
            </w:r>
          </w:p>
        </w:tc>
        <w:tc>
          <w:tcPr>
            <w:tcW w:w="3880" w:type="dxa"/>
            <w:vAlign w:val="bottom"/>
            <w:gridSpan w:val="3"/>
          </w:tcPr>
          <w:p>
            <w:pPr>
              <w:jc w:val="center"/>
              <w:ind w:left="2070"/>
              <w:spacing w:after="0"/>
              <w:rPr>
                <w:sz w:val="20"/>
                <w:szCs w:val="20"/>
                <w:color w:val="auto"/>
              </w:rPr>
            </w:pPr>
            <w:r>
              <w:rPr>
                <w:rFonts w:ascii="Arial" w:cs="Arial" w:eastAsia="Arial" w:hAnsi="Arial"/>
                <w:sz w:val="18"/>
                <w:szCs w:val="18"/>
                <w:color w:val="auto"/>
                <w:w w:val="89"/>
              </w:rPr>
              <w:t>4,724,550</w:t>
            </w:r>
          </w:p>
        </w:tc>
        <w:tc>
          <w:tcPr>
            <w:tcW w:w="22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04/21/15</w:t>
            </w:r>
          </w:p>
        </w:tc>
        <w:tc>
          <w:tcPr>
            <w:tcW w:w="0" w:type="dxa"/>
            <w:vAlign w:val="bottom"/>
          </w:tcPr>
          <w:p>
            <w:pPr>
              <w:spacing w:after="0"/>
              <w:rPr>
                <w:sz w:val="1"/>
                <w:szCs w:val="1"/>
                <w:color w:val="auto"/>
              </w:rPr>
            </w:pPr>
          </w:p>
        </w:tc>
      </w:tr>
      <w:tr>
        <w:trPr>
          <w:trHeight w:val="270"/>
        </w:trPr>
        <w:tc>
          <w:tcPr>
            <w:tcW w:w="5940" w:type="dxa"/>
            <w:vAlign w:val="bottom"/>
          </w:tcPr>
          <w:p>
            <w:pPr>
              <w:spacing w:after="0"/>
              <w:rPr>
                <w:sz w:val="23"/>
                <w:szCs w:val="23"/>
                <w:color w:val="auto"/>
              </w:rPr>
            </w:pPr>
          </w:p>
        </w:tc>
        <w:tc>
          <w:tcPr>
            <w:tcW w:w="1920" w:type="dxa"/>
            <w:vAlign w:val="bottom"/>
          </w:tcPr>
          <w:p>
            <w:pPr>
              <w:jc w:val="right"/>
              <w:ind w:right="8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54"/>
        </w:trPr>
        <w:tc>
          <w:tcPr>
            <w:tcW w:w="5940" w:type="dxa"/>
            <w:vAlign w:val="bottom"/>
          </w:tcPr>
          <w:p>
            <w:pPr>
              <w:spacing w:after="0"/>
              <w:rPr>
                <w:sz w:val="20"/>
                <w:szCs w:val="20"/>
                <w:color w:val="auto"/>
              </w:rPr>
            </w:pPr>
            <w:r>
              <w:rPr>
                <w:rFonts w:ascii="Arial" w:cs="Arial" w:eastAsia="Arial" w:hAnsi="Arial"/>
                <w:sz w:val="18"/>
                <w:szCs w:val="18"/>
                <w:color w:val="auto"/>
              </w:rPr>
              <w:t>‘LOPES and Antelope Design, non-color:</w:t>
            </w:r>
          </w:p>
        </w:tc>
        <w:tc>
          <w:tcPr>
            <w:tcW w:w="3880" w:type="dxa"/>
            <w:vAlign w:val="bottom"/>
            <w:gridSpan w:val="3"/>
          </w:tcPr>
          <w:p>
            <w:pPr>
              <w:jc w:val="center"/>
              <w:ind w:left="2070"/>
              <w:spacing w:after="0"/>
              <w:rPr>
                <w:sz w:val="20"/>
                <w:szCs w:val="20"/>
                <w:color w:val="auto"/>
              </w:rPr>
            </w:pPr>
            <w:r>
              <w:rPr>
                <w:rFonts w:ascii="Arial" w:cs="Arial" w:eastAsia="Arial" w:hAnsi="Arial"/>
                <w:sz w:val="18"/>
                <w:szCs w:val="18"/>
                <w:color w:val="auto"/>
                <w:w w:val="89"/>
              </w:rPr>
              <w:t>4,724,541</w:t>
            </w:r>
          </w:p>
        </w:tc>
        <w:tc>
          <w:tcPr>
            <w:tcW w:w="22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04/21/15</w:t>
            </w:r>
          </w:p>
        </w:tc>
        <w:tc>
          <w:tcPr>
            <w:tcW w:w="0" w:type="dxa"/>
            <w:vAlign w:val="bottom"/>
          </w:tcPr>
          <w:p>
            <w:pPr>
              <w:spacing w:after="0"/>
              <w:rPr>
                <w:sz w:val="1"/>
                <w:szCs w:val="1"/>
                <w:color w:val="auto"/>
              </w:rPr>
            </w:pPr>
          </w:p>
        </w:tc>
      </w:tr>
      <w:tr>
        <w:trPr>
          <w:trHeight w:val="351"/>
        </w:trPr>
        <w:tc>
          <w:tcPr>
            <w:tcW w:w="5940" w:type="dxa"/>
            <w:vAlign w:val="bottom"/>
          </w:tcPr>
          <w:p>
            <w:pPr>
              <w:spacing w:after="0"/>
              <w:rPr>
                <w:sz w:val="24"/>
                <w:szCs w:val="24"/>
                <w:color w:val="auto"/>
              </w:rPr>
            </w:pPr>
          </w:p>
        </w:tc>
        <w:tc>
          <w:tcPr>
            <w:tcW w:w="1920" w:type="dxa"/>
            <w:vAlign w:val="bottom"/>
          </w:tcPr>
          <w:p>
            <w:pPr>
              <w:jc w:val="right"/>
              <w:ind w:right="8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5940" w:type="dxa"/>
            <w:vAlign w:val="bottom"/>
          </w:tcPr>
          <w:p>
            <w:pPr>
              <w:spacing w:after="0"/>
              <w:rPr>
                <w:sz w:val="20"/>
                <w:szCs w:val="20"/>
                <w:color w:val="auto"/>
              </w:rPr>
            </w:pPr>
            <w:r>
              <w:rPr>
                <w:rFonts w:ascii="Arial" w:cs="Arial" w:eastAsia="Arial" w:hAnsi="Arial"/>
                <w:sz w:val="18"/>
                <w:szCs w:val="18"/>
                <w:color w:val="auto"/>
              </w:rPr>
              <w:t>Antelope Design in colors Purple and Black:</w:t>
            </w:r>
          </w:p>
        </w:tc>
        <w:tc>
          <w:tcPr>
            <w:tcW w:w="3880" w:type="dxa"/>
            <w:vAlign w:val="bottom"/>
            <w:gridSpan w:val="3"/>
          </w:tcPr>
          <w:p>
            <w:pPr>
              <w:jc w:val="center"/>
              <w:ind w:left="2070"/>
              <w:spacing w:after="0"/>
              <w:rPr>
                <w:sz w:val="20"/>
                <w:szCs w:val="20"/>
                <w:color w:val="auto"/>
              </w:rPr>
            </w:pPr>
            <w:r>
              <w:rPr>
                <w:rFonts w:ascii="Arial" w:cs="Arial" w:eastAsia="Arial" w:hAnsi="Arial"/>
                <w:sz w:val="18"/>
                <w:szCs w:val="18"/>
                <w:color w:val="auto"/>
                <w:w w:val="89"/>
              </w:rPr>
              <w:t>4,633,637</w:t>
            </w:r>
          </w:p>
        </w:tc>
        <w:tc>
          <w:tcPr>
            <w:tcW w:w="22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11/04/14</w:t>
            </w:r>
          </w:p>
        </w:tc>
        <w:tc>
          <w:tcPr>
            <w:tcW w:w="0" w:type="dxa"/>
            <w:vAlign w:val="bottom"/>
          </w:tcPr>
          <w:p>
            <w:pPr>
              <w:spacing w:after="0"/>
              <w:rPr>
                <w:sz w:val="1"/>
                <w:szCs w:val="1"/>
                <w:color w:val="auto"/>
              </w:rPr>
            </w:pPr>
          </w:p>
        </w:tc>
      </w:tr>
      <w:tr>
        <w:trPr>
          <w:trHeight w:val="270"/>
        </w:trPr>
        <w:tc>
          <w:tcPr>
            <w:tcW w:w="5940" w:type="dxa"/>
            <w:vAlign w:val="bottom"/>
          </w:tcPr>
          <w:p>
            <w:pPr>
              <w:spacing w:after="0"/>
              <w:rPr>
                <w:sz w:val="23"/>
                <w:szCs w:val="23"/>
                <w:color w:val="auto"/>
              </w:rPr>
            </w:pPr>
          </w:p>
        </w:tc>
        <w:tc>
          <w:tcPr>
            <w:tcW w:w="1920" w:type="dxa"/>
            <w:vAlign w:val="bottom"/>
          </w:tcPr>
          <w:p>
            <w:pPr>
              <w:jc w:val="right"/>
              <w:ind w:right="8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54"/>
        </w:trPr>
        <w:tc>
          <w:tcPr>
            <w:tcW w:w="5940" w:type="dxa"/>
            <w:vAlign w:val="bottom"/>
          </w:tcPr>
          <w:p>
            <w:pPr>
              <w:spacing w:after="0"/>
              <w:rPr>
                <w:sz w:val="20"/>
                <w:szCs w:val="20"/>
                <w:color w:val="auto"/>
              </w:rPr>
            </w:pPr>
            <w:r>
              <w:rPr>
                <w:rFonts w:ascii="Arial" w:cs="Arial" w:eastAsia="Arial" w:hAnsi="Arial"/>
                <w:sz w:val="18"/>
                <w:szCs w:val="18"/>
                <w:color w:val="auto"/>
              </w:rPr>
              <w:t>‘LOPES and Antelope Design, non-color:</w:t>
            </w:r>
          </w:p>
        </w:tc>
        <w:tc>
          <w:tcPr>
            <w:tcW w:w="3880" w:type="dxa"/>
            <w:vAlign w:val="bottom"/>
            <w:gridSpan w:val="3"/>
          </w:tcPr>
          <w:p>
            <w:pPr>
              <w:jc w:val="center"/>
              <w:ind w:left="2070"/>
              <w:spacing w:after="0"/>
              <w:rPr>
                <w:sz w:val="20"/>
                <w:szCs w:val="20"/>
                <w:color w:val="auto"/>
              </w:rPr>
            </w:pPr>
            <w:r>
              <w:rPr>
                <w:rFonts w:ascii="Arial" w:cs="Arial" w:eastAsia="Arial" w:hAnsi="Arial"/>
                <w:sz w:val="18"/>
                <w:szCs w:val="18"/>
                <w:color w:val="auto"/>
                <w:w w:val="89"/>
              </w:rPr>
              <w:t>4,633,605</w:t>
            </w:r>
          </w:p>
        </w:tc>
        <w:tc>
          <w:tcPr>
            <w:tcW w:w="22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11/04/14</w:t>
            </w:r>
          </w:p>
        </w:tc>
        <w:tc>
          <w:tcPr>
            <w:tcW w:w="0" w:type="dxa"/>
            <w:vAlign w:val="bottom"/>
          </w:tcPr>
          <w:p>
            <w:pPr>
              <w:spacing w:after="0"/>
              <w:rPr>
                <w:sz w:val="1"/>
                <w:szCs w:val="1"/>
                <w:color w:val="auto"/>
              </w:rPr>
            </w:pPr>
          </w:p>
        </w:tc>
      </w:tr>
      <w:tr>
        <w:trPr>
          <w:trHeight w:val="337"/>
        </w:trPr>
        <w:tc>
          <w:tcPr>
            <w:tcW w:w="5940" w:type="dxa"/>
            <w:vAlign w:val="bottom"/>
            <w:vMerge w:val="restart"/>
          </w:tcPr>
          <w:p>
            <w:pPr>
              <w:spacing w:after="0"/>
              <w:rPr>
                <w:sz w:val="20"/>
                <w:szCs w:val="20"/>
                <w:color w:val="auto"/>
              </w:rPr>
            </w:pPr>
            <w:r>
              <w:rPr>
                <w:rFonts w:ascii="Arial" w:cs="Arial" w:eastAsia="Arial" w:hAnsi="Arial"/>
                <w:sz w:val="18"/>
                <w:szCs w:val="18"/>
                <w:b w:val="1"/>
                <w:bCs w:val="1"/>
                <w:color w:val="auto"/>
              </w:rPr>
              <w:t>DC NETWORK</w:t>
            </w:r>
            <w:r>
              <w:rPr>
                <w:rFonts w:ascii="Arial" w:cs="Arial" w:eastAsia="Arial" w:hAnsi="Arial"/>
                <w:sz w:val="18"/>
                <w:szCs w:val="18"/>
                <w:color w:val="auto"/>
              </w:rPr>
              <w:t>®</w:t>
            </w:r>
          </w:p>
        </w:tc>
        <w:tc>
          <w:tcPr>
            <w:tcW w:w="1920" w:type="dxa"/>
            <w:vAlign w:val="bottom"/>
          </w:tcPr>
          <w:p>
            <w:pPr>
              <w:jc w:val="right"/>
              <w:ind w:right="8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940" w:type="dxa"/>
            <w:vAlign w:val="bottom"/>
            <w:vMerge w:val="continue"/>
          </w:tcPr>
          <w:p>
            <w:pPr>
              <w:spacing w:after="0"/>
              <w:rPr>
                <w:sz w:val="20"/>
                <w:szCs w:val="20"/>
                <w:color w:val="auto"/>
              </w:rPr>
            </w:pPr>
          </w:p>
        </w:tc>
        <w:tc>
          <w:tcPr>
            <w:tcW w:w="3880" w:type="dxa"/>
            <w:vAlign w:val="bottom"/>
            <w:gridSpan w:val="3"/>
          </w:tcPr>
          <w:p>
            <w:pPr>
              <w:jc w:val="center"/>
              <w:ind w:left="2070"/>
              <w:spacing w:after="0"/>
              <w:rPr>
                <w:sz w:val="20"/>
                <w:szCs w:val="20"/>
                <w:color w:val="auto"/>
              </w:rPr>
            </w:pPr>
            <w:r>
              <w:rPr>
                <w:rFonts w:ascii="Arial" w:cs="Arial" w:eastAsia="Arial" w:hAnsi="Arial"/>
                <w:sz w:val="18"/>
                <w:szCs w:val="18"/>
                <w:color w:val="auto"/>
                <w:w w:val="89"/>
              </w:rPr>
              <w:t>4,496,361</w:t>
            </w:r>
          </w:p>
        </w:tc>
        <w:tc>
          <w:tcPr>
            <w:tcW w:w="22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03/11/14</w:t>
            </w:r>
          </w:p>
        </w:tc>
        <w:tc>
          <w:tcPr>
            <w:tcW w:w="0" w:type="dxa"/>
            <w:vAlign w:val="bottom"/>
          </w:tcPr>
          <w:p>
            <w:pPr>
              <w:spacing w:after="0"/>
              <w:rPr>
                <w:sz w:val="1"/>
                <w:szCs w:val="1"/>
                <w:color w:val="auto"/>
              </w:rPr>
            </w:pPr>
          </w:p>
        </w:tc>
      </w:tr>
      <w:tr>
        <w:trPr>
          <w:trHeight w:val="581"/>
        </w:trPr>
        <w:tc>
          <w:tcPr>
            <w:tcW w:w="5940" w:type="dxa"/>
            <w:vAlign w:val="bottom"/>
          </w:tcPr>
          <w:p>
            <w:pPr>
              <w:spacing w:after="0"/>
              <w:rPr>
                <w:sz w:val="20"/>
                <w:szCs w:val="20"/>
                <w:color w:val="auto"/>
              </w:rPr>
            </w:pPr>
            <w:r>
              <w:rPr>
                <w:rFonts w:ascii="Arial" w:cs="Arial" w:eastAsia="Arial" w:hAnsi="Arial"/>
                <w:sz w:val="18"/>
                <w:szCs w:val="18"/>
                <w:color w:val="auto"/>
              </w:rPr>
              <w:t>‘LOPES and Antelope Design in color:</w:t>
            </w:r>
          </w:p>
        </w:tc>
        <w:tc>
          <w:tcPr>
            <w:tcW w:w="3880" w:type="dxa"/>
            <w:vAlign w:val="bottom"/>
            <w:gridSpan w:val="3"/>
          </w:tcPr>
          <w:p>
            <w:pPr>
              <w:jc w:val="center"/>
              <w:ind w:left="2070"/>
              <w:spacing w:after="0"/>
              <w:rPr>
                <w:sz w:val="20"/>
                <w:szCs w:val="20"/>
                <w:color w:val="auto"/>
              </w:rPr>
            </w:pPr>
            <w:r>
              <w:rPr>
                <w:rFonts w:ascii="Arial" w:cs="Arial" w:eastAsia="Arial" w:hAnsi="Arial"/>
                <w:sz w:val="18"/>
                <w:szCs w:val="18"/>
                <w:color w:val="auto"/>
                <w:w w:val="89"/>
              </w:rPr>
              <w:t>4,446,483</w:t>
            </w:r>
          </w:p>
        </w:tc>
        <w:tc>
          <w:tcPr>
            <w:tcW w:w="22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12/10/13</w:t>
            </w:r>
          </w:p>
        </w:tc>
        <w:tc>
          <w:tcPr>
            <w:tcW w:w="0" w:type="dxa"/>
            <w:vAlign w:val="bottom"/>
          </w:tcPr>
          <w:p>
            <w:pPr>
              <w:spacing w:after="0"/>
              <w:rPr>
                <w:sz w:val="1"/>
                <w:szCs w:val="1"/>
                <w:color w:val="auto"/>
              </w:rPr>
            </w:pPr>
          </w:p>
        </w:tc>
      </w:tr>
      <w:tr>
        <w:trPr>
          <w:trHeight w:val="378"/>
        </w:trPr>
        <w:tc>
          <w:tcPr>
            <w:tcW w:w="5940" w:type="dxa"/>
            <w:vAlign w:val="bottom"/>
          </w:tcPr>
          <w:p>
            <w:pPr>
              <w:spacing w:after="0"/>
              <w:rPr>
                <w:sz w:val="24"/>
                <w:szCs w:val="24"/>
                <w:color w:val="auto"/>
              </w:rPr>
            </w:pPr>
          </w:p>
        </w:tc>
        <w:tc>
          <w:tcPr>
            <w:tcW w:w="1920" w:type="dxa"/>
            <w:vAlign w:val="bottom"/>
          </w:tcPr>
          <w:p>
            <w:pPr>
              <w:jc w:val="right"/>
              <w:ind w:right="8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1"/>
        </w:trPr>
        <w:tc>
          <w:tcPr>
            <w:tcW w:w="5940" w:type="dxa"/>
            <w:vAlign w:val="bottom"/>
          </w:tcPr>
          <w:p>
            <w:pPr>
              <w:spacing w:after="0"/>
              <w:rPr>
                <w:sz w:val="20"/>
                <w:szCs w:val="20"/>
                <w:color w:val="auto"/>
              </w:rPr>
            </w:pPr>
            <w:r>
              <w:rPr>
                <w:rFonts w:ascii="Arial" w:cs="Arial" w:eastAsia="Arial" w:hAnsi="Arial"/>
                <w:sz w:val="18"/>
                <w:szCs w:val="18"/>
                <w:color w:val="auto"/>
              </w:rPr>
              <w:t>GRAND CANYON UNIVERSITY ARIZONA 1949 and Design, non-</w:t>
            </w:r>
          </w:p>
        </w:tc>
        <w:tc>
          <w:tcPr>
            <w:tcW w:w="3880" w:type="dxa"/>
            <w:vAlign w:val="bottom"/>
            <w:gridSpan w:val="3"/>
            <w:vMerge w:val="restart"/>
          </w:tcPr>
          <w:p>
            <w:pPr>
              <w:jc w:val="center"/>
              <w:ind w:left="2070"/>
              <w:spacing w:after="0"/>
              <w:rPr>
                <w:sz w:val="20"/>
                <w:szCs w:val="20"/>
                <w:color w:val="auto"/>
              </w:rPr>
            </w:pPr>
            <w:r>
              <w:rPr>
                <w:rFonts w:ascii="Arial" w:cs="Arial" w:eastAsia="Arial" w:hAnsi="Arial"/>
                <w:sz w:val="18"/>
                <w:szCs w:val="18"/>
                <w:color w:val="auto"/>
                <w:w w:val="89"/>
              </w:rPr>
              <w:t>4,124,765</w:t>
            </w:r>
          </w:p>
        </w:tc>
        <w:tc>
          <w:tcPr>
            <w:tcW w:w="220" w:type="dxa"/>
            <w:vAlign w:val="bottom"/>
          </w:tcPr>
          <w:p>
            <w:pPr>
              <w:spacing w:after="0"/>
              <w:rPr>
                <w:sz w:val="24"/>
                <w:szCs w:val="24"/>
                <w:color w:val="auto"/>
              </w:rPr>
            </w:pPr>
          </w:p>
        </w:tc>
        <w:tc>
          <w:tcPr>
            <w:tcW w:w="1380" w:type="dxa"/>
            <w:vAlign w:val="bottom"/>
            <w:vMerge w:val="restart"/>
          </w:tcPr>
          <w:p>
            <w:pPr>
              <w:jc w:val="center"/>
              <w:spacing w:after="0"/>
              <w:rPr>
                <w:sz w:val="20"/>
                <w:szCs w:val="20"/>
                <w:color w:val="auto"/>
              </w:rPr>
            </w:pPr>
            <w:r>
              <w:rPr>
                <w:rFonts w:ascii="Arial" w:cs="Arial" w:eastAsia="Arial" w:hAnsi="Arial"/>
                <w:sz w:val="18"/>
                <w:szCs w:val="18"/>
                <w:color w:val="auto"/>
                <w:w w:val="91"/>
              </w:rPr>
              <w:t>04/10/12</w:t>
            </w:r>
          </w:p>
        </w:tc>
        <w:tc>
          <w:tcPr>
            <w:tcW w:w="0" w:type="dxa"/>
            <w:vAlign w:val="bottom"/>
          </w:tcPr>
          <w:p>
            <w:pPr>
              <w:spacing w:after="0"/>
              <w:rPr>
                <w:sz w:val="1"/>
                <w:szCs w:val="1"/>
                <w:color w:val="auto"/>
              </w:rPr>
            </w:pPr>
          </w:p>
        </w:tc>
      </w:tr>
      <w:tr>
        <w:trPr>
          <w:trHeight w:val="122"/>
        </w:trPr>
        <w:tc>
          <w:tcPr>
            <w:tcW w:w="5940" w:type="dxa"/>
            <w:vAlign w:val="bottom"/>
            <w:vMerge w:val="restart"/>
          </w:tcPr>
          <w:p>
            <w:pPr>
              <w:spacing w:after="0"/>
              <w:rPr>
                <w:sz w:val="20"/>
                <w:szCs w:val="20"/>
                <w:color w:val="auto"/>
              </w:rPr>
            </w:pPr>
            <w:r>
              <w:rPr>
                <w:rFonts w:ascii="Arial" w:cs="Arial" w:eastAsia="Arial" w:hAnsi="Arial"/>
                <w:sz w:val="18"/>
                <w:szCs w:val="18"/>
                <w:color w:val="auto"/>
              </w:rPr>
              <w:t>color:</w:t>
            </w:r>
          </w:p>
        </w:tc>
        <w:tc>
          <w:tcPr>
            <w:tcW w:w="388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940" w:type="dxa"/>
            <w:vAlign w:val="bottom"/>
            <w:vMerge w:val="continue"/>
          </w:tcPr>
          <w:p>
            <w:pPr>
              <w:spacing w:after="0"/>
              <w:rPr>
                <w:sz w:val="9"/>
                <w:szCs w:val="9"/>
                <w:color w:val="auto"/>
              </w:rPr>
            </w:pPr>
          </w:p>
        </w:tc>
        <w:tc>
          <w:tcPr>
            <w:tcW w:w="1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85"/>
        </w:trPr>
        <w:tc>
          <w:tcPr>
            <w:tcW w:w="594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GRAND CANYON UNIVERSITY </w:t>
            </w:r>
            <w:r>
              <w:rPr>
                <w:rFonts w:ascii="Arial" w:cs="Arial" w:eastAsia="Arial" w:hAnsi="Arial"/>
                <w:sz w:val="18"/>
                <w:szCs w:val="18"/>
                <w:color w:val="auto"/>
              </w:rPr>
              <w:t>®</w:t>
            </w:r>
          </w:p>
        </w:tc>
        <w:tc>
          <w:tcPr>
            <w:tcW w:w="1920" w:type="dxa"/>
            <w:vAlign w:val="bottom"/>
          </w:tcPr>
          <w:p>
            <w:pPr>
              <w:jc w:val="right"/>
              <w:ind w:right="8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5940" w:type="dxa"/>
            <w:vAlign w:val="bottom"/>
            <w:vMerge w:val="continue"/>
          </w:tcPr>
          <w:p>
            <w:pPr>
              <w:spacing w:after="0"/>
              <w:rPr>
                <w:sz w:val="18"/>
                <w:szCs w:val="18"/>
                <w:color w:val="auto"/>
              </w:rPr>
            </w:pPr>
          </w:p>
        </w:tc>
        <w:tc>
          <w:tcPr>
            <w:tcW w:w="3880" w:type="dxa"/>
            <w:vAlign w:val="bottom"/>
            <w:gridSpan w:val="3"/>
          </w:tcPr>
          <w:p>
            <w:pPr>
              <w:jc w:val="center"/>
              <w:ind w:left="2070"/>
              <w:spacing w:after="0"/>
              <w:rPr>
                <w:sz w:val="20"/>
                <w:szCs w:val="20"/>
                <w:color w:val="auto"/>
              </w:rPr>
            </w:pPr>
            <w:r>
              <w:rPr>
                <w:rFonts w:ascii="Arial" w:cs="Arial" w:eastAsia="Arial" w:hAnsi="Arial"/>
                <w:sz w:val="18"/>
                <w:szCs w:val="18"/>
                <w:color w:val="auto"/>
                <w:w w:val="89"/>
              </w:rPr>
              <w:t>3,039,105</w:t>
            </w:r>
          </w:p>
        </w:tc>
        <w:tc>
          <w:tcPr>
            <w:tcW w:w="2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01/10/06</w:t>
            </w:r>
          </w:p>
        </w:tc>
        <w:tc>
          <w:tcPr>
            <w:tcW w:w="0" w:type="dxa"/>
            <w:vAlign w:val="bottom"/>
          </w:tcPr>
          <w:p>
            <w:pPr>
              <w:spacing w:after="0"/>
              <w:rPr>
                <w:sz w:val="1"/>
                <w:szCs w:val="1"/>
                <w:color w:val="auto"/>
              </w:rPr>
            </w:pPr>
          </w:p>
        </w:tc>
      </w:tr>
      <w:tr>
        <w:trPr>
          <w:trHeight w:val="234"/>
        </w:trPr>
        <w:tc>
          <w:tcPr>
            <w:tcW w:w="5940" w:type="dxa"/>
            <w:vAlign w:val="bottom"/>
          </w:tcPr>
          <w:p>
            <w:pPr>
              <w:spacing w:after="0"/>
              <w:rPr>
                <w:sz w:val="20"/>
                <w:szCs w:val="20"/>
                <w:color w:val="auto"/>
              </w:rPr>
            </w:pPr>
            <w:r>
              <w:rPr>
                <w:rFonts w:ascii="Arial" w:cs="Arial" w:eastAsia="Arial" w:hAnsi="Arial"/>
                <w:sz w:val="18"/>
                <w:szCs w:val="18"/>
                <w:b w:val="1"/>
                <w:bCs w:val="1"/>
                <w:color w:val="auto"/>
              </w:rPr>
              <w:t xml:space="preserve">RISE TO THE CHALLENGE OF LEADERSHIP </w:t>
            </w:r>
            <w:r>
              <w:rPr>
                <w:rFonts w:ascii="Arial" w:cs="Arial" w:eastAsia="Arial" w:hAnsi="Arial"/>
                <w:sz w:val="18"/>
                <w:szCs w:val="18"/>
                <w:color w:val="auto"/>
              </w:rPr>
              <w:t>®</w:t>
            </w:r>
          </w:p>
        </w:tc>
        <w:tc>
          <w:tcPr>
            <w:tcW w:w="3880" w:type="dxa"/>
            <w:vAlign w:val="bottom"/>
            <w:gridSpan w:val="3"/>
          </w:tcPr>
          <w:p>
            <w:pPr>
              <w:jc w:val="center"/>
              <w:ind w:left="2070"/>
              <w:spacing w:after="0"/>
              <w:rPr>
                <w:sz w:val="20"/>
                <w:szCs w:val="20"/>
                <w:color w:val="auto"/>
              </w:rPr>
            </w:pPr>
            <w:r>
              <w:rPr>
                <w:rFonts w:ascii="Arial" w:cs="Arial" w:eastAsia="Arial" w:hAnsi="Arial"/>
                <w:sz w:val="18"/>
                <w:szCs w:val="18"/>
                <w:color w:val="auto"/>
                <w:w w:val="89"/>
              </w:rPr>
              <w:t>4,096,375</w:t>
            </w:r>
          </w:p>
        </w:tc>
        <w:tc>
          <w:tcPr>
            <w:tcW w:w="22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02/07/12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3383915</wp:posOffset>
            </wp:positionH>
            <wp:positionV relativeFrom="paragraph">
              <wp:posOffset>-4021455</wp:posOffset>
            </wp:positionV>
            <wp:extent cx="857885" cy="37134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1">
                      <a:extLst>
                        <a:ext uri="{28A0092B-C50C-407E-A947-70E740481C1C}"/>
                      </a:extLst>
                    </a:blip>
                    <a:srcRect/>
                    <a:stretch>
                      <a:fillRect/>
                    </a:stretch>
                  </pic:blipFill>
                  <pic:spPr bwMode="auto">
                    <a:xfrm>
                      <a:off x="0" y="0"/>
                      <a:ext cx="857885" cy="3713480"/>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u w:val="single" w:color="auto"/>
          <w:color w:val="auto"/>
        </w:rPr>
        <w:t>Pending Trademark Applications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0" w:type="dxa"/>
            <w:vAlign w:val="bottom"/>
          </w:tcPr>
          <w:p>
            <w:pPr>
              <w:spacing w:after="0"/>
              <w:rPr>
                <w:sz w:val="20"/>
                <w:szCs w:val="20"/>
                <w:color w:val="auto"/>
              </w:rPr>
            </w:pPr>
            <w:r>
              <w:rPr>
                <w:rFonts w:ascii="Arial" w:cs="Arial" w:eastAsia="Arial" w:hAnsi="Arial"/>
                <w:sz w:val="14"/>
                <w:szCs w:val="14"/>
                <w:b w:val="1"/>
                <w:bCs w:val="1"/>
                <w:color w:val="auto"/>
              </w:rPr>
              <w:t>Mark</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940" w:type="dxa"/>
            <w:vAlign w:val="bottom"/>
            <w:gridSpan w:val="3"/>
          </w:tcPr>
          <w:p>
            <w:pPr>
              <w:ind w:left="420"/>
              <w:spacing w:after="0"/>
              <w:rPr>
                <w:sz w:val="20"/>
                <w:szCs w:val="20"/>
                <w:color w:val="auto"/>
              </w:rPr>
            </w:pPr>
            <w:r>
              <w:rPr>
                <w:rFonts w:ascii="Arial" w:cs="Arial" w:eastAsia="Arial" w:hAnsi="Arial"/>
                <w:sz w:val="14"/>
                <w:szCs w:val="14"/>
                <w:b w:val="1"/>
                <w:bCs w:val="1"/>
                <w:color w:val="auto"/>
              </w:rPr>
              <w:t>U.S. Appl. No.</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5"/>
              </w:rPr>
              <w:t>U.S. Filing Date</w:t>
            </w:r>
          </w:p>
        </w:tc>
      </w:tr>
      <w:tr>
        <w:trPr>
          <w:trHeight w:val="210"/>
        </w:trPr>
        <w:tc>
          <w:tcPr>
            <w:tcW w:w="7900" w:type="dxa"/>
            <w:vAlign w:val="bottom"/>
            <w:tcBorders>
              <w:top w:val="single" w:sz="8" w:color="auto"/>
            </w:tcBorders>
            <w:gridSpan w:val="5"/>
            <w:shd w:val="clear" w:color="auto" w:fill="CCEEFF"/>
          </w:tcPr>
          <w:p>
            <w:pPr>
              <w:spacing w:after="0"/>
              <w:rPr>
                <w:sz w:val="20"/>
                <w:szCs w:val="20"/>
                <w:color w:val="auto"/>
              </w:rPr>
            </w:pPr>
            <w:r>
              <w:rPr>
                <w:rFonts w:ascii="Arial" w:cs="Arial" w:eastAsia="Arial" w:hAnsi="Arial"/>
                <w:sz w:val="18"/>
                <w:szCs w:val="18"/>
                <w:b w:val="1"/>
                <w:bCs w:val="1"/>
                <w:color w:val="auto"/>
              </w:rPr>
              <w:t>CYBER LOPES</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87/305,915</w:t>
            </w:r>
          </w:p>
        </w:tc>
        <w:tc>
          <w:tcPr>
            <w:tcW w:w="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01/18/17</w:t>
            </w:r>
          </w:p>
        </w:tc>
      </w:tr>
      <w:tr>
        <w:trPr>
          <w:trHeight w:val="234"/>
        </w:trPr>
        <w:tc>
          <w:tcPr>
            <w:tcW w:w="8120" w:type="dxa"/>
            <w:vAlign w:val="bottom"/>
            <w:gridSpan w:val="7"/>
          </w:tcPr>
          <w:p>
            <w:pPr>
              <w:spacing w:after="0"/>
              <w:rPr>
                <w:sz w:val="20"/>
                <w:szCs w:val="20"/>
                <w:color w:val="auto"/>
              </w:rPr>
            </w:pPr>
            <w:r>
              <w:rPr>
                <w:rFonts w:ascii="Arial" w:cs="Arial" w:eastAsia="Arial" w:hAnsi="Arial"/>
                <w:sz w:val="18"/>
                <w:szCs w:val="18"/>
                <w:b w:val="1"/>
                <w:bCs w:val="1"/>
                <w:color w:val="auto"/>
              </w:rPr>
              <w:t>HACKERS WITH HALOS</w:t>
            </w:r>
          </w:p>
        </w:tc>
        <w:tc>
          <w:tcPr>
            <w:tcW w:w="1660" w:type="dxa"/>
            <w:vAlign w:val="bottom"/>
          </w:tcPr>
          <w:p>
            <w:pPr>
              <w:ind w:left="460"/>
              <w:spacing w:after="0"/>
              <w:rPr>
                <w:sz w:val="20"/>
                <w:szCs w:val="20"/>
                <w:color w:val="auto"/>
              </w:rPr>
            </w:pPr>
            <w:r>
              <w:rPr>
                <w:rFonts w:ascii="Arial" w:cs="Arial" w:eastAsia="Arial" w:hAnsi="Arial"/>
                <w:sz w:val="18"/>
                <w:szCs w:val="18"/>
                <w:color w:val="auto"/>
              </w:rPr>
              <w:t>87/186,903</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09/28/16</w:t>
            </w:r>
          </w:p>
        </w:tc>
      </w:tr>
      <w:tr>
        <w:trPr>
          <w:trHeight w:val="414"/>
        </w:trPr>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20" w:type="dxa"/>
            <w:vAlign w:val="bottom"/>
            <w:gridSpan w:val="4"/>
          </w:tcPr>
          <w:p>
            <w:pPr>
              <w:ind w:left="2420"/>
              <w:spacing w:after="0"/>
              <w:rPr>
                <w:sz w:val="20"/>
                <w:szCs w:val="20"/>
                <w:color w:val="auto"/>
              </w:rPr>
            </w:pPr>
            <w:r>
              <w:rPr>
                <w:rFonts w:ascii="Arial" w:cs="Arial" w:eastAsia="Arial" w:hAnsi="Arial"/>
                <w:sz w:val="18"/>
                <w:szCs w:val="18"/>
                <w:b w:val="1"/>
                <w:bCs w:val="1"/>
                <w:color w:val="auto"/>
              </w:rPr>
              <w:t>State Trademarks and Trade Names</w:t>
            </w:r>
          </w:p>
        </w:tc>
        <w:tc>
          <w:tcPr>
            <w:tcW w:w="1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92"/>
        </w:trPr>
        <w:tc>
          <w:tcPr>
            <w:tcW w:w="8120" w:type="dxa"/>
            <w:vAlign w:val="bottom"/>
            <w:gridSpan w:val="7"/>
          </w:tcPr>
          <w:p>
            <w:pPr>
              <w:spacing w:after="0"/>
              <w:rPr>
                <w:sz w:val="20"/>
                <w:szCs w:val="20"/>
                <w:color w:val="auto"/>
              </w:rPr>
            </w:pPr>
            <w:r>
              <w:rPr>
                <w:rFonts w:ascii="Arial" w:cs="Arial" w:eastAsia="Arial" w:hAnsi="Arial"/>
                <w:sz w:val="18"/>
                <w:szCs w:val="18"/>
                <w:b w:val="1"/>
                <w:bCs w:val="1"/>
                <w:color w:val="auto"/>
              </w:rPr>
              <w:t>Registered Trade Names</w:t>
            </w:r>
          </w:p>
        </w:tc>
        <w:tc>
          <w:tcPr>
            <w:tcW w:w="1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85"/>
        </w:trPr>
        <w:tc>
          <w:tcPr>
            <w:tcW w:w="82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State</w:t>
            </w:r>
          </w:p>
        </w:tc>
        <w:tc>
          <w:tcPr>
            <w:tcW w:w="3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6220" w:type="dxa"/>
            <w:vAlign w:val="bottom"/>
            <w:gridSpan w:val="4"/>
          </w:tcPr>
          <w:p>
            <w:pPr>
              <w:ind w:left="2180"/>
              <w:spacing w:after="0"/>
              <w:rPr>
                <w:sz w:val="20"/>
                <w:szCs w:val="20"/>
                <w:color w:val="auto"/>
              </w:rPr>
            </w:pPr>
            <w:r>
              <w:rPr>
                <w:rFonts w:ascii="Arial" w:cs="Arial" w:eastAsia="Arial" w:hAnsi="Arial"/>
                <w:sz w:val="14"/>
                <w:szCs w:val="14"/>
                <w:b w:val="1"/>
                <w:bCs w:val="1"/>
                <w:color w:val="auto"/>
              </w:rPr>
              <w:t>Trade Name</w:t>
            </w:r>
          </w:p>
        </w:tc>
        <w:tc>
          <w:tcPr>
            <w:tcW w:w="1940" w:type="dxa"/>
            <w:vAlign w:val="bottom"/>
            <w:gridSpan w:val="3"/>
          </w:tcPr>
          <w:p>
            <w:pPr>
              <w:ind w:left="560"/>
              <w:spacing w:after="0"/>
              <w:rPr>
                <w:sz w:val="20"/>
                <w:szCs w:val="20"/>
                <w:color w:val="auto"/>
              </w:rPr>
            </w:pPr>
            <w:r>
              <w:rPr>
                <w:rFonts w:ascii="Arial" w:cs="Arial" w:eastAsia="Arial" w:hAnsi="Arial"/>
                <w:sz w:val="14"/>
                <w:szCs w:val="14"/>
                <w:b w:val="1"/>
                <w:bCs w:val="1"/>
                <w:color w:val="auto"/>
              </w:rPr>
              <w:t>Reg. No.</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2"/>
              </w:rPr>
              <w:t>Reg. Date</w:t>
            </w:r>
          </w:p>
        </w:tc>
      </w:tr>
      <w:tr>
        <w:trPr>
          <w:trHeight w:val="210"/>
        </w:trPr>
        <w:tc>
          <w:tcPr>
            <w:tcW w:w="82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AZ</w:t>
            </w:r>
          </w:p>
        </w:tc>
        <w:tc>
          <w:tcPr>
            <w:tcW w:w="300" w:type="dxa"/>
            <w:vAlign w:val="bottom"/>
            <w:tcBorders>
              <w:top w:val="single" w:sz="8" w:color="CCEEFF"/>
            </w:tcBorders>
            <w:shd w:val="clear" w:color="auto" w:fill="CCEEFF"/>
          </w:tcPr>
          <w:p>
            <w:pPr>
              <w:spacing w:after="0"/>
              <w:rPr>
                <w:sz w:val="18"/>
                <w:szCs w:val="18"/>
                <w:color w:val="auto"/>
              </w:rPr>
            </w:pPr>
          </w:p>
        </w:tc>
        <w:tc>
          <w:tcPr>
            <w:tcW w:w="66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DC NETWORK</w:t>
            </w:r>
          </w:p>
        </w:tc>
        <w:tc>
          <w:tcPr>
            <w:tcW w:w="280" w:type="dxa"/>
            <w:vAlign w:val="bottom"/>
            <w:tcBorders>
              <w:top w:val="single" w:sz="8" w:color="CCEEFF"/>
            </w:tcBorders>
            <w:gridSpan w:val="2"/>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521700</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06/01/11</w:t>
            </w:r>
          </w:p>
        </w:tc>
      </w:tr>
      <w:tr>
        <w:trPr>
          <w:trHeight w:val="216"/>
        </w:trPr>
        <w:tc>
          <w:tcPr>
            <w:tcW w:w="820" w:type="dxa"/>
            <w:vAlign w:val="bottom"/>
          </w:tcPr>
          <w:p>
            <w:pPr>
              <w:ind w:left="300"/>
              <w:spacing w:after="0"/>
              <w:rPr>
                <w:sz w:val="20"/>
                <w:szCs w:val="20"/>
                <w:color w:val="auto"/>
              </w:rPr>
            </w:pPr>
            <w:r>
              <w:rPr>
                <w:rFonts w:ascii="Arial" w:cs="Arial" w:eastAsia="Arial" w:hAnsi="Arial"/>
                <w:sz w:val="18"/>
                <w:szCs w:val="18"/>
                <w:color w:val="auto"/>
              </w:rPr>
              <w:t>AZ</w:t>
            </w:r>
          </w:p>
        </w:tc>
        <w:tc>
          <w:tcPr>
            <w:tcW w:w="7300" w:type="dxa"/>
            <w:vAlign w:val="bottom"/>
            <w:gridSpan w:val="6"/>
          </w:tcPr>
          <w:p>
            <w:pPr>
              <w:ind w:left="300"/>
              <w:spacing w:after="0"/>
              <w:rPr>
                <w:sz w:val="20"/>
                <w:szCs w:val="20"/>
                <w:color w:val="auto"/>
              </w:rPr>
            </w:pPr>
            <w:r>
              <w:rPr>
                <w:rFonts w:ascii="Arial" w:cs="Arial" w:eastAsia="Arial" w:hAnsi="Arial"/>
                <w:sz w:val="18"/>
                <w:szCs w:val="18"/>
                <w:color w:val="auto"/>
              </w:rPr>
              <w:t>DOCTORAL COMMUNITY NETWORK</w:t>
            </w: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521690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06/01/11</w:t>
            </w:r>
          </w:p>
        </w:tc>
      </w:tr>
      <w:tr>
        <w:trPr>
          <w:trHeight w:val="216"/>
        </w:trPr>
        <w:tc>
          <w:tcPr>
            <w:tcW w:w="8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AZ</w:t>
            </w:r>
          </w:p>
        </w:tc>
        <w:tc>
          <w:tcPr>
            <w:tcW w:w="7300" w:type="dxa"/>
            <w:vAlign w:val="bottom"/>
            <w:gridSpan w:val="6"/>
            <w:shd w:val="clear" w:color="auto" w:fill="CCEEFF"/>
          </w:tcPr>
          <w:p>
            <w:pPr>
              <w:ind w:left="300"/>
              <w:spacing w:after="0"/>
              <w:rPr>
                <w:sz w:val="20"/>
                <w:szCs w:val="20"/>
                <w:color w:val="auto"/>
              </w:rPr>
            </w:pPr>
            <w:r>
              <w:rPr>
                <w:rFonts w:ascii="Arial" w:cs="Arial" w:eastAsia="Arial" w:hAnsi="Arial"/>
                <w:sz w:val="18"/>
                <w:szCs w:val="18"/>
                <w:color w:val="auto"/>
              </w:rPr>
              <w:t>RISE TO THE CHALLENGE OF LEADERSHIP</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521656</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06/01/11</w:t>
            </w:r>
          </w:p>
        </w:tc>
      </w:tr>
      <w:tr>
        <w:trPr>
          <w:trHeight w:val="216"/>
        </w:trPr>
        <w:tc>
          <w:tcPr>
            <w:tcW w:w="820" w:type="dxa"/>
            <w:vAlign w:val="bottom"/>
          </w:tcPr>
          <w:p>
            <w:pPr>
              <w:ind w:left="280"/>
              <w:spacing w:after="0"/>
              <w:rPr>
                <w:sz w:val="20"/>
                <w:szCs w:val="20"/>
                <w:color w:val="auto"/>
              </w:rPr>
            </w:pPr>
            <w:r>
              <w:rPr>
                <w:rFonts w:ascii="Arial" w:cs="Arial" w:eastAsia="Arial" w:hAnsi="Arial"/>
                <w:sz w:val="18"/>
                <w:szCs w:val="18"/>
                <w:color w:val="auto"/>
              </w:rPr>
              <w:t>ND</w:t>
            </w:r>
          </w:p>
        </w:tc>
        <w:tc>
          <w:tcPr>
            <w:tcW w:w="7300" w:type="dxa"/>
            <w:vAlign w:val="bottom"/>
            <w:gridSpan w:val="6"/>
          </w:tcPr>
          <w:p>
            <w:pPr>
              <w:ind w:left="300"/>
              <w:spacing w:after="0"/>
              <w:rPr>
                <w:sz w:val="20"/>
                <w:szCs w:val="20"/>
                <w:color w:val="auto"/>
              </w:rPr>
            </w:pPr>
            <w:r>
              <w:rPr>
                <w:rFonts w:ascii="Arial" w:cs="Arial" w:eastAsia="Arial" w:hAnsi="Arial"/>
                <w:sz w:val="18"/>
                <w:szCs w:val="18"/>
                <w:color w:val="auto"/>
              </w:rPr>
              <w:t>GRAND CANYON UNIVERSITY</w:t>
            </w: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28164100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12/11/10</w:t>
            </w:r>
          </w:p>
        </w:tc>
      </w:tr>
      <w:tr>
        <w:trPr>
          <w:trHeight w:val="216"/>
        </w:trPr>
        <w:tc>
          <w:tcPr>
            <w:tcW w:w="8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AZ</w:t>
            </w:r>
          </w:p>
        </w:tc>
        <w:tc>
          <w:tcPr>
            <w:tcW w:w="7300" w:type="dxa"/>
            <w:vAlign w:val="bottom"/>
            <w:gridSpan w:val="6"/>
            <w:shd w:val="clear" w:color="auto" w:fill="CCEEFF"/>
          </w:tcPr>
          <w:p>
            <w:pPr>
              <w:ind w:left="300"/>
              <w:spacing w:after="0"/>
              <w:rPr>
                <w:sz w:val="20"/>
                <w:szCs w:val="20"/>
                <w:color w:val="auto"/>
              </w:rPr>
            </w:pPr>
            <w:r>
              <w:rPr>
                <w:rFonts w:ascii="Arial" w:cs="Arial" w:eastAsia="Arial" w:hAnsi="Arial"/>
                <w:sz w:val="18"/>
                <w:szCs w:val="18"/>
                <w:color w:val="auto"/>
              </w:rPr>
              <w:t>GRAND CANYON UNIVERSITY</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502591</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10/18/10</w:t>
            </w:r>
          </w:p>
        </w:tc>
      </w:tr>
      <w:tr>
        <w:trPr>
          <w:trHeight w:val="216"/>
        </w:trPr>
        <w:tc>
          <w:tcPr>
            <w:tcW w:w="820" w:type="dxa"/>
            <w:vAlign w:val="bottom"/>
          </w:tcPr>
          <w:p>
            <w:pPr>
              <w:ind w:left="300"/>
              <w:spacing w:after="0"/>
              <w:rPr>
                <w:sz w:val="20"/>
                <w:szCs w:val="20"/>
                <w:color w:val="auto"/>
              </w:rPr>
            </w:pPr>
            <w:r>
              <w:rPr>
                <w:rFonts w:ascii="Arial" w:cs="Arial" w:eastAsia="Arial" w:hAnsi="Arial"/>
                <w:sz w:val="18"/>
                <w:szCs w:val="18"/>
                <w:color w:val="auto"/>
              </w:rPr>
              <w:t>AZ</w:t>
            </w:r>
          </w:p>
        </w:tc>
        <w:tc>
          <w:tcPr>
            <w:tcW w:w="7300" w:type="dxa"/>
            <w:vAlign w:val="bottom"/>
            <w:gridSpan w:val="6"/>
          </w:tcPr>
          <w:p>
            <w:pPr>
              <w:ind w:left="300"/>
              <w:spacing w:after="0"/>
              <w:rPr>
                <w:sz w:val="20"/>
                <w:szCs w:val="20"/>
                <w:color w:val="auto"/>
              </w:rPr>
            </w:pPr>
            <w:r>
              <w:rPr>
                <w:rFonts w:ascii="Arial" w:cs="Arial" w:eastAsia="Arial" w:hAnsi="Arial"/>
                <w:sz w:val="18"/>
                <w:szCs w:val="18"/>
                <w:color w:val="auto"/>
              </w:rPr>
              <w:t>FIND YOUR PURPOSE</w:t>
            </w: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493655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06/22/10</w:t>
            </w:r>
          </w:p>
        </w:tc>
      </w:tr>
      <w:tr>
        <w:trPr>
          <w:trHeight w:val="216"/>
        </w:trPr>
        <w:tc>
          <w:tcPr>
            <w:tcW w:w="8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AZ</w:t>
            </w:r>
          </w:p>
        </w:tc>
        <w:tc>
          <w:tcPr>
            <w:tcW w:w="7300" w:type="dxa"/>
            <w:vAlign w:val="bottom"/>
            <w:gridSpan w:val="6"/>
            <w:shd w:val="clear" w:color="auto" w:fill="CCEEFF"/>
          </w:tcPr>
          <w:p>
            <w:pPr>
              <w:ind w:left="300"/>
              <w:spacing w:after="0"/>
              <w:rPr>
                <w:sz w:val="20"/>
                <w:szCs w:val="20"/>
                <w:color w:val="auto"/>
              </w:rPr>
            </w:pPr>
            <w:r>
              <w:rPr>
                <w:rFonts w:ascii="Arial" w:cs="Arial" w:eastAsia="Arial" w:hAnsi="Arial"/>
                <w:sz w:val="18"/>
                <w:szCs w:val="18"/>
                <w:color w:val="auto"/>
              </w:rPr>
              <w:t>‘LOPES</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451860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01/23/09</w:t>
            </w:r>
          </w:p>
        </w:tc>
      </w:tr>
      <w:tr>
        <w:trPr>
          <w:trHeight w:val="216"/>
        </w:trPr>
        <w:tc>
          <w:tcPr>
            <w:tcW w:w="820" w:type="dxa"/>
            <w:vAlign w:val="bottom"/>
          </w:tcPr>
          <w:p>
            <w:pPr>
              <w:ind w:left="300"/>
              <w:spacing w:after="0"/>
              <w:rPr>
                <w:sz w:val="20"/>
                <w:szCs w:val="20"/>
                <w:color w:val="auto"/>
              </w:rPr>
            </w:pPr>
            <w:r>
              <w:rPr>
                <w:rFonts w:ascii="Arial" w:cs="Arial" w:eastAsia="Arial" w:hAnsi="Arial"/>
                <w:sz w:val="18"/>
                <w:szCs w:val="18"/>
                <w:color w:val="auto"/>
              </w:rPr>
              <w:t>AZ</w:t>
            </w:r>
          </w:p>
        </w:tc>
        <w:tc>
          <w:tcPr>
            <w:tcW w:w="7300" w:type="dxa"/>
            <w:vAlign w:val="bottom"/>
            <w:gridSpan w:val="6"/>
          </w:tcPr>
          <w:p>
            <w:pPr>
              <w:ind w:left="300"/>
              <w:spacing w:after="0"/>
              <w:rPr>
                <w:sz w:val="20"/>
                <w:szCs w:val="20"/>
                <w:color w:val="auto"/>
              </w:rPr>
            </w:pPr>
            <w:r>
              <w:rPr>
                <w:rFonts w:ascii="Arial" w:cs="Arial" w:eastAsia="Arial" w:hAnsi="Arial"/>
                <w:sz w:val="18"/>
                <w:szCs w:val="18"/>
                <w:color w:val="auto"/>
              </w:rPr>
              <w:t>THUNDER ‘LOPE</w:t>
            </w: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451859</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01/23/09</w:t>
            </w:r>
          </w:p>
        </w:tc>
      </w:tr>
      <w:tr>
        <w:trPr>
          <w:trHeight w:val="216"/>
        </w:trPr>
        <w:tc>
          <w:tcPr>
            <w:tcW w:w="8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AZ</w:t>
            </w:r>
          </w:p>
        </w:tc>
        <w:tc>
          <w:tcPr>
            <w:tcW w:w="7300" w:type="dxa"/>
            <w:vAlign w:val="bottom"/>
            <w:gridSpan w:val="6"/>
            <w:shd w:val="clear" w:color="auto" w:fill="CCEEFF"/>
          </w:tcPr>
          <w:p>
            <w:pPr>
              <w:ind w:left="300"/>
              <w:spacing w:after="0"/>
              <w:rPr>
                <w:sz w:val="20"/>
                <w:szCs w:val="20"/>
                <w:color w:val="auto"/>
              </w:rPr>
            </w:pPr>
            <w:r>
              <w:rPr>
                <w:rFonts w:ascii="Arial" w:cs="Arial" w:eastAsia="Arial" w:hAnsi="Arial"/>
                <w:sz w:val="18"/>
                <w:szCs w:val="18"/>
                <w:color w:val="auto"/>
              </w:rPr>
              <w:t>HEAR THE THUNDER, FEAR THE ‘LOPE</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451858</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01/23/09</w:t>
            </w:r>
          </w:p>
        </w:tc>
      </w:tr>
      <w:tr>
        <w:trPr>
          <w:trHeight w:val="230"/>
        </w:trPr>
        <w:tc>
          <w:tcPr>
            <w:tcW w:w="820" w:type="dxa"/>
            <w:vAlign w:val="bottom"/>
          </w:tcPr>
          <w:p>
            <w:pPr>
              <w:ind w:left="300"/>
              <w:spacing w:after="0"/>
              <w:rPr>
                <w:sz w:val="20"/>
                <w:szCs w:val="20"/>
                <w:color w:val="auto"/>
              </w:rPr>
            </w:pPr>
            <w:r>
              <w:rPr>
                <w:rFonts w:ascii="Arial" w:cs="Arial" w:eastAsia="Arial" w:hAnsi="Arial"/>
                <w:sz w:val="18"/>
                <w:szCs w:val="18"/>
                <w:color w:val="auto"/>
              </w:rPr>
              <w:t>AZ</w:t>
            </w:r>
          </w:p>
        </w:tc>
        <w:tc>
          <w:tcPr>
            <w:tcW w:w="7300" w:type="dxa"/>
            <w:vAlign w:val="bottom"/>
            <w:gridSpan w:val="6"/>
          </w:tcPr>
          <w:p>
            <w:pPr>
              <w:ind w:left="300"/>
              <w:spacing w:after="0"/>
              <w:rPr>
                <w:sz w:val="20"/>
                <w:szCs w:val="20"/>
                <w:color w:val="auto"/>
              </w:rPr>
            </w:pPr>
            <w:r>
              <w:rPr>
                <w:rFonts w:ascii="Arial" w:cs="Arial" w:eastAsia="Arial" w:hAnsi="Arial"/>
                <w:sz w:val="18"/>
                <w:szCs w:val="18"/>
                <w:color w:val="auto"/>
              </w:rPr>
              <w:t>LEADING AT A HIGHER LEVEL</w:t>
            </w: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451856</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01/23/09</w:t>
            </w:r>
          </w:p>
        </w:tc>
      </w:tr>
    </w:tbl>
    <w:p>
      <w:pPr>
        <w:spacing w:after="0" w:line="183" w:lineRule="exact"/>
        <w:rPr>
          <w:sz w:val="20"/>
          <w:szCs w:val="20"/>
          <w:color w:val="auto"/>
        </w:rPr>
      </w:pPr>
    </w:p>
    <w:p>
      <w:pPr>
        <w:ind w:left="960" w:hanging="304"/>
        <w:spacing w:after="0"/>
        <w:tabs>
          <w:tab w:leader="none" w:pos="960" w:val="left"/>
        </w:tabs>
        <w:numPr>
          <w:ilvl w:val="2"/>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Domain Names(1)</w:t>
      </w:r>
    </w:p>
    <w:p>
      <w:pPr>
        <w:spacing w:after="0" w:line="229" w:lineRule="exact"/>
        <w:rPr>
          <w:rFonts w:ascii="Arial" w:cs="Arial" w:eastAsia="Arial" w:hAnsi="Arial"/>
          <w:sz w:val="18"/>
          <w:szCs w:val="18"/>
          <w:b w:val="1"/>
          <w:bCs w:val="1"/>
          <w:color w:val="auto"/>
        </w:rPr>
      </w:pPr>
    </w:p>
    <w:p>
      <w:pPr>
        <w:ind w:left="1300" w:hanging="968"/>
        <w:spacing w:after="0"/>
        <w:tabs>
          <w:tab w:leader="none" w:pos="13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ACCREDITEDONLINEPHD.COM</w:t>
      </w:r>
    </w:p>
    <w:p>
      <w:pPr>
        <w:spacing w:after="0" w:line="23" w:lineRule="exact"/>
        <w:rPr>
          <w:rFonts w:ascii="Arial" w:cs="Arial" w:eastAsia="Arial" w:hAnsi="Arial"/>
          <w:sz w:val="18"/>
          <w:szCs w:val="18"/>
          <w:color w:val="auto"/>
        </w:rPr>
      </w:pPr>
    </w:p>
    <w:p>
      <w:pPr>
        <w:ind w:left="1300" w:hanging="968"/>
        <w:spacing w:after="0"/>
        <w:tabs>
          <w:tab w:leader="none" w:pos="13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APPLYGCU.COM</w:t>
      </w:r>
    </w:p>
    <w:p>
      <w:pPr>
        <w:spacing w:after="0" w:line="9" w:lineRule="exact"/>
        <w:rPr>
          <w:rFonts w:ascii="Arial" w:cs="Arial" w:eastAsia="Arial" w:hAnsi="Arial"/>
          <w:sz w:val="18"/>
          <w:szCs w:val="18"/>
          <w:color w:val="auto"/>
        </w:rPr>
      </w:pPr>
    </w:p>
    <w:p>
      <w:pPr>
        <w:ind w:left="1300" w:hanging="968"/>
        <w:spacing w:after="0"/>
        <w:tabs>
          <w:tab w:leader="none" w:pos="13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APPLYGCU.NET</w:t>
      </w:r>
    </w:p>
    <w:p>
      <w:pPr>
        <w:spacing w:after="0" w:line="9" w:lineRule="exact"/>
        <w:rPr>
          <w:rFonts w:ascii="Arial" w:cs="Arial" w:eastAsia="Arial" w:hAnsi="Arial"/>
          <w:sz w:val="18"/>
          <w:szCs w:val="18"/>
          <w:color w:val="auto"/>
        </w:rPr>
      </w:pPr>
    </w:p>
    <w:p>
      <w:pPr>
        <w:ind w:left="1300" w:hanging="968"/>
        <w:spacing w:after="0"/>
        <w:tabs>
          <w:tab w:leader="none" w:pos="13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BLANCHARDMBA.COM</w:t>
      </w:r>
    </w:p>
    <w:p>
      <w:pPr>
        <w:spacing w:after="0" w:line="9" w:lineRule="exact"/>
        <w:rPr>
          <w:rFonts w:ascii="Arial" w:cs="Arial" w:eastAsia="Arial" w:hAnsi="Arial"/>
          <w:sz w:val="18"/>
          <w:szCs w:val="18"/>
          <w:color w:val="auto"/>
        </w:rPr>
      </w:pPr>
    </w:p>
    <w:p>
      <w:pPr>
        <w:ind w:left="1300" w:hanging="968"/>
        <w:spacing w:after="0"/>
        <w:tabs>
          <w:tab w:leader="none" w:pos="13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CANYON.COFFEE</w:t>
      </w:r>
    </w:p>
    <w:p>
      <w:pPr>
        <w:spacing w:after="0" w:line="9" w:lineRule="exact"/>
        <w:rPr>
          <w:rFonts w:ascii="Arial" w:cs="Arial" w:eastAsia="Arial" w:hAnsi="Arial"/>
          <w:sz w:val="18"/>
          <w:szCs w:val="18"/>
          <w:color w:val="auto"/>
        </w:rPr>
      </w:pPr>
    </w:p>
    <w:p>
      <w:pPr>
        <w:ind w:left="1300" w:hanging="968"/>
        <w:spacing w:after="0"/>
        <w:tabs>
          <w:tab w:leader="none" w:pos="13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CANYON49.COM</w:t>
      </w:r>
    </w:p>
    <w:p>
      <w:pPr>
        <w:spacing w:after="0" w:line="9" w:lineRule="exact"/>
        <w:rPr>
          <w:rFonts w:ascii="Arial" w:cs="Arial" w:eastAsia="Arial" w:hAnsi="Arial"/>
          <w:sz w:val="18"/>
          <w:szCs w:val="18"/>
          <w:color w:val="auto"/>
        </w:rPr>
      </w:pPr>
    </w:p>
    <w:p>
      <w:pPr>
        <w:ind w:left="1300" w:hanging="968"/>
        <w:spacing w:after="0"/>
        <w:tabs>
          <w:tab w:leader="none" w:pos="13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CANYON49.RESTAURANT</w:t>
      </w:r>
    </w:p>
    <w:p>
      <w:pPr>
        <w:spacing w:after="0" w:line="9" w:lineRule="exact"/>
        <w:rPr>
          <w:rFonts w:ascii="Arial" w:cs="Arial" w:eastAsia="Arial" w:hAnsi="Arial"/>
          <w:sz w:val="18"/>
          <w:szCs w:val="18"/>
          <w:color w:val="auto"/>
        </w:rPr>
      </w:pPr>
    </w:p>
    <w:p>
      <w:pPr>
        <w:ind w:left="1300" w:hanging="968"/>
        <w:spacing w:after="0"/>
        <w:tabs>
          <w:tab w:leader="none" w:pos="13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CANYON49.REVIEWS</w:t>
      </w:r>
    </w:p>
    <w:p>
      <w:pPr>
        <w:spacing w:after="0" w:line="9" w:lineRule="exact"/>
        <w:rPr>
          <w:rFonts w:ascii="Arial" w:cs="Arial" w:eastAsia="Arial" w:hAnsi="Arial"/>
          <w:sz w:val="18"/>
          <w:szCs w:val="18"/>
          <w:color w:val="auto"/>
        </w:rPr>
      </w:pPr>
    </w:p>
    <w:p>
      <w:pPr>
        <w:ind w:left="1300" w:hanging="968"/>
        <w:spacing w:after="0"/>
        <w:tabs>
          <w:tab w:leader="none" w:pos="13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CANYON49GRILL.COM</w:t>
      </w:r>
    </w:p>
    <w:p>
      <w:pPr>
        <w:spacing w:after="0" w:line="9" w:lineRule="exact"/>
        <w:rPr>
          <w:rFonts w:ascii="Arial" w:cs="Arial" w:eastAsia="Arial" w:hAnsi="Arial"/>
          <w:sz w:val="18"/>
          <w:szCs w:val="18"/>
          <w:color w:val="auto"/>
        </w:rPr>
      </w:pPr>
    </w:p>
    <w:p>
      <w:pPr>
        <w:ind w:left="1300" w:hanging="968"/>
        <w:spacing w:after="0"/>
        <w:tabs>
          <w:tab w:leader="none" w:pos="13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CANYONANGEL.ORG</w:t>
      </w:r>
    </w:p>
    <w:p>
      <w:pPr>
        <w:spacing w:after="0" w:line="9" w:lineRule="exact"/>
        <w:rPr>
          <w:rFonts w:ascii="Arial" w:cs="Arial" w:eastAsia="Arial" w:hAnsi="Arial"/>
          <w:sz w:val="18"/>
          <w:szCs w:val="18"/>
          <w:color w:val="auto"/>
        </w:rPr>
      </w:pPr>
    </w:p>
    <w:p>
      <w:pPr>
        <w:ind w:left="1300" w:hanging="968"/>
        <w:spacing w:after="0"/>
        <w:tabs>
          <w:tab w:leader="none" w:pos="13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CANYONANGELS.COM</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right="240" w:firstLine="8"/>
        <w:spacing w:after="0" w:line="277" w:lineRule="auto"/>
        <w:tabs>
          <w:tab w:leader="none" w:pos="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list of domain registrations includes domains not currently in use and some derogatory domains purchased as a protective measure to prevent third parties from registering and using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-370840</wp:posOffset>
            </wp:positionV>
            <wp:extent cx="182689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1" w:name="page72"/>
    <w:bookmarkEnd w:id="71"/>
    <w:p>
      <w:pPr>
        <w:ind w:left="968" w:hanging="968"/>
        <w:spacing w:after="0"/>
        <w:tabs>
          <w:tab w:leader="none" w:pos="968" w:val="left"/>
        </w:tabs>
        <w:numPr>
          <w:ilvl w:val="0"/>
          <w:numId w:val="61"/>
        </w:numPr>
        <w:rPr>
          <w:rFonts w:ascii="Arial" w:cs="Arial" w:eastAsia="Arial" w:hAnsi="Arial"/>
          <w:sz w:val="18"/>
          <w:szCs w:val="18"/>
          <w:color w:val="auto"/>
        </w:rPr>
      </w:pPr>
      <w:r>
        <w:rPr>
          <w:rFonts w:ascii="Arial" w:cs="Arial" w:eastAsia="Arial" w:hAnsi="Arial"/>
          <w:sz w:val="18"/>
          <w:szCs w:val="18"/>
          <w:color w:val="auto"/>
        </w:rPr>
        <w:t>CANYONANGELS.ORG</w:t>
      </w:r>
    </w:p>
    <w:p>
      <w:pPr>
        <w:spacing w:after="0" w:line="23" w:lineRule="exact"/>
        <w:rPr>
          <w:rFonts w:ascii="Arial" w:cs="Arial" w:eastAsia="Arial" w:hAnsi="Arial"/>
          <w:sz w:val="18"/>
          <w:szCs w:val="18"/>
          <w:color w:val="auto"/>
        </w:rPr>
      </w:pPr>
    </w:p>
    <w:p>
      <w:pPr>
        <w:ind w:left="968" w:hanging="968"/>
        <w:spacing w:after="0"/>
        <w:tabs>
          <w:tab w:leader="none" w:pos="968" w:val="left"/>
        </w:tabs>
        <w:numPr>
          <w:ilvl w:val="0"/>
          <w:numId w:val="61"/>
        </w:numPr>
        <w:rPr>
          <w:rFonts w:ascii="Arial" w:cs="Arial" w:eastAsia="Arial" w:hAnsi="Arial"/>
          <w:sz w:val="18"/>
          <w:szCs w:val="18"/>
          <w:color w:val="auto"/>
        </w:rPr>
      </w:pPr>
      <w:r>
        <w:rPr>
          <w:rFonts w:ascii="Arial" w:cs="Arial" w:eastAsia="Arial" w:hAnsi="Arial"/>
          <w:sz w:val="18"/>
          <w:szCs w:val="18"/>
          <w:color w:val="auto"/>
        </w:rPr>
        <w:t>CANYONBEVCO.COM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1"/>
        </w:numPr>
        <w:rPr>
          <w:rFonts w:ascii="Arial" w:cs="Arial" w:eastAsia="Arial" w:hAnsi="Arial"/>
          <w:sz w:val="18"/>
          <w:szCs w:val="18"/>
          <w:color w:val="auto"/>
        </w:rPr>
      </w:pPr>
      <w:r>
        <w:rPr>
          <w:rFonts w:ascii="Arial" w:cs="Arial" w:eastAsia="Arial" w:hAnsi="Arial"/>
          <w:sz w:val="18"/>
          <w:szCs w:val="18"/>
          <w:color w:val="auto"/>
        </w:rPr>
        <w:t>CANYONED.COM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1"/>
        </w:numPr>
        <w:rPr>
          <w:rFonts w:ascii="Arial" w:cs="Arial" w:eastAsia="Arial" w:hAnsi="Arial"/>
          <w:sz w:val="18"/>
          <w:szCs w:val="18"/>
          <w:color w:val="auto"/>
        </w:rPr>
      </w:pPr>
      <w:r>
        <w:rPr>
          <w:rFonts w:ascii="Arial" w:cs="Arial" w:eastAsia="Arial" w:hAnsi="Arial"/>
          <w:sz w:val="18"/>
          <w:szCs w:val="18"/>
          <w:color w:val="auto"/>
        </w:rPr>
        <w:t>CANYONEDU.COM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1"/>
        </w:numPr>
        <w:rPr>
          <w:rFonts w:ascii="Arial" w:cs="Arial" w:eastAsia="Arial" w:hAnsi="Arial"/>
          <w:sz w:val="18"/>
          <w:szCs w:val="18"/>
          <w:color w:val="auto"/>
        </w:rPr>
      </w:pPr>
      <w:r>
        <w:rPr>
          <w:rFonts w:ascii="Arial" w:cs="Arial" w:eastAsia="Arial" w:hAnsi="Arial"/>
          <w:sz w:val="18"/>
          <w:szCs w:val="18"/>
          <w:color w:val="auto"/>
        </w:rPr>
        <w:t>CANYONENTERPRISES.COM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1"/>
        </w:numPr>
        <w:rPr>
          <w:rFonts w:ascii="Arial" w:cs="Arial" w:eastAsia="Arial" w:hAnsi="Arial"/>
          <w:sz w:val="18"/>
          <w:szCs w:val="18"/>
          <w:color w:val="auto"/>
        </w:rPr>
      </w:pPr>
      <w:r>
        <w:rPr>
          <w:rFonts w:ascii="Arial" w:cs="Arial" w:eastAsia="Arial" w:hAnsi="Arial"/>
          <w:sz w:val="18"/>
          <w:szCs w:val="18"/>
          <w:color w:val="auto"/>
        </w:rPr>
        <w:t>CANYONENTERPRISES.ORG</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1"/>
        </w:numPr>
        <w:rPr>
          <w:rFonts w:ascii="Arial" w:cs="Arial" w:eastAsia="Arial" w:hAnsi="Arial"/>
          <w:sz w:val="18"/>
          <w:szCs w:val="18"/>
          <w:color w:val="auto"/>
        </w:rPr>
      </w:pPr>
      <w:r>
        <w:rPr>
          <w:rFonts w:ascii="Arial" w:cs="Arial" w:eastAsia="Arial" w:hAnsi="Arial"/>
          <w:sz w:val="18"/>
          <w:szCs w:val="18"/>
          <w:color w:val="auto"/>
        </w:rPr>
        <w:t>CANYONEVENTS.COM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1"/>
        </w:numPr>
        <w:rPr>
          <w:rFonts w:ascii="Arial" w:cs="Arial" w:eastAsia="Arial" w:hAnsi="Arial"/>
          <w:sz w:val="18"/>
          <w:szCs w:val="18"/>
          <w:color w:val="auto"/>
        </w:rPr>
      </w:pPr>
      <w:r>
        <w:rPr>
          <w:rFonts w:ascii="Arial" w:cs="Arial" w:eastAsia="Arial" w:hAnsi="Arial"/>
          <w:sz w:val="18"/>
          <w:szCs w:val="18"/>
          <w:color w:val="auto"/>
        </w:rPr>
        <w:t>CANYONEVENTS.MOBI</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1"/>
        </w:numPr>
        <w:rPr>
          <w:rFonts w:ascii="Arial" w:cs="Arial" w:eastAsia="Arial" w:hAnsi="Arial"/>
          <w:sz w:val="18"/>
          <w:szCs w:val="18"/>
          <w:color w:val="auto"/>
        </w:rPr>
      </w:pPr>
      <w:r>
        <w:rPr>
          <w:rFonts w:ascii="Arial" w:cs="Arial" w:eastAsia="Arial" w:hAnsi="Arial"/>
          <w:sz w:val="18"/>
          <w:szCs w:val="18"/>
          <w:color w:val="auto"/>
        </w:rPr>
        <w:t>CANYONEXCHANGE.COM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1"/>
        </w:numPr>
        <w:rPr>
          <w:rFonts w:ascii="Arial" w:cs="Arial" w:eastAsia="Arial" w:hAnsi="Arial"/>
          <w:sz w:val="18"/>
          <w:szCs w:val="18"/>
          <w:color w:val="auto"/>
        </w:rPr>
      </w:pPr>
      <w:r>
        <w:rPr>
          <w:rFonts w:ascii="Arial" w:cs="Arial" w:eastAsia="Arial" w:hAnsi="Arial"/>
          <w:sz w:val="18"/>
          <w:szCs w:val="18"/>
          <w:color w:val="auto"/>
        </w:rPr>
        <w:t>CANYONMUSICFESTIVAL.COM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1"/>
        </w:numPr>
        <w:rPr>
          <w:rFonts w:ascii="Arial" w:cs="Arial" w:eastAsia="Arial" w:hAnsi="Arial"/>
          <w:sz w:val="18"/>
          <w:szCs w:val="18"/>
          <w:color w:val="auto"/>
        </w:rPr>
      </w:pPr>
      <w:r>
        <w:rPr>
          <w:rFonts w:ascii="Arial" w:cs="Arial" w:eastAsia="Arial" w:hAnsi="Arial"/>
          <w:sz w:val="18"/>
          <w:szCs w:val="18"/>
          <w:color w:val="auto"/>
        </w:rPr>
        <w:t>CANYONPROMOTIONS.COM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1"/>
        </w:numPr>
        <w:rPr>
          <w:rFonts w:ascii="Arial" w:cs="Arial" w:eastAsia="Arial" w:hAnsi="Arial"/>
          <w:sz w:val="18"/>
          <w:szCs w:val="18"/>
          <w:color w:val="auto"/>
        </w:rPr>
      </w:pPr>
      <w:r>
        <w:rPr>
          <w:rFonts w:ascii="Arial" w:cs="Arial" w:eastAsia="Arial" w:hAnsi="Arial"/>
          <w:sz w:val="18"/>
          <w:szCs w:val="18"/>
          <w:color w:val="auto"/>
        </w:rPr>
        <w:t>CAREERANDCOLLEGES.COM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1"/>
        </w:numPr>
        <w:rPr>
          <w:rFonts w:ascii="Arial" w:cs="Arial" w:eastAsia="Arial" w:hAnsi="Arial"/>
          <w:sz w:val="18"/>
          <w:szCs w:val="18"/>
          <w:color w:val="auto"/>
        </w:rPr>
      </w:pPr>
      <w:r>
        <w:rPr>
          <w:rFonts w:ascii="Arial" w:cs="Arial" w:eastAsia="Arial" w:hAnsi="Arial"/>
          <w:sz w:val="18"/>
          <w:szCs w:val="18"/>
          <w:color w:val="auto"/>
        </w:rPr>
        <w:t>CEELEARNING.COM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1"/>
        </w:numPr>
        <w:rPr>
          <w:rFonts w:ascii="Arial" w:cs="Arial" w:eastAsia="Arial" w:hAnsi="Arial"/>
          <w:sz w:val="18"/>
          <w:szCs w:val="18"/>
          <w:color w:val="auto"/>
        </w:rPr>
      </w:pPr>
      <w:r>
        <w:rPr>
          <w:rFonts w:ascii="Arial" w:cs="Arial" w:eastAsia="Arial" w:hAnsi="Arial"/>
          <w:sz w:val="18"/>
          <w:szCs w:val="18"/>
          <w:color w:val="auto"/>
        </w:rPr>
        <w:t>CENTERFORCHRISTIANARTS.COM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1"/>
        </w:numPr>
        <w:rPr>
          <w:rFonts w:ascii="Arial" w:cs="Arial" w:eastAsia="Arial" w:hAnsi="Arial"/>
          <w:sz w:val="18"/>
          <w:szCs w:val="18"/>
          <w:color w:val="auto"/>
        </w:rPr>
      </w:pPr>
      <w:r>
        <w:rPr>
          <w:rFonts w:ascii="Arial" w:cs="Arial" w:eastAsia="Arial" w:hAnsi="Arial"/>
          <w:sz w:val="18"/>
          <w:szCs w:val="18"/>
          <w:color w:val="auto"/>
        </w:rPr>
        <w:t>CENTERFORCHRISTIANARTS.ORG</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1"/>
        </w:numPr>
        <w:rPr>
          <w:rFonts w:ascii="Arial" w:cs="Arial" w:eastAsia="Arial" w:hAnsi="Arial"/>
          <w:sz w:val="18"/>
          <w:szCs w:val="18"/>
          <w:color w:val="auto"/>
        </w:rPr>
      </w:pPr>
      <w:r>
        <w:rPr>
          <w:rFonts w:ascii="Arial" w:cs="Arial" w:eastAsia="Arial" w:hAnsi="Arial"/>
          <w:sz w:val="18"/>
          <w:szCs w:val="18"/>
          <w:color w:val="auto"/>
        </w:rPr>
        <w:t>CHOOSEDISTRICTSCHOOLS.COM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1"/>
        </w:numPr>
        <w:rPr>
          <w:rFonts w:ascii="Arial" w:cs="Arial" w:eastAsia="Arial" w:hAnsi="Arial"/>
          <w:sz w:val="18"/>
          <w:szCs w:val="18"/>
          <w:color w:val="auto"/>
        </w:rPr>
      </w:pPr>
      <w:r>
        <w:rPr>
          <w:rFonts w:ascii="Arial" w:cs="Arial" w:eastAsia="Arial" w:hAnsi="Arial"/>
          <w:sz w:val="18"/>
          <w:szCs w:val="18"/>
          <w:color w:val="auto"/>
        </w:rPr>
        <w:t>CHOOSEDISTRICTSCHOOLS.ORG</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1"/>
        </w:numPr>
        <w:rPr>
          <w:rFonts w:ascii="Arial" w:cs="Arial" w:eastAsia="Arial" w:hAnsi="Arial"/>
          <w:sz w:val="18"/>
          <w:szCs w:val="18"/>
          <w:color w:val="auto"/>
        </w:rPr>
      </w:pPr>
      <w:r>
        <w:rPr>
          <w:rFonts w:ascii="Arial" w:cs="Arial" w:eastAsia="Arial" w:hAnsi="Arial"/>
          <w:sz w:val="18"/>
          <w:szCs w:val="18"/>
          <w:color w:val="auto"/>
        </w:rPr>
        <w:t>CHOOSEGCU.COM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1"/>
        </w:numPr>
        <w:rPr>
          <w:rFonts w:ascii="Arial" w:cs="Arial" w:eastAsia="Arial" w:hAnsi="Arial"/>
          <w:sz w:val="18"/>
          <w:szCs w:val="18"/>
          <w:color w:val="auto"/>
        </w:rPr>
      </w:pPr>
      <w:r>
        <w:rPr>
          <w:rFonts w:ascii="Arial" w:cs="Arial" w:eastAsia="Arial" w:hAnsi="Arial"/>
          <w:sz w:val="18"/>
          <w:szCs w:val="18"/>
          <w:color w:val="auto"/>
        </w:rPr>
        <w:t>CIRTFACULTY.COM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1"/>
        </w:numPr>
        <w:rPr>
          <w:rFonts w:ascii="Arial" w:cs="Arial" w:eastAsia="Arial" w:hAnsi="Arial"/>
          <w:sz w:val="18"/>
          <w:szCs w:val="18"/>
          <w:color w:val="auto"/>
        </w:rPr>
      </w:pPr>
      <w:r>
        <w:rPr>
          <w:rFonts w:ascii="Arial" w:cs="Arial" w:eastAsia="Arial" w:hAnsi="Arial"/>
          <w:sz w:val="18"/>
          <w:szCs w:val="18"/>
          <w:color w:val="auto"/>
        </w:rPr>
        <w:t>CLUBGCU.COM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COLLEGEOF.EDUCATION</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COREVALUESCORP.COM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1"/>
        </w:numPr>
        <w:rPr>
          <w:rFonts w:ascii="Arial" w:cs="Arial" w:eastAsia="Arial" w:hAnsi="Arial"/>
          <w:sz w:val="18"/>
          <w:szCs w:val="18"/>
          <w:color w:val="auto"/>
        </w:rPr>
      </w:pPr>
      <w:r>
        <w:rPr>
          <w:rFonts w:ascii="Arial" w:cs="Arial" w:eastAsia="Arial" w:hAnsi="Arial"/>
          <w:sz w:val="18"/>
          <w:szCs w:val="18"/>
          <w:color w:val="auto"/>
        </w:rPr>
        <w:t>CREDITSFORLIFE.COM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1"/>
        </w:numPr>
        <w:rPr>
          <w:rFonts w:ascii="Arial" w:cs="Arial" w:eastAsia="Arial" w:hAnsi="Arial"/>
          <w:sz w:val="18"/>
          <w:szCs w:val="18"/>
          <w:color w:val="auto"/>
        </w:rPr>
      </w:pPr>
      <w:r>
        <w:rPr>
          <w:rFonts w:ascii="Arial" w:cs="Arial" w:eastAsia="Arial" w:hAnsi="Arial"/>
          <w:sz w:val="18"/>
          <w:szCs w:val="18"/>
          <w:color w:val="auto"/>
        </w:rPr>
        <w:t>DISTRICTARIZONA.COM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1"/>
        </w:numPr>
        <w:rPr>
          <w:rFonts w:ascii="Arial" w:cs="Arial" w:eastAsia="Arial" w:hAnsi="Arial"/>
          <w:sz w:val="18"/>
          <w:szCs w:val="18"/>
          <w:color w:val="auto"/>
        </w:rPr>
      </w:pPr>
      <w:r>
        <w:rPr>
          <w:rFonts w:ascii="Arial" w:cs="Arial" w:eastAsia="Arial" w:hAnsi="Arial"/>
          <w:sz w:val="18"/>
          <w:szCs w:val="18"/>
          <w:color w:val="auto"/>
        </w:rPr>
        <w:t>DISTRICTAZ.COM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1"/>
        </w:numPr>
        <w:rPr>
          <w:rFonts w:ascii="Arial" w:cs="Arial" w:eastAsia="Arial" w:hAnsi="Arial"/>
          <w:sz w:val="18"/>
          <w:szCs w:val="18"/>
          <w:color w:val="auto"/>
        </w:rPr>
      </w:pPr>
      <w:r>
        <w:rPr>
          <w:rFonts w:ascii="Arial" w:cs="Arial" w:eastAsia="Arial" w:hAnsi="Arial"/>
          <w:sz w:val="18"/>
          <w:szCs w:val="18"/>
          <w:color w:val="auto"/>
        </w:rPr>
        <w:t>DRINKSTAMPEDE.COM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1"/>
        </w:numPr>
        <w:rPr>
          <w:rFonts w:ascii="Arial" w:cs="Arial" w:eastAsia="Arial" w:hAnsi="Arial"/>
          <w:sz w:val="18"/>
          <w:szCs w:val="18"/>
          <w:color w:val="auto"/>
        </w:rPr>
      </w:pPr>
      <w:r>
        <w:rPr>
          <w:rFonts w:ascii="Arial" w:cs="Arial" w:eastAsia="Arial" w:hAnsi="Arial"/>
          <w:sz w:val="18"/>
          <w:szCs w:val="18"/>
          <w:color w:val="auto"/>
        </w:rPr>
        <w:t>EDUCATIONPHD.COM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1"/>
        </w:numPr>
        <w:rPr>
          <w:rFonts w:ascii="Arial" w:cs="Arial" w:eastAsia="Arial" w:hAnsi="Arial"/>
          <w:sz w:val="18"/>
          <w:szCs w:val="18"/>
          <w:color w:val="auto"/>
        </w:rPr>
      </w:pPr>
      <w:r>
        <w:rPr>
          <w:rFonts w:ascii="Arial" w:cs="Arial" w:eastAsia="Arial" w:hAnsi="Arial"/>
          <w:sz w:val="18"/>
          <w:szCs w:val="18"/>
          <w:color w:val="auto"/>
        </w:rPr>
        <w:t>EDUSERVICES.COM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1"/>
        </w:numPr>
        <w:rPr>
          <w:rFonts w:ascii="Arial" w:cs="Arial" w:eastAsia="Arial" w:hAnsi="Arial"/>
          <w:sz w:val="18"/>
          <w:szCs w:val="18"/>
          <w:color w:val="auto"/>
        </w:rPr>
      </w:pPr>
      <w:r>
        <w:rPr>
          <w:rFonts w:ascii="Arial" w:cs="Arial" w:eastAsia="Arial" w:hAnsi="Arial"/>
          <w:sz w:val="18"/>
          <w:szCs w:val="18"/>
          <w:color w:val="auto"/>
        </w:rPr>
        <w:t>ENERGYSTAMPEDE.COM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1"/>
        </w:numPr>
        <w:rPr>
          <w:rFonts w:ascii="Arial" w:cs="Arial" w:eastAsia="Arial" w:hAnsi="Arial"/>
          <w:sz w:val="18"/>
          <w:szCs w:val="18"/>
          <w:color w:val="auto"/>
        </w:rPr>
      </w:pPr>
      <w:r>
        <w:rPr>
          <w:rFonts w:ascii="Arial" w:cs="Arial" w:eastAsia="Arial" w:hAnsi="Arial"/>
          <w:sz w:val="18"/>
          <w:szCs w:val="18"/>
          <w:color w:val="auto"/>
        </w:rPr>
        <w:t>ENROLLGCU.COM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1"/>
        </w:numPr>
        <w:rPr>
          <w:rFonts w:ascii="Arial" w:cs="Arial" w:eastAsia="Arial" w:hAnsi="Arial"/>
          <w:sz w:val="18"/>
          <w:szCs w:val="18"/>
          <w:color w:val="auto"/>
        </w:rPr>
      </w:pPr>
      <w:r>
        <w:rPr>
          <w:rFonts w:ascii="Arial" w:cs="Arial" w:eastAsia="Arial" w:hAnsi="Arial"/>
          <w:sz w:val="18"/>
          <w:szCs w:val="18"/>
          <w:color w:val="auto"/>
        </w:rPr>
        <w:t>EXCHANGECANYON.COM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1"/>
        </w:numPr>
        <w:rPr>
          <w:rFonts w:ascii="Arial" w:cs="Arial" w:eastAsia="Arial" w:hAnsi="Arial"/>
          <w:sz w:val="18"/>
          <w:szCs w:val="18"/>
          <w:color w:val="auto"/>
        </w:rPr>
      </w:pPr>
      <w:r>
        <w:rPr>
          <w:rFonts w:ascii="Arial" w:cs="Arial" w:eastAsia="Arial" w:hAnsi="Arial"/>
          <w:sz w:val="18"/>
          <w:szCs w:val="18"/>
          <w:color w:val="auto"/>
        </w:rPr>
        <w:t>FUCKGCU.COM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1"/>
        </w:numPr>
        <w:rPr>
          <w:rFonts w:ascii="Arial" w:cs="Arial" w:eastAsia="Arial" w:hAnsi="Arial"/>
          <w:sz w:val="18"/>
          <w:szCs w:val="18"/>
          <w:color w:val="auto"/>
        </w:rPr>
      </w:pPr>
      <w:r>
        <w:rPr>
          <w:rFonts w:ascii="Arial" w:cs="Arial" w:eastAsia="Arial" w:hAnsi="Arial"/>
          <w:sz w:val="18"/>
          <w:szCs w:val="18"/>
          <w:color w:val="auto"/>
        </w:rPr>
        <w:t>FUCK-GCU.COM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1"/>
        </w:numPr>
        <w:rPr>
          <w:rFonts w:ascii="Arial" w:cs="Arial" w:eastAsia="Arial" w:hAnsi="Arial"/>
          <w:sz w:val="18"/>
          <w:szCs w:val="18"/>
          <w:color w:val="auto"/>
        </w:rPr>
      </w:pPr>
      <w:r>
        <w:rPr>
          <w:rFonts w:ascii="Arial" w:cs="Arial" w:eastAsia="Arial" w:hAnsi="Arial"/>
          <w:sz w:val="18"/>
          <w:szCs w:val="18"/>
          <w:color w:val="auto"/>
        </w:rPr>
        <w:t>FUCKGCU.NET</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1"/>
        </w:numPr>
        <w:rPr>
          <w:rFonts w:ascii="Arial" w:cs="Arial" w:eastAsia="Arial" w:hAnsi="Arial"/>
          <w:sz w:val="18"/>
          <w:szCs w:val="18"/>
          <w:color w:val="auto"/>
        </w:rPr>
      </w:pPr>
      <w:r>
        <w:rPr>
          <w:rFonts w:ascii="Arial" w:cs="Arial" w:eastAsia="Arial" w:hAnsi="Arial"/>
          <w:sz w:val="18"/>
          <w:szCs w:val="18"/>
          <w:color w:val="auto"/>
        </w:rPr>
        <w:t>FUCK-GCU.NET</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1"/>
        </w:numPr>
        <w:rPr>
          <w:rFonts w:ascii="Arial" w:cs="Arial" w:eastAsia="Arial" w:hAnsi="Arial"/>
          <w:sz w:val="18"/>
          <w:szCs w:val="18"/>
          <w:color w:val="auto"/>
        </w:rPr>
      </w:pPr>
      <w:r>
        <w:rPr>
          <w:rFonts w:ascii="Arial" w:cs="Arial" w:eastAsia="Arial" w:hAnsi="Arial"/>
          <w:sz w:val="18"/>
          <w:szCs w:val="18"/>
          <w:color w:val="auto"/>
        </w:rPr>
        <w:t>FUCKUGCU.COM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1"/>
        </w:numPr>
        <w:rPr>
          <w:rFonts w:ascii="Arial" w:cs="Arial" w:eastAsia="Arial" w:hAnsi="Arial"/>
          <w:sz w:val="18"/>
          <w:szCs w:val="18"/>
          <w:color w:val="auto"/>
        </w:rPr>
      </w:pPr>
      <w:r>
        <w:rPr>
          <w:rFonts w:ascii="Arial" w:cs="Arial" w:eastAsia="Arial" w:hAnsi="Arial"/>
          <w:sz w:val="18"/>
          <w:szCs w:val="18"/>
          <w:color w:val="auto"/>
        </w:rPr>
        <w:t>FUCKU-GCU.COM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1"/>
        </w:numPr>
        <w:rPr>
          <w:rFonts w:ascii="Arial" w:cs="Arial" w:eastAsia="Arial" w:hAnsi="Arial"/>
          <w:sz w:val="18"/>
          <w:szCs w:val="18"/>
          <w:color w:val="auto"/>
        </w:rPr>
      </w:pPr>
      <w:r>
        <w:rPr>
          <w:rFonts w:ascii="Arial" w:cs="Arial" w:eastAsia="Arial" w:hAnsi="Arial"/>
          <w:sz w:val="18"/>
          <w:szCs w:val="18"/>
          <w:color w:val="auto"/>
        </w:rPr>
        <w:t>FUCK-U-GCU.COM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1"/>
        </w:numPr>
        <w:rPr>
          <w:rFonts w:ascii="Arial" w:cs="Arial" w:eastAsia="Arial" w:hAnsi="Arial"/>
          <w:sz w:val="18"/>
          <w:szCs w:val="18"/>
          <w:color w:val="auto"/>
        </w:rPr>
      </w:pPr>
      <w:r>
        <w:rPr>
          <w:rFonts w:ascii="Arial" w:cs="Arial" w:eastAsia="Arial" w:hAnsi="Arial"/>
          <w:sz w:val="18"/>
          <w:szCs w:val="18"/>
          <w:color w:val="auto"/>
        </w:rPr>
        <w:t>FUCKUGCU.NET</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1"/>
        </w:numPr>
        <w:rPr>
          <w:rFonts w:ascii="Arial" w:cs="Arial" w:eastAsia="Arial" w:hAnsi="Arial"/>
          <w:sz w:val="18"/>
          <w:szCs w:val="18"/>
          <w:color w:val="auto"/>
        </w:rPr>
      </w:pPr>
      <w:r>
        <w:rPr>
          <w:rFonts w:ascii="Arial" w:cs="Arial" w:eastAsia="Arial" w:hAnsi="Arial"/>
          <w:sz w:val="18"/>
          <w:szCs w:val="18"/>
          <w:color w:val="auto"/>
        </w:rPr>
        <w:t>FUCKU-GCU.NET</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1"/>
        </w:numPr>
        <w:rPr>
          <w:rFonts w:ascii="Arial" w:cs="Arial" w:eastAsia="Arial" w:hAnsi="Arial"/>
          <w:sz w:val="18"/>
          <w:szCs w:val="18"/>
          <w:color w:val="auto"/>
        </w:rPr>
      </w:pPr>
      <w:r>
        <w:rPr>
          <w:rFonts w:ascii="Arial" w:cs="Arial" w:eastAsia="Arial" w:hAnsi="Arial"/>
          <w:sz w:val="18"/>
          <w:szCs w:val="18"/>
          <w:color w:val="auto"/>
        </w:rPr>
        <w:t>FUCK-U-GCU.NET</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1"/>
        </w:numPr>
        <w:rPr>
          <w:rFonts w:ascii="Arial" w:cs="Arial" w:eastAsia="Arial" w:hAnsi="Arial"/>
          <w:sz w:val="18"/>
          <w:szCs w:val="18"/>
          <w:color w:val="auto"/>
        </w:rPr>
      </w:pPr>
      <w:r>
        <w:rPr>
          <w:rFonts w:ascii="Arial" w:cs="Arial" w:eastAsia="Arial" w:hAnsi="Arial"/>
          <w:sz w:val="18"/>
          <w:szCs w:val="18"/>
          <w:color w:val="auto"/>
        </w:rPr>
        <w:t>FUCKYOUGCU.COM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1"/>
        </w:numPr>
        <w:rPr>
          <w:rFonts w:ascii="Arial" w:cs="Arial" w:eastAsia="Arial" w:hAnsi="Arial"/>
          <w:sz w:val="18"/>
          <w:szCs w:val="18"/>
          <w:color w:val="auto"/>
        </w:rPr>
      </w:pPr>
      <w:r>
        <w:rPr>
          <w:rFonts w:ascii="Arial" w:cs="Arial" w:eastAsia="Arial" w:hAnsi="Arial"/>
          <w:sz w:val="18"/>
          <w:szCs w:val="18"/>
          <w:color w:val="auto"/>
        </w:rPr>
        <w:t>FUCKYOU-GCU.COM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1"/>
        </w:numPr>
        <w:rPr>
          <w:rFonts w:ascii="Arial" w:cs="Arial" w:eastAsia="Arial" w:hAnsi="Arial"/>
          <w:sz w:val="18"/>
          <w:szCs w:val="18"/>
          <w:color w:val="auto"/>
        </w:rPr>
      </w:pPr>
      <w:r>
        <w:rPr>
          <w:rFonts w:ascii="Arial" w:cs="Arial" w:eastAsia="Arial" w:hAnsi="Arial"/>
          <w:sz w:val="18"/>
          <w:szCs w:val="18"/>
          <w:color w:val="auto"/>
        </w:rPr>
        <w:t>FUCK-YOU-GCU.COM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1"/>
        </w:numPr>
        <w:rPr>
          <w:rFonts w:ascii="Arial" w:cs="Arial" w:eastAsia="Arial" w:hAnsi="Arial"/>
          <w:sz w:val="18"/>
          <w:szCs w:val="18"/>
          <w:color w:val="auto"/>
        </w:rPr>
      </w:pPr>
      <w:r>
        <w:rPr>
          <w:rFonts w:ascii="Arial" w:cs="Arial" w:eastAsia="Arial" w:hAnsi="Arial"/>
          <w:sz w:val="18"/>
          <w:szCs w:val="18"/>
          <w:color w:val="auto"/>
        </w:rPr>
        <w:t>FUCKYOUGCU.NET</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1"/>
        </w:numPr>
        <w:rPr>
          <w:rFonts w:ascii="Arial" w:cs="Arial" w:eastAsia="Arial" w:hAnsi="Arial"/>
          <w:sz w:val="18"/>
          <w:szCs w:val="18"/>
          <w:color w:val="auto"/>
        </w:rPr>
      </w:pPr>
      <w:r>
        <w:rPr>
          <w:rFonts w:ascii="Arial" w:cs="Arial" w:eastAsia="Arial" w:hAnsi="Arial"/>
          <w:sz w:val="18"/>
          <w:szCs w:val="18"/>
          <w:color w:val="auto"/>
        </w:rPr>
        <w:t>FUCKYOU-GCU.NET</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1"/>
        </w:numPr>
        <w:rPr>
          <w:rFonts w:ascii="Arial" w:cs="Arial" w:eastAsia="Arial" w:hAnsi="Arial"/>
          <w:sz w:val="18"/>
          <w:szCs w:val="18"/>
          <w:color w:val="auto"/>
        </w:rPr>
      </w:pPr>
      <w:r>
        <w:rPr>
          <w:rFonts w:ascii="Arial" w:cs="Arial" w:eastAsia="Arial" w:hAnsi="Arial"/>
          <w:sz w:val="18"/>
          <w:szCs w:val="18"/>
          <w:color w:val="auto"/>
        </w:rPr>
        <w:t>FUCK-YOU-GCU.NET</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1"/>
        </w:numPr>
        <w:rPr>
          <w:rFonts w:ascii="Arial" w:cs="Arial" w:eastAsia="Arial" w:hAnsi="Arial"/>
          <w:sz w:val="18"/>
          <w:szCs w:val="18"/>
          <w:color w:val="auto"/>
        </w:rPr>
      </w:pPr>
      <w:r>
        <w:rPr>
          <w:rFonts w:ascii="Arial" w:cs="Arial" w:eastAsia="Arial" w:hAnsi="Arial"/>
          <w:sz w:val="18"/>
          <w:szCs w:val="18"/>
          <w:color w:val="auto"/>
        </w:rPr>
        <w:t>FUGCU.COM</w:t>
      </w:r>
    </w:p>
    <w:p>
      <w:pPr>
        <w:spacing w:after="0" w:line="211" w:lineRule="exact"/>
        <w:rPr>
          <w:sz w:val="20"/>
          <w:szCs w:val="20"/>
          <w:color w:val="auto"/>
        </w:rPr>
      </w:pPr>
    </w:p>
    <w:p>
      <w:pPr>
        <w:jc w:val="right"/>
        <w:ind w:right="4079"/>
        <w:spacing w:after="0"/>
        <w:rPr>
          <w:sz w:val="20"/>
          <w:szCs w:val="20"/>
          <w:color w:val="auto"/>
        </w:rPr>
      </w:pPr>
      <w:r>
        <w:rPr>
          <w:rFonts w:ascii="Arial" w:cs="Arial" w:eastAsia="Arial" w:hAnsi="Arial"/>
          <w:sz w:val="18"/>
          <w:szCs w:val="18"/>
          <w:color w:val="auto"/>
        </w:rPr>
        <w:t>Exhibit E-4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81280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887"/>
          </w:cols>
          <w:pgMar w:left="572" w:top="341" w:right="1440" w:bottom="1440" w:gutter="0" w:footer="0" w:header="0"/>
        </w:sectPr>
      </w:pPr>
    </w:p>
    <w:bookmarkStart w:id="72" w:name="page73"/>
    <w:bookmarkEnd w:id="72"/>
    <w:p>
      <w:pPr>
        <w:ind w:left="968" w:hanging="968"/>
        <w:spacing w:after="0"/>
        <w:tabs>
          <w:tab w:leader="none" w:pos="968" w:val="left"/>
        </w:tabs>
        <w:numPr>
          <w:ilvl w:val="0"/>
          <w:numId w:val="62"/>
        </w:numPr>
        <w:rPr>
          <w:rFonts w:ascii="Arial" w:cs="Arial" w:eastAsia="Arial" w:hAnsi="Arial"/>
          <w:sz w:val="18"/>
          <w:szCs w:val="18"/>
          <w:color w:val="auto"/>
        </w:rPr>
      </w:pPr>
      <w:r>
        <w:rPr>
          <w:rFonts w:ascii="Arial" w:cs="Arial" w:eastAsia="Arial" w:hAnsi="Arial"/>
          <w:sz w:val="18"/>
          <w:szCs w:val="18"/>
          <w:color w:val="auto"/>
        </w:rPr>
        <w:t>FU-GCU.COM</w:t>
      </w:r>
    </w:p>
    <w:p>
      <w:pPr>
        <w:spacing w:after="0" w:line="23" w:lineRule="exact"/>
        <w:rPr>
          <w:rFonts w:ascii="Arial" w:cs="Arial" w:eastAsia="Arial" w:hAnsi="Arial"/>
          <w:sz w:val="18"/>
          <w:szCs w:val="18"/>
          <w:color w:val="auto"/>
        </w:rPr>
      </w:pPr>
    </w:p>
    <w:p>
      <w:pPr>
        <w:ind w:left="968" w:hanging="968"/>
        <w:spacing w:after="0"/>
        <w:tabs>
          <w:tab w:leader="none" w:pos="968" w:val="left"/>
        </w:tabs>
        <w:numPr>
          <w:ilvl w:val="0"/>
          <w:numId w:val="62"/>
        </w:numPr>
        <w:rPr>
          <w:rFonts w:ascii="Arial" w:cs="Arial" w:eastAsia="Arial" w:hAnsi="Arial"/>
          <w:sz w:val="18"/>
          <w:szCs w:val="18"/>
          <w:color w:val="auto"/>
        </w:rPr>
      </w:pPr>
      <w:r>
        <w:rPr>
          <w:rFonts w:ascii="Arial" w:cs="Arial" w:eastAsia="Arial" w:hAnsi="Arial"/>
          <w:sz w:val="18"/>
          <w:szCs w:val="18"/>
          <w:color w:val="auto"/>
        </w:rPr>
        <w:t>F-U-GCU.COM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2"/>
        </w:numPr>
        <w:rPr>
          <w:rFonts w:ascii="Arial" w:cs="Arial" w:eastAsia="Arial" w:hAnsi="Arial"/>
          <w:sz w:val="18"/>
          <w:szCs w:val="18"/>
          <w:color w:val="auto"/>
        </w:rPr>
      </w:pPr>
      <w:r>
        <w:rPr>
          <w:rFonts w:ascii="Arial" w:cs="Arial" w:eastAsia="Arial" w:hAnsi="Arial"/>
          <w:sz w:val="18"/>
          <w:szCs w:val="18"/>
          <w:color w:val="auto"/>
        </w:rPr>
        <w:t>FUGCU.NET</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2"/>
        </w:numPr>
        <w:rPr>
          <w:rFonts w:ascii="Arial" w:cs="Arial" w:eastAsia="Arial" w:hAnsi="Arial"/>
          <w:sz w:val="18"/>
          <w:szCs w:val="18"/>
          <w:color w:val="auto"/>
        </w:rPr>
      </w:pPr>
      <w:r>
        <w:rPr>
          <w:rFonts w:ascii="Arial" w:cs="Arial" w:eastAsia="Arial" w:hAnsi="Arial"/>
          <w:sz w:val="18"/>
          <w:szCs w:val="18"/>
          <w:color w:val="auto"/>
        </w:rPr>
        <w:t>FU-GCU.NET</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2"/>
        </w:numPr>
        <w:rPr>
          <w:rFonts w:ascii="Arial" w:cs="Arial" w:eastAsia="Arial" w:hAnsi="Arial"/>
          <w:sz w:val="18"/>
          <w:szCs w:val="18"/>
          <w:color w:val="auto"/>
        </w:rPr>
      </w:pPr>
      <w:r>
        <w:rPr>
          <w:rFonts w:ascii="Arial" w:cs="Arial" w:eastAsia="Arial" w:hAnsi="Arial"/>
          <w:sz w:val="18"/>
          <w:szCs w:val="18"/>
          <w:color w:val="auto"/>
        </w:rPr>
        <w:t>F-U-GCU.NET</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2"/>
        </w:numPr>
        <w:rPr>
          <w:rFonts w:ascii="Arial" w:cs="Arial" w:eastAsia="Arial" w:hAnsi="Arial"/>
          <w:sz w:val="18"/>
          <w:szCs w:val="18"/>
          <w:color w:val="auto"/>
        </w:rPr>
      </w:pPr>
      <w:r>
        <w:rPr>
          <w:rFonts w:ascii="Arial" w:cs="Arial" w:eastAsia="Arial" w:hAnsi="Arial"/>
          <w:sz w:val="18"/>
          <w:szCs w:val="18"/>
          <w:color w:val="auto"/>
        </w:rPr>
        <w:t>FUTURELOPE.COM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2"/>
        </w:numPr>
        <w:rPr>
          <w:rFonts w:ascii="Arial" w:cs="Arial" w:eastAsia="Arial" w:hAnsi="Arial"/>
          <w:sz w:val="18"/>
          <w:szCs w:val="18"/>
          <w:color w:val="auto"/>
        </w:rPr>
      </w:pPr>
      <w:r>
        <w:rPr>
          <w:rFonts w:ascii="Arial" w:cs="Arial" w:eastAsia="Arial" w:hAnsi="Arial"/>
          <w:sz w:val="18"/>
          <w:szCs w:val="18"/>
          <w:color w:val="auto"/>
        </w:rPr>
        <w:t>FUTURELOPECSET.COM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2"/>
        </w:numPr>
        <w:rPr>
          <w:rFonts w:ascii="Arial" w:cs="Arial" w:eastAsia="Arial" w:hAnsi="Arial"/>
          <w:sz w:val="18"/>
          <w:szCs w:val="18"/>
          <w:color w:val="auto"/>
        </w:rPr>
      </w:pPr>
      <w:r>
        <w:rPr>
          <w:rFonts w:ascii="Arial" w:cs="Arial" w:eastAsia="Arial" w:hAnsi="Arial"/>
          <w:sz w:val="18"/>
          <w:szCs w:val="18"/>
          <w:color w:val="auto"/>
        </w:rPr>
        <w:t>FUTURELOPECWA.COM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2"/>
        </w:numPr>
        <w:rPr>
          <w:rFonts w:ascii="Arial" w:cs="Arial" w:eastAsia="Arial" w:hAnsi="Arial"/>
          <w:sz w:val="18"/>
          <w:szCs w:val="18"/>
          <w:color w:val="auto"/>
        </w:rPr>
      </w:pPr>
      <w:r>
        <w:rPr>
          <w:rFonts w:ascii="Arial" w:cs="Arial" w:eastAsia="Arial" w:hAnsi="Arial"/>
          <w:sz w:val="18"/>
          <w:szCs w:val="18"/>
          <w:color w:val="auto"/>
        </w:rPr>
        <w:t>FUTURELOPESTEM.COM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2"/>
        </w:numPr>
        <w:rPr>
          <w:rFonts w:ascii="Arial" w:cs="Arial" w:eastAsia="Arial" w:hAnsi="Arial"/>
          <w:sz w:val="18"/>
          <w:szCs w:val="18"/>
          <w:color w:val="auto"/>
        </w:rPr>
      </w:pPr>
      <w:r>
        <w:rPr>
          <w:rFonts w:ascii="Arial" w:cs="Arial" w:eastAsia="Arial" w:hAnsi="Arial"/>
          <w:sz w:val="18"/>
          <w:szCs w:val="18"/>
          <w:color w:val="auto"/>
        </w:rPr>
        <w:t>GCBEVCO.COM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2"/>
        </w:numPr>
        <w:rPr>
          <w:rFonts w:ascii="Arial" w:cs="Arial" w:eastAsia="Arial" w:hAnsi="Arial"/>
          <w:sz w:val="18"/>
          <w:szCs w:val="18"/>
          <w:color w:val="auto"/>
        </w:rPr>
      </w:pPr>
      <w:r>
        <w:rPr>
          <w:rFonts w:ascii="Arial" w:cs="Arial" w:eastAsia="Arial" w:hAnsi="Arial"/>
          <w:sz w:val="18"/>
          <w:szCs w:val="18"/>
          <w:color w:val="auto"/>
        </w:rPr>
        <w:t>GCBEVERAGECO.COM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2"/>
        </w:numPr>
        <w:rPr>
          <w:rFonts w:ascii="Arial" w:cs="Arial" w:eastAsia="Arial" w:hAnsi="Arial"/>
          <w:sz w:val="18"/>
          <w:szCs w:val="18"/>
          <w:color w:val="auto"/>
        </w:rPr>
      </w:pPr>
      <w:r>
        <w:rPr>
          <w:rFonts w:ascii="Arial" w:cs="Arial" w:eastAsia="Arial" w:hAnsi="Arial"/>
          <w:sz w:val="18"/>
          <w:szCs w:val="18"/>
          <w:color w:val="auto"/>
        </w:rPr>
        <w:t>GCEDSERV.COM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2"/>
        </w:numPr>
        <w:rPr>
          <w:rFonts w:ascii="Arial" w:cs="Arial" w:eastAsia="Arial" w:hAnsi="Arial"/>
          <w:sz w:val="18"/>
          <w:szCs w:val="18"/>
          <w:color w:val="auto"/>
        </w:rPr>
      </w:pPr>
      <w:r>
        <w:rPr>
          <w:rFonts w:ascii="Arial" w:cs="Arial" w:eastAsia="Arial" w:hAnsi="Arial"/>
          <w:sz w:val="18"/>
          <w:szCs w:val="18"/>
          <w:color w:val="auto"/>
        </w:rPr>
        <w:t>GCEDSERVICES.COM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2"/>
        </w:numPr>
        <w:rPr>
          <w:rFonts w:ascii="Arial" w:cs="Arial" w:eastAsia="Arial" w:hAnsi="Arial"/>
          <w:sz w:val="18"/>
          <w:szCs w:val="18"/>
          <w:color w:val="auto"/>
        </w:rPr>
      </w:pPr>
      <w:r>
        <w:rPr>
          <w:rFonts w:ascii="Arial" w:cs="Arial" w:eastAsia="Arial" w:hAnsi="Arial"/>
          <w:sz w:val="18"/>
          <w:szCs w:val="18"/>
          <w:color w:val="auto"/>
        </w:rPr>
        <w:t>GCEDUCATIONALSERVICES.COM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2"/>
        </w:numPr>
        <w:rPr>
          <w:rFonts w:ascii="Arial" w:cs="Arial" w:eastAsia="Arial" w:hAnsi="Arial"/>
          <w:sz w:val="18"/>
          <w:szCs w:val="18"/>
          <w:color w:val="auto"/>
        </w:rPr>
      </w:pPr>
      <w:r>
        <w:rPr>
          <w:rFonts w:ascii="Arial" w:cs="Arial" w:eastAsia="Arial" w:hAnsi="Arial"/>
          <w:sz w:val="18"/>
          <w:szCs w:val="18"/>
          <w:color w:val="auto"/>
        </w:rPr>
        <w:t>GCEDUCATIONSERVICES.COM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2"/>
        </w:numPr>
        <w:rPr>
          <w:rFonts w:ascii="Arial" w:cs="Arial" w:eastAsia="Arial" w:hAnsi="Arial"/>
          <w:sz w:val="18"/>
          <w:szCs w:val="18"/>
          <w:color w:val="auto"/>
        </w:rPr>
      </w:pPr>
      <w:r>
        <w:rPr>
          <w:rFonts w:ascii="Arial" w:cs="Arial" w:eastAsia="Arial" w:hAnsi="Arial"/>
          <w:sz w:val="18"/>
          <w:szCs w:val="18"/>
          <w:color w:val="auto"/>
        </w:rPr>
        <w:t>GCESERV.COM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2"/>
        </w:numPr>
        <w:rPr>
          <w:rFonts w:ascii="Arial" w:cs="Arial" w:eastAsia="Arial" w:hAnsi="Arial"/>
          <w:sz w:val="18"/>
          <w:szCs w:val="18"/>
          <w:color w:val="auto"/>
        </w:rPr>
      </w:pPr>
      <w:r>
        <w:rPr>
          <w:rFonts w:ascii="Arial" w:cs="Arial" w:eastAsia="Arial" w:hAnsi="Arial"/>
          <w:sz w:val="18"/>
          <w:szCs w:val="18"/>
          <w:color w:val="auto"/>
        </w:rPr>
        <w:t>GCU.COFFEE</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2"/>
        </w:numPr>
        <w:rPr>
          <w:rFonts w:ascii="Arial" w:cs="Arial" w:eastAsia="Arial" w:hAnsi="Arial"/>
          <w:sz w:val="18"/>
          <w:szCs w:val="18"/>
          <w:color w:val="auto"/>
        </w:rPr>
      </w:pPr>
      <w:r>
        <w:rPr>
          <w:rFonts w:ascii="Arial" w:cs="Arial" w:eastAsia="Arial" w:hAnsi="Arial"/>
          <w:sz w:val="18"/>
          <w:szCs w:val="18"/>
          <w:color w:val="auto"/>
        </w:rPr>
        <w:t>GCU.NET</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2"/>
        </w:numPr>
        <w:rPr>
          <w:rFonts w:ascii="Arial" w:cs="Arial" w:eastAsia="Arial" w:hAnsi="Arial"/>
          <w:sz w:val="18"/>
          <w:szCs w:val="18"/>
          <w:color w:val="auto"/>
        </w:rPr>
      </w:pPr>
      <w:r>
        <w:rPr>
          <w:rFonts w:ascii="Arial" w:cs="Arial" w:eastAsia="Arial" w:hAnsi="Arial"/>
          <w:sz w:val="18"/>
          <w:szCs w:val="18"/>
          <w:color w:val="auto"/>
        </w:rPr>
        <w:t>GCU.REVIEWS</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2"/>
        </w:numPr>
        <w:rPr>
          <w:rFonts w:ascii="Arial" w:cs="Arial" w:eastAsia="Arial" w:hAnsi="Arial"/>
          <w:sz w:val="18"/>
          <w:szCs w:val="18"/>
          <w:color w:val="auto"/>
        </w:rPr>
      </w:pPr>
      <w:r>
        <w:rPr>
          <w:rFonts w:ascii="Arial" w:cs="Arial" w:eastAsia="Arial" w:hAnsi="Arial"/>
          <w:sz w:val="18"/>
          <w:szCs w:val="18"/>
          <w:color w:val="auto"/>
        </w:rPr>
        <w:t>GCU.SOCCER</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2"/>
        </w:numPr>
        <w:rPr>
          <w:rFonts w:ascii="Arial" w:cs="Arial" w:eastAsia="Arial" w:hAnsi="Arial"/>
          <w:sz w:val="18"/>
          <w:szCs w:val="18"/>
          <w:color w:val="auto"/>
        </w:rPr>
      </w:pPr>
      <w:r>
        <w:rPr>
          <w:rFonts w:ascii="Arial" w:cs="Arial" w:eastAsia="Arial" w:hAnsi="Arial"/>
          <w:sz w:val="18"/>
          <w:szCs w:val="18"/>
          <w:color w:val="auto"/>
        </w:rPr>
        <w:t>GCU.TODAY</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2"/>
        </w:numPr>
        <w:rPr>
          <w:rFonts w:ascii="Arial" w:cs="Arial" w:eastAsia="Arial" w:hAnsi="Arial"/>
          <w:sz w:val="18"/>
          <w:szCs w:val="18"/>
          <w:color w:val="auto"/>
        </w:rPr>
      </w:pPr>
      <w:r>
        <w:rPr>
          <w:rFonts w:ascii="Arial" w:cs="Arial" w:eastAsia="Arial" w:hAnsi="Arial"/>
          <w:sz w:val="18"/>
          <w:szCs w:val="18"/>
          <w:color w:val="auto"/>
        </w:rPr>
        <w:t>GCU.UNIVERSITY</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2"/>
        </w:numPr>
        <w:rPr>
          <w:rFonts w:ascii="Arial" w:cs="Arial" w:eastAsia="Arial" w:hAnsi="Arial"/>
          <w:sz w:val="18"/>
          <w:szCs w:val="18"/>
          <w:color w:val="auto"/>
        </w:rPr>
      </w:pPr>
      <w:r>
        <w:rPr>
          <w:rFonts w:ascii="Arial" w:cs="Arial" w:eastAsia="Arial" w:hAnsi="Arial"/>
          <w:sz w:val="18"/>
          <w:szCs w:val="18"/>
          <w:color w:val="auto"/>
        </w:rPr>
        <w:t>GCU.WTF</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2"/>
        </w:numPr>
        <w:rPr>
          <w:rFonts w:ascii="Arial" w:cs="Arial" w:eastAsia="Arial" w:hAnsi="Arial"/>
          <w:sz w:val="18"/>
          <w:szCs w:val="18"/>
          <w:color w:val="auto"/>
        </w:rPr>
      </w:pPr>
      <w:r>
        <w:rPr>
          <w:rFonts w:ascii="Arial" w:cs="Arial" w:eastAsia="Arial" w:hAnsi="Arial"/>
          <w:sz w:val="18"/>
          <w:szCs w:val="18"/>
          <w:color w:val="auto"/>
        </w:rPr>
        <w:t>GCU.XXX</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2"/>
        </w:numPr>
        <w:rPr>
          <w:rFonts w:ascii="Arial" w:cs="Arial" w:eastAsia="Arial" w:hAnsi="Arial"/>
          <w:sz w:val="18"/>
          <w:szCs w:val="18"/>
          <w:color w:val="auto"/>
        </w:rPr>
      </w:pPr>
      <w:r>
        <w:rPr>
          <w:rFonts w:ascii="Arial" w:cs="Arial" w:eastAsia="Arial" w:hAnsi="Arial"/>
          <w:sz w:val="18"/>
          <w:szCs w:val="18"/>
          <w:color w:val="auto"/>
        </w:rPr>
        <w:t>GCU4ME.COM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2"/>
        </w:numPr>
        <w:rPr>
          <w:rFonts w:ascii="Arial" w:cs="Arial" w:eastAsia="Arial" w:hAnsi="Arial"/>
          <w:sz w:val="18"/>
          <w:szCs w:val="18"/>
          <w:color w:val="auto"/>
        </w:rPr>
      </w:pPr>
      <w:r>
        <w:rPr>
          <w:rFonts w:ascii="Arial" w:cs="Arial" w:eastAsia="Arial" w:hAnsi="Arial"/>
          <w:sz w:val="18"/>
          <w:szCs w:val="18"/>
          <w:color w:val="auto"/>
        </w:rPr>
        <w:t>GCU4U.COM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2"/>
        </w:numPr>
        <w:rPr>
          <w:rFonts w:ascii="Arial" w:cs="Arial" w:eastAsia="Arial" w:hAnsi="Arial"/>
          <w:sz w:val="18"/>
          <w:szCs w:val="18"/>
          <w:color w:val="auto"/>
        </w:rPr>
      </w:pPr>
      <w:r>
        <w:rPr>
          <w:rFonts w:ascii="Arial" w:cs="Arial" w:eastAsia="Arial" w:hAnsi="Arial"/>
          <w:sz w:val="18"/>
          <w:szCs w:val="18"/>
          <w:color w:val="auto"/>
        </w:rPr>
        <w:t>GCUACAPELLA.COM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2"/>
        </w:numPr>
        <w:rPr>
          <w:rFonts w:ascii="Arial" w:cs="Arial" w:eastAsia="Arial" w:hAnsi="Arial"/>
          <w:sz w:val="18"/>
          <w:szCs w:val="18"/>
          <w:color w:val="auto"/>
        </w:rPr>
      </w:pPr>
      <w:r>
        <w:rPr>
          <w:rFonts w:ascii="Arial" w:cs="Arial" w:eastAsia="Arial" w:hAnsi="Arial"/>
          <w:sz w:val="18"/>
          <w:szCs w:val="18"/>
          <w:color w:val="auto"/>
        </w:rPr>
        <w:t>GCUALUMNI.COM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2"/>
        </w:numPr>
        <w:rPr>
          <w:rFonts w:ascii="Arial" w:cs="Arial" w:eastAsia="Arial" w:hAnsi="Arial"/>
          <w:sz w:val="18"/>
          <w:szCs w:val="18"/>
          <w:color w:val="auto"/>
        </w:rPr>
      </w:pPr>
      <w:r>
        <w:rPr>
          <w:rFonts w:ascii="Arial" w:cs="Arial" w:eastAsia="Arial" w:hAnsi="Arial"/>
          <w:sz w:val="18"/>
          <w:szCs w:val="18"/>
          <w:color w:val="auto"/>
        </w:rPr>
        <w:t>GCUAPPS.COM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2"/>
        </w:numPr>
        <w:rPr>
          <w:rFonts w:ascii="Arial" w:cs="Arial" w:eastAsia="Arial" w:hAnsi="Arial"/>
          <w:sz w:val="18"/>
          <w:szCs w:val="18"/>
          <w:color w:val="auto"/>
        </w:rPr>
      </w:pPr>
      <w:r>
        <w:rPr>
          <w:rFonts w:ascii="Arial" w:cs="Arial" w:eastAsia="Arial" w:hAnsi="Arial"/>
          <w:sz w:val="18"/>
          <w:szCs w:val="18"/>
          <w:color w:val="auto"/>
        </w:rPr>
        <w:t>GCUARENA.COM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2"/>
        </w:numPr>
        <w:rPr>
          <w:rFonts w:ascii="Arial" w:cs="Arial" w:eastAsia="Arial" w:hAnsi="Arial"/>
          <w:sz w:val="18"/>
          <w:szCs w:val="18"/>
          <w:color w:val="auto"/>
        </w:rPr>
      </w:pPr>
      <w:r>
        <w:rPr>
          <w:rFonts w:ascii="Arial" w:cs="Arial" w:eastAsia="Arial" w:hAnsi="Arial"/>
          <w:sz w:val="18"/>
          <w:szCs w:val="18"/>
          <w:color w:val="auto"/>
        </w:rPr>
        <w:t>GCUARENA.NET</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2"/>
        </w:numPr>
        <w:rPr>
          <w:rFonts w:ascii="Arial" w:cs="Arial" w:eastAsia="Arial" w:hAnsi="Arial"/>
          <w:sz w:val="18"/>
          <w:szCs w:val="18"/>
          <w:color w:val="auto"/>
        </w:rPr>
      </w:pPr>
      <w:r>
        <w:rPr>
          <w:rFonts w:ascii="Arial" w:cs="Arial" w:eastAsia="Arial" w:hAnsi="Arial"/>
          <w:sz w:val="18"/>
          <w:szCs w:val="18"/>
          <w:color w:val="auto"/>
        </w:rPr>
        <w:t>GCUARENA.ORG</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2"/>
        </w:numPr>
        <w:rPr>
          <w:rFonts w:ascii="Arial" w:cs="Arial" w:eastAsia="Arial" w:hAnsi="Arial"/>
          <w:sz w:val="18"/>
          <w:szCs w:val="18"/>
          <w:color w:val="auto"/>
        </w:rPr>
      </w:pPr>
      <w:r>
        <w:rPr>
          <w:rFonts w:ascii="Arial" w:cs="Arial" w:eastAsia="Arial" w:hAnsi="Arial"/>
          <w:sz w:val="18"/>
          <w:szCs w:val="18"/>
          <w:color w:val="auto"/>
        </w:rPr>
        <w:t>GCUATHLETICS.COM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2"/>
        </w:numPr>
        <w:rPr>
          <w:rFonts w:ascii="Arial" w:cs="Arial" w:eastAsia="Arial" w:hAnsi="Arial"/>
          <w:sz w:val="18"/>
          <w:szCs w:val="18"/>
          <w:color w:val="auto"/>
        </w:rPr>
      </w:pPr>
      <w:r>
        <w:rPr>
          <w:rFonts w:ascii="Arial" w:cs="Arial" w:eastAsia="Arial" w:hAnsi="Arial"/>
          <w:sz w:val="18"/>
          <w:szCs w:val="18"/>
          <w:color w:val="auto"/>
        </w:rPr>
        <w:t>GCUBEACHVOLLEYBALL.COM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2"/>
        </w:numPr>
        <w:rPr>
          <w:rFonts w:ascii="Arial" w:cs="Arial" w:eastAsia="Arial" w:hAnsi="Arial"/>
          <w:sz w:val="18"/>
          <w:szCs w:val="18"/>
          <w:color w:val="auto"/>
        </w:rPr>
      </w:pPr>
      <w:r>
        <w:rPr>
          <w:rFonts w:ascii="Arial" w:cs="Arial" w:eastAsia="Arial" w:hAnsi="Arial"/>
          <w:sz w:val="18"/>
          <w:szCs w:val="18"/>
          <w:color w:val="auto"/>
        </w:rPr>
        <w:t>GCUBEVERAGECO.COM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2"/>
        </w:numPr>
        <w:rPr>
          <w:rFonts w:ascii="Arial" w:cs="Arial" w:eastAsia="Arial" w:hAnsi="Arial"/>
          <w:sz w:val="18"/>
          <w:szCs w:val="18"/>
          <w:color w:val="auto"/>
        </w:rPr>
      </w:pPr>
      <w:r>
        <w:rPr>
          <w:rFonts w:ascii="Arial" w:cs="Arial" w:eastAsia="Arial" w:hAnsi="Arial"/>
          <w:sz w:val="18"/>
          <w:szCs w:val="18"/>
          <w:color w:val="auto"/>
        </w:rPr>
        <w:t>GCUBLOWS.COM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2"/>
        </w:numPr>
        <w:rPr>
          <w:rFonts w:ascii="Arial" w:cs="Arial" w:eastAsia="Arial" w:hAnsi="Arial"/>
          <w:sz w:val="18"/>
          <w:szCs w:val="18"/>
          <w:color w:val="auto"/>
        </w:rPr>
      </w:pPr>
      <w:r>
        <w:rPr>
          <w:rFonts w:ascii="Arial" w:cs="Arial" w:eastAsia="Arial" w:hAnsi="Arial"/>
          <w:sz w:val="18"/>
          <w:szCs w:val="18"/>
          <w:color w:val="auto"/>
        </w:rPr>
        <w:t>GCU-BLOWS.COM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2"/>
        </w:numPr>
        <w:rPr>
          <w:rFonts w:ascii="Arial" w:cs="Arial" w:eastAsia="Arial" w:hAnsi="Arial"/>
          <w:sz w:val="18"/>
          <w:szCs w:val="18"/>
          <w:color w:val="auto"/>
        </w:rPr>
      </w:pPr>
      <w:r>
        <w:rPr>
          <w:rFonts w:ascii="Arial" w:cs="Arial" w:eastAsia="Arial" w:hAnsi="Arial"/>
          <w:sz w:val="18"/>
          <w:szCs w:val="18"/>
          <w:color w:val="auto"/>
        </w:rPr>
        <w:t>GCUBLOWS.NET</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2"/>
        </w:numPr>
        <w:rPr>
          <w:rFonts w:ascii="Arial" w:cs="Arial" w:eastAsia="Arial" w:hAnsi="Arial"/>
          <w:sz w:val="18"/>
          <w:szCs w:val="18"/>
          <w:color w:val="auto"/>
        </w:rPr>
      </w:pPr>
      <w:r>
        <w:rPr>
          <w:rFonts w:ascii="Arial" w:cs="Arial" w:eastAsia="Arial" w:hAnsi="Arial"/>
          <w:sz w:val="18"/>
          <w:szCs w:val="18"/>
          <w:color w:val="auto"/>
        </w:rPr>
        <w:t>GCU-BLOWS.NET</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2"/>
        </w:numPr>
        <w:rPr>
          <w:rFonts w:ascii="Arial" w:cs="Arial" w:eastAsia="Arial" w:hAnsi="Arial"/>
          <w:sz w:val="18"/>
          <w:szCs w:val="18"/>
          <w:color w:val="auto"/>
        </w:rPr>
      </w:pPr>
      <w:r>
        <w:rPr>
          <w:rFonts w:ascii="Arial" w:cs="Arial" w:eastAsia="Arial" w:hAnsi="Arial"/>
          <w:sz w:val="18"/>
          <w:szCs w:val="18"/>
          <w:color w:val="auto"/>
        </w:rPr>
        <w:t>GCUBLOWS.ORG</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2"/>
        </w:numPr>
        <w:rPr>
          <w:rFonts w:ascii="Arial" w:cs="Arial" w:eastAsia="Arial" w:hAnsi="Arial"/>
          <w:sz w:val="18"/>
          <w:szCs w:val="18"/>
          <w:color w:val="auto"/>
        </w:rPr>
      </w:pPr>
      <w:r>
        <w:rPr>
          <w:rFonts w:ascii="Arial" w:cs="Arial" w:eastAsia="Arial" w:hAnsi="Arial"/>
          <w:sz w:val="18"/>
          <w:szCs w:val="18"/>
          <w:color w:val="auto"/>
        </w:rPr>
        <w:t>GCUCAMPUS.COM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2"/>
        </w:numPr>
        <w:rPr>
          <w:rFonts w:ascii="Arial" w:cs="Arial" w:eastAsia="Arial" w:hAnsi="Arial"/>
          <w:sz w:val="18"/>
          <w:szCs w:val="18"/>
          <w:color w:val="auto"/>
        </w:rPr>
      </w:pPr>
      <w:r>
        <w:rPr>
          <w:rFonts w:ascii="Arial" w:cs="Arial" w:eastAsia="Arial" w:hAnsi="Arial"/>
          <w:sz w:val="18"/>
          <w:szCs w:val="18"/>
          <w:color w:val="auto"/>
        </w:rPr>
        <w:t>GCUCAMPUS.NET</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2"/>
        </w:numPr>
        <w:rPr>
          <w:rFonts w:ascii="Arial" w:cs="Arial" w:eastAsia="Arial" w:hAnsi="Arial"/>
          <w:sz w:val="18"/>
          <w:szCs w:val="18"/>
          <w:color w:val="auto"/>
        </w:rPr>
      </w:pPr>
      <w:r>
        <w:rPr>
          <w:rFonts w:ascii="Arial" w:cs="Arial" w:eastAsia="Arial" w:hAnsi="Arial"/>
          <w:sz w:val="18"/>
          <w:szCs w:val="18"/>
          <w:color w:val="auto"/>
        </w:rPr>
        <w:t>GCUCLUBBASEBALL.COM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2"/>
        </w:numPr>
        <w:rPr>
          <w:rFonts w:ascii="Arial" w:cs="Arial" w:eastAsia="Arial" w:hAnsi="Arial"/>
          <w:sz w:val="18"/>
          <w:szCs w:val="18"/>
          <w:color w:val="auto"/>
        </w:rPr>
      </w:pPr>
      <w:r>
        <w:rPr>
          <w:rFonts w:ascii="Arial" w:cs="Arial" w:eastAsia="Arial" w:hAnsi="Arial"/>
          <w:sz w:val="18"/>
          <w:szCs w:val="18"/>
          <w:color w:val="auto"/>
        </w:rPr>
        <w:t>GCUCLUBGOLF.COM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2"/>
        </w:numPr>
        <w:rPr>
          <w:rFonts w:ascii="Arial" w:cs="Arial" w:eastAsia="Arial" w:hAnsi="Arial"/>
          <w:sz w:val="18"/>
          <w:szCs w:val="18"/>
          <w:color w:val="auto"/>
        </w:rPr>
      </w:pPr>
      <w:r>
        <w:rPr>
          <w:rFonts w:ascii="Arial" w:cs="Arial" w:eastAsia="Arial" w:hAnsi="Arial"/>
          <w:sz w:val="18"/>
          <w:szCs w:val="18"/>
          <w:color w:val="auto"/>
        </w:rPr>
        <w:t>GCUCLUBHOCKEY.COM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2"/>
        </w:numPr>
        <w:rPr>
          <w:rFonts w:ascii="Arial" w:cs="Arial" w:eastAsia="Arial" w:hAnsi="Arial"/>
          <w:sz w:val="18"/>
          <w:szCs w:val="18"/>
          <w:color w:val="auto"/>
        </w:rPr>
      </w:pPr>
      <w:r>
        <w:rPr>
          <w:rFonts w:ascii="Arial" w:cs="Arial" w:eastAsia="Arial" w:hAnsi="Arial"/>
          <w:sz w:val="18"/>
          <w:szCs w:val="18"/>
          <w:color w:val="auto"/>
        </w:rPr>
        <w:t>GCUCLUBTENNIS.CLUB</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2"/>
        </w:numPr>
        <w:rPr>
          <w:rFonts w:ascii="Arial" w:cs="Arial" w:eastAsia="Arial" w:hAnsi="Arial"/>
          <w:sz w:val="18"/>
          <w:szCs w:val="18"/>
          <w:color w:val="auto"/>
        </w:rPr>
      </w:pPr>
      <w:r>
        <w:rPr>
          <w:rFonts w:ascii="Arial" w:cs="Arial" w:eastAsia="Arial" w:hAnsi="Arial"/>
          <w:sz w:val="18"/>
          <w:szCs w:val="18"/>
          <w:color w:val="auto"/>
        </w:rPr>
        <w:t>GCUCLUBWRESTLING.COM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2"/>
        </w:numPr>
        <w:rPr>
          <w:rFonts w:ascii="Arial" w:cs="Arial" w:eastAsia="Arial" w:hAnsi="Arial"/>
          <w:sz w:val="18"/>
          <w:szCs w:val="18"/>
          <w:color w:val="auto"/>
        </w:rPr>
      </w:pPr>
      <w:r>
        <w:rPr>
          <w:rFonts w:ascii="Arial" w:cs="Arial" w:eastAsia="Arial" w:hAnsi="Arial"/>
          <w:sz w:val="18"/>
          <w:szCs w:val="18"/>
          <w:color w:val="auto"/>
        </w:rPr>
        <w:t>GCUCOLLEGE.COM</w:t>
      </w:r>
    </w:p>
    <w:p>
      <w:pPr>
        <w:spacing w:after="0" w:line="211" w:lineRule="exact"/>
        <w:rPr>
          <w:sz w:val="20"/>
          <w:szCs w:val="20"/>
          <w:color w:val="auto"/>
        </w:rPr>
      </w:pPr>
    </w:p>
    <w:p>
      <w:pPr>
        <w:jc w:val="right"/>
        <w:ind w:right="4079"/>
        <w:spacing w:after="0"/>
        <w:rPr>
          <w:sz w:val="20"/>
          <w:szCs w:val="20"/>
          <w:color w:val="auto"/>
        </w:rPr>
      </w:pPr>
      <w:r>
        <w:rPr>
          <w:rFonts w:ascii="Arial" w:cs="Arial" w:eastAsia="Arial" w:hAnsi="Arial"/>
          <w:sz w:val="18"/>
          <w:szCs w:val="18"/>
          <w:color w:val="auto"/>
        </w:rPr>
        <w:t>Exhibit E-5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81280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887"/>
          </w:cols>
          <w:pgMar w:left="572" w:top="341" w:right="1440" w:bottom="1440" w:gutter="0" w:footer="0" w:header="0"/>
        </w:sectPr>
      </w:pPr>
    </w:p>
    <w:bookmarkStart w:id="73" w:name="page74"/>
    <w:bookmarkEnd w:id="73"/>
    <w:p>
      <w:pPr>
        <w:ind w:left="968" w:hanging="968"/>
        <w:spacing w:after="0"/>
        <w:tabs>
          <w:tab w:leader="none" w:pos="968" w:val="left"/>
        </w:tabs>
        <w:numPr>
          <w:ilvl w:val="0"/>
          <w:numId w:val="63"/>
        </w:numPr>
        <w:rPr>
          <w:rFonts w:ascii="Arial" w:cs="Arial" w:eastAsia="Arial" w:hAnsi="Arial"/>
          <w:sz w:val="18"/>
          <w:szCs w:val="18"/>
          <w:color w:val="auto"/>
        </w:rPr>
      </w:pPr>
      <w:r>
        <w:rPr>
          <w:rFonts w:ascii="Arial" w:cs="Arial" w:eastAsia="Arial" w:hAnsi="Arial"/>
          <w:sz w:val="18"/>
          <w:szCs w:val="18"/>
          <w:color w:val="auto"/>
        </w:rPr>
        <w:t>GCUCOLLEGEONLINE.COM</w:t>
      </w:r>
    </w:p>
    <w:p>
      <w:pPr>
        <w:spacing w:after="0" w:line="23" w:lineRule="exact"/>
        <w:rPr>
          <w:rFonts w:ascii="Arial" w:cs="Arial" w:eastAsia="Arial" w:hAnsi="Arial"/>
          <w:sz w:val="18"/>
          <w:szCs w:val="18"/>
          <w:color w:val="auto"/>
        </w:rPr>
      </w:pPr>
    </w:p>
    <w:p>
      <w:pPr>
        <w:ind w:left="968" w:hanging="968"/>
        <w:spacing w:after="0"/>
        <w:tabs>
          <w:tab w:leader="none" w:pos="968" w:val="left"/>
        </w:tabs>
        <w:numPr>
          <w:ilvl w:val="0"/>
          <w:numId w:val="63"/>
        </w:numPr>
        <w:rPr>
          <w:rFonts w:ascii="Arial" w:cs="Arial" w:eastAsia="Arial" w:hAnsi="Arial"/>
          <w:sz w:val="18"/>
          <w:szCs w:val="18"/>
          <w:color w:val="auto"/>
        </w:rPr>
      </w:pPr>
      <w:r>
        <w:rPr>
          <w:rFonts w:ascii="Arial" w:cs="Arial" w:eastAsia="Arial" w:hAnsi="Arial"/>
          <w:sz w:val="18"/>
          <w:szCs w:val="18"/>
          <w:color w:val="auto"/>
        </w:rPr>
        <w:t>GCUCROSSCOUNTRY.COM</w:t>
      </w:r>
    </w:p>
    <w:p>
      <w:pPr>
        <w:spacing w:after="0" w:line="9" w:lineRule="exact"/>
        <w:rPr>
          <w:rFonts w:ascii="Arial" w:cs="Arial" w:eastAsia="Arial" w:hAnsi="Arial"/>
          <w:sz w:val="18"/>
          <w:szCs w:val="18"/>
          <w:color w:val="auto"/>
        </w:rPr>
      </w:pPr>
    </w:p>
    <w:p>
      <w:pPr>
        <w:ind w:left="948" w:hanging="948"/>
        <w:spacing w:after="0"/>
        <w:tabs>
          <w:tab w:leader="none" w:pos="948" w:val="left"/>
        </w:tabs>
        <w:numPr>
          <w:ilvl w:val="0"/>
          <w:numId w:val="63"/>
        </w:numPr>
        <w:rPr>
          <w:rFonts w:ascii="Arial" w:cs="Arial" w:eastAsia="Arial" w:hAnsi="Arial"/>
          <w:sz w:val="18"/>
          <w:szCs w:val="18"/>
          <w:color w:val="auto"/>
        </w:rPr>
      </w:pPr>
      <w:r>
        <w:rPr>
          <w:rFonts w:ascii="Arial" w:cs="Arial" w:eastAsia="Arial" w:hAnsi="Arial"/>
          <w:sz w:val="18"/>
          <w:szCs w:val="18"/>
          <w:color w:val="auto"/>
        </w:rPr>
        <w:t>GCUCYCLING.COM</w:t>
      </w:r>
    </w:p>
    <w:p>
      <w:pPr>
        <w:spacing w:after="0" w:line="9" w:lineRule="exact"/>
        <w:rPr>
          <w:rFonts w:ascii="Arial" w:cs="Arial" w:eastAsia="Arial" w:hAnsi="Arial"/>
          <w:sz w:val="18"/>
          <w:szCs w:val="18"/>
          <w:color w:val="auto"/>
        </w:rPr>
      </w:pPr>
    </w:p>
    <w:p>
      <w:pPr>
        <w:ind w:left="948" w:hanging="948"/>
        <w:spacing w:after="0"/>
        <w:tabs>
          <w:tab w:leader="none" w:pos="948" w:val="left"/>
        </w:tabs>
        <w:numPr>
          <w:ilvl w:val="0"/>
          <w:numId w:val="63"/>
        </w:numPr>
        <w:rPr>
          <w:rFonts w:ascii="Arial" w:cs="Arial" w:eastAsia="Arial" w:hAnsi="Arial"/>
          <w:sz w:val="18"/>
          <w:szCs w:val="18"/>
          <w:color w:val="auto"/>
        </w:rPr>
      </w:pPr>
      <w:r>
        <w:rPr>
          <w:rFonts w:ascii="Arial" w:cs="Arial" w:eastAsia="Arial" w:hAnsi="Arial"/>
          <w:sz w:val="18"/>
          <w:szCs w:val="18"/>
          <w:color w:val="auto"/>
        </w:rPr>
        <w:t>GCUEDONLINE.COM</w:t>
      </w:r>
    </w:p>
    <w:p>
      <w:pPr>
        <w:spacing w:after="0" w:line="9" w:lineRule="exact"/>
        <w:rPr>
          <w:rFonts w:ascii="Arial" w:cs="Arial" w:eastAsia="Arial" w:hAnsi="Arial"/>
          <w:sz w:val="18"/>
          <w:szCs w:val="18"/>
          <w:color w:val="auto"/>
        </w:rPr>
      </w:pPr>
    </w:p>
    <w:p>
      <w:pPr>
        <w:ind w:left="948" w:hanging="948"/>
        <w:spacing w:after="0"/>
        <w:tabs>
          <w:tab w:leader="none" w:pos="948" w:val="left"/>
        </w:tabs>
        <w:numPr>
          <w:ilvl w:val="0"/>
          <w:numId w:val="63"/>
        </w:numPr>
        <w:rPr>
          <w:rFonts w:ascii="Arial" w:cs="Arial" w:eastAsia="Arial" w:hAnsi="Arial"/>
          <w:sz w:val="18"/>
          <w:szCs w:val="18"/>
          <w:color w:val="auto"/>
        </w:rPr>
      </w:pPr>
      <w:r>
        <w:rPr>
          <w:rFonts w:ascii="Arial" w:cs="Arial" w:eastAsia="Arial" w:hAnsi="Arial"/>
          <w:sz w:val="18"/>
          <w:szCs w:val="18"/>
          <w:color w:val="auto"/>
        </w:rPr>
        <w:t>GCUEDU.COM</w:t>
      </w:r>
    </w:p>
    <w:p>
      <w:pPr>
        <w:spacing w:after="0" w:line="9" w:lineRule="exact"/>
        <w:rPr>
          <w:rFonts w:ascii="Arial" w:cs="Arial" w:eastAsia="Arial" w:hAnsi="Arial"/>
          <w:sz w:val="18"/>
          <w:szCs w:val="18"/>
          <w:color w:val="auto"/>
        </w:rPr>
      </w:pPr>
    </w:p>
    <w:p>
      <w:pPr>
        <w:ind w:left="948" w:hanging="948"/>
        <w:spacing w:after="0"/>
        <w:tabs>
          <w:tab w:leader="none" w:pos="948" w:val="left"/>
        </w:tabs>
        <w:numPr>
          <w:ilvl w:val="0"/>
          <w:numId w:val="63"/>
        </w:numPr>
        <w:rPr>
          <w:rFonts w:ascii="Arial" w:cs="Arial" w:eastAsia="Arial" w:hAnsi="Arial"/>
          <w:sz w:val="18"/>
          <w:szCs w:val="18"/>
          <w:color w:val="auto"/>
        </w:rPr>
      </w:pPr>
      <w:r>
        <w:rPr>
          <w:rFonts w:ascii="Arial" w:cs="Arial" w:eastAsia="Arial" w:hAnsi="Arial"/>
          <w:sz w:val="18"/>
          <w:szCs w:val="18"/>
          <w:color w:val="auto"/>
        </w:rPr>
        <w:t>GCUEDU.MOBI</w:t>
      </w:r>
    </w:p>
    <w:p>
      <w:pPr>
        <w:spacing w:after="0" w:line="9" w:lineRule="exact"/>
        <w:rPr>
          <w:rFonts w:ascii="Arial" w:cs="Arial" w:eastAsia="Arial" w:hAnsi="Arial"/>
          <w:sz w:val="18"/>
          <w:szCs w:val="18"/>
          <w:color w:val="auto"/>
        </w:rPr>
      </w:pPr>
    </w:p>
    <w:p>
      <w:pPr>
        <w:ind w:left="948" w:hanging="948"/>
        <w:spacing w:after="0"/>
        <w:tabs>
          <w:tab w:leader="none" w:pos="948" w:val="left"/>
        </w:tabs>
        <w:numPr>
          <w:ilvl w:val="0"/>
          <w:numId w:val="63"/>
        </w:numPr>
        <w:rPr>
          <w:rFonts w:ascii="Arial" w:cs="Arial" w:eastAsia="Arial" w:hAnsi="Arial"/>
          <w:sz w:val="18"/>
          <w:szCs w:val="18"/>
          <w:color w:val="auto"/>
        </w:rPr>
      </w:pPr>
      <w:r>
        <w:rPr>
          <w:rFonts w:ascii="Arial" w:cs="Arial" w:eastAsia="Arial" w:hAnsi="Arial"/>
          <w:sz w:val="18"/>
          <w:szCs w:val="18"/>
          <w:color w:val="auto"/>
        </w:rPr>
        <w:t>GCUEDUCATE.COM</w:t>
      </w:r>
    </w:p>
    <w:p>
      <w:pPr>
        <w:spacing w:after="0" w:line="9" w:lineRule="exact"/>
        <w:rPr>
          <w:rFonts w:ascii="Arial" w:cs="Arial" w:eastAsia="Arial" w:hAnsi="Arial"/>
          <w:sz w:val="18"/>
          <w:szCs w:val="18"/>
          <w:color w:val="auto"/>
        </w:rPr>
      </w:pPr>
    </w:p>
    <w:p>
      <w:pPr>
        <w:ind w:left="948" w:hanging="948"/>
        <w:spacing w:after="0"/>
        <w:tabs>
          <w:tab w:leader="none" w:pos="948" w:val="left"/>
        </w:tabs>
        <w:numPr>
          <w:ilvl w:val="0"/>
          <w:numId w:val="63"/>
        </w:numPr>
        <w:rPr>
          <w:rFonts w:ascii="Arial" w:cs="Arial" w:eastAsia="Arial" w:hAnsi="Arial"/>
          <w:sz w:val="18"/>
          <w:szCs w:val="18"/>
          <w:color w:val="auto"/>
        </w:rPr>
      </w:pPr>
      <w:r>
        <w:rPr>
          <w:rFonts w:ascii="Arial" w:cs="Arial" w:eastAsia="Arial" w:hAnsi="Arial"/>
          <w:sz w:val="18"/>
          <w:szCs w:val="18"/>
          <w:color w:val="auto"/>
        </w:rPr>
        <w:t>GCUEDUCATIONONLINE.COM</w:t>
      </w:r>
    </w:p>
    <w:p>
      <w:pPr>
        <w:spacing w:after="0" w:line="9" w:lineRule="exact"/>
        <w:rPr>
          <w:rFonts w:ascii="Arial" w:cs="Arial" w:eastAsia="Arial" w:hAnsi="Arial"/>
          <w:sz w:val="18"/>
          <w:szCs w:val="18"/>
          <w:color w:val="auto"/>
        </w:rPr>
      </w:pPr>
    </w:p>
    <w:p>
      <w:pPr>
        <w:ind w:left="948" w:hanging="948"/>
        <w:spacing w:after="0"/>
        <w:tabs>
          <w:tab w:leader="none" w:pos="948" w:val="left"/>
        </w:tabs>
        <w:numPr>
          <w:ilvl w:val="0"/>
          <w:numId w:val="63"/>
        </w:numPr>
        <w:rPr>
          <w:rFonts w:ascii="Arial" w:cs="Arial" w:eastAsia="Arial" w:hAnsi="Arial"/>
          <w:sz w:val="18"/>
          <w:szCs w:val="18"/>
          <w:color w:val="auto"/>
        </w:rPr>
      </w:pPr>
      <w:r>
        <w:rPr>
          <w:rFonts w:ascii="Arial" w:cs="Arial" w:eastAsia="Arial" w:hAnsi="Arial"/>
          <w:sz w:val="18"/>
          <w:szCs w:val="18"/>
          <w:color w:val="auto"/>
        </w:rPr>
        <w:t>GCUEDUCATIONSUCKS.COM</w:t>
      </w:r>
    </w:p>
    <w:p>
      <w:pPr>
        <w:spacing w:after="0" w:line="9" w:lineRule="exact"/>
        <w:rPr>
          <w:rFonts w:ascii="Arial" w:cs="Arial" w:eastAsia="Arial" w:hAnsi="Arial"/>
          <w:sz w:val="18"/>
          <w:szCs w:val="18"/>
          <w:color w:val="auto"/>
        </w:rPr>
      </w:pPr>
    </w:p>
    <w:p>
      <w:pPr>
        <w:ind w:left="948" w:hanging="948"/>
        <w:spacing w:after="0"/>
        <w:tabs>
          <w:tab w:leader="none" w:pos="948" w:val="left"/>
        </w:tabs>
        <w:numPr>
          <w:ilvl w:val="0"/>
          <w:numId w:val="63"/>
        </w:numPr>
        <w:rPr>
          <w:rFonts w:ascii="Arial" w:cs="Arial" w:eastAsia="Arial" w:hAnsi="Arial"/>
          <w:sz w:val="18"/>
          <w:szCs w:val="18"/>
          <w:color w:val="auto"/>
        </w:rPr>
      </w:pPr>
      <w:r>
        <w:rPr>
          <w:rFonts w:ascii="Arial" w:cs="Arial" w:eastAsia="Arial" w:hAnsi="Arial"/>
          <w:sz w:val="18"/>
          <w:szCs w:val="18"/>
          <w:color w:val="auto"/>
        </w:rPr>
        <w:t>GCU-EDUCATION-SUCKS.COM</w:t>
      </w:r>
    </w:p>
    <w:p>
      <w:pPr>
        <w:spacing w:after="0" w:line="9" w:lineRule="exact"/>
        <w:rPr>
          <w:rFonts w:ascii="Arial" w:cs="Arial" w:eastAsia="Arial" w:hAnsi="Arial"/>
          <w:sz w:val="18"/>
          <w:szCs w:val="18"/>
          <w:color w:val="auto"/>
        </w:rPr>
      </w:pPr>
    </w:p>
    <w:p>
      <w:pPr>
        <w:ind w:left="948" w:hanging="948"/>
        <w:spacing w:after="0"/>
        <w:tabs>
          <w:tab w:leader="none" w:pos="948" w:val="left"/>
        </w:tabs>
        <w:numPr>
          <w:ilvl w:val="0"/>
          <w:numId w:val="63"/>
        </w:numPr>
        <w:rPr>
          <w:rFonts w:ascii="Arial" w:cs="Arial" w:eastAsia="Arial" w:hAnsi="Arial"/>
          <w:sz w:val="18"/>
          <w:szCs w:val="18"/>
          <w:color w:val="auto"/>
        </w:rPr>
      </w:pPr>
      <w:r>
        <w:rPr>
          <w:rFonts w:ascii="Arial" w:cs="Arial" w:eastAsia="Arial" w:hAnsi="Arial"/>
          <w:sz w:val="18"/>
          <w:szCs w:val="18"/>
          <w:color w:val="auto"/>
        </w:rPr>
        <w:t>GCUEDUCATIONSUCKS.NET</w:t>
      </w:r>
    </w:p>
    <w:p>
      <w:pPr>
        <w:spacing w:after="0" w:line="9" w:lineRule="exact"/>
        <w:rPr>
          <w:rFonts w:ascii="Arial" w:cs="Arial" w:eastAsia="Arial" w:hAnsi="Arial"/>
          <w:sz w:val="18"/>
          <w:szCs w:val="18"/>
          <w:color w:val="auto"/>
        </w:rPr>
      </w:pPr>
    </w:p>
    <w:p>
      <w:pPr>
        <w:ind w:left="948" w:hanging="948"/>
        <w:spacing w:after="0"/>
        <w:tabs>
          <w:tab w:leader="none" w:pos="948" w:val="left"/>
        </w:tabs>
        <w:numPr>
          <w:ilvl w:val="0"/>
          <w:numId w:val="63"/>
        </w:numPr>
        <w:rPr>
          <w:rFonts w:ascii="Arial" w:cs="Arial" w:eastAsia="Arial" w:hAnsi="Arial"/>
          <w:sz w:val="18"/>
          <w:szCs w:val="18"/>
          <w:color w:val="auto"/>
        </w:rPr>
      </w:pPr>
      <w:r>
        <w:rPr>
          <w:rFonts w:ascii="Arial" w:cs="Arial" w:eastAsia="Arial" w:hAnsi="Arial"/>
          <w:sz w:val="18"/>
          <w:szCs w:val="18"/>
          <w:color w:val="auto"/>
        </w:rPr>
        <w:t>GCU-EDUCATION-SUCKS.NET</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3"/>
        </w:numPr>
        <w:rPr>
          <w:rFonts w:ascii="Arial" w:cs="Arial" w:eastAsia="Arial" w:hAnsi="Arial"/>
          <w:sz w:val="18"/>
          <w:szCs w:val="18"/>
          <w:color w:val="auto"/>
        </w:rPr>
      </w:pPr>
      <w:r>
        <w:rPr>
          <w:rFonts w:ascii="Arial" w:cs="Arial" w:eastAsia="Arial" w:hAnsi="Arial"/>
          <w:sz w:val="18"/>
          <w:szCs w:val="18"/>
          <w:color w:val="auto"/>
        </w:rPr>
        <w:t>GCUEMBASUCKS.COM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3"/>
        </w:numPr>
        <w:rPr>
          <w:rFonts w:ascii="Arial" w:cs="Arial" w:eastAsia="Arial" w:hAnsi="Arial"/>
          <w:sz w:val="18"/>
          <w:szCs w:val="18"/>
          <w:color w:val="auto"/>
        </w:rPr>
      </w:pPr>
      <w:r>
        <w:rPr>
          <w:rFonts w:ascii="Arial" w:cs="Arial" w:eastAsia="Arial" w:hAnsi="Arial"/>
          <w:sz w:val="18"/>
          <w:szCs w:val="18"/>
          <w:color w:val="auto"/>
        </w:rPr>
        <w:t>GCUEMBASUCKS.NET</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3"/>
        </w:numPr>
        <w:rPr>
          <w:rFonts w:ascii="Arial" w:cs="Arial" w:eastAsia="Arial" w:hAnsi="Arial"/>
          <w:sz w:val="18"/>
          <w:szCs w:val="18"/>
          <w:color w:val="auto"/>
        </w:rPr>
      </w:pPr>
      <w:r>
        <w:rPr>
          <w:rFonts w:ascii="Arial" w:cs="Arial" w:eastAsia="Arial" w:hAnsi="Arial"/>
          <w:sz w:val="18"/>
          <w:szCs w:val="18"/>
          <w:color w:val="auto"/>
        </w:rPr>
        <w:t>GCU-EMBA-SUCSKS.COM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3"/>
        </w:numPr>
        <w:rPr>
          <w:rFonts w:ascii="Arial" w:cs="Arial" w:eastAsia="Arial" w:hAnsi="Arial"/>
          <w:sz w:val="18"/>
          <w:szCs w:val="18"/>
          <w:color w:val="auto"/>
        </w:rPr>
      </w:pPr>
      <w:r>
        <w:rPr>
          <w:rFonts w:ascii="Arial" w:cs="Arial" w:eastAsia="Arial" w:hAnsi="Arial"/>
          <w:sz w:val="18"/>
          <w:szCs w:val="18"/>
          <w:color w:val="auto"/>
        </w:rPr>
        <w:t>GCU-EMBA-SUCSKS.NET</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3"/>
        </w:numPr>
        <w:rPr>
          <w:rFonts w:ascii="Arial" w:cs="Arial" w:eastAsia="Arial" w:hAnsi="Arial"/>
          <w:sz w:val="18"/>
          <w:szCs w:val="18"/>
          <w:color w:val="auto"/>
        </w:rPr>
      </w:pPr>
      <w:r>
        <w:rPr>
          <w:rFonts w:ascii="Arial" w:cs="Arial" w:eastAsia="Arial" w:hAnsi="Arial"/>
          <w:sz w:val="18"/>
          <w:szCs w:val="18"/>
          <w:color w:val="auto"/>
        </w:rPr>
        <w:t>GCUENROLL.COM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3"/>
        </w:numPr>
        <w:rPr>
          <w:rFonts w:ascii="Arial" w:cs="Arial" w:eastAsia="Arial" w:hAnsi="Arial"/>
          <w:sz w:val="18"/>
          <w:szCs w:val="18"/>
          <w:color w:val="auto"/>
        </w:rPr>
      </w:pPr>
      <w:r>
        <w:rPr>
          <w:rFonts w:ascii="Arial" w:cs="Arial" w:eastAsia="Arial" w:hAnsi="Arial"/>
          <w:sz w:val="18"/>
          <w:szCs w:val="18"/>
          <w:color w:val="auto"/>
        </w:rPr>
        <w:t>GCUEVENTS.COM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3"/>
        </w:numPr>
        <w:rPr>
          <w:rFonts w:ascii="Arial" w:cs="Arial" w:eastAsia="Arial" w:hAnsi="Arial"/>
          <w:sz w:val="18"/>
          <w:szCs w:val="18"/>
          <w:color w:val="auto"/>
        </w:rPr>
      </w:pPr>
      <w:r>
        <w:rPr>
          <w:rFonts w:ascii="Arial" w:cs="Arial" w:eastAsia="Arial" w:hAnsi="Arial"/>
          <w:sz w:val="18"/>
          <w:szCs w:val="18"/>
          <w:color w:val="auto"/>
        </w:rPr>
        <w:t>GCUFLAGFOOTBALL.COM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3"/>
        </w:numPr>
        <w:rPr>
          <w:rFonts w:ascii="Arial" w:cs="Arial" w:eastAsia="Arial" w:hAnsi="Arial"/>
          <w:sz w:val="18"/>
          <w:szCs w:val="18"/>
          <w:color w:val="auto"/>
        </w:rPr>
      </w:pPr>
      <w:r>
        <w:rPr>
          <w:rFonts w:ascii="Arial" w:cs="Arial" w:eastAsia="Arial" w:hAnsi="Arial"/>
          <w:sz w:val="18"/>
          <w:szCs w:val="18"/>
          <w:color w:val="auto"/>
        </w:rPr>
        <w:t>GCUGOLF.ACADEMY</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3"/>
        </w:numPr>
        <w:rPr>
          <w:rFonts w:ascii="Arial" w:cs="Arial" w:eastAsia="Arial" w:hAnsi="Arial"/>
          <w:sz w:val="18"/>
          <w:szCs w:val="18"/>
          <w:color w:val="auto"/>
        </w:rPr>
      </w:pPr>
      <w:r>
        <w:rPr>
          <w:rFonts w:ascii="Arial" w:cs="Arial" w:eastAsia="Arial" w:hAnsi="Arial"/>
          <w:sz w:val="18"/>
          <w:szCs w:val="18"/>
          <w:color w:val="auto"/>
        </w:rPr>
        <w:t>GCUGOLF.COM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3"/>
        </w:numPr>
        <w:rPr>
          <w:rFonts w:ascii="Arial" w:cs="Arial" w:eastAsia="Arial" w:hAnsi="Arial"/>
          <w:sz w:val="18"/>
          <w:szCs w:val="18"/>
          <w:color w:val="auto"/>
        </w:rPr>
      </w:pPr>
      <w:r>
        <w:rPr>
          <w:rFonts w:ascii="Arial" w:cs="Arial" w:eastAsia="Arial" w:hAnsi="Arial"/>
          <w:sz w:val="18"/>
          <w:szCs w:val="18"/>
          <w:color w:val="auto"/>
        </w:rPr>
        <w:t>GCUGOLF.REVIEWS</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3"/>
        </w:numPr>
        <w:rPr>
          <w:rFonts w:ascii="Arial" w:cs="Arial" w:eastAsia="Arial" w:hAnsi="Arial"/>
          <w:sz w:val="18"/>
          <w:szCs w:val="18"/>
          <w:color w:val="auto"/>
        </w:rPr>
      </w:pPr>
      <w:r>
        <w:rPr>
          <w:rFonts w:ascii="Arial" w:cs="Arial" w:eastAsia="Arial" w:hAnsi="Arial"/>
          <w:sz w:val="18"/>
          <w:szCs w:val="18"/>
          <w:color w:val="auto"/>
        </w:rPr>
        <w:t>GCUGRADSCHOOL.COM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3"/>
        </w:numPr>
        <w:rPr>
          <w:rFonts w:ascii="Arial" w:cs="Arial" w:eastAsia="Arial" w:hAnsi="Arial"/>
          <w:sz w:val="18"/>
          <w:szCs w:val="18"/>
          <w:color w:val="auto"/>
        </w:rPr>
      </w:pPr>
      <w:r>
        <w:rPr>
          <w:rFonts w:ascii="Arial" w:cs="Arial" w:eastAsia="Arial" w:hAnsi="Arial"/>
          <w:sz w:val="18"/>
          <w:szCs w:val="18"/>
          <w:color w:val="auto"/>
        </w:rPr>
        <w:t>GCUHAVOC.COM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3"/>
        </w:numPr>
        <w:rPr>
          <w:rFonts w:ascii="Arial" w:cs="Arial" w:eastAsia="Arial" w:hAnsi="Arial"/>
          <w:sz w:val="18"/>
          <w:szCs w:val="18"/>
          <w:color w:val="auto"/>
        </w:rPr>
      </w:pPr>
      <w:r>
        <w:rPr>
          <w:rFonts w:ascii="Arial" w:cs="Arial" w:eastAsia="Arial" w:hAnsi="Arial"/>
          <w:sz w:val="18"/>
          <w:szCs w:val="18"/>
          <w:color w:val="auto"/>
        </w:rPr>
        <w:t>GCUHAVOCS.COM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3"/>
        </w:numPr>
        <w:rPr>
          <w:rFonts w:ascii="Arial" w:cs="Arial" w:eastAsia="Arial" w:hAnsi="Arial"/>
          <w:sz w:val="18"/>
          <w:szCs w:val="18"/>
          <w:color w:val="auto"/>
        </w:rPr>
      </w:pPr>
      <w:r>
        <w:rPr>
          <w:rFonts w:ascii="Arial" w:cs="Arial" w:eastAsia="Arial" w:hAnsi="Arial"/>
          <w:sz w:val="18"/>
          <w:szCs w:val="18"/>
          <w:color w:val="auto"/>
        </w:rPr>
        <w:t>GCUHELL.COM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3"/>
        </w:numPr>
        <w:rPr>
          <w:rFonts w:ascii="Arial" w:cs="Arial" w:eastAsia="Arial" w:hAnsi="Arial"/>
          <w:sz w:val="18"/>
          <w:szCs w:val="18"/>
          <w:color w:val="auto"/>
        </w:rPr>
      </w:pPr>
      <w:r>
        <w:rPr>
          <w:rFonts w:ascii="Arial" w:cs="Arial" w:eastAsia="Arial" w:hAnsi="Arial"/>
          <w:sz w:val="18"/>
          <w:szCs w:val="18"/>
          <w:color w:val="auto"/>
        </w:rPr>
        <w:t>GCU-HELL.COM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3"/>
        </w:numPr>
        <w:rPr>
          <w:rFonts w:ascii="Arial" w:cs="Arial" w:eastAsia="Arial" w:hAnsi="Arial"/>
          <w:sz w:val="18"/>
          <w:szCs w:val="18"/>
          <w:color w:val="auto"/>
        </w:rPr>
      </w:pPr>
      <w:r>
        <w:rPr>
          <w:rFonts w:ascii="Arial" w:cs="Arial" w:eastAsia="Arial" w:hAnsi="Arial"/>
          <w:sz w:val="18"/>
          <w:szCs w:val="18"/>
          <w:color w:val="auto"/>
        </w:rPr>
        <w:t>GCUHELL.NET</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3"/>
        </w:numPr>
        <w:rPr>
          <w:rFonts w:ascii="Arial" w:cs="Arial" w:eastAsia="Arial" w:hAnsi="Arial"/>
          <w:sz w:val="18"/>
          <w:szCs w:val="18"/>
          <w:color w:val="auto"/>
        </w:rPr>
      </w:pPr>
      <w:r>
        <w:rPr>
          <w:rFonts w:ascii="Arial" w:cs="Arial" w:eastAsia="Arial" w:hAnsi="Arial"/>
          <w:sz w:val="18"/>
          <w:szCs w:val="18"/>
          <w:color w:val="auto"/>
        </w:rPr>
        <w:t>GCU-HELL.NET</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3"/>
        </w:numPr>
        <w:rPr>
          <w:rFonts w:ascii="Arial" w:cs="Arial" w:eastAsia="Arial" w:hAnsi="Arial"/>
          <w:sz w:val="18"/>
          <w:szCs w:val="18"/>
          <w:color w:val="auto"/>
        </w:rPr>
      </w:pPr>
      <w:r>
        <w:rPr>
          <w:rFonts w:ascii="Arial" w:cs="Arial" w:eastAsia="Arial" w:hAnsi="Arial"/>
          <w:sz w:val="18"/>
          <w:szCs w:val="18"/>
          <w:color w:val="auto"/>
        </w:rPr>
        <w:t>GCUHELL.ORG</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3"/>
        </w:numPr>
        <w:rPr>
          <w:rFonts w:ascii="Arial" w:cs="Arial" w:eastAsia="Arial" w:hAnsi="Arial"/>
          <w:sz w:val="18"/>
          <w:szCs w:val="18"/>
          <w:color w:val="auto"/>
        </w:rPr>
      </w:pPr>
      <w:r>
        <w:rPr>
          <w:rFonts w:ascii="Arial" w:cs="Arial" w:eastAsia="Arial" w:hAnsi="Arial"/>
          <w:sz w:val="18"/>
          <w:szCs w:val="18"/>
          <w:color w:val="auto"/>
        </w:rPr>
        <w:t>GCUHOCKEY.COM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3"/>
        </w:numPr>
        <w:rPr>
          <w:rFonts w:ascii="Arial" w:cs="Arial" w:eastAsia="Arial" w:hAnsi="Arial"/>
          <w:sz w:val="18"/>
          <w:szCs w:val="18"/>
          <w:color w:val="auto"/>
        </w:rPr>
      </w:pPr>
      <w:r>
        <w:rPr>
          <w:rFonts w:ascii="Arial" w:cs="Arial" w:eastAsia="Arial" w:hAnsi="Arial"/>
          <w:sz w:val="18"/>
          <w:szCs w:val="18"/>
          <w:color w:val="auto"/>
        </w:rPr>
        <w:t>GCUHOTEL.COM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3"/>
        </w:numPr>
        <w:rPr>
          <w:rFonts w:ascii="Arial" w:cs="Arial" w:eastAsia="Arial" w:hAnsi="Arial"/>
          <w:sz w:val="18"/>
          <w:szCs w:val="18"/>
          <w:color w:val="auto"/>
        </w:rPr>
      </w:pPr>
      <w:r>
        <w:rPr>
          <w:rFonts w:ascii="Arial" w:cs="Arial" w:eastAsia="Arial" w:hAnsi="Arial"/>
          <w:sz w:val="18"/>
          <w:szCs w:val="18"/>
          <w:color w:val="auto"/>
        </w:rPr>
        <w:t>GCUHOTEL.REVIEWS</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3"/>
        </w:numPr>
        <w:rPr>
          <w:rFonts w:ascii="Arial" w:cs="Arial" w:eastAsia="Arial" w:hAnsi="Arial"/>
          <w:sz w:val="18"/>
          <w:szCs w:val="18"/>
          <w:color w:val="auto"/>
        </w:rPr>
      </w:pPr>
      <w:r>
        <w:rPr>
          <w:rFonts w:ascii="Arial" w:cs="Arial" w:eastAsia="Arial" w:hAnsi="Arial"/>
          <w:sz w:val="18"/>
          <w:szCs w:val="18"/>
          <w:color w:val="auto"/>
        </w:rPr>
        <w:t>GCUHOTELBOOKING.COM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3"/>
        </w:numPr>
        <w:rPr>
          <w:rFonts w:ascii="Arial" w:cs="Arial" w:eastAsia="Arial" w:hAnsi="Arial"/>
          <w:sz w:val="18"/>
          <w:szCs w:val="18"/>
          <w:color w:val="auto"/>
        </w:rPr>
      </w:pPr>
      <w:r>
        <w:rPr>
          <w:rFonts w:ascii="Arial" w:cs="Arial" w:eastAsia="Arial" w:hAnsi="Arial"/>
          <w:sz w:val="18"/>
          <w:szCs w:val="18"/>
          <w:color w:val="auto"/>
        </w:rPr>
        <w:t>GCUHOTELDEALS.COM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3"/>
        </w:numPr>
        <w:rPr>
          <w:rFonts w:ascii="Arial" w:cs="Arial" w:eastAsia="Arial" w:hAnsi="Arial"/>
          <w:sz w:val="18"/>
          <w:szCs w:val="18"/>
          <w:color w:val="auto"/>
        </w:rPr>
      </w:pPr>
      <w:r>
        <w:rPr>
          <w:rFonts w:ascii="Arial" w:cs="Arial" w:eastAsia="Arial" w:hAnsi="Arial"/>
          <w:sz w:val="18"/>
          <w:szCs w:val="18"/>
          <w:color w:val="auto"/>
        </w:rPr>
        <w:t>GCUICEHOCKEY.COM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3"/>
        </w:numPr>
        <w:rPr>
          <w:rFonts w:ascii="Arial" w:cs="Arial" w:eastAsia="Arial" w:hAnsi="Arial"/>
          <w:sz w:val="18"/>
          <w:szCs w:val="18"/>
          <w:color w:val="auto"/>
        </w:rPr>
      </w:pPr>
      <w:r>
        <w:rPr>
          <w:rFonts w:ascii="Arial" w:cs="Arial" w:eastAsia="Arial" w:hAnsi="Arial"/>
          <w:sz w:val="18"/>
          <w:szCs w:val="18"/>
          <w:color w:val="auto"/>
        </w:rPr>
        <w:t>GCUISCRAP.COM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3"/>
        </w:numPr>
        <w:rPr>
          <w:rFonts w:ascii="Arial" w:cs="Arial" w:eastAsia="Arial" w:hAnsi="Arial"/>
          <w:sz w:val="18"/>
          <w:szCs w:val="18"/>
          <w:color w:val="auto"/>
        </w:rPr>
      </w:pPr>
      <w:r>
        <w:rPr>
          <w:rFonts w:ascii="Arial" w:cs="Arial" w:eastAsia="Arial" w:hAnsi="Arial"/>
          <w:sz w:val="18"/>
          <w:szCs w:val="18"/>
          <w:color w:val="auto"/>
        </w:rPr>
        <w:t>GCU-IS-CRAP.COM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3"/>
        </w:numPr>
        <w:rPr>
          <w:rFonts w:ascii="Arial" w:cs="Arial" w:eastAsia="Arial" w:hAnsi="Arial"/>
          <w:sz w:val="18"/>
          <w:szCs w:val="18"/>
          <w:color w:val="auto"/>
        </w:rPr>
      </w:pPr>
      <w:r>
        <w:rPr>
          <w:rFonts w:ascii="Arial" w:cs="Arial" w:eastAsia="Arial" w:hAnsi="Arial"/>
          <w:sz w:val="18"/>
          <w:szCs w:val="18"/>
          <w:color w:val="auto"/>
        </w:rPr>
        <w:t>GCUISCRAP.NET</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3"/>
        </w:numPr>
        <w:rPr>
          <w:rFonts w:ascii="Arial" w:cs="Arial" w:eastAsia="Arial" w:hAnsi="Arial"/>
          <w:sz w:val="18"/>
          <w:szCs w:val="18"/>
          <w:color w:val="auto"/>
        </w:rPr>
      </w:pPr>
      <w:r>
        <w:rPr>
          <w:rFonts w:ascii="Arial" w:cs="Arial" w:eastAsia="Arial" w:hAnsi="Arial"/>
          <w:sz w:val="18"/>
          <w:szCs w:val="18"/>
          <w:color w:val="auto"/>
        </w:rPr>
        <w:t>GCU-IS-CRAP.NET</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3"/>
        </w:numPr>
        <w:rPr>
          <w:rFonts w:ascii="Arial" w:cs="Arial" w:eastAsia="Arial" w:hAnsi="Arial"/>
          <w:sz w:val="18"/>
          <w:szCs w:val="18"/>
          <w:color w:val="auto"/>
        </w:rPr>
      </w:pPr>
      <w:r>
        <w:rPr>
          <w:rFonts w:ascii="Arial" w:cs="Arial" w:eastAsia="Arial" w:hAnsi="Arial"/>
          <w:sz w:val="18"/>
          <w:szCs w:val="18"/>
          <w:color w:val="auto"/>
        </w:rPr>
        <w:t>GCUISSHIT.COM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3"/>
        </w:numPr>
        <w:rPr>
          <w:rFonts w:ascii="Arial" w:cs="Arial" w:eastAsia="Arial" w:hAnsi="Arial"/>
          <w:sz w:val="18"/>
          <w:szCs w:val="18"/>
          <w:color w:val="auto"/>
        </w:rPr>
      </w:pPr>
      <w:r>
        <w:rPr>
          <w:rFonts w:ascii="Arial" w:cs="Arial" w:eastAsia="Arial" w:hAnsi="Arial"/>
          <w:sz w:val="18"/>
          <w:szCs w:val="18"/>
          <w:color w:val="auto"/>
        </w:rPr>
        <w:t>GCU-IS-SHIT.COM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3"/>
        </w:numPr>
        <w:rPr>
          <w:rFonts w:ascii="Arial" w:cs="Arial" w:eastAsia="Arial" w:hAnsi="Arial"/>
          <w:sz w:val="18"/>
          <w:szCs w:val="18"/>
          <w:color w:val="auto"/>
        </w:rPr>
      </w:pPr>
      <w:r>
        <w:rPr>
          <w:rFonts w:ascii="Arial" w:cs="Arial" w:eastAsia="Arial" w:hAnsi="Arial"/>
          <w:sz w:val="18"/>
          <w:szCs w:val="18"/>
          <w:color w:val="auto"/>
        </w:rPr>
        <w:t>GCUISSHIT.NET</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3"/>
        </w:numPr>
        <w:rPr>
          <w:rFonts w:ascii="Arial" w:cs="Arial" w:eastAsia="Arial" w:hAnsi="Arial"/>
          <w:sz w:val="18"/>
          <w:szCs w:val="18"/>
          <w:color w:val="auto"/>
        </w:rPr>
      </w:pPr>
      <w:r>
        <w:rPr>
          <w:rFonts w:ascii="Arial" w:cs="Arial" w:eastAsia="Arial" w:hAnsi="Arial"/>
          <w:sz w:val="18"/>
          <w:szCs w:val="18"/>
          <w:color w:val="auto"/>
        </w:rPr>
        <w:t>GCU-IS-SHIT.NET</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3"/>
        </w:numPr>
        <w:rPr>
          <w:rFonts w:ascii="Arial" w:cs="Arial" w:eastAsia="Arial" w:hAnsi="Arial"/>
          <w:sz w:val="18"/>
          <w:szCs w:val="18"/>
          <w:color w:val="auto"/>
        </w:rPr>
      </w:pPr>
      <w:r>
        <w:rPr>
          <w:rFonts w:ascii="Arial" w:cs="Arial" w:eastAsia="Arial" w:hAnsi="Arial"/>
          <w:sz w:val="18"/>
          <w:szCs w:val="18"/>
          <w:color w:val="auto"/>
        </w:rPr>
        <w:t>GCUJOURNAL.COM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3"/>
        </w:numPr>
        <w:rPr>
          <w:rFonts w:ascii="Arial" w:cs="Arial" w:eastAsia="Arial" w:hAnsi="Arial"/>
          <w:sz w:val="18"/>
          <w:szCs w:val="18"/>
          <w:color w:val="auto"/>
        </w:rPr>
      </w:pPr>
      <w:r>
        <w:rPr>
          <w:rFonts w:ascii="Arial" w:cs="Arial" w:eastAsia="Arial" w:hAnsi="Arial"/>
          <w:sz w:val="18"/>
          <w:szCs w:val="18"/>
          <w:color w:val="auto"/>
        </w:rPr>
        <w:t>GCULACROSSE.COM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3"/>
        </w:numPr>
        <w:rPr>
          <w:rFonts w:ascii="Arial" w:cs="Arial" w:eastAsia="Arial" w:hAnsi="Arial"/>
          <w:sz w:val="18"/>
          <w:szCs w:val="18"/>
          <w:color w:val="auto"/>
        </w:rPr>
      </w:pPr>
      <w:r>
        <w:rPr>
          <w:rFonts w:ascii="Arial" w:cs="Arial" w:eastAsia="Arial" w:hAnsi="Arial"/>
          <w:sz w:val="18"/>
          <w:szCs w:val="18"/>
          <w:color w:val="auto"/>
        </w:rPr>
        <w:t>GCULEARN.COM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3"/>
        </w:numPr>
        <w:rPr>
          <w:rFonts w:ascii="Arial" w:cs="Arial" w:eastAsia="Arial" w:hAnsi="Arial"/>
          <w:sz w:val="18"/>
          <w:szCs w:val="18"/>
          <w:color w:val="auto"/>
        </w:rPr>
      </w:pPr>
      <w:r>
        <w:rPr>
          <w:rFonts w:ascii="Arial" w:cs="Arial" w:eastAsia="Arial" w:hAnsi="Arial"/>
          <w:sz w:val="18"/>
          <w:szCs w:val="18"/>
          <w:color w:val="auto"/>
        </w:rPr>
        <w:t>GCULICENSING.COM</w:t>
      </w:r>
    </w:p>
    <w:p>
      <w:pPr>
        <w:spacing w:after="0" w:line="211" w:lineRule="exact"/>
        <w:rPr>
          <w:sz w:val="20"/>
          <w:szCs w:val="20"/>
          <w:color w:val="auto"/>
        </w:rPr>
      </w:pPr>
    </w:p>
    <w:p>
      <w:pPr>
        <w:jc w:val="right"/>
        <w:ind w:right="4079"/>
        <w:spacing w:after="0"/>
        <w:rPr>
          <w:sz w:val="20"/>
          <w:szCs w:val="20"/>
          <w:color w:val="auto"/>
        </w:rPr>
      </w:pPr>
      <w:r>
        <w:rPr>
          <w:rFonts w:ascii="Arial" w:cs="Arial" w:eastAsia="Arial" w:hAnsi="Arial"/>
          <w:sz w:val="18"/>
          <w:szCs w:val="18"/>
          <w:color w:val="auto"/>
        </w:rPr>
        <w:t>Exhibit E-6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81280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887"/>
          </w:cols>
          <w:pgMar w:left="572" w:top="341" w:right="1440" w:bottom="1440" w:gutter="0" w:footer="0" w:header="0"/>
        </w:sectPr>
      </w:pPr>
    </w:p>
    <w:bookmarkStart w:id="74" w:name="page75"/>
    <w:bookmarkEnd w:id="74"/>
    <w:p>
      <w:pPr>
        <w:ind w:left="968" w:hanging="968"/>
        <w:spacing w:after="0"/>
        <w:tabs>
          <w:tab w:leader="none" w:pos="968" w:val="left"/>
        </w:tabs>
        <w:numPr>
          <w:ilvl w:val="0"/>
          <w:numId w:val="64"/>
        </w:numPr>
        <w:rPr>
          <w:rFonts w:ascii="Arial" w:cs="Arial" w:eastAsia="Arial" w:hAnsi="Arial"/>
          <w:sz w:val="18"/>
          <w:szCs w:val="18"/>
          <w:color w:val="auto"/>
        </w:rPr>
      </w:pPr>
      <w:r>
        <w:rPr>
          <w:rFonts w:ascii="Arial" w:cs="Arial" w:eastAsia="Arial" w:hAnsi="Arial"/>
          <w:sz w:val="18"/>
          <w:szCs w:val="18"/>
          <w:color w:val="auto"/>
        </w:rPr>
        <w:t>GCULOP.ES</w:t>
      </w:r>
    </w:p>
    <w:p>
      <w:pPr>
        <w:spacing w:after="0" w:line="23" w:lineRule="exact"/>
        <w:rPr>
          <w:rFonts w:ascii="Arial" w:cs="Arial" w:eastAsia="Arial" w:hAnsi="Arial"/>
          <w:sz w:val="18"/>
          <w:szCs w:val="18"/>
          <w:color w:val="auto"/>
        </w:rPr>
      </w:pPr>
    </w:p>
    <w:p>
      <w:pPr>
        <w:ind w:left="968" w:hanging="968"/>
        <w:spacing w:after="0"/>
        <w:tabs>
          <w:tab w:leader="none" w:pos="968" w:val="left"/>
        </w:tabs>
        <w:numPr>
          <w:ilvl w:val="0"/>
          <w:numId w:val="64"/>
        </w:numPr>
        <w:rPr>
          <w:rFonts w:ascii="Arial" w:cs="Arial" w:eastAsia="Arial" w:hAnsi="Arial"/>
          <w:sz w:val="18"/>
          <w:szCs w:val="18"/>
          <w:color w:val="auto"/>
        </w:rPr>
      </w:pPr>
      <w:r>
        <w:rPr>
          <w:rFonts w:ascii="Arial" w:cs="Arial" w:eastAsia="Arial" w:hAnsi="Arial"/>
          <w:sz w:val="18"/>
          <w:szCs w:val="18"/>
          <w:color w:val="auto"/>
        </w:rPr>
        <w:t>GCULOPECOUNTRY.COM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4"/>
        </w:numPr>
        <w:rPr>
          <w:rFonts w:ascii="Arial" w:cs="Arial" w:eastAsia="Arial" w:hAnsi="Arial"/>
          <w:sz w:val="18"/>
          <w:szCs w:val="18"/>
          <w:color w:val="auto"/>
        </w:rPr>
      </w:pPr>
      <w:r>
        <w:rPr>
          <w:rFonts w:ascii="Arial" w:cs="Arial" w:eastAsia="Arial" w:hAnsi="Arial"/>
          <w:sz w:val="18"/>
          <w:szCs w:val="18"/>
          <w:color w:val="auto"/>
        </w:rPr>
        <w:t>GCULOPES.MOBI</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4"/>
        </w:numPr>
        <w:rPr>
          <w:rFonts w:ascii="Arial" w:cs="Arial" w:eastAsia="Arial" w:hAnsi="Arial"/>
          <w:sz w:val="18"/>
          <w:szCs w:val="18"/>
          <w:color w:val="auto"/>
        </w:rPr>
      </w:pPr>
      <w:r>
        <w:rPr>
          <w:rFonts w:ascii="Arial" w:cs="Arial" w:eastAsia="Arial" w:hAnsi="Arial"/>
          <w:sz w:val="18"/>
          <w:szCs w:val="18"/>
          <w:color w:val="auto"/>
        </w:rPr>
        <w:t>GCULOPES.TV</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4"/>
        </w:numPr>
        <w:rPr>
          <w:rFonts w:ascii="Arial" w:cs="Arial" w:eastAsia="Arial" w:hAnsi="Arial"/>
          <w:sz w:val="18"/>
          <w:szCs w:val="18"/>
          <w:color w:val="auto"/>
        </w:rPr>
      </w:pPr>
      <w:r>
        <w:rPr>
          <w:rFonts w:ascii="Arial" w:cs="Arial" w:eastAsia="Arial" w:hAnsi="Arial"/>
          <w:sz w:val="18"/>
          <w:szCs w:val="18"/>
          <w:color w:val="auto"/>
        </w:rPr>
        <w:t>GCULOPESCOUNTRY.COM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4"/>
        </w:numPr>
        <w:rPr>
          <w:rFonts w:ascii="Arial" w:cs="Arial" w:eastAsia="Arial" w:hAnsi="Arial"/>
          <w:sz w:val="18"/>
          <w:szCs w:val="18"/>
          <w:color w:val="auto"/>
        </w:rPr>
      </w:pPr>
      <w:r>
        <w:rPr>
          <w:rFonts w:ascii="Arial" w:cs="Arial" w:eastAsia="Arial" w:hAnsi="Arial"/>
          <w:sz w:val="18"/>
          <w:szCs w:val="18"/>
          <w:color w:val="auto"/>
        </w:rPr>
        <w:t>GCUMAIL.COM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4"/>
        </w:numPr>
        <w:rPr>
          <w:rFonts w:ascii="Arial" w:cs="Arial" w:eastAsia="Arial" w:hAnsi="Arial"/>
          <w:sz w:val="18"/>
          <w:szCs w:val="18"/>
          <w:color w:val="auto"/>
        </w:rPr>
      </w:pPr>
      <w:r>
        <w:rPr>
          <w:rFonts w:ascii="Arial" w:cs="Arial" w:eastAsia="Arial" w:hAnsi="Arial"/>
          <w:sz w:val="18"/>
          <w:szCs w:val="18"/>
          <w:color w:val="auto"/>
        </w:rPr>
        <w:t>GCUMAIL.NET</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4"/>
        </w:numPr>
        <w:rPr>
          <w:rFonts w:ascii="Arial" w:cs="Arial" w:eastAsia="Arial" w:hAnsi="Arial"/>
          <w:sz w:val="18"/>
          <w:szCs w:val="18"/>
          <w:color w:val="auto"/>
        </w:rPr>
      </w:pPr>
      <w:r>
        <w:rPr>
          <w:rFonts w:ascii="Arial" w:cs="Arial" w:eastAsia="Arial" w:hAnsi="Arial"/>
          <w:sz w:val="18"/>
          <w:szCs w:val="18"/>
          <w:color w:val="auto"/>
        </w:rPr>
        <w:t>GCUMBASUCKS.COM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4"/>
        </w:numPr>
        <w:rPr>
          <w:rFonts w:ascii="Arial" w:cs="Arial" w:eastAsia="Arial" w:hAnsi="Arial"/>
          <w:sz w:val="18"/>
          <w:szCs w:val="18"/>
          <w:color w:val="auto"/>
        </w:rPr>
      </w:pPr>
      <w:r>
        <w:rPr>
          <w:rFonts w:ascii="Arial" w:cs="Arial" w:eastAsia="Arial" w:hAnsi="Arial"/>
          <w:sz w:val="18"/>
          <w:szCs w:val="18"/>
          <w:color w:val="auto"/>
        </w:rPr>
        <w:t>GCU-MBA-SUCKS.COM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4"/>
        </w:numPr>
        <w:rPr>
          <w:rFonts w:ascii="Arial" w:cs="Arial" w:eastAsia="Arial" w:hAnsi="Arial"/>
          <w:sz w:val="18"/>
          <w:szCs w:val="18"/>
          <w:color w:val="auto"/>
        </w:rPr>
      </w:pPr>
      <w:r>
        <w:rPr>
          <w:rFonts w:ascii="Arial" w:cs="Arial" w:eastAsia="Arial" w:hAnsi="Arial"/>
          <w:sz w:val="18"/>
          <w:szCs w:val="18"/>
          <w:color w:val="auto"/>
        </w:rPr>
        <w:t>GCUMBASUCKS.NET</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4"/>
        </w:numPr>
        <w:rPr>
          <w:rFonts w:ascii="Arial" w:cs="Arial" w:eastAsia="Arial" w:hAnsi="Arial"/>
          <w:sz w:val="18"/>
          <w:szCs w:val="18"/>
          <w:color w:val="auto"/>
        </w:rPr>
      </w:pPr>
      <w:r>
        <w:rPr>
          <w:rFonts w:ascii="Arial" w:cs="Arial" w:eastAsia="Arial" w:hAnsi="Arial"/>
          <w:sz w:val="18"/>
          <w:szCs w:val="18"/>
          <w:color w:val="auto"/>
        </w:rPr>
        <w:t>GCU-MBA-SUCKS.NET</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4"/>
        </w:numPr>
        <w:rPr>
          <w:rFonts w:ascii="Arial" w:cs="Arial" w:eastAsia="Arial" w:hAnsi="Arial"/>
          <w:sz w:val="18"/>
          <w:szCs w:val="18"/>
          <w:color w:val="auto"/>
        </w:rPr>
      </w:pPr>
      <w:r>
        <w:rPr>
          <w:rFonts w:ascii="Arial" w:cs="Arial" w:eastAsia="Arial" w:hAnsi="Arial"/>
          <w:sz w:val="18"/>
          <w:szCs w:val="18"/>
          <w:color w:val="auto"/>
        </w:rPr>
        <w:t>GCUMEDIA.COM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4"/>
        </w:numPr>
        <w:rPr>
          <w:rFonts w:ascii="Arial" w:cs="Arial" w:eastAsia="Arial" w:hAnsi="Arial"/>
          <w:sz w:val="18"/>
          <w:szCs w:val="18"/>
          <w:color w:val="auto"/>
        </w:rPr>
      </w:pPr>
      <w:r>
        <w:rPr>
          <w:rFonts w:ascii="Arial" w:cs="Arial" w:eastAsia="Arial" w:hAnsi="Arial"/>
          <w:sz w:val="18"/>
          <w:szCs w:val="18"/>
          <w:color w:val="auto"/>
        </w:rPr>
        <w:t>GCUMENSCLUBSOCCER.COM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4"/>
        </w:numPr>
        <w:rPr>
          <w:rFonts w:ascii="Arial" w:cs="Arial" w:eastAsia="Arial" w:hAnsi="Arial"/>
          <w:sz w:val="18"/>
          <w:szCs w:val="18"/>
          <w:color w:val="auto"/>
        </w:rPr>
      </w:pPr>
      <w:r>
        <w:rPr>
          <w:rFonts w:ascii="Arial" w:cs="Arial" w:eastAsia="Arial" w:hAnsi="Arial"/>
          <w:sz w:val="18"/>
          <w:szCs w:val="18"/>
          <w:color w:val="auto"/>
        </w:rPr>
        <w:t>GCUMISSIONS.COM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4"/>
        </w:numPr>
        <w:rPr>
          <w:rFonts w:ascii="Arial" w:cs="Arial" w:eastAsia="Arial" w:hAnsi="Arial"/>
          <w:sz w:val="18"/>
          <w:szCs w:val="18"/>
          <w:color w:val="auto"/>
        </w:rPr>
      </w:pPr>
      <w:r>
        <w:rPr>
          <w:rFonts w:ascii="Arial" w:cs="Arial" w:eastAsia="Arial" w:hAnsi="Arial"/>
          <w:sz w:val="18"/>
          <w:szCs w:val="18"/>
          <w:color w:val="auto"/>
        </w:rPr>
        <w:t>GCUNOW.COM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4"/>
        </w:numPr>
        <w:rPr>
          <w:rFonts w:ascii="Arial" w:cs="Arial" w:eastAsia="Arial" w:hAnsi="Arial"/>
          <w:sz w:val="18"/>
          <w:szCs w:val="18"/>
          <w:color w:val="auto"/>
        </w:rPr>
      </w:pPr>
      <w:r>
        <w:rPr>
          <w:rFonts w:ascii="Arial" w:cs="Arial" w:eastAsia="Arial" w:hAnsi="Arial"/>
          <w:sz w:val="18"/>
          <w:szCs w:val="18"/>
          <w:color w:val="auto"/>
        </w:rPr>
        <w:t>GCUNURSESSUCK.COM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4"/>
        </w:numPr>
        <w:rPr>
          <w:rFonts w:ascii="Arial" w:cs="Arial" w:eastAsia="Arial" w:hAnsi="Arial"/>
          <w:sz w:val="18"/>
          <w:szCs w:val="18"/>
          <w:color w:val="auto"/>
        </w:rPr>
      </w:pPr>
      <w:r>
        <w:rPr>
          <w:rFonts w:ascii="Arial" w:cs="Arial" w:eastAsia="Arial" w:hAnsi="Arial"/>
          <w:sz w:val="18"/>
          <w:szCs w:val="18"/>
          <w:color w:val="auto"/>
        </w:rPr>
        <w:t>GCU-NURSES-SUCK.COM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4"/>
        </w:numPr>
        <w:rPr>
          <w:rFonts w:ascii="Arial" w:cs="Arial" w:eastAsia="Arial" w:hAnsi="Arial"/>
          <w:sz w:val="18"/>
          <w:szCs w:val="18"/>
          <w:color w:val="auto"/>
        </w:rPr>
      </w:pPr>
      <w:r>
        <w:rPr>
          <w:rFonts w:ascii="Arial" w:cs="Arial" w:eastAsia="Arial" w:hAnsi="Arial"/>
          <w:sz w:val="18"/>
          <w:szCs w:val="18"/>
          <w:color w:val="auto"/>
        </w:rPr>
        <w:t>GCUNURSESSUCK.NET</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4"/>
        </w:numPr>
        <w:rPr>
          <w:rFonts w:ascii="Arial" w:cs="Arial" w:eastAsia="Arial" w:hAnsi="Arial"/>
          <w:sz w:val="18"/>
          <w:szCs w:val="18"/>
          <w:color w:val="auto"/>
        </w:rPr>
      </w:pPr>
      <w:r>
        <w:rPr>
          <w:rFonts w:ascii="Arial" w:cs="Arial" w:eastAsia="Arial" w:hAnsi="Arial"/>
          <w:sz w:val="18"/>
          <w:szCs w:val="18"/>
          <w:color w:val="auto"/>
        </w:rPr>
        <w:t>GCU-NURSES-SUCK.NET</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4"/>
        </w:numPr>
        <w:rPr>
          <w:rFonts w:ascii="Arial" w:cs="Arial" w:eastAsia="Arial" w:hAnsi="Arial"/>
          <w:sz w:val="18"/>
          <w:szCs w:val="18"/>
          <w:color w:val="auto"/>
        </w:rPr>
      </w:pPr>
      <w:r>
        <w:rPr>
          <w:rFonts w:ascii="Arial" w:cs="Arial" w:eastAsia="Arial" w:hAnsi="Arial"/>
          <w:sz w:val="18"/>
          <w:szCs w:val="18"/>
          <w:color w:val="auto"/>
        </w:rPr>
        <w:t>GCUNURSINGSUCKS.COM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4"/>
        </w:numPr>
        <w:rPr>
          <w:rFonts w:ascii="Arial" w:cs="Arial" w:eastAsia="Arial" w:hAnsi="Arial"/>
          <w:sz w:val="18"/>
          <w:szCs w:val="18"/>
          <w:color w:val="auto"/>
        </w:rPr>
      </w:pPr>
      <w:r>
        <w:rPr>
          <w:rFonts w:ascii="Arial" w:cs="Arial" w:eastAsia="Arial" w:hAnsi="Arial"/>
          <w:sz w:val="18"/>
          <w:szCs w:val="18"/>
          <w:color w:val="auto"/>
        </w:rPr>
        <w:t>GCU-NURSING-SUCKS.COM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4"/>
        </w:numPr>
        <w:rPr>
          <w:rFonts w:ascii="Arial" w:cs="Arial" w:eastAsia="Arial" w:hAnsi="Arial"/>
          <w:sz w:val="18"/>
          <w:szCs w:val="18"/>
          <w:color w:val="auto"/>
        </w:rPr>
      </w:pPr>
      <w:r>
        <w:rPr>
          <w:rFonts w:ascii="Arial" w:cs="Arial" w:eastAsia="Arial" w:hAnsi="Arial"/>
          <w:sz w:val="18"/>
          <w:szCs w:val="18"/>
          <w:color w:val="auto"/>
        </w:rPr>
        <w:t>GCUNURSINGSUCKS.NET</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4"/>
        </w:numPr>
        <w:rPr>
          <w:rFonts w:ascii="Arial" w:cs="Arial" w:eastAsia="Arial" w:hAnsi="Arial"/>
          <w:sz w:val="18"/>
          <w:szCs w:val="18"/>
          <w:color w:val="auto"/>
        </w:rPr>
      </w:pPr>
      <w:r>
        <w:rPr>
          <w:rFonts w:ascii="Arial" w:cs="Arial" w:eastAsia="Arial" w:hAnsi="Arial"/>
          <w:sz w:val="18"/>
          <w:szCs w:val="18"/>
          <w:color w:val="auto"/>
        </w:rPr>
        <w:t>GCU-NURSING-SUCKS.NET</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4"/>
        </w:numPr>
        <w:rPr>
          <w:rFonts w:ascii="Arial" w:cs="Arial" w:eastAsia="Arial" w:hAnsi="Arial"/>
          <w:sz w:val="18"/>
          <w:szCs w:val="18"/>
          <w:color w:val="auto"/>
        </w:rPr>
      </w:pPr>
      <w:r>
        <w:rPr>
          <w:rFonts w:ascii="Arial" w:cs="Arial" w:eastAsia="Arial" w:hAnsi="Arial"/>
          <w:sz w:val="18"/>
          <w:szCs w:val="18"/>
          <w:color w:val="auto"/>
        </w:rPr>
        <w:t>GCUONLINE.NET</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4"/>
        </w:numPr>
        <w:rPr>
          <w:rFonts w:ascii="Arial" w:cs="Arial" w:eastAsia="Arial" w:hAnsi="Arial"/>
          <w:sz w:val="18"/>
          <w:szCs w:val="18"/>
          <w:color w:val="auto"/>
        </w:rPr>
      </w:pPr>
      <w:r>
        <w:rPr>
          <w:rFonts w:ascii="Arial" w:cs="Arial" w:eastAsia="Arial" w:hAnsi="Arial"/>
          <w:sz w:val="18"/>
          <w:szCs w:val="18"/>
          <w:color w:val="auto"/>
        </w:rPr>
        <w:t>GCUONLINEPROGRAMS.COM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4"/>
        </w:numPr>
        <w:rPr>
          <w:rFonts w:ascii="Arial" w:cs="Arial" w:eastAsia="Arial" w:hAnsi="Arial"/>
          <w:sz w:val="18"/>
          <w:szCs w:val="18"/>
          <w:color w:val="auto"/>
        </w:rPr>
      </w:pPr>
      <w:r>
        <w:rPr>
          <w:rFonts w:ascii="Arial" w:cs="Arial" w:eastAsia="Arial" w:hAnsi="Arial"/>
          <w:sz w:val="18"/>
          <w:szCs w:val="18"/>
          <w:color w:val="auto"/>
        </w:rPr>
        <w:t>GCUPOC.COM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4"/>
        </w:numPr>
        <w:rPr>
          <w:rFonts w:ascii="Arial" w:cs="Arial" w:eastAsia="Arial" w:hAnsi="Arial"/>
          <w:sz w:val="18"/>
          <w:szCs w:val="18"/>
          <w:color w:val="auto"/>
        </w:rPr>
      </w:pPr>
      <w:r>
        <w:rPr>
          <w:rFonts w:ascii="Arial" w:cs="Arial" w:eastAsia="Arial" w:hAnsi="Arial"/>
          <w:sz w:val="18"/>
          <w:szCs w:val="18"/>
          <w:color w:val="auto"/>
        </w:rPr>
        <w:t>GCUPURPOSE.COM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4"/>
        </w:numPr>
        <w:rPr>
          <w:rFonts w:ascii="Arial" w:cs="Arial" w:eastAsia="Arial" w:hAnsi="Arial"/>
          <w:sz w:val="18"/>
          <w:szCs w:val="18"/>
          <w:color w:val="auto"/>
        </w:rPr>
      </w:pPr>
      <w:r>
        <w:rPr>
          <w:rFonts w:ascii="Arial" w:cs="Arial" w:eastAsia="Arial" w:hAnsi="Arial"/>
          <w:sz w:val="18"/>
          <w:szCs w:val="18"/>
          <w:color w:val="auto"/>
        </w:rPr>
        <w:t>GCURACESERIES.COM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4"/>
        </w:numPr>
        <w:rPr>
          <w:rFonts w:ascii="Arial" w:cs="Arial" w:eastAsia="Arial" w:hAnsi="Arial"/>
          <w:sz w:val="18"/>
          <w:szCs w:val="18"/>
          <w:color w:val="auto"/>
        </w:rPr>
      </w:pPr>
      <w:r>
        <w:rPr>
          <w:rFonts w:ascii="Arial" w:cs="Arial" w:eastAsia="Arial" w:hAnsi="Arial"/>
          <w:sz w:val="18"/>
          <w:szCs w:val="18"/>
          <w:color w:val="auto"/>
        </w:rPr>
        <w:t>GCURESORT.COM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4"/>
        </w:numPr>
        <w:rPr>
          <w:rFonts w:ascii="Arial" w:cs="Arial" w:eastAsia="Arial" w:hAnsi="Arial"/>
          <w:sz w:val="18"/>
          <w:szCs w:val="18"/>
          <w:color w:val="auto"/>
        </w:rPr>
      </w:pPr>
      <w:r>
        <w:rPr>
          <w:rFonts w:ascii="Arial" w:cs="Arial" w:eastAsia="Arial" w:hAnsi="Arial"/>
          <w:sz w:val="18"/>
          <w:szCs w:val="18"/>
          <w:color w:val="auto"/>
        </w:rPr>
        <w:t>GCURESTAURANT.COM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4"/>
        </w:numPr>
        <w:rPr>
          <w:rFonts w:ascii="Arial" w:cs="Arial" w:eastAsia="Arial" w:hAnsi="Arial"/>
          <w:sz w:val="18"/>
          <w:szCs w:val="18"/>
          <w:color w:val="auto"/>
        </w:rPr>
      </w:pPr>
      <w:r>
        <w:rPr>
          <w:rFonts w:ascii="Arial" w:cs="Arial" w:eastAsia="Arial" w:hAnsi="Arial"/>
          <w:sz w:val="18"/>
          <w:szCs w:val="18"/>
          <w:color w:val="auto"/>
        </w:rPr>
        <w:t>GCUROCKS.COM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4"/>
        </w:numPr>
        <w:rPr>
          <w:rFonts w:ascii="Arial" w:cs="Arial" w:eastAsia="Arial" w:hAnsi="Arial"/>
          <w:sz w:val="18"/>
          <w:szCs w:val="18"/>
          <w:color w:val="auto"/>
        </w:rPr>
      </w:pPr>
      <w:r>
        <w:rPr>
          <w:rFonts w:ascii="Arial" w:cs="Arial" w:eastAsia="Arial" w:hAnsi="Arial"/>
          <w:sz w:val="18"/>
          <w:szCs w:val="18"/>
          <w:color w:val="auto"/>
        </w:rPr>
        <w:t>GCUSCHOOL.COM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4"/>
        </w:numPr>
        <w:rPr>
          <w:rFonts w:ascii="Arial" w:cs="Arial" w:eastAsia="Arial" w:hAnsi="Arial"/>
          <w:sz w:val="18"/>
          <w:szCs w:val="18"/>
          <w:color w:val="auto"/>
        </w:rPr>
      </w:pPr>
      <w:r>
        <w:rPr>
          <w:rFonts w:ascii="Arial" w:cs="Arial" w:eastAsia="Arial" w:hAnsi="Arial"/>
          <w:sz w:val="18"/>
          <w:szCs w:val="18"/>
          <w:color w:val="auto"/>
        </w:rPr>
        <w:t>GCUSOCCER.COM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4"/>
        </w:numPr>
        <w:rPr>
          <w:rFonts w:ascii="Arial" w:cs="Arial" w:eastAsia="Arial" w:hAnsi="Arial"/>
          <w:sz w:val="18"/>
          <w:szCs w:val="18"/>
          <w:color w:val="auto"/>
        </w:rPr>
      </w:pPr>
      <w:r>
        <w:rPr>
          <w:rFonts w:ascii="Arial" w:cs="Arial" w:eastAsia="Arial" w:hAnsi="Arial"/>
          <w:sz w:val="18"/>
          <w:szCs w:val="18"/>
          <w:color w:val="auto"/>
        </w:rPr>
        <w:t>GCUSTORE.COM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4"/>
        </w:numPr>
        <w:rPr>
          <w:rFonts w:ascii="Arial" w:cs="Arial" w:eastAsia="Arial" w:hAnsi="Arial"/>
          <w:sz w:val="18"/>
          <w:szCs w:val="18"/>
          <w:color w:val="auto"/>
        </w:rPr>
      </w:pPr>
      <w:r>
        <w:rPr>
          <w:rFonts w:ascii="Arial" w:cs="Arial" w:eastAsia="Arial" w:hAnsi="Arial"/>
          <w:sz w:val="18"/>
          <w:szCs w:val="18"/>
          <w:color w:val="auto"/>
        </w:rPr>
        <w:t>GCUSTUDENTLOANFORGIVENESS.COM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4"/>
        </w:numPr>
        <w:rPr>
          <w:rFonts w:ascii="Arial" w:cs="Arial" w:eastAsia="Arial" w:hAnsi="Arial"/>
          <w:sz w:val="18"/>
          <w:szCs w:val="18"/>
          <w:color w:val="auto"/>
        </w:rPr>
      </w:pPr>
      <w:r>
        <w:rPr>
          <w:rFonts w:ascii="Arial" w:cs="Arial" w:eastAsia="Arial" w:hAnsi="Arial"/>
          <w:sz w:val="18"/>
          <w:szCs w:val="18"/>
          <w:color w:val="auto"/>
        </w:rPr>
        <w:t>GCUSUCKS.COM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4"/>
        </w:numPr>
        <w:rPr>
          <w:rFonts w:ascii="Arial" w:cs="Arial" w:eastAsia="Arial" w:hAnsi="Arial"/>
          <w:sz w:val="18"/>
          <w:szCs w:val="18"/>
          <w:color w:val="auto"/>
        </w:rPr>
      </w:pPr>
      <w:r>
        <w:rPr>
          <w:rFonts w:ascii="Arial" w:cs="Arial" w:eastAsia="Arial" w:hAnsi="Arial"/>
          <w:sz w:val="18"/>
          <w:szCs w:val="18"/>
          <w:color w:val="auto"/>
        </w:rPr>
        <w:t>GCU-SUCKS.COM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4"/>
        </w:numPr>
        <w:rPr>
          <w:rFonts w:ascii="Arial" w:cs="Arial" w:eastAsia="Arial" w:hAnsi="Arial"/>
          <w:sz w:val="18"/>
          <w:szCs w:val="18"/>
          <w:color w:val="auto"/>
        </w:rPr>
      </w:pPr>
      <w:r>
        <w:rPr>
          <w:rFonts w:ascii="Arial" w:cs="Arial" w:eastAsia="Arial" w:hAnsi="Arial"/>
          <w:sz w:val="18"/>
          <w:szCs w:val="18"/>
          <w:color w:val="auto"/>
        </w:rPr>
        <w:t>GCUSUCKS.NET</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4"/>
        </w:numPr>
        <w:rPr>
          <w:rFonts w:ascii="Arial" w:cs="Arial" w:eastAsia="Arial" w:hAnsi="Arial"/>
          <w:sz w:val="18"/>
          <w:szCs w:val="18"/>
          <w:color w:val="auto"/>
        </w:rPr>
      </w:pPr>
      <w:r>
        <w:rPr>
          <w:rFonts w:ascii="Arial" w:cs="Arial" w:eastAsia="Arial" w:hAnsi="Arial"/>
          <w:sz w:val="18"/>
          <w:szCs w:val="18"/>
          <w:color w:val="auto"/>
        </w:rPr>
        <w:t>GCU-SUCKS.NET</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4"/>
        </w:numPr>
        <w:rPr>
          <w:rFonts w:ascii="Arial" w:cs="Arial" w:eastAsia="Arial" w:hAnsi="Arial"/>
          <w:sz w:val="18"/>
          <w:szCs w:val="18"/>
          <w:color w:val="auto"/>
        </w:rPr>
      </w:pPr>
      <w:r>
        <w:rPr>
          <w:rFonts w:ascii="Arial" w:cs="Arial" w:eastAsia="Arial" w:hAnsi="Arial"/>
          <w:sz w:val="18"/>
          <w:szCs w:val="18"/>
          <w:color w:val="auto"/>
        </w:rPr>
        <w:t>GCUSUCKS.ORG</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4"/>
        </w:numPr>
        <w:rPr>
          <w:rFonts w:ascii="Arial" w:cs="Arial" w:eastAsia="Arial" w:hAnsi="Arial"/>
          <w:sz w:val="18"/>
          <w:szCs w:val="18"/>
          <w:color w:val="auto"/>
        </w:rPr>
      </w:pPr>
      <w:r>
        <w:rPr>
          <w:rFonts w:ascii="Arial" w:cs="Arial" w:eastAsia="Arial" w:hAnsi="Arial"/>
          <w:sz w:val="18"/>
          <w:szCs w:val="18"/>
          <w:color w:val="auto"/>
        </w:rPr>
        <w:t>GCUSWIMMING.COM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4"/>
        </w:numPr>
        <w:rPr>
          <w:rFonts w:ascii="Arial" w:cs="Arial" w:eastAsia="Arial" w:hAnsi="Arial"/>
          <w:sz w:val="18"/>
          <w:szCs w:val="18"/>
          <w:color w:val="auto"/>
        </w:rPr>
      </w:pPr>
      <w:r>
        <w:rPr>
          <w:rFonts w:ascii="Arial" w:cs="Arial" w:eastAsia="Arial" w:hAnsi="Arial"/>
          <w:sz w:val="18"/>
          <w:szCs w:val="18"/>
          <w:color w:val="auto"/>
        </w:rPr>
        <w:t>GCUTEAMSHOP.COM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4"/>
        </w:numPr>
        <w:rPr>
          <w:rFonts w:ascii="Arial" w:cs="Arial" w:eastAsia="Arial" w:hAnsi="Arial"/>
          <w:sz w:val="18"/>
          <w:szCs w:val="18"/>
          <w:color w:val="auto"/>
        </w:rPr>
      </w:pPr>
      <w:r>
        <w:rPr>
          <w:rFonts w:ascii="Arial" w:cs="Arial" w:eastAsia="Arial" w:hAnsi="Arial"/>
          <w:sz w:val="18"/>
          <w:szCs w:val="18"/>
          <w:color w:val="auto"/>
        </w:rPr>
        <w:t>GCUTENNIS.COM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4"/>
        </w:numPr>
        <w:rPr>
          <w:rFonts w:ascii="Arial" w:cs="Arial" w:eastAsia="Arial" w:hAnsi="Arial"/>
          <w:sz w:val="18"/>
          <w:szCs w:val="18"/>
          <w:color w:val="auto"/>
        </w:rPr>
      </w:pPr>
      <w:r>
        <w:rPr>
          <w:rFonts w:ascii="Arial" w:cs="Arial" w:eastAsia="Arial" w:hAnsi="Arial"/>
          <w:sz w:val="18"/>
          <w:szCs w:val="18"/>
          <w:color w:val="auto"/>
        </w:rPr>
        <w:t>GCUTHUNDER.COM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4"/>
        </w:numPr>
        <w:rPr>
          <w:rFonts w:ascii="Arial" w:cs="Arial" w:eastAsia="Arial" w:hAnsi="Arial"/>
          <w:sz w:val="18"/>
          <w:szCs w:val="18"/>
          <w:color w:val="auto"/>
        </w:rPr>
      </w:pPr>
      <w:r>
        <w:rPr>
          <w:rFonts w:ascii="Arial" w:cs="Arial" w:eastAsia="Arial" w:hAnsi="Arial"/>
          <w:sz w:val="18"/>
          <w:szCs w:val="18"/>
          <w:color w:val="auto"/>
        </w:rPr>
        <w:t>GCUTHUNDERTICKET.COM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4"/>
        </w:numPr>
        <w:rPr>
          <w:rFonts w:ascii="Arial" w:cs="Arial" w:eastAsia="Arial" w:hAnsi="Arial"/>
          <w:sz w:val="18"/>
          <w:szCs w:val="18"/>
          <w:color w:val="auto"/>
        </w:rPr>
      </w:pPr>
      <w:r>
        <w:rPr>
          <w:rFonts w:ascii="Arial" w:cs="Arial" w:eastAsia="Arial" w:hAnsi="Arial"/>
          <w:sz w:val="18"/>
          <w:szCs w:val="18"/>
          <w:color w:val="auto"/>
        </w:rPr>
        <w:t>GCUTICKETS.COM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4"/>
        </w:numPr>
        <w:rPr>
          <w:rFonts w:ascii="Arial" w:cs="Arial" w:eastAsia="Arial" w:hAnsi="Arial"/>
          <w:sz w:val="18"/>
          <w:szCs w:val="18"/>
          <w:color w:val="auto"/>
        </w:rPr>
      </w:pPr>
      <w:r>
        <w:rPr>
          <w:rFonts w:ascii="Arial" w:cs="Arial" w:eastAsia="Arial" w:hAnsi="Arial"/>
          <w:sz w:val="18"/>
          <w:szCs w:val="18"/>
          <w:color w:val="auto"/>
        </w:rPr>
        <w:t>GCUTIX.COM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4"/>
        </w:numPr>
        <w:rPr>
          <w:rFonts w:ascii="Arial" w:cs="Arial" w:eastAsia="Arial" w:hAnsi="Arial"/>
          <w:sz w:val="18"/>
          <w:szCs w:val="18"/>
          <w:color w:val="auto"/>
        </w:rPr>
      </w:pPr>
      <w:r>
        <w:rPr>
          <w:rFonts w:ascii="Arial" w:cs="Arial" w:eastAsia="Arial" w:hAnsi="Arial"/>
          <w:sz w:val="18"/>
          <w:szCs w:val="18"/>
          <w:color w:val="auto"/>
        </w:rPr>
        <w:t>GCUTODAY.COM</w:t>
      </w:r>
    </w:p>
    <w:p>
      <w:pPr>
        <w:spacing w:after="0" w:line="211" w:lineRule="exact"/>
        <w:rPr>
          <w:sz w:val="20"/>
          <w:szCs w:val="20"/>
          <w:color w:val="auto"/>
        </w:rPr>
      </w:pPr>
    </w:p>
    <w:p>
      <w:pPr>
        <w:jc w:val="right"/>
        <w:ind w:right="4079"/>
        <w:spacing w:after="0"/>
        <w:rPr>
          <w:sz w:val="20"/>
          <w:szCs w:val="20"/>
          <w:color w:val="auto"/>
        </w:rPr>
      </w:pPr>
      <w:r>
        <w:rPr>
          <w:rFonts w:ascii="Arial" w:cs="Arial" w:eastAsia="Arial" w:hAnsi="Arial"/>
          <w:sz w:val="18"/>
          <w:szCs w:val="18"/>
          <w:color w:val="auto"/>
        </w:rPr>
        <w:t>Exhibit E-7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81280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887"/>
          </w:cols>
          <w:pgMar w:left="572" w:top="341" w:right="1440" w:bottom="1440" w:gutter="0" w:footer="0" w:header="0"/>
        </w:sectPr>
      </w:pPr>
    </w:p>
    <w:bookmarkStart w:id="75" w:name="page76"/>
    <w:bookmarkEnd w:id="75"/>
    <w:p>
      <w:pPr>
        <w:ind w:left="968" w:hanging="968"/>
        <w:spacing w:after="0"/>
        <w:tabs>
          <w:tab w:leader="none" w:pos="968" w:val="left"/>
        </w:tabs>
        <w:numPr>
          <w:ilvl w:val="0"/>
          <w:numId w:val="65"/>
        </w:numPr>
        <w:rPr>
          <w:rFonts w:ascii="Arial" w:cs="Arial" w:eastAsia="Arial" w:hAnsi="Arial"/>
          <w:sz w:val="18"/>
          <w:szCs w:val="18"/>
          <w:color w:val="auto"/>
        </w:rPr>
      </w:pPr>
      <w:r>
        <w:rPr>
          <w:rFonts w:ascii="Arial" w:cs="Arial" w:eastAsia="Arial" w:hAnsi="Arial"/>
          <w:sz w:val="18"/>
          <w:szCs w:val="18"/>
          <w:color w:val="auto"/>
        </w:rPr>
        <w:t>GCUTRIATHLON.COM</w:t>
      </w:r>
    </w:p>
    <w:p>
      <w:pPr>
        <w:spacing w:after="0" w:line="23" w:lineRule="exact"/>
        <w:rPr>
          <w:rFonts w:ascii="Arial" w:cs="Arial" w:eastAsia="Arial" w:hAnsi="Arial"/>
          <w:sz w:val="18"/>
          <w:szCs w:val="18"/>
          <w:color w:val="auto"/>
        </w:rPr>
      </w:pPr>
    </w:p>
    <w:p>
      <w:pPr>
        <w:ind w:left="968" w:hanging="968"/>
        <w:spacing w:after="0"/>
        <w:tabs>
          <w:tab w:leader="none" w:pos="968" w:val="left"/>
        </w:tabs>
        <w:numPr>
          <w:ilvl w:val="0"/>
          <w:numId w:val="65"/>
        </w:numPr>
        <w:rPr>
          <w:rFonts w:ascii="Arial" w:cs="Arial" w:eastAsia="Arial" w:hAnsi="Arial"/>
          <w:sz w:val="18"/>
          <w:szCs w:val="18"/>
          <w:color w:val="auto"/>
        </w:rPr>
      </w:pPr>
      <w:r>
        <w:rPr>
          <w:rFonts w:ascii="Arial" w:cs="Arial" w:eastAsia="Arial" w:hAnsi="Arial"/>
          <w:sz w:val="18"/>
          <w:szCs w:val="18"/>
          <w:color w:val="auto"/>
        </w:rPr>
        <w:t>GCUTV.COM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5"/>
        </w:numPr>
        <w:rPr>
          <w:rFonts w:ascii="Arial" w:cs="Arial" w:eastAsia="Arial" w:hAnsi="Arial"/>
          <w:sz w:val="18"/>
          <w:szCs w:val="18"/>
          <w:color w:val="auto"/>
        </w:rPr>
      </w:pPr>
      <w:r>
        <w:rPr>
          <w:rFonts w:ascii="Arial" w:cs="Arial" w:eastAsia="Arial" w:hAnsi="Arial"/>
          <w:sz w:val="18"/>
          <w:szCs w:val="18"/>
          <w:color w:val="auto"/>
        </w:rPr>
        <w:t>GCUULTIMATEFRISBEE.COM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5"/>
        </w:numPr>
        <w:rPr>
          <w:rFonts w:ascii="Arial" w:cs="Arial" w:eastAsia="Arial" w:hAnsi="Arial"/>
          <w:sz w:val="18"/>
          <w:szCs w:val="18"/>
          <w:color w:val="auto"/>
        </w:rPr>
      </w:pPr>
      <w:r>
        <w:rPr>
          <w:rFonts w:ascii="Arial" w:cs="Arial" w:eastAsia="Arial" w:hAnsi="Arial"/>
          <w:sz w:val="18"/>
          <w:szCs w:val="18"/>
          <w:color w:val="auto"/>
        </w:rPr>
        <w:t>GCUVOLLEYBALL.COM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5"/>
        </w:numPr>
        <w:rPr>
          <w:rFonts w:ascii="Arial" w:cs="Arial" w:eastAsia="Arial" w:hAnsi="Arial"/>
          <w:sz w:val="18"/>
          <w:szCs w:val="18"/>
          <w:color w:val="auto"/>
        </w:rPr>
      </w:pPr>
      <w:r>
        <w:rPr>
          <w:rFonts w:ascii="Arial" w:cs="Arial" w:eastAsia="Arial" w:hAnsi="Arial"/>
          <w:sz w:val="18"/>
          <w:szCs w:val="18"/>
          <w:color w:val="auto"/>
        </w:rPr>
        <w:t>GCUWOMENSCLUBSOCCER.COM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5"/>
        </w:numPr>
        <w:rPr>
          <w:rFonts w:ascii="Arial" w:cs="Arial" w:eastAsia="Arial" w:hAnsi="Arial"/>
          <w:sz w:val="18"/>
          <w:szCs w:val="18"/>
          <w:color w:val="auto"/>
        </w:rPr>
      </w:pPr>
      <w:r>
        <w:rPr>
          <w:rFonts w:ascii="Arial" w:cs="Arial" w:eastAsia="Arial" w:hAnsi="Arial"/>
          <w:sz w:val="18"/>
          <w:szCs w:val="18"/>
          <w:color w:val="auto"/>
        </w:rPr>
        <w:t>GODGIVENTALENT.TV</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5"/>
        </w:numPr>
        <w:rPr>
          <w:rFonts w:ascii="Arial" w:cs="Arial" w:eastAsia="Arial" w:hAnsi="Arial"/>
          <w:sz w:val="18"/>
          <w:szCs w:val="18"/>
          <w:color w:val="auto"/>
        </w:rPr>
      </w:pPr>
      <w:r>
        <w:rPr>
          <w:rFonts w:ascii="Arial" w:cs="Arial" w:eastAsia="Arial" w:hAnsi="Arial"/>
          <w:sz w:val="18"/>
          <w:szCs w:val="18"/>
          <w:color w:val="auto"/>
        </w:rPr>
        <w:t>GRANDCANYON.EDUCATION</w:t>
      </w:r>
    </w:p>
    <w:p>
      <w:pPr>
        <w:spacing w:after="0" w:line="9" w:lineRule="exact"/>
        <w:rPr>
          <w:rFonts w:ascii="Arial" w:cs="Arial" w:eastAsia="Arial" w:hAnsi="Arial"/>
          <w:sz w:val="18"/>
          <w:szCs w:val="18"/>
          <w:color w:val="auto"/>
        </w:rPr>
      </w:pPr>
    </w:p>
    <w:p>
      <w:pPr>
        <w:ind w:left="948" w:hanging="948"/>
        <w:spacing w:after="0"/>
        <w:tabs>
          <w:tab w:leader="none" w:pos="948" w:val="left"/>
        </w:tabs>
        <w:numPr>
          <w:ilvl w:val="0"/>
          <w:numId w:val="65"/>
        </w:numPr>
        <w:rPr>
          <w:rFonts w:ascii="Arial" w:cs="Arial" w:eastAsia="Arial" w:hAnsi="Arial"/>
          <w:sz w:val="18"/>
          <w:szCs w:val="18"/>
          <w:color w:val="auto"/>
        </w:rPr>
      </w:pPr>
      <w:r>
        <w:rPr>
          <w:rFonts w:ascii="Arial" w:cs="Arial" w:eastAsia="Arial" w:hAnsi="Arial"/>
          <w:sz w:val="18"/>
          <w:szCs w:val="18"/>
          <w:color w:val="auto"/>
        </w:rPr>
        <w:t>GRANDCANYONBEVERAGE.CO</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5"/>
        </w:numPr>
        <w:rPr>
          <w:rFonts w:ascii="Arial" w:cs="Arial" w:eastAsia="Arial" w:hAnsi="Arial"/>
          <w:sz w:val="18"/>
          <w:szCs w:val="18"/>
          <w:color w:val="auto"/>
        </w:rPr>
      </w:pPr>
      <w:r>
        <w:rPr>
          <w:rFonts w:ascii="Arial" w:cs="Arial" w:eastAsia="Arial" w:hAnsi="Arial"/>
          <w:sz w:val="18"/>
          <w:szCs w:val="18"/>
          <w:color w:val="auto"/>
        </w:rPr>
        <w:t>GRANDCANYONBEVERAGE.COM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5"/>
        </w:numPr>
        <w:rPr>
          <w:rFonts w:ascii="Arial" w:cs="Arial" w:eastAsia="Arial" w:hAnsi="Arial"/>
          <w:sz w:val="18"/>
          <w:szCs w:val="18"/>
          <w:color w:val="auto"/>
        </w:rPr>
      </w:pPr>
      <w:r>
        <w:rPr>
          <w:rFonts w:ascii="Arial" w:cs="Arial" w:eastAsia="Arial" w:hAnsi="Arial"/>
          <w:sz w:val="18"/>
          <w:szCs w:val="18"/>
          <w:color w:val="auto"/>
        </w:rPr>
        <w:t>GRANDCANYONBEVERAGECO.COM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5"/>
        </w:numPr>
        <w:rPr>
          <w:rFonts w:ascii="Arial" w:cs="Arial" w:eastAsia="Arial" w:hAnsi="Arial"/>
          <w:sz w:val="18"/>
          <w:szCs w:val="18"/>
          <w:color w:val="auto"/>
        </w:rPr>
      </w:pPr>
      <w:r>
        <w:rPr>
          <w:rFonts w:ascii="Arial" w:cs="Arial" w:eastAsia="Arial" w:hAnsi="Arial"/>
          <w:sz w:val="18"/>
          <w:szCs w:val="18"/>
          <w:color w:val="auto"/>
        </w:rPr>
        <w:t>GRANDCANYONED.COM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5"/>
        </w:numPr>
        <w:rPr>
          <w:rFonts w:ascii="Arial" w:cs="Arial" w:eastAsia="Arial" w:hAnsi="Arial"/>
          <w:sz w:val="18"/>
          <w:szCs w:val="18"/>
          <w:color w:val="auto"/>
        </w:rPr>
      </w:pPr>
      <w:r>
        <w:rPr>
          <w:rFonts w:ascii="Arial" w:cs="Arial" w:eastAsia="Arial" w:hAnsi="Arial"/>
          <w:sz w:val="18"/>
          <w:szCs w:val="18"/>
          <w:color w:val="auto"/>
        </w:rPr>
        <w:t>GRANDCANYONEDUCATION.COM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5"/>
        </w:numPr>
        <w:rPr>
          <w:rFonts w:ascii="Arial" w:cs="Arial" w:eastAsia="Arial" w:hAnsi="Arial"/>
          <w:sz w:val="18"/>
          <w:szCs w:val="18"/>
          <w:color w:val="auto"/>
        </w:rPr>
      </w:pPr>
      <w:r>
        <w:rPr>
          <w:rFonts w:ascii="Arial" w:cs="Arial" w:eastAsia="Arial" w:hAnsi="Arial"/>
          <w:sz w:val="18"/>
          <w:szCs w:val="18"/>
          <w:color w:val="auto"/>
        </w:rPr>
        <w:t>GRANDCANYONEDUCATIONALSERVICES.COM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5"/>
        </w:numPr>
        <w:rPr>
          <w:rFonts w:ascii="Arial" w:cs="Arial" w:eastAsia="Arial" w:hAnsi="Arial"/>
          <w:sz w:val="18"/>
          <w:szCs w:val="18"/>
          <w:color w:val="auto"/>
        </w:rPr>
      </w:pPr>
      <w:r>
        <w:rPr>
          <w:rFonts w:ascii="Arial" w:cs="Arial" w:eastAsia="Arial" w:hAnsi="Arial"/>
          <w:sz w:val="18"/>
          <w:szCs w:val="18"/>
          <w:color w:val="auto"/>
        </w:rPr>
        <w:t>GRANDCANYONEDUCATIONSERVICES.COM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5"/>
        </w:numPr>
        <w:rPr>
          <w:rFonts w:ascii="Arial" w:cs="Arial" w:eastAsia="Arial" w:hAnsi="Arial"/>
          <w:sz w:val="18"/>
          <w:szCs w:val="18"/>
          <w:color w:val="auto"/>
        </w:rPr>
      </w:pPr>
      <w:r>
        <w:rPr>
          <w:rFonts w:ascii="Arial" w:cs="Arial" w:eastAsia="Arial" w:hAnsi="Arial"/>
          <w:sz w:val="18"/>
          <w:szCs w:val="18"/>
          <w:color w:val="auto"/>
        </w:rPr>
        <w:t>GRANDCANYONLOANFORGIVENESS.COM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5"/>
        </w:numPr>
        <w:rPr>
          <w:rFonts w:ascii="Arial" w:cs="Arial" w:eastAsia="Arial" w:hAnsi="Arial"/>
          <w:sz w:val="18"/>
          <w:szCs w:val="18"/>
          <w:color w:val="auto"/>
        </w:rPr>
      </w:pPr>
      <w:r>
        <w:rPr>
          <w:rFonts w:ascii="Arial" w:cs="Arial" w:eastAsia="Arial" w:hAnsi="Arial"/>
          <w:sz w:val="18"/>
          <w:szCs w:val="18"/>
          <w:color w:val="auto"/>
        </w:rPr>
        <w:t>GRANDCANYONUNIVERSITY.NET</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5"/>
        </w:numPr>
        <w:rPr>
          <w:rFonts w:ascii="Arial" w:cs="Arial" w:eastAsia="Arial" w:hAnsi="Arial"/>
          <w:sz w:val="18"/>
          <w:szCs w:val="18"/>
          <w:color w:val="auto"/>
        </w:rPr>
      </w:pPr>
      <w:r>
        <w:rPr>
          <w:rFonts w:ascii="Arial" w:cs="Arial" w:eastAsia="Arial" w:hAnsi="Arial"/>
          <w:sz w:val="18"/>
          <w:szCs w:val="18"/>
          <w:color w:val="auto"/>
        </w:rPr>
        <w:t>GRAND-CANYON-UNIVERSITY.NET</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5"/>
        </w:numPr>
        <w:rPr>
          <w:rFonts w:ascii="Arial" w:cs="Arial" w:eastAsia="Arial" w:hAnsi="Arial"/>
          <w:sz w:val="18"/>
          <w:szCs w:val="18"/>
          <w:color w:val="auto"/>
        </w:rPr>
      </w:pPr>
      <w:r>
        <w:rPr>
          <w:rFonts w:ascii="Arial" w:cs="Arial" w:eastAsia="Arial" w:hAnsi="Arial"/>
          <w:sz w:val="18"/>
          <w:szCs w:val="18"/>
          <w:color w:val="auto"/>
        </w:rPr>
        <w:t>GRANDCANYONUNIVERSITY.WTF</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5"/>
        </w:numPr>
        <w:rPr>
          <w:rFonts w:ascii="Arial" w:cs="Arial" w:eastAsia="Arial" w:hAnsi="Arial"/>
          <w:sz w:val="18"/>
          <w:szCs w:val="18"/>
          <w:color w:val="auto"/>
        </w:rPr>
      </w:pPr>
      <w:r>
        <w:rPr>
          <w:rFonts w:ascii="Arial" w:cs="Arial" w:eastAsia="Arial" w:hAnsi="Arial"/>
          <w:sz w:val="18"/>
          <w:szCs w:val="18"/>
          <w:color w:val="auto"/>
        </w:rPr>
        <w:t>GRANDCANYONUNIVERSITY.XXX</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5"/>
        </w:numPr>
        <w:rPr>
          <w:rFonts w:ascii="Arial" w:cs="Arial" w:eastAsia="Arial" w:hAnsi="Arial"/>
          <w:sz w:val="18"/>
          <w:szCs w:val="18"/>
          <w:color w:val="auto"/>
        </w:rPr>
      </w:pPr>
      <w:r>
        <w:rPr>
          <w:rFonts w:ascii="Arial" w:cs="Arial" w:eastAsia="Arial" w:hAnsi="Arial"/>
          <w:sz w:val="18"/>
          <w:szCs w:val="18"/>
          <w:color w:val="auto"/>
        </w:rPr>
        <w:t>GRANDCANYONUNIVERSITYARENA.COM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5"/>
        </w:numPr>
        <w:rPr>
          <w:rFonts w:ascii="Arial" w:cs="Arial" w:eastAsia="Arial" w:hAnsi="Arial"/>
          <w:sz w:val="18"/>
          <w:szCs w:val="18"/>
          <w:color w:val="auto"/>
        </w:rPr>
      </w:pPr>
      <w:r>
        <w:rPr>
          <w:rFonts w:ascii="Arial" w:cs="Arial" w:eastAsia="Arial" w:hAnsi="Arial"/>
          <w:sz w:val="18"/>
          <w:szCs w:val="18"/>
          <w:color w:val="auto"/>
        </w:rPr>
        <w:t>GRANDCANYONUNIVERSITYARENA.NET</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5"/>
        </w:numPr>
        <w:rPr>
          <w:rFonts w:ascii="Arial" w:cs="Arial" w:eastAsia="Arial" w:hAnsi="Arial"/>
          <w:sz w:val="18"/>
          <w:szCs w:val="18"/>
          <w:color w:val="auto"/>
        </w:rPr>
      </w:pPr>
      <w:r>
        <w:rPr>
          <w:rFonts w:ascii="Arial" w:cs="Arial" w:eastAsia="Arial" w:hAnsi="Arial"/>
          <w:sz w:val="18"/>
          <w:szCs w:val="18"/>
          <w:color w:val="auto"/>
        </w:rPr>
        <w:t>GRANDCANYONUNIVERSITYARENA.ORG</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5"/>
        </w:numPr>
        <w:rPr>
          <w:rFonts w:ascii="Arial" w:cs="Arial" w:eastAsia="Arial" w:hAnsi="Arial"/>
          <w:sz w:val="18"/>
          <w:szCs w:val="18"/>
          <w:color w:val="auto"/>
        </w:rPr>
      </w:pPr>
      <w:r>
        <w:rPr>
          <w:rFonts w:ascii="Arial" w:cs="Arial" w:eastAsia="Arial" w:hAnsi="Arial"/>
          <w:sz w:val="18"/>
          <w:szCs w:val="18"/>
          <w:color w:val="auto"/>
        </w:rPr>
        <w:t>GRANDCANYONUNIVERSITYINFO.COM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5"/>
        </w:numPr>
        <w:rPr>
          <w:rFonts w:ascii="Arial" w:cs="Arial" w:eastAsia="Arial" w:hAnsi="Arial"/>
          <w:sz w:val="18"/>
          <w:szCs w:val="18"/>
          <w:color w:val="auto"/>
        </w:rPr>
      </w:pPr>
      <w:r>
        <w:rPr>
          <w:rFonts w:ascii="Arial" w:cs="Arial" w:eastAsia="Arial" w:hAnsi="Arial"/>
          <w:sz w:val="18"/>
          <w:szCs w:val="18"/>
          <w:color w:val="auto"/>
        </w:rPr>
        <w:t>GRANDCANYONWOMENSLACROSSE.COM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5"/>
        </w:numPr>
        <w:rPr>
          <w:rFonts w:ascii="Arial" w:cs="Arial" w:eastAsia="Arial" w:hAnsi="Arial"/>
          <w:sz w:val="18"/>
          <w:szCs w:val="18"/>
          <w:color w:val="auto"/>
        </w:rPr>
      </w:pPr>
      <w:r>
        <w:rPr>
          <w:rFonts w:ascii="Arial" w:cs="Arial" w:eastAsia="Arial" w:hAnsi="Arial"/>
          <w:sz w:val="18"/>
          <w:szCs w:val="18"/>
          <w:color w:val="auto"/>
        </w:rPr>
        <w:t>GRANDCE.COM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5"/>
        </w:numPr>
        <w:rPr>
          <w:rFonts w:ascii="Arial" w:cs="Arial" w:eastAsia="Arial" w:hAnsi="Arial"/>
          <w:sz w:val="18"/>
          <w:szCs w:val="18"/>
          <w:color w:val="auto"/>
        </w:rPr>
      </w:pPr>
      <w:r>
        <w:rPr>
          <w:rFonts w:ascii="Arial" w:cs="Arial" w:eastAsia="Arial" w:hAnsi="Arial"/>
          <w:sz w:val="18"/>
          <w:szCs w:val="18"/>
          <w:color w:val="auto"/>
        </w:rPr>
        <w:t>GROWINGMYPURPOSE.COM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5"/>
        </w:numPr>
        <w:rPr>
          <w:rFonts w:ascii="Arial" w:cs="Arial" w:eastAsia="Arial" w:hAnsi="Arial"/>
          <w:sz w:val="18"/>
          <w:szCs w:val="18"/>
          <w:color w:val="auto"/>
        </w:rPr>
      </w:pPr>
      <w:r>
        <w:rPr>
          <w:rFonts w:ascii="Arial" w:cs="Arial" w:eastAsia="Arial" w:hAnsi="Arial"/>
          <w:sz w:val="18"/>
          <w:szCs w:val="18"/>
          <w:color w:val="auto"/>
        </w:rPr>
        <w:t>HERDONCAMPUS.COM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5"/>
        </w:numPr>
        <w:rPr>
          <w:rFonts w:ascii="Arial" w:cs="Arial" w:eastAsia="Arial" w:hAnsi="Arial"/>
          <w:sz w:val="18"/>
          <w:szCs w:val="18"/>
          <w:color w:val="auto"/>
        </w:rPr>
      </w:pPr>
      <w:r>
        <w:rPr>
          <w:rFonts w:ascii="Arial" w:cs="Arial" w:eastAsia="Arial" w:hAnsi="Arial"/>
          <w:sz w:val="18"/>
          <w:szCs w:val="18"/>
          <w:color w:val="auto"/>
        </w:rPr>
        <w:t>IHATEGCU.COM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5"/>
        </w:numPr>
        <w:rPr>
          <w:rFonts w:ascii="Arial" w:cs="Arial" w:eastAsia="Arial" w:hAnsi="Arial"/>
          <w:sz w:val="18"/>
          <w:szCs w:val="18"/>
          <w:color w:val="auto"/>
        </w:rPr>
      </w:pPr>
      <w:r>
        <w:rPr>
          <w:rFonts w:ascii="Arial" w:cs="Arial" w:eastAsia="Arial" w:hAnsi="Arial"/>
          <w:sz w:val="18"/>
          <w:szCs w:val="18"/>
          <w:color w:val="auto"/>
        </w:rPr>
        <w:t>IHATEGCU.NET</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5"/>
        </w:numPr>
        <w:rPr>
          <w:rFonts w:ascii="Arial" w:cs="Arial" w:eastAsia="Arial" w:hAnsi="Arial"/>
          <w:sz w:val="18"/>
          <w:szCs w:val="18"/>
          <w:color w:val="auto"/>
        </w:rPr>
      </w:pPr>
      <w:r>
        <w:rPr>
          <w:rFonts w:ascii="Arial" w:cs="Arial" w:eastAsia="Arial" w:hAnsi="Arial"/>
          <w:sz w:val="18"/>
          <w:szCs w:val="18"/>
          <w:color w:val="auto"/>
        </w:rPr>
        <w:t>IHATEGCU.ORG</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INSTANTKNOODLES.COM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INSTRUCTIONALRESEARCH.COM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5"/>
        </w:numPr>
        <w:rPr>
          <w:rFonts w:ascii="Arial" w:cs="Arial" w:eastAsia="Arial" w:hAnsi="Arial"/>
          <w:sz w:val="18"/>
          <w:szCs w:val="18"/>
          <w:color w:val="auto"/>
        </w:rPr>
      </w:pPr>
      <w:r>
        <w:rPr>
          <w:rFonts w:ascii="Arial" w:cs="Arial" w:eastAsia="Arial" w:hAnsi="Arial"/>
          <w:sz w:val="18"/>
          <w:szCs w:val="18"/>
          <w:color w:val="auto"/>
        </w:rPr>
        <w:t>JBTSONLINE.ORG</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5"/>
        </w:numPr>
        <w:rPr>
          <w:rFonts w:ascii="Arial" w:cs="Arial" w:eastAsia="Arial" w:hAnsi="Arial"/>
          <w:sz w:val="18"/>
          <w:szCs w:val="18"/>
          <w:color w:val="auto"/>
        </w:rPr>
      </w:pPr>
      <w:r>
        <w:rPr>
          <w:rFonts w:ascii="Arial" w:cs="Arial" w:eastAsia="Arial" w:hAnsi="Arial"/>
          <w:sz w:val="18"/>
          <w:szCs w:val="18"/>
          <w:color w:val="auto"/>
        </w:rPr>
        <w:t>JOINGCU.COM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5"/>
        </w:numPr>
        <w:rPr>
          <w:rFonts w:ascii="Arial" w:cs="Arial" w:eastAsia="Arial" w:hAnsi="Arial"/>
          <w:sz w:val="18"/>
          <w:szCs w:val="18"/>
          <w:color w:val="auto"/>
        </w:rPr>
      </w:pPr>
      <w:r>
        <w:rPr>
          <w:rFonts w:ascii="Arial" w:cs="Arial" w:eastAsia="Arial" w:hAnsi="Arial"/>
          <w:sz w:val="18"/>
          <w:szCs w:val="18"/>
          <w:color w:val="auto"/>
        </w:rPr>
        <w:t>LEARNGCU.COM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5"/>
        </w:numPr>
        <w:rPr>
          <w:rFonts w:ascii="Arial" w:cs="Arial" w:eastAsia="Arial" w:hAnsi="Arial"/>
          <w:sz w:val="18"/>
          <w:szCs w:val="18"/>
          <w:color w:val="auto"/>
        </w:rPr>
      </w:pPr>
      <w:r>
        <w:rPr>
          <w:rFonts w:ascii="Arial" w:cs="Arial" w:eastAsia="Arial" w:hAnsi="Arial"/>
          <w:sz w:val="18"/>
          <w:szCs w:val="18"/>
          <w:color w:val="auto"/>
        </w:rPr>
        <w:t>LOPE.MOBI</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5"/>
        </w:numPr>
        <w:rPr>
          <w:rFonts w:ascii="Arial" w:cs="Arial" w:eastAsia="Arial" w:hAnsi="Arial"/>
          <w:sz w:val="18"/>
          <w:szCs w:val="18"/>
          <w:color w:val="auto"/>
        </w:rPr>
      </w:pPr>
      <w:r>
        <w:rPr>
          <w:rFonts w:ascii="Arial" w:cs="Arial" w:eastAsia="Arial" w:hAnsi="Arial"/>
          <w:sz w:val="18"/>
          <w:szCs w:val="18"/>
          <w:color w:val="auto"/>
        </w:rPr>
        <w:t>LOPEALOOZA.COM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5"/>
        </w:numPr>
        <w:rPr>
          <w:rFonts w:ascii="Arial" w:cs="Arial" w:eastAsia="Arial" w:hAnsi="Arial"/>
          <w:sz w:val="18"/>
          <w:szCs w:val="18"/>
          <w:color w:val="auto"/>
        </w:rPr>
      </w:pPr>
      <w:r>
        <w:rPr>
          <w:rFonts w:ascii="Arial" w:cs="Arial" w:eastAsia="Arial" w:hAnsi="Arial"/>
          <w:sz w:val="18"/>
          <w:szCs w:val="18"/>
          <w:color w:val="auto"/>
        </w:rPr>
        <w:t>LOPEALOOZA.INFO</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5"/>
        </w:numPr>
        <w:rPr>
          <w:rFonts w:ascii="Arial" w:cs="Arial" w:eastAsia="Arial" w:hAnsi="Arial"/>
          <w:sz w:val="18"/>
          <w:szCs w:val="18"/>
          <w:color w:val="auto"/>
        </w:rPr>
      </w:pPr>
      <w:r>
        <w:rPr>
          <w:rFonts w:ascii="Arial" w:cs="Arial" w:eastAsia="Arial" w:hAnsi="Arial"/>
          <w:sz w:val="18"/>
          <w:szCs w:val="18"/>
          <w:color w:val="auto"/>
        </w:rPr>
        <w:t>LOPEALOOZA.NET</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5"/>
        </w:numPr>
        <w:rPr>
          <w:rFonts w:ascii="Arial" w:cs="Arial" w:eastAsia="Arial" w:hAnsi="Arial"/>
          <w:sz w:val="18"/>
          <w:szCs w:val="18"/>
          <w:color w:val="auto"/>
        </w:rPr>
      </w:pPr>
      <w:r>
        <w:rPr>
          <w:rFonts w:ascii="Arial" w:cs="Arial" w:eastAsia="Arial" w:hAnsi="Arial"/>
          <w:sz w:val="18"/>
          <w:szCs w:val="18"/>
          <w:color w:val="auto"/>
        </w:rPr>
        <w:t>LOPEALOOZA.ORG</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5"/>
        </w:numPr>
        <w:rPr>
          <w:rFonts w:ascii="Arial" w:cs="Arial" w:eastAsia="Arial" w:hAnsi="Arial"/>
          <w:sz w:val="18"/>
          <w:szCs w:val="18"/>
          <w:color w:val="auto"/>
        </w:rPr>
      </w:pPr>
      <w:r>
        <w:rPr>
          <w:rFonts w:ascii="Arial" w:cs="Arial" w:eastAsia="Arial" w:hAnsi="Arial"/>
          <w:sz w:val="18"/>
          <w:szCs w:val="18"/>
          <w:color w:val="auto"/>
        </w:rPr>
        <w:t>LOPECOUNTRY.COM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5"/>
        </w:numPr>
        <w:rPr>
          <w:rFonts w:ascii="Arial" w:cs="Arial" w:eastAsia="Arial" w:hAnsi="Arial"/>
          <w:sz w:val="18"/>
          <w:szCs w:val="18"/>
          <w:color w:val="auto"/>
        </w:rPr>
      </w:pPr>
      <w:r>
        <w:rPr>
          <w:rFonts w:ascii="Arial" w:cs="Arial" w:eastAsia="Arial" w:hAnsi="Arial"/>
          <w:sz w:val="18"/>
          <w:szCs w:val="18"/>
          <w:color w:val="auto"/>
        </w:rPr>
        <w:t>LOPEHOUSE.COM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5"/>
        </w:numPr>
        <w:rPr>
          <w:rFonts w:ascii="Arial" w:cs="Arial" w:eastAsia="Arial" w:hAnsi="Arial"/>
          <w:sz w:val="18"/>
          <w:szCs w:val="18"/>
          <w:color w:val="auto"/>
        </w:rPr>
      </w:pPr>
      <w:r>
        <w:rPr>
          <w:rFonts w:ascii="Arial" w:cs="Arial" w:eastAsia="Arial" w:hAnsi="Arial"/>
          <w:sz w:val="18"/>
          <w:szCs w:val="18"/>
          <w:color w:val="auto"/>
        </w:rPr>
        <w:t>LOPEHOUSE.RESTAURANT</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5"/>
        </w:numPr>
        <w:rPr>
          <w:rFonts w:ascii="Arial" w:cs="Arial" w:eastAsia="Arial" w:hAnsi="Arial"/>
          <w:sz w:val="18"/>
          <w:szCs w:val="18"/>
          <w:color w:val="auto"/>
        </w:rPr>
      </w:pPr>
      <w:r>
        <w:rPr>
          <w:rFonts w:ascii="Arial" w:cs="Arial" w:eastAsia="Arial" w:hAnsi="Arial"/>
          <w:sz w:val="18"/>
          <w:szCs w:val="18"/>
          <w:color w:val="auto"/>
        </w:rPr>
        <w:t>LOPEHOUSE.REVIEW</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5"/>
        </w:numPr>
        <w:rPr>
          <w:rFonts w:ascii="Arial" w:cs="Arial" w:eastAsia="Arial" w:hAnsi="Arial"/>
          <w:sz w:val="18"/>
          <w:szCs w:val="18"/>
          <w:color w:val="auto"/>
        </w:rPr>
      </w:pPr>
      <w:r>
        <w:rPr>
          <w:rFonts w:ascii="Arial" w:cs="Arial" w:eastAsia="Arial" w:hAnsi="Arial"/>
          <w:sz w:val="18"/>
          <w:szCs w:val="18"/>
          <w:color w:val="auto"/>
        </w:rPr>
        <w:t>LOPES.TV</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5"/>
        </w:numPr>
        <w:rPr>
          <w:rFonts w:ascii="Arial" w:cs="Arial" w:eastAsia="Arial" w:hAnsi="Arial"/>
          <w:sz w:val="18"/>
          <w:szCs w:val="18"/>
          <w:color w:val="auto"/>
        </w:rPr>
      </w:pPr>
      <w:r>
        <w:rPr>
          <w:rFonts w:ascii="Arial" w:cs="Arial" w:eastAsia="Arial" w:hAnsi="Arial"/>
          <w:sz w:val="18"/>
          <w:szCs w:val="18"/>
          <w:color w:val="auto"/>
        </w:rPr>
        <w:t>LOPES.XXX</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5"/>
        </w:numPr>
        <w:rPr>
          <w:rFonts w:ascii="Arial" w:cs="Arial" w:eastAsia="Arial" w:hAnsi="Arial"/>
          <w:sz w:val="18"/>
          <w:szCs w:val="18"/>
          <w:color w:val="auto"/>
        </w:rPr>
      </w:pPr>
      <w:r>
        <w:rPr>
          <w:rFonts w:ascii="Arial" w:cs="Arial" w:eastAsia="Arial" w:hAnsi="Arial"/>
          <w:sz w:val="18"/>
          <w:szCs w:val="18"/>
          <w:color w:val="auto"/>
        </w:rPr>
        <w:t>LOPESCOUNTRY.COM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5"/>
        </w:numPr>
        <w:rPr>
          <w:rFonts w:ascii="Arial" w:cs="Arial" w:eastAsia="Arial" w:hAnsi="Arial"/>
          <w:sz w:val="18"/>
          <w:szCs w:val="18"/>
          <w:color w:val="auto"/>
        </w:rPr>
      </w:pPr>
      <w:r>
        <w:rPr>
          <w:rFonts w:ascii="Arial" w:cs="Arial" w:eastAsia="Arial" w:hAnsi="Arial"/>
          <w:sz w:val="18"/>
          <w:szCs w:val="18"/>
          <w:color w:val="auto"/>
        </w:rPr>
        <w:t>LOPESHOP.COM</w:t>
      </w:r>
    </w:p>
    <w:p>
      <w:pPr>
        <w:spacing w:after="0" w:line="211" w:lineRule="exact"/>
        <w:rPr>
          <w:sz w:val="20"/>
          <w:szCs w:val="20"/>
          <w:color w:val="auto"/>
        </w:rPr>
      </w:pPr>
    </w:p>
    <w:p>
      <w:pPr>
        <w:jc w:val="right"/>
        <w:ind w:right="4079"/>
        <w:spacing w:after="0"/>
        <w:rPr>
          <w:sz w:val="20"/>
          <w:szCs w:val="20"/>
          <w:color w:val="auto"/>
        </w:rPr>
      </w:pPr>
      <w:r>
        <w:rPr>
          <w:rFonts w:ascii="Arial" w:cs="Arial" w:eastAsia="Arial" w:hAnsi="Arial"/>
          <w:sz w:val="18"/>
          <w:szCs w:val="18"/>
          <w:color w:val="auto"/>
        </w:rPr>
        <w:t>Exhibit E-8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81280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887"/>
          </w:cols>
          <w:pgMar w:left="572" w:top="341" w:right="1440" w:bottom="1440" w:gutter="0" w:footer="0" w:header="0"/>
        </w:sectPr>
      </w:pPr>
    </w:p>
    <w:bookmarkStart w:id="76" w:name="page77"/>
    <w:bookmarkEnd w:id="76"/>
    <w:p>
      <w:pPr>
        <w:ind w:left="968" w:hanging="968"/>
        <w:spacing w:after="0"/>
        <w:tabs>
          <w:tab w:leader="none" w:pos="968" w:val="left"/>
        </w:tabs>
        <w:numPr>
          <w:ilvl w:val="0"/>
          <w:numId w:val="66"/>
        </w:numPr>
        <w:rPr>
          <w:rFonts w:ascii="Arial" w:cs="Arial" w:eastAsia="Arial" w:hAnsi="Arial"/>
          <w:sz w:val="18"/>
          <w:szCs w:val="18"/>
          <w:color w:val="auto"/>
        </w:rPr>
      </w:pPr>
      <w:r>
        <w:rPr>
          <w:rFonts w:ascii="Arial" w:cs="Arial" w:eastAsia="Arial" w:hAnsi="Arial"/>
          <w:sz w:val="18"/>
          <w:szCs w:val="18"/>
          <w:color w:val="auto"/>
        </w:rPr>
        <w:t>LOPESHOP.NET</w:t>
      </w:r>
    </w:p>
    <w:p>
      <w:pPr>
        <w:spacing w:after="0" w:line="23" w:lineRule="exact"/>
        <w:rPr>
          <w:rFonts w:ascii="Arial" w:cs="Arial" w:eastAsia="Arial" w:hAnsi="Arial"/>
          <w:sz w:val="18"/>
          <w:szCs w:val="18"/>
          <w:color w:val="auto"/>
        </w:rPr>
      </w:pPr>
    </w:p>
    <w:p>
      <w:pPr>
        <w:ind w:left="968" w:hanging="968"/>
        <w:spacing w:after="0"/>
        <w:tabs>
          <w:tab w:leader="none" w:pos="968" w:val="left"/>
        </w:tabs>
        <w:numPr>
          <w:ilvl w:val="0"/>
          <w:numId w:val="66"/>
        </w:numPr>
        <w:rPr>
          <w:rFonts w:ascii="Arial" w:cs="Arial" w:eastAsia="Arial" w:hAnsi="Arial"/>
          <w:sz w:val="18"/>
          <w:szCs w:val="18"/>
          <w:color w:val="auto"/>
        </w:rPr>
      </w:pPr>
      <w:r>
        <w:rPr>
          <w:rFonts w:ascii="Arial" w:cs="Arial" w:eastAsia="Arial" w:hAnsi="Arial"/>
          <w:sz w:val="18"/>
          <w:szCs w:val="18"/>
          <w:color w:val="auto"/>
        </w:rPr>
        <w:t>LOPESHOPS.COM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6"/>
        </w:numPr>
        <w:rPr>
          <w:rFonts w:ascii="Arial" w:cs="Arial" w:eastAsia="Arial" w:hAnsi="Arial"/>
          <w:sz w:val="18"/>
          <w:szCs w:val="18"/>
          <w:color w:val="auto"/>
        </w:rPr>
      </w:pPr>
      <w:r>
        <w:rPr>
          <w:rFonts w:ascii="Arial" w:cs="Arial" w:eastAsia="Arial" w:hAnsi="Arial"/>
          <w:sz w:val="18"/>
          <w:szCs w:val="18"/>
          <w:color w:val="auto"/>
        </w:rPr>
        <w:t>LOPESHOPS.NET</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6"/>
        </w:numPr>
        <w:rPr>
          <w:rFonts w:ascii="Arial" w:cs="Arial" w:eastAsia="Arial" w:hAnsi="Arial"/>
          <w:sz w:val="18"/>
          <w:szCs w:val="18"/>
          <w:color w:val="auto"/>
        </w:rPr>
      </w:pPr>
      <w:r>
        <w:rPr>
          <w:rFonts w:ascii="Arial" w:cs="Arial" w:eastAsia="Arial" w:hAnsi="Arial"/>
          <w:sz w:val="18"/>
          <w:szCs w:val="18"/>
          <w:color w:val="auto"/>
        </w:rPr>
        <w:t>LOPESLICENSING.COM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6"/>
        </w:numPr>
        <w:rPr>
          <w:rFonts w:ascii="Arial" w:cs="Arial" w:eastAsia="Arial" w:hAnsi="Arial"/>
          <w:sz w:val="18"/>
          <w:szCs w:val="18"/>
          <w:color w:val="auto"/>
        </w:rPr>
      </w:pPr>
      <w:r>
        <w:rPr>
          <w:rFonts w:ascii="Arial" w:cs="Arial" w:eastAsia="Arial" w:hAnsi="Arial"/>
          <w:sz w:val="18"/>
          <w:szCs w:val="18"/>
          <w:color w:val="auto"/>
        </w:rPr>
        <w:t>LOPESPORTAL.COM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6"/>
        </w:numPr>
        <w:rPr>
          <w:rFonts w:ascii="Arial" w:cs="Arial" w:eastAsia="Arial" w:hAnsi="Arial"/>
          <w:sz w:val="18"/>
          <w:szCs w:val="18"/>
          <w:color w:val="auto"/>
        </w:rPr>
      </w:pPr>
      <w:r>
        <w:rPr>
          <w:rFonts w:ascii="Arial" w:cs="Arial" w:eastAsia="Arial" w:hAnsi="Arial"/>
          <w:sz w:val="18"/>
          <w:szCs w:val="18"/>
          <w:color w:val="auto"/>
        </w:rPr>
        <w:t>LOPESTEAMSHOP.COM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6"/>
        </w:numPr>
        <w:rPr>
          <w:rFonts w:ascii="Arial" w:cs="Arial" w:eastAsia="Arial" w:hAnsi="Arial"/>
          <w:sz w:val="18"/>
          <w:szCs w:val="18"/>
          <w:color w:val="auto"/>
        </w:rPr>
      </w:pPr>
      <w:r>
        <w:rPr>
          <w:rFonts w:ascii="Arial" w:cs="Arial" w:eastAsia="Arial" w:hAnsi="Arial"/>
          <w:sz w:val="18"/>
          <w:szCs w:val="18"/>
          <w:color w:val="auto"/>
        </w:rPr>
        <w:t>LOPESTHUNDER.COM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6"/>
        </w:numPr>
        <w:rPr>
          <w:rFonts w:ascii="Arial" w:cs="Arial" w:eastAsia="Arial" w:hAnsi="Arial"/>
          <w:sz w:val="18"/>
          <w:szCs w:val="18"/>
          <w:color w:val="auto"/>
        </w:rPr>
      </w:pPr>
      <w:r>
        <w:rPr>
          <w:rFonts w:ascii="Arial" w:cs="Arial" w:eastAsia="Arial" w:hAnsi="Arial"/>
          <w:sz w:val="18"/>
          <w:szCs w:val="18"/>
          <w:color w:val="auto"/>
        </w:rPr>
        <w:t>LOPESTICKET.COM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6"/>
        </w:numPr>
        <w:rPr>
          <w:rFonts w:ascii="Arial" w:cs="Arial" w:eastAsia="Arial" w:hAnsi="Arial"/>
          <w:sz w:val="18"/>
          <w:szCs w:val="18"/>
          <w:color w:val="auto"/>
        </w:rPr>
      </w:pPr>
      <w:r>
        <w:rPr>
          <w:rFonts w:ascii="Arial" w:cs="Arial" w:eastAsia="Arial" w:hAnsi="Arial"/>
          <w:sz w:val="18"/>
          <w:szCs w:val="18"/>
          <w:color w:val="auto"/>
        </w:rPr>
        <w:t>LOPESTICKETS.COM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6"/>
        </w:numPr>
        <w:rPr>
          <w:rFonts w:ascii="Arial" w:cs="Arial" w:eastAsia="Arial" w:hAnsi="Arial"/>
          <w:sz w:val="18"/>
          <w:szCs w:val="18"/>
          <w:color w:val="auto"/>
        </w:rPr>
      </w:pPr>
      <w:r>
        <w:rPr>
          <w:rFonts w:ascii="Arial" w:cs="Arial" w:eastAsia="Arial" w:hAnsi="Arial"/>
          <w:sz w:val="18"/>
          <w:szCs w:val="18"/>
          <w:color w:val="auto"/>
        </w:rPr>
        <w:t>LOPESTIX.COM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6"/>
        </w:numPr>
        <w:rPr>
          <w:rFonts w:ascii="Arial" w:cs="Arial" w:eastAsia="Arial" w:hAnsi="Arial"/>
          <w:sz w:val="18"/>
          <w:szCs w:val="18"/>
          <w:color w:val="auto"/>
        </w:rPr>
      </w:pPr>
      <w:r>
        <w:rPr>
          <w:rFonts w:ascii="Arial" w:cs="Arial" w:eastAsia="Arial" w:hAnsi="Arial"/>
          <w:sz w:val="18"/>
          <w:szCs w:val="18"/>
          <w:color w:val="auto"/>
        </w:rPr>
        <w:t>LOPESTORE.COM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6"/>
        </w:numPr>
        <w:rPr>
          <w:rFonts w:ascii="Arial" w:cs="Arial" w:eastAsia="Arial" w:hAnsi="Arial"/>
          <w:sz w:val="18"/>
          <w:szCs w:val="18"/>
          <w:color w:val="auto"/>
        </w:rPr>
      </w:pPr>
      <w:r>
        <w:rPr>
          <w:rFonts w:ascii="Arial" w:cs="Arial" w:eastAsia="Arial" w:hAnsi="Arial"/>
          <w:sz w:val="18"/>
          <w:szCs w:val="18"/>
          <w:color w:val="auto"/>
        </w:rPr>
        <w:t>LOPESTV.COM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6"/>
        </w:numPr>
        <w:rPr>
          <w:rFonts w:ascii="Arial" w:cs="Arial" w:eastAsia="Arial" w:hAnsi="Arial"/>
          <w:sz w:val="18"/>
          <w:szCs w:val="18"/>
          <w:color w:val="auto"/>
        </w:rPr>
      </w:pPr>
      <w:r>
        <w:rPr>
          <w:rFonts w:ascii="Arial" w:cs="Arial" w:eastAsia="Arial" w:hAnsi="Arial"/>
          <w:sz w:val="18"/>
          <w:szCs w:val="18"/>
          <w:color w:val="auto"/>
        </w:rPr>
        <w:t>LOPETEAMSHOP.COM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6"/>
        </w:numPr>
        <w:rPr>
          <w:rFonts w:ascii="Arial" w:cs="Arial" w:eastAsia="Arial" w:hAnsi="Arial"/>
          <w:sz w:val="18"/>
          <w:szCs w:val="18"/>
          <w:color w:val="auto"/>
        </w:rPr>
      </w:pPr>
      <w:r>
        <w:rPr>
          <w:rFonts w:ascii="Arial" w:cs="Arial" w:eastAsia="Arial" w:hAnsi="Arial"/>
          <w:sz w:val="18"/>
          <w:szCs w:val="18"/>
          <w:color w:val="auto"/>
        </w:rPr>
        <w:t>LOPETICKET.COM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6"/>
        </w:numPr>
        <w:rPr>
          <w:rFonts w:ascii="Arial" w:cs="Arial" w:eastAsia="Arial" w:hAnsi="Arial"/>
          <w:sz w:val="18"/>
          <w:szCs w:val="18"/>
          <w:color w:val="auto"/>
        </w:rPr>
      </w:pPr>
      <w:r>
        <w:rPr>
          <w:rFonts w:ascii="Arial" w:cs="Arial" w:eastAsia="Arial" w:hAnsi="Arial"/>
          <w:sz w:val="18"/>
          <w:szCs w:val="18"/>
          <w:color w:val="auto"/>
        </w:rPr>
        <w:t>LOPETICKETS.COM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6"/>
        </w:numPr>
        <w:rPr>
          <w:rFonts w:ascii="Arial" w:cs="Arial" w:eastAsia="Arial" w:hAnsi="Arial"/>
          <w:sz w:val="18"/>
          <w:szCs w:val="18"/>
          <w:color w:val="auto"/>
        </w:rPr>
      </w:pPr>
      <w:r>
        <w:rPr>
          <w:rFonts w:ascii="Arial" w:cs="Arial" w:eastAsia="Arial" w:hAnsi="Arial"/>
          <w:sz w:val="18"/>
          <w:szCs w:val="18"/>
          <w:color w:val="auto"/>
        </w:rPr>
        <w:t>LOPEZTICKET.COM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6"/>
        </w:numPr>
        <w:rPr>
          <w:rFonts w:ascii="Arial" w:cs="Arial" w:eastAsia="Arial" w:hAnsi="Arial"/>
          <w:sz w:val="18"/>
          <w:szCs w:val="18"/>
          <w:color w:val="auto"/>
        </w:rPr>
      </w:pPr>
      <w:r>
        <w:rPr>
          <w:rFonts w:ascii="Arial" w:cs="Arial" w:eastAsia="Arial" w:hAnsi="Arial"/>
          <w:sz w:val="18"/>
          <w:szCs w:val="18"/>
          <w:color w:val="auto"/>
        </w:rPr>
        <w:t>LOPEZTICKETS.COM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6"/>
        </w:numPr>
        <w:rPr>
          <w:rFonts w:ascii="Arial" w:cs="Arial" w:eastAsia="Arial" w:hAnsi="Arial"/>
          <w:sz w:val="18"/>
          <w:szCs w:val="18"/>
          <w:color w:val="auto"/>
        </w:rPr>
      </w:pPr>
      <w:r>
        <w:rPr>
          <w:rFonts w:ascii="Arial" w:cs="Arial" w:eastAsia="Arial" w:hAnsi="Arial"/>
          <w:sz w:val="18"/>
          <w:szCs w:val="18"/>
          <w:color w:val="auto"/>
        </w:rPr>
        <w:t>MADEGREES.COM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6"/>
        </w:numPr>
        <w:rPr>
          <w:rFonts w:ascii="Arial" w:cs="Arial" w:eastAsia="Arial" w:hAnsi="Arial"/>
          <w:sz w:val="18"/>
          <w:szCs w:val="18"/>
          <w:color w:val="auto"/>
        </w:rPr>
      </w:pPr>
      <w:r>
        <w:rPr>
          <w:rFonts w:ascii="Arial" w:cs="Arial" w:eastAsia="Arial" w:hAnsi="Arial"/>
          <w:sz w:val="18"/>
          <w:szCs w:val="18"/>
          <w:color w:val="auto"/>
        </w:rPr>
        <w:t>MASTERSONLINE.COM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6"/>
        </w:numPr>
        <w:rPr>
          <w:rFonts w:ascii="Arial" w:cs="Arial" w:eastAsia="Arial" w:hAnsi="Arial"/>
          <w:sz w:val="18"/>
          <w:szCs w:val="18"/>
          <w:color w:val="auto"/>
        </w:rPr>
      </w:pPr>
      <w:r>
        <w:rPr>
          <w:rFonts w:ascii="Arial" w:cs="Arial" w:eastAsia="Arial" w:hAnsi="Arial"/>
          <w:sz w:val="18"/>
          <w:szCs w:val="18"/>
          <w:color w:val="auto"/>
        </w:rPr>
        <w:t>MSDEGREES.COM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6"/>
        </w:numPr>
        <w:rPr>
          <w:rFonts w:ascii="Arial" w:cs="Arial" w:eastAsia="Arial" w:hAnsi="Arial"/>
          <w:sz w:val="18"/>
          <w:szCs w:val="18"/>
          <w:color w:val="auto"/>
        </w:rPr>
      </w:pPr>
      <w:r>
        <w:rPr>
          <w:rFonts w:ascii="Arial" w:cs="Arial" w:eastAsia="Arial" w:hAnsi="Arial"/>
          <w:sz w:val="18"/>
          <w:szCs w:val="18"/>
          <w:color w:val="auto"/>
        </w:rPr>
        <w:t>MYGCUFUTURE.COM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6"/>
        </w:numPr>
        <w:rPr>
          <w:rFonts w:ascii="Arial" w:cs="Arial" w:eastAsia="Arial" w:hAnsi="Arial"/>
          <w:sz w:val="18"/>
          <w:szCs w:val="18"/>
          <w:color w:val="auto"/>
        </w:rPr>
      </w:pPr>
      <w:r>
        <w:rPr>
          <w:rFonts w:ascii="Arial" w:cs="Arial" w:eastAsia="Arial" w:hAnsi="Arial"/>
          <w:sz w:val="18"/>
          <w:szCs w:val="18"/>
          <w:color w:val="auto"/>
        </w:rPr>
        <w:t>MYGIVENPURPOSE.COM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6"/>
        </w:numPr>
        <w:rPr>
          <w:rFonts w:ascii="Arial" w:cs="Arial" w:eastAsia="Arial" w:hAnsi="Arial"/>
          <w:sz w:val="18"/>
          <w:szCs w:val="18"/>
          <w:color w:val="auto"/>
        </w:rPr>
      </w:pPr>
      <w:r>
        <w:rPr>
          <w:rFonts w:ascii="Arial" w:cs="Arial" w:eastAsia="Arial" w:hAnsi="Arial"/>
          <w:sz w:val="18"/>
          <w:szCs w:val="18"/>
          <w:color w:val="auto"/>
        </w:rPr>
        <w:t>MYTRANSFERCREDITS.COM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6"/>
        </w:numPr>
        <w:rPr>
          <w:rFonts w:ascii="Arial" w:cs="Arial" w:eastAsia="Arial" w:hAnsi="Arial"/>
          <w:sz w:val="18"/>
          <w:szCs w:val="18"/>
          <w:color w:val="auto"/>
        </w:rPr>
      </w:pPr>
      <w:r>
        <w:rPr>
          <w:rFonts w:ascii="Arial" w:cs="Arial" w:eastAsia="Arial" w:hAnsi="Arial"/>
          <w:sz w:val="18"/>
          <w:szCs w:val="18"/>
          <w:color w:val="auto"/>
        </w:rPr>
        <w:t>PAINTTHEVALLEYPURPLE.COM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6"/>
        </w:numPr>
        <w:rPr>
          <w:rFonts w:ascii="Arial" w:cs="Arial" w:eastAsia="Arial" w:hAnsi="Arial"/>
          <w:sz w:val="18"/>
          <w:szCs w:val="18"/>
          <w:color w:val="auto"/>
        </w:rPr>
      </w:pPr>
      <w:r>
        <w:rPr>
          <w:rFonts w:ascii="Arial" w:cs="Arial" w:eastAsia="Arial" w:hAnsi="Arial"/>
          <w:sz w:val="18"/>
          <w:szCs w:val="18"/>
          <w:color w:val="auto"/>
        </w:rPr>
        <w:t>PHDEDUCATION.COM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6"/>
        </w:numPr>
        <w:rPr>
          <w:rFonts w:ascii="Arial" w:cs="Arial" w:eastAsia="Arial" w:hAnsi="Arial"/>
          <w:sz w:val="18"/>
          <w:szCs w:val="18"/>
          <w:color w:val="auto"/>
        </w:rPr>
      </w:pPr>
      <w:r>
        <w:rPr>
          <w:rFonts w:ascii="Arial" w:cs="Arial" w:eastAsia="Arial" w:hAnsi="Arial"/>
          <w:sz w:val="18"/>
          <w:szCs w:val="18"/>
          <w:color w:val="auto"/>
        </w:rPr>
        <w:t>PROFESSIONALSTUDIES.COM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6"/>
        </w:numPr>
        <w:rPr>
          <w:rFonts w:ascii="Arial" w:cs="Arial" w:eastAsia="Arial" w:hAnsi="Arial"/>
          <w:sz w:val="18"/>
          <w:szCs w:val="18"/>
          <w:color w:val="auto"/>
        </w:rPr>
      </w:pPr>
      <w:r>
        <w:rPr>
          <w:rFonts w:ascii="Arial" w:cs="Arial" w:eastAsia="Arial" w:hAnsi="Arial"/>
          <w:sz w:val="18"/>
          <w:szCs w:val="18"/>
          <w:color w:val="auto"/>
        </w:rPr>
        <w:t>PROFESSIONALSTUDIES.NET</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6"/>
        </w:numPr>
        <w:rPr>
          <w:rFonts w:ascii="Arial" w:cs="Arial" w:eastAsia="Arial" w:hAnsi="Arial"/>
          <w:sz w:val="18"/>
          <w:szCs w:val="18"/>
          <w:color w:val="auto"/>
        </w:rPr>
      </w:pPr>
      <w:r>
        <w:rPr>
          <w:rFonts w:ascii="Arial" w:cs="Arial" w:eastAsia="Arial" w:hAnsi="Arial"/>
          <w:sz w:val="18"/>
          <w:szCs w:val="18"/>
          <w:color w:val="auto"/>
        </w:rPr>
        <w:t>RANKINGONLINESCHOOLS.COM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RESOLUTION2011.COM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RESOLUTION2011.NET</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RESOLUTION2011.ORG</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RESOLUTION2012.COM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RESOLUTION2012.NET</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RESOLUTION2012.ORG</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RESOLUTION2013.NET</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RESOLUTION2013.ORG</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RESOLUTION2014.COM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RESOLUTION2014.NET</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RESOLUTION2014.ORG</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RESOLUTION2015.COM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RESOLUTION2015.NET</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RESOLUTION2015.ORG</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RESOLUTION2016.COM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RESOLUTION2016.NET</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RESOLUTION2016.ORG</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RESOLUTION2017.COM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RESOLUTION2017.NET</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RESOLUTION2017.ORG</w:t>
      </w:r>
    </w:p>
    <w:p>
      <w:pPr>
        <w:spacing w:after="0" w:line="211" w:lineRule="exact"/>
        <w:rPr>
          <w:sz w:val="20"/>
          <w:szCs w:val="20"/>
          <w:color w:val="auto"/>
        </w:rPr>
      </w:pPr>
    </w:p>
    <w:p>
      <w:pPr>
        <w:jc w:val="right"/>
        <w:ind w:right="4079"/>
        <w:spacing w:after="0"/>
        <w:rPr>
          <w:sz w:val="20"/>
          <w:szCs w:val="20"/>
          <w:color w:val="auto"/>
        </w:rPr>
      </w:pPr>
      <w:r>
        <w:rPr>
          <w:rFonts w:ascii="Arial" w:cs="Arial" w:eastAsia="Arial" w:hAnsi="Arial"/>
          <w:sz w:val="18"/>
          <w:szCs w:val="18"/>
          <w:color w:val="auto"/>
        </w:rPr>
        <w:t>Exhibit E-9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81280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887"/>
          </w:cols>
          <w:pgMar w:left="572" w:top="341" w:right="1440" w:bottom="1440" w:gutter="0" w:footer="0" w:header="0"/>
        </w:sectPr>
      </w:pPr>
    </w:p>
    <w:bookmarkStart w:id="77" w:name="page78"/>
    <w:bookmarkEnd w:id="77"/>
    <w:p>
      <w:pPr>
        <w:ind w:left="968" w:hanging="968"/>
        <w:spacing w:after="0"/>
        <w:tabs>
          <w:tab w:leader="none" w:pos="968"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RESOLUTION2018.COM</w:t>
      </w:r>
    </w:p>
    <w:p>
      <w:pPr>
        <w:spacing w:after="0" w:line="23" w:lineRule="exact"/>
        <w:rPr>
          <w:rFonts w:ascii="Arial" w:cs="Arial" w:eastAsia="Arial" w:hAnsi="Arial"/>
          <w:sz w:val="18"/>
          <w:szCs w:val="18"/>
          <w:color w:val="auto"/>
        </w:rPr>
      </w:pPr>
    </w:p>
    <w:p>
      <w:pPr>
        <w:ind w:left="968" w:hanging="968"/>
        <w:spacing w:after="0"/>
        <w:tabs>
          <w:tab w:leader="none" w:pos="968"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RESOLUTION2018.NET</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RESOLUTION2018.ORG</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RESOLUTION2019.COM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RESOLUTION2019.NET</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RESOLUTION2019.ORG</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RESOLUTION2020.NET</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RESOLUTION2020.ORG</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RESOLUTION2021.COM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RESOLUTION2021.NET</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RESOLUTION2021.ORG</w:t>
      </w:r>
    </w:p>
    <w:p>
      <w:pPr>
        <w:spacing w:after="0" w:line="9" w:lineRule="exact"/>
        <w:rPr>
          <w:rFonts w:ascii="Arial" w:cs="Arial" w:eastAsia="Arial" w:hAnsi="Arial"/>
          <w:sz w:val="18"/>
          <w:szCs w:val="18"/>
          <w:color w:val="auto"/>
        </w:rPr>
      </w:pPr>
    </w:p>
    <w:p>
      <w:pPr>
        <w:ind w:left="948" w:hanging="948"/>
        <w:spacing w:after="0"/>
        <w:tabs>
          <w:tab w:leader="none" w:pos="948"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RESOLUTIONFEST.COM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RESOLUTIONFESTIVAL.COM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RESOLUTIONFESTIVAL.ORG</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RESOURCECLOSET.COM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7"/>
        </w:numPr>
        <w:rPr>
          <w:rFonts w:ascii="Arial" w:cs="Arial" w:eastAsia="Arial" w:hAnsi="Arial"/>
          <w:sz w:val="18"/>
          <w:szCs w:val="18"/>
          <w:color w:val="auto"/>
        </w:rPr>
      </w:pPr>
      <w:r>
        <w:rPr>
          <w:rFonts w:ascii="Arial" w:cs="Arial" w:eastAsia="Arial" w:hAnsi="Arial"/>
          <w:sz w:val="18"/>
          <w:szCs w:val="18"/>
          <w:color w:val="auto"/>
        </w:rPr>
        <w:t>ROCKATGCU.COM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7"/>
        </w:numPr>
        <w:rPr>
          <w:rFonts w:ascii="Arial" w:cs="Arial" w:eastAsia="Arial" w:hAnsi="Arial"/>
          <w:sz w:val="18"/>
          <w:szCs w:val="18"/>
          <w:color w:val="auto"/>
        </w:rPr>
      </w:pPr>
      <w:r>
        <w:rPr>
          <w:rFonts w:ascii="Arial" w:cs="Arial" w:eastAsia="Arial" w:hAnsi="Arial"/>
          <w:sz w:val="18"/>
          <w:szCs w:val="18"/>
          <w:color w:val="auto"/>
        </w:rPr>
        <w:t>RUNTOFIGHTCANCER.COM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7"/>
        </w:numPr>
        <w:rPr>
          <w:rFonts w:ascii="Arial" w:cs="Arial" w:eastAsia="Arial" w:hAnsi="Arial"/>
          <w:sz w:val="18"/>
          <w:szCs w:val="18"/>
          <w:color w:val="auto"/>
        </w:rPr>
      </w:pPr>
      <w:r>
        <w:rPr>
          <w:rFonts w:ascii="Arial" w:cs="Arial" w:eastAsia="Arial" w:hAnsi="Arial"/>
          <w:sz w:val="18"/>
          <w:szCs w:val="18"/>
          <w:color w:val="auto"/>
        </w:rPr>
        <w:t>RUNTOFIGHTCANCER.ORG</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7"/>
        </w:numPr>
        <w:rPr>
          <w:rFonts w:ascii="Arial" w:cs="Arial" w:eastAsia="Arial" w:hAnsi="Arial"/>
          <w:sz w:val="18"/>
          <w:szCs w:val="18"/>
          <w:color w:val="auto"/>
        </w:rPr>
      </w:pPr>
      <w:r>
        <w:rPr>
          <w:rFonts w:ascii="Arial" w:cs="Arial" w:eastAsia="Arial" w:hAnsi="Arial"/>
          <w:sz w:val="18"/>
          <w:szCs w:val="18"/>
          <w:color w:val="auto"/>
        </w:rPr>
        <w:t>SCHOOLHOUSECHALK.COM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7"/>
        </w:numPr>
        <w:rPr>
          <w:rFonts w:ascii="Arial" w:cs="Arial" w:eastAsia="Arial" w:hAnsi="Arial"/>
          <w:sz w:val="18"/>
          <w:szCs w:val="18"/>
          <w:color w:val="auto"/>
        </w:rPr>
      </w:pPr>
      <w:r>
        <w:rPr>
          <w:rFonts w:ascii="Arial" w:cs="Arial" w:eastAsia="Arial" w:hAnsi="Arial"/>
          <w:sz w:val="18"/>
          <w:szCs w:val="18"/>
          <w:color w:val="auto"/>
        </w:rPr>
        <w:t>SCHOOLSINPHOENIX.COM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7"/>
        </w:numPr>
        <w:rPr>
          <w:rFonts w:ascii="Arial" w:cs="Arial" w:eastAsia="Arial" w:hAnsi="Arial"/>
          <w:sz w:val="18"/>
          <w:szCs w:val="18"/>
          <w:color w:val="auto"/>
        </w:rPr>
      </w:pPr>
      <w:r>
        <w:rPr>
          <w:rFonts w:ascii="Arial" w:cs="Arial" w:eastAsia="Arial" w:hAnsi="Arial"/>
          <w:sz w:val="18"/>
          <w:szCs w:val="18"/>
          <w:color w:val="auto"/>
        </w:rPr>
        <w:t>SCREWGCU.COM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7"/>
        </w:numPr>
        <w:rPr>
          <w:rFonts w:ascii="Arial" w:cs="Arial" w:eastAsia="Arial" w:hAnsi="Arial"/>
          <w:sz w:val="18"/>
          <w:szCs w:val="18"/>
          <w:color w:val="auto"/>
        </w:rPr>
      </w:pPr>
      <w:r>
        <w:rPr>
          <w:rFonts w:ascii="Arial" w:cs="Arial" w:eastAsia="Arial" w:hAnsi="Arial"/>
          <w:sz w:val="18"/>
          <w:szCs w:val="18"/>
          <w:color w:val="auto"/>
        </w:rPr>
        <w:t>SCREW-GCU.COM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7"/>
        </w:numPr>
        <w:rPr>
          <w:rFonts w:ascii="Arial" w:cs="Arial" w:eastAsia="Arial" w:hAnsi="Arial"/>
          <w:sz w:val="18"/>
          <w:szCs w:val="18"/>
          <w:color w:val="auto"/>
        </w:rPr>
      </w:pPr>
      <w:r>
        <w:rPr>
          <w:rFonts w:ascii="Arial" w:cs="Arial" w:eastAsia="Arial" w:hAnsi="Arial"/>
          <w:sz w:val="18"/>
          <w:szCs w:val="18"/>
          <w:color w:val="auto"/>
        </w:rPr>
        <w:t>SCREWGCU.NET</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7"/>
        </w:numPr>
        <w:rPr>
          <w:rFonts w:ascii="Arial" w:cs="Arial" w:eastAsia="Arial" w:hAnsi="Arial"/>
          <w:sz w:val="18"/>
          <w:szCs w:val="18"/>
          <w:color w:val="auto"/>
        </w:rPr>
      </w:pPr>
      <w:r>
        <w:rPr>
          <w:rFonts w:ascii="Arial" w:cs="Arial" w:eastAsia="Arial" w:hAnsi="Arial"/>
          <w:sz w:val="18"/>
          <w:szCs w:val="18"/>
          <w:color w:val="auto"/>
        </w:rPr>
        <w:t>SCREW-GCU.NET</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7"/>
        </w:numPr>
        <w:rPr>
          <w:rFonts w:ascii="Arial" w:cs="Arial" w:eastAsia="Arial" w:hAnsi="Arial"/>
          <w:sz w:val="18"/>
          <w:szCs w:val="18"/>
          <w:color w:val="auto"/>
        </w:rPr>
      </w:pPr>
      <w:r>
        <w:rPr>
          <w:rFonts w:ascii="Arial" w:cs="Arial" w:eastAsia="Arial" w:hAnsi="Arial"/>
          <w:sz w:val="18"/>
          <w:szCs w:val="18"/>
          <w:color w:val="auto"/>
        </w:rPr>
        <w:t>SHAREMYPURPOSE.COM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7"/>
        </w:numPr>
        <w:rPr>
          <w:rFonts w:ascii="Arial" w:cs="Arial" w:eastAsia="Arial" w:hAnsi="Arial"/>
          <w:sz w:val="18"/>
          <w:szCs w:val="18"/>
          <w:color w:val="auto"/>
        </w:rPr>
      </w:pPr>
      <w:r>
        <w:rPr>
          <w:rFonts w:ascii="Arial" w:cs="Arial" w:eastAsia="Arial" w:hAnsi="Arial"/>
          <w:sz w:val="18"/>
          <w:szCs w:val="18"/>
          <w:color w:val="auto"/>
        </w:rPr>
        <w:t>SHOWINGPURPOSE.COM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7"/>
        </w:numPr>
        <w:rPr>
          <w:rFonts w:ascii="Arial" w:cs="Arial" w:eastAsia="Arial" w:hAnsi="Arial"/>
          <w:sz w:val="18"/>
          <w:szCs w:val="18"/>
          <w:color w:val="auto"/>
        </w:rPr>
      </w:pPr>
      <w:r>
        <w:rPr>
          <w:rFonts w:ascii="Arial" w:cs="Arial" w:eastAsia="Arial" w:hAnsi="Arial"/>
          <w:sz w:val="18"/>
          <w:szCs w:val="18"/>
          <w:color w:val="auto"/>
        </w:rPr>
        <w:t>SHOWMYPURPOSE.COM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7"/>
        </w:numPr>
        <w:rPr>
          <w:rFonts w:ascii="Arial" w:cs="Arial" w:eastAsia="Arial" w:hAnsi="Arial"/>
          <w:sz w:val="18"/>
          <w:szCs w:val="18"/>
          <w:color w:val="auto"/>
        </w:rPr>
      </w:pPr>
      <w:r>
        <w:rPr>
          <w:rFonts w:ascii="Arial" w:cs="Arial" w:eastAsia="Arial" w:hAnsi="Arial"/>
          <w:sz w:val="18"/>
          <w:szCs w:val="18"/>
          <w:color w:val="auto"/>
        </w:rPr>
        <w:t>STAMPEDEDRINK.COM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7"/>
        </w:numPr>
        <w:rPr>
          <w:rFonts w:ascii="Arial" w:cs="Arial" w:eastAsia="Arial" w:hAnsi="Arial"/>
          <w:sz w:val="18"/>
          <w:szCs w:val="18"/>
          <w:color w:val="auto"/>
        </w:rPr>
      </w:pPr>
      <w:r>
        <w:rPr>
          <w:rFonts w:ascii="Arial" w:cs="Arial" w:eastAsia="Arial" w:hAnsi="Arial"/>
          <w:sz w:val="18"/>
          <w:szCs w:val="18"/>
          <w:color w:val="auto"/>
        </w:rPr>
        <w:t>STUDENTLOANFORGIVENESSGCU.COM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7"/>
        </w:numPr>
        <w:rPr>
          <w:rFonts w:ascii="Arial" w:cs="Arial" w:eastAsia="Arial" w:hAnsi="Arial"/>
          <w:sz w:val="17"/>
          <w:szCs w:val="17"/>
          <w:color w:val="auto"/>
        </w:rPr>
      </w:pPr>
      <w:r>
        <w:rPr>
          <w:rFonts w:ascii="Arial" w:cs="Arial" w:eastAsia="Arial" w:hAnsi="Arial"/>
          <w:sz w:val="17"/>
          <w:szCs w:val="17"/>
          <w:color w:val="auto"/>
        </w:rPr>
        <w:t>STUDENTLOANFORGIVENESSGRANDCANYONUNIVERSITY.COM</w:t>
      </w:r>
    </w:p>
    <w:p>
      <w:pPr>
        <w:spacing w:after="0" w:line="20" w:lineRule="exact"/>
        <w:rPr>
          <w:rFonts w:ascii="Arial" w:cs="Arial" w:eastAsia="Arial" w:hAnsi="Arial"/>
          <w:sz w:val="17"/>
          <w:szCs w:val="17"/>
          <w:color w:val="auto"/>
        </w:rPr>
      </w:pPr>
    </w:p>
    <w:p>
      <w:pPr>
        <w:ind w:left="968" w:hanging="968"/>
        <w:spacing w:after="0"/>
        <w:tabs>
          <w:tab w:leader="none" w:pos="968" w:val="left"/>
        </w:tabs>
        <w:numPr>
          <w:ilvl w:val="0"/>
          <w:numId w:val="67"/>
        </w:numPr>
        <w:rPr>
          <w:rFonts w:ascii="Arial" w:cs="Arial" w:eastAsia="Arial" w:hAnsi="Arial"/>
          <w:sz w:val="18"/>
          <w:szCs w:val="18"/>
          <w:color w:val="auto"/>
        </w:rPr>
      </w:pPr>
      <w:r>
        <w:rPr>
          <w:rFonts w:ascii="Arial" w:cs="Arial" w:eastAsia="Arial" w:hAnsi="Arial"/>
          <w:sz w:val="18"/>
          <w:szCs w:val="18"/>
          <w:color w:val="auto"/>
        </w:rPr>
        <w:t>TALKTOBRENDA.COM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7"/>
        </w:numPr>
        <w:rPr>
          <w:rFonts w:ascii="Arial" w:cs="Arial" w:eastAsia="Arial" w:hAnsi="Arial"/>
          <w:sz w:val="18"/>
          <w:szCs w:val="18"/>
          <w:color w:val="auto"/>
        </w:rPr>
      </w:pPr>
      <w:r>
        <w:rPr>
          <w:rFonts w:ascii="Arial" w:cs="Arial" w:eastAsia="Arial" w:hAnsi="Arial"/>
          <w:sz w:val="18"/>
          <w:szCs w:val="18"/>
          <w:color w:val="auto"/>
        </w:rPr>
        <w:t>TEACHFORPURPOSE.COM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7"/>
        </w:numPr>
        <w:rPr>
          <w:rFonts w:ascii="Arial" w:cs="Arial" w:eastAsia="Arial" w:hAnsi="Arial"/>
          <w:sz w:val="18"/>
          <w:szCs w:val="18"/>
          <w:color w:val="auto"/>
        </w:rPr>
      </w:pPr>
      <w:r>
        <w:rPr>
          <w:rFonts w:ascii="Arial" w:cs="Arial" w:eastAsia="Arial" w:hAnsi="Arial"/>
          <w:sz w:val="18"/>
          <w:szCs w:val="18"/>
          <w:color w:val="auto"/>
        </w:rPr>
        <w:t>TEACHINGPHD.COM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THECENTERFORCHRISTIANARTS.COM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THECENTERFORCHRISTIANARTS.ORG</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THECOLLEGEGOSSIP.COM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THETHUNDERGROUND.COM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THUNDERLOPES.COM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7"/>
        </w:numPr>
        <w:rPr>
          <w:rFonts w:ascii="Arial" w:cs="Arial" w:eastAsia="Arial" w:hAnsi="Arial"/>
          <w:sz w:val="18"/>
          <w:szCs w:val="18"/>
          <w:color w:val="auto"/>
        </w:rPr>
      </w:pPr>
      <w:r>
        <w:rPr>
          <w:rFonts w:ascii="Arial" w:cs="Arial" w:eastAsia="Arial" w:hAnsi="Arial"/>
          <w:sz w:val="18"/>
          <w:szCs w:val="18"/>
          <w:color w:val="auto"/>
        </w:rPr>
        <w:t>TOURGCU.COM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7"/>
        </w:numPr>
        <w:rPr>
          <w:rFonts w:ascii="Arial" w:cs="Arial" w:eastAsia="Arial" w:hAnsi="Arial"/>
          <w:sz w:val="18"/>
          <w:szCs w:val="18"/>
          <w:color w:val="auto"/>
        </w:rPr>
      </w:pPr>
      <w:r>
        <w:rPr>
          <w:rFonts w:ascii="Arial" w:cs="Arial" w:eastAsia="Arial" w:hAnsi="Arial"/>
          <w:sz w:val="18"/>
          <w:szCs w:val="18"/>
          <w:color w:val="auto"/>
        </w:rPr>
        <w:t>TRANSFERTOGCU.COM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7"/>
        </w:numPr>
        <w:rPr>
          <w:rFonts w:ascii="Arial" w:cs="Arial" w:eastAsia="Arial" w:hAnsi="Arial"/>
          <w:sz w:val="18"/>
          <w:szCs w:val="18"/>
          <w:color w:val="auto"/>
        </w:rPr>
      </w:pPr>
      <w:r>
        <w:rPr>
          <w:rFonts w:ascii="Arial" w:cs="Arial" w:eastAsia="Arial" w:hAnsi="Arial"/>
          <w:sz w:val="18"/>
          <w:szCs w:val="18"/>
          <w:color w:val="auto"/>
        </w:rPr>
        <w:t>TRANSFERYOURCREDITS.COM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7"/>
        </w:numPr>
        <w:rPr>
          <w:rFonts w:ascii="Arial" w:cs="Arial" w:eastAsia="Arial" w:hAnsi="Arial"/>
          <w:sz w:val="18"/>
          <w:szCs w:val="18"/>
          <w:color w:val="auto"/>
        </w:rPr>
      </w:pPr>
      <w:r>
        <w:rPr>
          <w:rFonts w:ascii="Arial" w:cs="Arial" w:eastAsia="Arial" w:hAnsi="Arial"/>
          <w:sz w:val="18"/>
          <w:szCs w:val="18"/>
          <w:color w:val="auto"/>
        </w:rPr>
        <w:t>UNITEDBYPURPOSE.COM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7"/>
        </w:numPr>
        <w:rPr>
          <w:rFonts w:ascii="Arial" w:cs="Arial" w:eastAsia="Arial" w:hAnsi="Arial"/>
          <w:sz w:val="18"/>
          <w:szCs w:val="18"/>
          <w:color w:val="auto"/>
        </w:rPr>
      </w:pPr>
      <w:r>
        <w:rPr>
          <w:rFonts w:ascii="Arial" w:cs="Arial" w:eastAsia="Arial" w:hAnsi="Arial"/>
          <w:sz w:val="18"/>
          <w:szCs w:val="18"/>
          <w:color w:val="auto"/>
        </w:rPr>
        <w:t>WORSHIPISOURFOOTBALL.COM</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7"/>
        </w:numPr>
        <w:rPr>
          <w:rFonts w:ascii="Arial" w:cs="Arial" w:eastAsia="Arial" w:hAnsi="Arial"/>
          <w:sz w:val="18"/>
          <w:szCs w:val="18"/>
          <w:color w:val="auto"/>
        </w:rPr>
      </w:pPr>
      <w:r>
        <w:rPr>
          <w:rFonts w:ascii="Arial" w:cs="Arial" w:eastAsia="Arial" w:hAnsi="Arial"/>
          <w:sz w:val="18"/>
          <w:szCs w:val="18"/>
          <w:color w:val="auto"/>
        </w:rPr>
        <w:t>WORSHIPISOURFOOTBALL.INFO</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7"/>
        </w:numPr>
        <w:rPr>
          <w:rFonts w:ascii="Arial" w:cs="Arial" w:eastAsia="Arial" w:hAnsi="Arial"/>
          <w:sz w:val="18"/>
          <w:szCs w:val="18"/>
          <w:color w:val="auto"/>
        </w:rPr>
      </w:pPr>
      <w:r>
        <w:rPr>
          <w:rFonts w:ascii="Arial" w:cs="Arial" w:eastAsia="Arial" w:hAnsi="Arial"/>
          <w:sz w:val="18"/>
          <w:szCs w:val="18"/>
          <w:color w:val="auto"/>
        </w:rPr>
        <w:t>WORSHIPISOURFOOTBALL.NET</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7"/>
        </w:numPr>
        <w:rPr>
          <w:rFonts w:ascii="Arial" w:cs="Arial" w:eastAsia="Arial" w:hAnsi="Arial"/>
          <w:sz w:val="18"/>
          <w:szCs w:val="18"/>
          <w:color w:val="auto"/>
        </w:rPr>
      </w:pPr>
      <w:r>
        <w:rPr>
          <w:rFonts w:ascii="Arial" w:cs="Arial" w:eastAsia="Arial" w:hAnsi="Arial"/>
          <w:sz w:val="18"/>
          <w:szCs w:val="18"/>
          <w:color w:val="auto"/>
        </w:rPr>
        <w:t>WORSHIPISOURFOOTBALL.ORG</w:t>
      </w:r>
    </w:p>
    <w:p>
      <w:pPr>
        <w:spacing w:after="0" w:line="9" w:lineRule="exact"/>
        <w:rPr>
          <w:rFonts w:ascii="Arial" w:cs="Arial" w:eastAsia="Arial" w:hAnsi="Arial"/>
          <w:sz w:val="18"/>
          <w:szCs w:val="18"/>
          <w:color w:val="auto"/>
        </w:rPr>
      </w:pPr>
    </w:p>
    <w:p>
      <w:pPr>
        <w:ind w:left="968" w:hanging="968"/>
        <w:spacing w:after="0"/>
        <w:tabs>
          <w:tab w:leader="none" w:pos="968" w:val="left"/>
        </w:tabs>
        <w:numPr>
          <w:ilvl w:val="0"/>
          <w:numId w:val="67"/>
        </w:numPr>
        <w:rPr>
          <w:rFonts w:ascii="Arial" w:cs="Arial" w:eastAsia="Arial" w:hAnsi="Arial"/>
          <w:sz w:val="18"/>
          <w:szCs w:val="18"/>
          <w:color w:val="auto"/>
        </w:rPr>
      </w:pPr>
      <w:r>
        <w:rPr>
          <w:rFonts w:ascii="Arial" w:cs="Arial" w:eastAsia="Arial" w:hAnsi="Arial"/>
          <w:sz w:val="18"/>
          <w:szCs w:val="18"/>
          <w:color w:val="auto"/>
        </w:rPr>
        <w:t>WORSHIPOLOGIST.COM</w:t>
      </w:r>
    </w:p>
    <w:p>
      <w:pPr>
        <w:spacing w:after="0" w:line="211" w:lineRule="exact"/>
        <w:rPr>
          <w:sz w:val="20"/>
          <w:szCs w:val="20"/>
          <w:color w:val="auto"/>
        </w:rPr>
      </w:pPr>
    </w:p>
    <w:p>
      <w:pPr>
        <w:ind w:left="4928"/>
        <w:spacing w:after="0"/>
        <w:rPr>
          <w:sz w:val="20"/>
          <w:szCs w:val="20"/>
          <w:color w:val="auto"/>
        </w:rPr>
      </w:pPr>
      <w:r>
        <w:rPr>
          <w:rFonts w:ascii="Arial" w:cs="Arial" w:eastAsia="Arial" w:hAnsi="Arial"/>
          <w:sz w:val="18"/>
          <w:szCs w:val="18"/>
          <w:color w:val="auto"/>
        </w:rPr>
        <w:t>Exhibit E-10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81280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887"/>
          </w:cols>
          <w:pgMar w:left="572" w:top="341" w:right="1440" w:bottom="1440" w:gutter="0" w:footer="0" w:header="0"/>
        </w:sectPr>
      </w:pPr>
    </w:p>
    <w:bookmarkStart w:id="78" w:name="page79"/>
    <w:bookmarkEnd w:id="78"/>
    <w:p>
      <w:pPr>
        <w:ind w:left="10480"/>
        <w:spacing w:after="0"/>
        <w:rPr>
          <w:sz w:val="20"/>
          <w:szCs w:val="20"/>
          <w:color w:val="auto"/>
        </w:rPr>
      </w:pPr>
      <w:r>
        <w:rPr>
          <w:rFonts w:ascii="Arial" w:cs="Arial" w:eastAsia="Arial" w:hAnsi="Arial"/>
          <w:sz w:val="17"/>
          <w:szCs w:val="17"/>
          <w:b w:val="1"/>
          <w:bCs w:val="1"/>
          <w:color w:val="auto"/>
        </w:rPr>
        <w:t>Exhibit 31.1</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 SECTION 302 0F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Brian E. Mueller, certify that:</w:t>
      </w:r>
    </w:p>
    <w:p>
      <w:pPr>
        <w:spacing w:after="0" w:line="225" w:lineRule="exact"/>
        <w:rPr>
          <w:sz w:val="20"/>
          <w:szCs w:val="20"/>
          <w:color w:val="auto"/>
        </w:rPr>
      </w:pPr>
    </w:p>
    <w:p>
      <w:pPr>
        <w:ind w:left="840" w:hanging="181"/>
        <w:spacing w:after="0"/>
        <w:tabs>
          <w:tab w:leader="none" w:pos="8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 have reviewed this Amendment No. 1 on Form 10-Q/A of Grand Canyon Education, Inc.; and</w:t>
      </w:r>
    </w:p>
    <w:p>
      <w:pPr>
        <w:spacing w:after="0" w:line="225" w:lineRule="exact"/>
        <w:rPr>
          <w:rFonts w:ascii="Arial" w:cs="Arial" w:eastAsia="Arial" w:hAnsi="Arial"/>
          <w:sz w:val="18"/>
          <w:szCs w:val="18"/>
          <w:color w:val="auto"/>
        </w:rPr>
      </w:pPr>
    </w:p>
    <w:p>
      <w:pPr>
        <w:ind w:right="140" w:firstLine="659"/>
        <w:spacing w:after="0" w:line="342" w:lineRule="auto"/>
        <w:tabs>
          <w:tab w:leader="none" w:pos="831" w:val="left"/>
        </w:tabs>
        <w:numPr>
          <w:ilvl w:val="0"/>
          <w:numId w:val="6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Date: April 23, 2019</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E. Mueller</w:t>
            </w:r>
          </w:p>
        </w:tc>
        <w:tc>
          <w:tcPr>
            <w:tcW w:w="40" w:type="dxa"/>
            <w:vAlign w:val="bottom"/>
          </w:tcPr>
          <w:p>
            <w:pPr>
              <w:spacing w:after="0"/>
              <w:rPr>
                <w:sz w:val="20"/>
                <w:szCs w:val="20"/>
                <w:color w:val="auto"/>
              </w:rPr>
            </w:pPr>
          </w:p>
        </w:tc>
      </w:tr>
      <w:tr>
        <w:trPr>
          <w:trHeight w:val="195"/>
        </w:trPr>
        <w:tc>
          <w:tcPr>
            <w:tcW w:w="57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Brian E. Mueller</w:t>
            </w:r>
          </w:p>
        </w:tc>
        <w:tc>
          <w:tcPr>
            <w:tcW w:w="40" w:type="dxa"/>
            <w:vAlign w:val="bottom"/>
          </w:tcPr>
          <w:p>
            <w:pPr>
              <w:spacing w:after="0"/>
              <w:rPr>
                <w:sz w:val="16"/>
                <w:szCs w:val="16"/>
                <w:color w:val="auto"/>
              </w:rPr>
            </w:pPr>
          </w:p>
        </w:tc>
      </w:tr>
      <w:tr>
        <w:trPr>
          <w:trHeight w:val="216"/>
        </w:trPr>
        <w:tc>
          <w:tcPr>
            <w:tcW w:w="57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40" w:type="dxa"/>
            <w:vAlign w:val="bottom"/>
          </w:tcPr>
          <w:p>
            <w:pPr>
              <w:spacing w:after="0"/>
              <w:rPr>
                <w:sz w:val="18"/>
                <w:szCs w:val="18"/>
                <w:color w:val="auto"/>
              </w:rPr>
            </w:pP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40" w:type="dxa"/>
            <w:vAlign w:val="bottom"/>
          </w:tcPr>
          <w:p>
            <w:pPr>
              <w:spacing w:after="0"/>
              <w:rPr>
                <w:sz w:val="20"/>
                <w:szCs w:val="20"/>
                <w:color w:val="auto"/>
              </w:rPr>
            </w:pPr>
          </w:p>
        </w:tc>
      </w:tr>
      <w:tr>
        <w:trPr>
          <w:trHeight w:val="348"/>
        </w:trPr>
        <w:tc>
          <w:tcPr>
            <w:tcW w:w="5720" w:type="dxa"/>
            <w:vAlign w:val="bottom"/>
            <w:tcBorders>
              <w:bottom w:val="single" w:sz="8" w:color="808080"/>
            </w:tcBorders>
          </w:tcPr>
          <w:p>
            <w:pPr>
              <w:spacing w:after="0"/>
              <w:rPr>
                <w:sz w:val="24"/>
                <w:szCs w:val="24"/>
                <w:color w:val="auto"/>
              </w:rPr>
            </w:pPr>
          </w:p>
        </w:tc>
        <w:tc>
          <w:tcPr>
            <w:tcW w:w="57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79" w:name="page80"/>
    <w:bookmarkEnd w:id="79"/>
    <w:p>
      <w:pPr>
        <w:ind w:left="10480"/>
        <w:spacing w:after="0"/>
        <w:rPr>
          <w:sz w:val="20"/>
          <w:szCs w:val="20"/>
          <w:color w:val="auto"/>
        </w:rPr>
      </w:pPr>
      <w:r>
        <w:rPr>
          <w:rFonts w:ascii="Arial" w:cs="Arial" w:eastAsia="Arial" w:hAnsi="Arial"/>
          <w:sz w:val="17"/>
          <w:szCs w:val="17"/>
          <w:b w:val="1"/>
          <w:bCs w:val="1"/>
          <w:color w:val="auto"/>
        </w:rPr>
        <w:t>Exhibit 31.2</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 SECTION 302 0F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Daniel E. Bachus, certify that:</w:t>
      </w:r>
    </w:p>
    <w:p>
      <w:pPr>
        <w:spacing w:after="0" w:line="225" w:lineRule="exact"/>
        <w:rPr>
          <w:sz w:val="20"/>
          <w:szCs w:val="20"/>
          <w:color w:val="auto"/>
        </w:rPr>
      </w:pPr>
    </w:p>
    <w:p>
      <w:pPr>
        <w:ind w:left="840" w:hanging="181"/>
        <w:spacing w:after="0"/>
        <w:tabs>
          <w:tab w:leader="none" w:pos="8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Amendment No. 1 on Form 10-Q/A of Grand Canyon Education, Inc.; and</w:t>
      </w:r>
    </w:p>
    <w:p>
      <w:pPr>
        <w:spacing w:after="0" w:line="225" w:lineRule="exact"/>
        <w:rPr>
          <w:rFonts w:ascii="Arial" w:cs="Arial" w:eastAsia="Arial" w:hAnsi="Arial"/>
          <w:sz w:val="18"/>
          <w:szCs w:val="18"/>
          <w:color w:val="auto"/>
        </w:rPr>
      </w:pPr>
    </w:p>
    <w:p>
      <w:pPr>
        <w:ind w:right="140" w:firstLine="659"/>
        <w:spacing w:after="0" w:line="342" w:lineRule="auto"/>
        <w:tabs>
          <w:tab w:leader="none" w:pos="831" w:val="left"/>
        </w:tabs>
        <w:numPr>
          <w:ilvl w:val="0"/>
          <w:numId w:val="6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Date: April 23, 2019</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E. Bachus</w:t>
            </w:r>
          </w:p>
        </w:tc>
        <w:tc>
          <w:tcPr>
            <w:tcW w:w="40" w:type="dxa"/>
            <w:vAlign w:val="bottom"/>
          </w:tcPr>
          <w:p>
            <w:pPr>
              <w:spacing w:after="0"/>
              <w:rPr>
                <w:sz w:val="20"/>
                <w:szCs w:val="20"/>
                <w:color w:val="auto"/>
              </w:rPr>
            </w:pPr>
          </w:p>
        </w:tc>
      </w:tr>
      <w:tr>
        <w:trPr>
          <w:trHeight w:val="195"/>
        </w:trPr>
        <w:tc>
          <w:tcPr>
            <w:tcW w:w="57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Daniel E. Bachus</w:t>
            </w:r>
          </w:p>
        </w:tc>
        <w:tc>
          <w:tcPr>
            <w:tcW w:w="40" w:type="dxa"/>
            <w:vAlign w:val="bottom"/>
          </w:tcPr>
          <w:p>
            <w:pPr>
              <w:spacing w:after="0"/>
              <w:rPr>
                <w:sz w:val="16"/>
                <w:szCs w:val="16"/>
                <w:color w:val="auto"/>
              </w:rPr>
            </w:pPr>
          </w:p>
        </w:tc>
      </w:tr>
      <w:tr>
        <w:trPr>
          <w:trHeight w:val="216"/>
        </w:trPr>
        <w:tc>
          <w:tcPr>
            <w:tcW w:w="57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18"/>
                <w:szCs w:val="18"/>
                <w:color w:val="auto"/>
              </w:rPr>
            </w:pP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(Principal Financial Officer and Principal Accounting Officer)</w:t>
            </w:r>
          </w:p>
        </w:tc>
        <w:tc>
          <w:tcPr>
            <w:tcW w:w="40" w:type="dxa"/>
            <w:vAlign w:val="bottom"/>
          </w:tcPr>
          <w:p>
            <w:pPr>
              <w:spacing w:after="0"/>
              <w:rPr>
                <w:sz w:val="20"/>
                <w:szCs w:val="20"/>
                <w:color w:val="auto"/>
              </w:rPr>
            </w:pPr>
          </w:p>
        </w:tc>
      </w:tr>
      <w:tr>
        <w:trPr>
          <w:trHeight w:val="348"/>
        </w:trPr>
        <w:tc>
          <w:tcPr>
            <w:tcW w:w="5720" w:type="dxa"/>
            <w:vAlign w:val="bottom"/>
            <w:tcBorders>
              <w:bottom w:val="single" w:sz="8" w:color="808080"/>
            </w:tcBorders>
          </w:tcPr>
          <w:p>
            <w:pPr>
              <w:spacing w:after="0"/>
              <w:rPr>
                <w:sz w:val="24"/>
                <w:szCs w:val="24"/>
                <w:color w:val="auto"/>
              </w:rPr>
            </w:pPr>
          </w:p>
        </w:tc>
        <w:tc>
          <w:tcPr>
            <w:tcW w:w="57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577F8E1"/>
    <w:multiLevelType w:val="hybridMultilevel"/>
    <w:lvl w:ilvl="0">
      <w:lvlJc w:val="left"/>
      <w:lvlText w:val="x"/>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
      <w:numFmt w:val="bullet"/>
      <w:start w:val="1"/>
    </w:lvl>
  </w:abstractNum>
  <w:abstractNum w:abstractNumId="4">
    <w:nsid w:val="77465F01"/>
    <w:multiLevelType w:val="hybridMultilevel"/>
    <w:lvl w:ilvl="0">
      <w:lvlJc w:val="left"/>
      <w:lvlText w:val="##"/>
      <w:numFmt w:val="bullet"/>
      <w:start w:val="1"/>
    </w:lvl>
  </w:abstractNum>
  <w:abstractNum w:abstractNumId="5">
    <w:nsid w:val="7724C67E"/>
    <w:multiLevelType w:val="hybridMultilevel"/>
    <w:lvl w:ilvl="0">
      <w:lvlJc w:val="left"/>
      <w:lvlText w:val="††"/>
      <w:numFmt w:val="bullet"/>
      <w:start w:val="1"/>
    </w:lvl>
  </w:abstractNum>
  <w:abstractNum w:abstractNumId="6">
    <w:nsid w:val="5C482A97"/>
    <w:multiLevelType w:val="hybridMultilevel"/>
    <w:lvl w:ilvl="0">
      <w:lvlJc w:val="left"/>
      <w:lvlText w:val="%1"/>
      <w:numFmt w:val="lowerRoman"/>
      <w:start w:val="1"/>
    </w:lvl>
    <w:lvl w:ilvl="1">
      <w:lvlJc w:val="left"/>
      <w:lvlText w:val="%2."/>
      <w:numFmt w:val="upperLetter"/>
      <w:start w:val="1"/>
    </w:lvl>
  </w:abstractNum>
  <w:abstractNum w:abstractNumId="7">
    <w:nsid w:val="2463B9EA"/>
    <w:multiLevelType w:val="hybridMultilevel"/>
    <w:lvl w:ilvl="0">
      <w:lvlJc w:val="left"/>
      <w:lvlText w:val="(%1)"/>
      <w:numFmt w:val="lowerRoman"/>
      <w:start w:val="3"/>
    </w:lvl>
    <w:lvl w:ilvl="1">
      <w:lvlJc w:val="left"/>
      <w:lvlText w:val="%2."/>
      <w:numFmt w:val="upperLetter"/>
      <w:start w:val="5"/>
    </w:lvl>
  </w:abstractNum>
  <w:abstractNum w:abstractNumId="8">
    <w:nsid w:val="5E884ADC"/>
    <w:multiLevelType w:val="hybridMultilevel"/>
    <w:lvl w:ilvl="0">
      <w:lvlJc w:val="left"/>
      <w:lvlText w:val="%1."/>
      <w:numFmt w:val="decimal"/>
      <w:start w:val="1"/>
    </w:lvl>
  </w:abstractNum>
  <w:abstractNum w:abstractNumId="9">
    <w:nsid w:val="51EAD36B"/>
    <w:multiLevelType w:val="hybridMultilevel"/>
    <w:lvl w:ilvl="0">
      <w:lvlJc w:val="left"/>
      <w:lvlText w:val="%1."/>
      <w:numFmt w:val="decimal"/>
      <w:start w:val="3"/>
    </w:lvl>
  </w:abstractNum>
  <w:abstractNum w:abstractNumId="10">
    <w:nsid w:val="2D517796"/>
    <w:multiLevelType w:val="hybridMultilevel"/>
    <w:lvl w:ilvl="0">
      <w:lvlJc w:val="left"/>
      <w:lvlText w:val="%1."/>
      <w:numFmt w:val="decimal"/>
      <w:start w:val="4"/>
    </w:lvl>
  </w:abstractNum>
  <w:abstractNum w:abstractNumId="11">
    <w:nsid w:val="580BD78F"/>
    <w:multiLevelType w:val="hybridMultilevel"/>
    <w:lvl w:ilvl="0">
      <w:lvlJc w:val="left"/>
      <w:lvlText w:val="%1."/>
      <w:numFmt w:val="decimal"/>
      <w:start w:val="5"/>
    </w:lvl>
  </w:abstractNum>
  <w:abstractNum w:abstractNumId="12">
    <w:nsid w:val="153EA438"/>
    <w:multiLevelType w:val="hybridMultilevel"/>
    <w:lvl w:ilvl="0">
      <w:lvlJc w:val="left"/>
      <w:lvlText w:val="%1."/>
      <w:numFmt w:val="decimal"/>
      <w:start w:val="6"/>
    </w:lvl>
  </w:abstractNum>
  <w:abstractNum w:abstractNumId="13">
    <w:nsid w:val="3855585C"/>
    <w:multiLevelType w:val="hybridMultilevel"/>
    <w:lvl w:ilvl="0">
      <w:lvlJc w:val="left"/>
      <w:lvlText w:val="(%1)"/>
      <w:numFmt w:val="decimal"/>
      <w:start w:val="30"/>
    </w:lvl>
  </w:abstractNum>
  <w:abstractNum w:abstractNumId="14">
    <w:nsid w:val="70A64E2A"/>
    <w:multiLevelType w:val="hybridMultilevel"/>
    <w:lvl w:ilvl="0">
      <w:lvlJc w:val="left"/>
      <w:lvlText w:val="(%1)"/>
      <w:numFmt w:val="decimal"/>
      <w:start w:val="9"/>
    </w:lvl>
  </w:abstractNum>
  <w:abstractNum w:abstractNumId="15">
    <w:nsid w:val="6A2342EC"/>
    <w:multiLevelType w:val="hybridMultilevel"/>
    <w:lvl w:ilvl="0">
      <w:lvlJc w:val="left"/>
      <w:lvlText w:val="%1."/>
      <w:numFmt w:val="decimal"/>
      <w:start w:val="7"/>
    </w:lvl>
  </w:abstractNum>
  <w:abstractNum w:abstractNumId="16">
    <w:nsid w:val="2A487CB0"/>
    <w:multiLevelType w:val="hybridMultilevel"/>
    <w:lvl w:ilvl="0">
      <w:lvlJc w:val="left"/>
      <w:lvlText w:val="%1."/>
      <w:numFmt w:val="decimal"/>
      <w:start w:val="8"/>
    </w:lvl>
  </w:abstractNum>
  <w:abstractNum w:abstractNumId="17">
    <w:nsid w:val="1D4ED43B"/>
    <w:multiLevelType w:val="hybridMultilevel"/>
    <w:lvl w:ilvl="0">
      <w:lvlJc w:val="left"/>
      <w:lvlText w:val="%1."/>
      <w:numFmt w:val="decimal"/>
      <w:start w:val="9"/>
    </w:lvl>
  </w:abstractNum>
  <w:abstractNum w:abstractNumId="18">
    <w:nsid w:val="725A06FB"/>
    <w:multiLevelType w:val="hybridMultilevel"/>
    <w:lvl w:ilvl="0">
      <w:lvlJc w:val="left"/>
      <w:lvlText w:val="(%1)"/>
      <w:numFmt w:val="lowerRoman"/>
      <w:start w:val="1"/>
    </w:lvl>
  </w:abstractNum>
  <w:abstractNum w:abstractNumId="19">
    <w:nsid w:val="2CD89A32"/>
    <w:multiLevelType w:val="hybridMultilevel"/>
    <w:lvl w:ilvl="0">
      <w:lvlJc w:val="left"/>
      <w:lvlText w:val="%1."/>
      <w:numFmt w:val="decimal"/>
      <w:start w:val="10"/>
    </w:lvl>
  </w:abstractNum>
  <w:abstractNum w:abstractNumId="20">
    <w:nsid w:val="57E4CCAF"/>
    <w:multiLevelType w:val="hybridMultilevel"/>
    <w:lvl w:ilvl="0">
      <w:lvlJc w:val="left"/>
      <w:lvlText w:val="(%1)"/>
      <w:numFmt w:val="lowerLetter"/>
      <w:start w:val="3"/>
    </w:lvl>
  </w:abstractNum>
  <w:abstractNum w:abstractNumId="21">
    <w:nsid w:val="7A6D8D3C"/>
    <w:multiLevelType w:val="hybridMultilevel"/>
    <w:lvl w:ilvl="0">
      <w:lvlJc w:val="left"/>
      <w:lvlText w:val="(%1)"/>
      <w:numFmt w:val="lowerLetter"/>
      <w:start w:val="4"/>
    </w:lvl>
  </w:abstractNum>
  <w:abstractNum w:abstractNumId="22">
    <w:nsid w:val="4B588F54"/>
    <w:multiLevelType w:val="hybridMultilevel"/>
    <w:lvl w:ilvl="0">
      <w:lvlJc w:val="left"/>
      <w:lvlText w:val="%1."/>
      <w:numFmt w:val="decimal"/>
      <w:start w:val="11"/>
    </w:lvl>
  </w:abstractNum>
  <w:abstractNum w:abstractNumId="23">
    <w:nsid w:val="542289EC"/>
    <w:multiLevelType w:val="hybridMultilevel"/>
    <w:lvl w:ilvl="0">
      <w:lvlJc w:val="left"/>
      <w:lvlText w:val="(%1)"/>
      <w:numFmt w:val="lowerLetter"/>
      <w:start w:val="1"/>
    </w:lvl>
    <w:lvl w:ilvl="1">
      <w:lvlJc w:val="left"/>
      <w:lvlText w:val="%2."/>
      <w:numFmt w:val="decimal"/>
      <w:start w:val="12"/>
    </w:lvl>
  </w:abstractNum>
  <w:abstractNum w:abstractNumId="24">
    <w:nsid w:val="6DE91B18"/>
    <w:multiLevelType w:val="hybridMultilevel"/>
    <w:lvl w:ilvl="0">
      <w:lvlJc w:val="left"/>
      <w:lvlText w:val="%1."/>
      <w:numFmt w:val="decimal"/>
      <w:start w:val="15"/>
    </w:lvl>
  </w:abstractNum>
  <w:abstractNum w:abstractNumId="25">
    <w:nsid w:val="38437FDB"/>
    <w:multiLevelType w:val="hybridMultilevel"/>
    <w:lvl w:ilvl="0">
      <w:lvlJc w:val="left"/>
      <w:lvlText w:val="%1."/>
      <w:numFmt w:val="decimal"/>
      <w:start w:val="18"/>
    </w:lvl>
  </w:abstractNum>
  <w:abstractNum w:abstractNumId="26">
    <w:nsid w:val="7644A45C"/>
    <w:multiLevelType w:val="hybridMultilevel"/>
    <w:lvl w:ilvl="0">
      <w:lvlJc w:val="left"/>
      <w:lvlText w:val="%1."/>
      <w:numFmt w:val="decimal"/>
      <w:start w:val="1"/>
    </w:lvl>
  </w:abstractNum>
  <w:abstractNum w:abstractNumId="27">
    <w:nsid w:val="32FFF902"/>
    <w:multiLevelType w:val="hybridMultilevel"/>
    <w:lvl w:ilvl="0">
      <w:lvlJc w:val="left"/>
      <w:lvlText w:val="%1."/>
      <w:numFmt w:val="decimal"/>
      <w:start w:val="2"/>
    </w:lvl>
  </w:abstractNum>
  <w:abstractNum w:abstractNumId="28">
    <w:nsid w:val="684A481A"/>
    <w:multiLevelType w:val="hybridMultilevel"/>
    <w:lvl w:ilvl="0">
      <w:lvlJc w:val="left"/>
      <w:lvlText w:val="%1."/>
      <w:numFmt w:val="decimal"/>
      <w:start w:val="3"/>
    </w:lvl>
  </w:abstractNum>
  <w:abstractNum w:abstractNumId="29">
    <w:nsid w:val="579478FE"/>
    <w:multiLevelType w:val="hybridMultilevel"/>
    <w:lvl w:ilvl="0">
      <w:lvlJc w:val="left"/>
      <w:lvlText w:val="%1"/>
      <w:numFmt w:val="decimal"/>
      <w:start w:val="1"/>
    </w:lvl>
    <w:lvl w:ilvl="1">
      <w:lvlJc w:val="left"/>
      <w:lvlText w:val="%2."/>
      <w:numFmt w:val="decimal"/>
      <w:start w:val="4"/>
    </w:lvl>
  </w:abstractNum>
  <w:abstractNum w:abstractNumId="30">
    <w:nsid w:val="749ABB43"/>
    <w:multiLevelType w:val="hybridMultilevel"/>
    <w:lvl w:ilvl="0">
      <w:lvlJc w:val="left"/>
      <w:lvlText w:val="(%1)"/>
      <w:numFmt w:val="decimal"/>
      <w:start w:val="2"/>
    </w:lvl>
    <w:lvl w:ilvl="1">
      <w:lvlJc w:val="left"/>
      <w:lvlText w:val="%2."/>
      <w:numFmt w:val="decimal"/>
      <w:start w:val="5"/>
    </w:lvl>
  </w:abstractNum>
  <w:abstractNum w:abstractNumId="31">
    <w:nsid w:val="3DC240FB"/>
    <w:multiLevelType w:val="hybridMultilevel"/>
    <w:lvl w:ilvl="0">
      <w:lvlJc w:val="left"/>
      <w:lvlText w:val="%1."/>
      <w:numFmt w:val="decimal"/>
      <w:start w:val="6"/>
    </w:lvl>
  </w:abstractNum>
  <w:abstractNum w:abstractNumId="32">
    <w:nsid w:val="1BA026FA"/>
    <w:multiLevelType w:val="hybridMultilevel"/>
    <w:lvl w:ilvl="0">
      <w:lvlJc w:val="left"/>
      <w:lvlText w:val="%1."/>
      <w:numFmt w:val="decimal"/>
      <w:start w:val="7"/>
    </w:lvl>
  </w:abstractNum>
  <w:abstractNum w:abstractNumId="33">
    <w:nsid w:val="79A1DEAA"/>
    <w:multiLevelType w:val="hybridMultilevel"/>
    <w:lvl w:ilvl="0">
      <w:lvlJc w:val="left"/>
      <w:lvlText w:val="%1."/>
      <w:numFmt w:val="decimal"/>
      <w:start w:val="8"/>
    </w:lvl>
  </w:abstractNum>
  <w:abstractNum w:abstractNumId="34">
    <w:nsid w:val="75C6C33A"/>
    <w:multiLevelType w:val="hybridMultilevel"/>
    <w:lvl w:ilvl="0">
      <w:lvlJc w:val="left"/>
      <w:lvlText w:val="(%1)"/>
      <w:numFmt w:val="upperLetter"/>
      <w:start w:val="1"/>
    </w:lvl>
  </w:abstractNum>
  <w:abstractNum w:abstractNumId="35">
    <w:nsid w:val="12E685FB"/>
    <w:multiLevelType w:val="hybridMultilevel"/>
    <w:lvl w:ilvl="0">
      <w:lvlJc w:val="left"/>
      <w:lvlText w:val="(%1)"/>
      <w:numFmt w:val="upperLetter"/>
      <w:start w:val="1"/>
    </w:lvl>
  </w:abstractNum>
  <w:abstractNum w:abstractNumId="36">
    <w:nsid w:val="70C6A529"/>
    <w:multiLevelType w:val="hybridMultilevel"/>
    <w:lvl w:ilvl="0">
      <w:lvlJc w:val="left"/>
      <w:lvlText w:val="(%1)"/>
      <w:numFmt w:val="upperLetter"/>
      <w:start w:val="1"/>
    </w:lvl>
  </w:abstractNum>
  <w:abstractNum w:abstractNumId="37">
    <w:nsid w:val="520EEDD1"/>
    <w:multiLevelType w:val="hybridMultilevel"/>
    <w:lvl w:ilvl="0">
      <w:lvlJc w:val="left"/>
      <w:lvlText w:val="(%1)"/>
      <w:numFmt w:val="upperLetter"/>
      <w:start w:val="1"/>
    </w:lvl>
  </w:abstractNum>
  <w:abstractNum w:abstractNumId="38">
    <w:nsid w:val="374A3FE6"/>
    <w:multiLevelType w:val="hybridMultilevel"/>
    <w:lvl w:ilvl="0">
      <w:lvlJc w:val="left"/>
      <w:lvlText w:val="%1."/>
      <w:numFmt w:val="decimal"/>
      <w:start w:val="9"/>
    </w:lvl>
  </w:abstractNum>
  <w:abstractNum w:abstractNumId="39">
    <w:nsid w:val="4F4EF005"/>
    <w:multiLevelType w:val="hybridMultilevel"/>
    <w:lvl w:ilvl="0">
      <w:lvlJc w:val="left"/>
      <w:lvlText w:val="%1."/>
      <w:numFmt w:val="decimal"/>
      <w:start w:val="10"/>
    </w:lvl>
  </w:abstractNum>
  <w:abstractNum w:abstractNumId="40">
    <w:nsid w:val="23F9C13C"/>
    <w:multiLevelType w:val="hybridMultilevel"/>
    <w:lvl w:ilvl="0">
      <w:lvlJc w:val="left"/>
      <w:lvlText w:val="%1."/>
      <w:numFmt w:val="decimal"/>
      <w:start w:val="12"/>
    </w:lvl>
  </w:abstractNum>
  <w:abstractNum w:abstractNumId="41">
    <w:nsid w:val="649BB77C"/>
    <w:multiLevelType w:val="hybridMultilevel"/>
    <w:lvl w:ilvl="0">
      <w:lvlJc w:val="left"/>
      <w:lvlText w:val="%1."/>
      <w:numFmt w:val="decimal"/>
      <w:start w:val="13"/>
    </w:lvl>
  </w:abstractNum>
  <w:abstractNum w:abstractNumId="42">
    <w:nsid w:val="275AC794"/>
    <w:multiLevelType w:val="hybridMultilevel"/>
    <w:lvl w:ilvl="0">
      <w:lvlJc w:val="left"/>
      <w:lvlText w:val="%1."/>
      <w:numFmt w:val="decimal"/>
      <w:start w:val="14"/>
    </w:lvl>
  </w:abstractNum>
  <w:abstractNum w:abstractNumId="43">
    <w:nsid w:val="39386575"/>
    <w:multiLevelType w:val="hybridMultilevel"/>
    <w:lvl w:ilvl="0">
      <w:lvlJc w:val="left"/>
      <w:lvlText w:val="%1."/>
      <w:numFmt w:val="decimal"/>
      <w:start w:val="15"/>
    </w:lvl>
  </w:abstractNum>
  <w:abstractNum w:abstractNumId="44">
    <w:nsid w:val="1CF10FD8"/>
    <w:multiLevelType w:val="hybridMultilevel"/>
    <w:lvl w:ilvl="0">
      <w:lvlJc w:val="left"/>
      <w:lvlText w:val="(%1)"/>
      <w:numFmt w:val="lowerLetter"/>
      <w:start w:val="2"/>
    </w:lvl>
  </w:abstractNum>
  <w:abstractNum w:abstractNumId="45">
    <w:nsid w:val="180115BE"/>
    <w:multiLevelType w:val="hybridMultilevel"/>
    <w:lvl w:ilvl="0">
      <w:lvlJc w:val="left"/>
      <w:lvlText w:val="(%1)"/>
      <w:numFmt w:val="lowerLetter"/>
      <w:start w:val="4"/>
    </w:lvl>
  </w:abstractNum>
  <w:abstractNum w:abstractNumId="46">
    <w:nsid w:val="235BA861"/>
    <w:multiLevelType w:val="hybridMultilevel"/>
    <w:lvl w:ilvl="0">
      <w:lvlJc w:val="left"/>
      <w:lvlText w:val="%1."/>
      <w:numFmt w:val="decimal"/>
      <w:start w:val="2"/>
    </w:lvl>
  </w:abstractNum>
  <w:abstractNum w:abstractNumId="47">
    <w:nsid w:val="47398C89"/>
    <w:multiLevelType w:val="hybridMultilevel"/>
    <w:lvl w:ilvl="0">
      <w:lvlJc w:val="left"/>
      <w:lvlText w:val="%1."/>
      <w:numFmt w:val="decimal"/>
      <w:start w:val="4"/>
    </w:lvl>
  </w:abstractNum>
  <w:abstractNum w:abstractNumId="48">
    <w:nsid w:val="354FE9F9"/>
    <w:multiLevelType w:val="hybridMultilevel"/>
    <w:lvl w:ilvl="0">
      <w:lvlJc w:val="left"/>
      <w:lvlText w:val="%1."/>
      <w:numFmt w:val="decimal"/>
      <w:start w:val="5"/>
    </w:lvl>
  </w:abstractNum>
  <w:abstractNum w:abstractNumId="49">
    <w:nsid w:val="15B5AF5C"/>
    <w:multiLevelType w:val="hybridMultilevel"/>
    <w:lvl w:ilvl="0">
      <w:lvlJc w:val="left"/>
      <w:lvlText w:val="%1."/>
      <w:numFmt w:val="decimal"/>
      <w:start w:val="9"/>
    </w:lvl>
    <w:lvl w:ilvl="1">
      <w:lvlJc w:val="left"/>
      <w:lvlText w:val="%2."/>
      <w:numFmt w:val="lowerLetter"/>
      <w:start w:val="1"/>
    </w:lvl>
  </w:abstractNum>
  <w:abstractNum w:abstractNumId="50">
    <w:nsid w:val="741226BB"/>
    <w:multiLevelType w:val="hybridMultilevel"/>
    <w:lvl w:ilvl="0">
      <w:lvlJc w:val="left"/>
      <w:lvlText w:val="%1"/>
      <w:numFmt w:val="decimal"/>
      <w:start w:val="1"/>
    </w:lvl>
    <w:lvl w:ilvl="1">
      <w:lvlJc w:val="left"/>
      <w:lvlText w:val="%2."/>
      <w:numFmt w:val="lowerLetter"/>
      <w:start w:val="3"/>
    </w:lvl>
  </w:abstractNum>
  <w:abstractNum w:abstractNumId="51">
    <w:nsid w:val="D34B6A8"/>
    <w:multiLevelType w:val="hybridMultilevel"/>
    <w:lvl w:ilvl="0">
      <w:lvlJc w:val="left"/>
      <w:lvlText w:val="%1."/>
      <w:numFmt w:val="decimal"/>
      <w:start w:val="11"/>
    </w:lvl>
    <w:lvl w:ilvl="1">
      <w:lvlJc w:val="left"/>
      <w:lvlText w:val="%2."/>
      <w:numFmt w:val="lowerLetter"/>
      <w:start w:val="1"/>
    </w:lvl>
  </w:abstractNum>
  <w:abstractNum w:abstractNumId="52">
    <w:nsid w:val="10233C99"/>
    <w:multiLevelType w:val="hybridMultilevel"/>
    <w:lvl w:ilvl="0">
      <w:lvlJc w:val="left"/>
      <w:lvlText w:val="%1."/>
      <w:numFmt w:val="decimal"/>
      <w:start w:val="1"/>
    </w:lvl>
  </w:abstractNum>
  <w:abstractNum w:abstractNumId="53">
    <w:nsid w:val="3F6AB60F"/>
    <w:multiLevelType w:val="hybridMultilevel"/>
    <w:lvl w:ilvl="0">
      <w:lvlJc w:val="left"/>
      <w:lvlText w:val="%1."/>
      <w:numFmt w:val="decimal"/>
      <w:start w:val="2"/>
    </w:lvl>
    <w:lvl w:ilvl="1">
      <w:lvlJc w:val="left"/>
      <w:lvlText w:val="(%2)"/>
      <w:numFmt w:val="lowerLetter"/>
      <w:start w:val="1"/>
    </w:lvl>
  </w:abstractNum>
  <w:abstractNum w:abstractNumId="54">
    <w:nsid w:val="61574095"/>
    <w:multiLevelType w:val="hybridMultilevel"/>
    <w:lvl w:ilvl="0">
      <w:lvlJc w:val="left"/>
      <w:lvlText w:val="(%1)"/>
      <w:numFmt w:val="lowerRoman"/>
      <w:start w:val="1"/>
    </w:lvl>
  </w:abstractNum>
  <w:abstractNum w:abstractNumId="55">
    <w:nsid w:val="7E0C57B1"/>
    <w:multiLevelType w:val="hybridMultilevel"/>
    <w:lvl w:ilvl="0">
      <w:lvlJc w:val="left"/>
      <w:lvlText w:val="%1"/>
      <w:numFmt w:val="decimal"/>
      <w:start w:val="1"/>
    </w:lvl>
    <w:lvl w:ilvl="1">
      <w:lvlJc w:val="left"/>
      <w:lvlText w:val="(%2)"/>
      <w:numFmt w:val="lowerLetter"/>
      <w:start w:val="2"/>
    </w:lvl>
  </w:abstractNum>
  <w:abstractNum w:abstractNumId="56">
    <w:nsid w:val="77AE35EB"/>
    <w:multiLevelType w:val="hybridMultilevel"/>
    <w:lvl w:ilvl="0">
      <w:lvlJc w:val="left"/>
      <w:lvlText w:val="%1."/>
      <w:numFmt w:val="decimal"/>
      <w:start w:val="4"/>
    </w:lvl>
    <w:lvl w:ilvl="1">
      <w:lvlJc w:val="left"/>
      <w:lvlText w:val="%2"/>
      <w:numFmt w:val="lowerLetter"/>
      <w:start w:val="1"/>
    </w:lvl>
  </w:abstractNum>
  <w:abstractNum w:abstractNumId="57">
    <w:nsid w:val="579BE4F1"/>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58">
    <w:nsid w:val="310C50B3"/>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59">
    <w:nsid w:val="5FF87E05"/>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60">
    <w:nsid w:val="2F305DEF"/>
    <w:multiLevelType w:val="hybridMultilevel"/>
    <w:lvl w:ilvl="0">
      <w:lvlJc w:val="left"/>
      <w:lvlText w:val="%1."/>
      <w:numFmt w:val="decimal"/>
      <w:start w:val="12"/>
    </w:lvl>
  </w:abstractNum>
  <w:abstractNum w:abstractNumId="61">
    <w:nsid w:val="25A70BF7"/>
    <w:multiLevelType w:val="hybridMultilevel"/>
    <w:lvl w:ilvl="0">
      <w:lvlJc w:val="left"/>
      <w:lvlText w:val="%1."/>
      <w:numFmt w:val="decimal"/>
      <w:start w:val="60"/>
    </w:lvl>
  </w:abstractNum>
  <w:abstractNum w:abstractNumId="62">
    <w:nsid w:val="1DBABF00"/>
    <w:multiLevelType w:val="hybridMultilevel"/>
    <w:lvl w:ilvl="0">
      <w:lvlJc w:val="left"/>
      <w:lvlText w:val="%1."/>
      <w:numFmt w:val="decimal"/>
      <w:start w:val="108"/>
    </w:lvl>
  </w:abstractNum>
  <w:abstractNum w:abstractNumId="63">
    <w:nsid w:val="4AD084E9"/>
    <w:multiLevelType w:val="hybridMultilevel"/>
    <w:lvl w:ilvl="0">
      <w:lvlJc w:val="left"/>
      <w:lvlText w:val="%1."/>
      <w:numFmt w:val="decimal"/>
      <w:start w:val="156"/>
    </w:lvl>
  </w:abstractNum>
  <w:abstractNum w:abstractNumId="64">
    <w:nsid w:val="1F48EAA1"/>
    <w:multiLevelType w:val="hybridMultilevel"/>
    <w:lvl w:ilvl="0">
      <w:lvlJc w:val="left"/>
      <w:lvlText w:val="%1."/>
      <w:numFmt w:val="decimal"/>
      <w:start w:val="204"/>
    </w:lvl>
  </w:abstractNum>
  <w:abstractNum w:abstractNumId="65">
    <w:nsid w:val="1381823A"/>
    <w:multiLevelType w:val="hybridMultilevel"/>
    <w:lvl w:ilvl="0">
      <w:lvlJc w:val="left"/>
      <w:lvlText w:val="%1."/>
      <w:numFmt w:val="decimal"/>
      <w:start w:val="252"/>
    </w:lvl>
  </w:abstractNum>
  <w:abstractNum w:abstractNumId="66">
    <w:nsid w:val="5DB70AE5"/>
    <w:multiLevelType w:val="hybridMultilevel"/>
    <w:lvl w:ilvl="0">
      <w:lvlJc w:val="left"/>
      <w:lvlText w:val="%1."/>
      <w:numFmt w:val="decimal"/>
      <w:start w:val="300"/>
    </w:lvl>
  </w:abstractNum>
  <w:abstractNum w:abstractNumId="67">
    <w:nsid w:val="100F8FCA"/>
    <w:multiLevelType w:val="hybridMultilevel"/>
    <w:lvl w:ilvl="0">
      <w:lvlJc w:val="left"/>
      <w:lvlText w:val="%1."/>
      <w:numFmt w:val="decimal"/>
      <w:start w:val="1"/>
    </w:lvl>
  </w:abstractNum>
  <w:abstractNum w:abstractNumId="68">
    <w:nsid w:val="6590700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4" Type="http://schemas.openxmlformats.org/officeDocument/2006/relationships/image" Target="media/image13.png"/><Relationship Id="rId35" Type="http://schemas.openxmlformats.org/officeDocument/2006/relationships/image" Target="media/image14.png"/><Relationship Id="rId36" Type="http://schemas.openxmlformats.org/officeDocument/2006/relationships/image" Target="media/image15.png"/><Relationship Id="rId37" Type="http://schemas.openxmlformats.org/officeDocument/2006/relationships/image" Target="media/image16.png"/><Relationship Id="rId38" Type="http://schemas.openxmlformats.org/officeDocument/2006/relationships/image" Target="media/image17.png"/><Relationship Id="rId39" Type="http://schemas.openxmlformats.org/officeDocument/2006/relationships/image" Target="media/image18.png"/><Relationship Id="rId40" Type="http://schemas.openxmlformats.org/officeDocument/2006/relationships/image" Target="media/image19.png"/><Relationship Id="rId41" Type="http://schemas.openxmlformats.org/officeDocument/2006/relationships/image" Target="media/image20.png"/><Relationship Id="rId42" Type="http://schemas.openxmlformats.org/officeDocument/2006/relationships/image" Target="media/image21.png"/><Relationship Id="rId43" Type="http://schemas.openxmlformats.org/officeDocument/2006/relationships/image" Target="media/image22.png"/><Relationship Id="rId44" Type="http://schemas.openxmlformats.org/officeDocument/2006/relationships/image" Target="media/image23.png"/><Relationship Id="rId45" Type="http://schemas.openxmlformats.org/officeDocument/2006/relationships/image" Target="media/image24.png"/><Relationship Id="rId46" Type="http://schemas.openxmlformats.org/officeDocument/2006/relationships/image" Target="media/image25.png"/><Relationship Id="rId47" Type="http://schemas.openxmlformats.org/officeDocument/2006/relationships/image" Target="media/image26.png"/><Relationship Id="rId48" Type="http://schemas.openxmlformats.org/officeDocument/2006/relationships/image" Target="media/image27.png"/><Relationship Id="rId49" Type="http://schemas.openxmlformats.org/officeDocument/2006/relationships/image" Target="media/image28.png"/><Relationship Id="rId50" Type="http://schemas.openxmlformats.org/officeDocument/2006/relationships/image" Target="media/image29.png"/><Relationship Id="rId51" Type="http://schemas.openxmlformats.org/officeDocument/2006/relationships/image" Target="media/image30.png"/><Relationship Id="rId52" Type="http://schemas.openxmlformats.org/officeDocument/2006/relationships/image" Target="media/image31.png"/><Relationship Id="rId53" Type="http://schemas.openxmlformats.org/officeDocument/2006/relationships/image" Target="media/image32.png"/><Relationship Id="rId54" Type="http://schemas.openxmlformats.org/officeDocument/2006/relationships/image" Target="media/image33.png"/><Relationship Id="rId55" Type="http://schemas.openxmlformats.org/officeDocument/2006/relationships/image" Target="media/image34.png"/><Relationship Id="rId56" Type="http://schemas.openxmlformats.org/officeDocument/2006/relationships/image" Target="media/image35.png"/><Relationship Id="rId57" Type="http://schemas.openxmlformats.org/officeDocument/2006/relationships/image" Target="media/image36.png"/><Relationship Id="rId58" Type="http://schemas.openxmlformats.org/officeDocument/2006/relationships/image" Target="media/image37.png"/><Relationship Id="rId59" Type="http://schemas.openxmlformats.org/officeDocument/2006/relationships/image" Target="media/image38.png"/><Relationship Id="rId60" Type="http://schemas.openxmlformats.org/officeDocument/2006/relationships/image" Target="media/image39.png"/><Relationship Id="rId61" Type="http://schemas.openxmlformats.org/officeDocument/2006/relationships/image" Target="media/image40.png"/><Relationship Id="rId62" Type="http://schemas.openxmlformats.org/officeDocument/2006/relationships/image" Target="media/image41.png"/><Relationship Id="rId63" Type="http://schemas.openxmlformats.org/officeDocument/2006/relationships/image" Target="media/image42.png"/><Relationship Id="rId64" Type="http://schemas.openxmlformats.org/officeDocument/2006/relationships/image" Target="media/image43.png"/><Relationship Id="rId65" Type="http://schemas.openxmlformats.org/officeDocument/2006/relationships/image" Target="media/image44.png"/><Relationship Id="rId66" Type="http://schemas.openxmlformats.org/officeDocument/2006/relationships/image" Target="media/image45.png"/><Relationship Id="rId67" Type="http://schemas.openxmlformats.org/officeDocument/2006/relationships/image" Target="media/image46.png"/><Relationship Id="rId68" Type="http://schemas.openxmlformats.org/officeDocument/2006/relationships/image" Target="media/image47.png"/><Relationship Id="rId69" Type="http://schemas.openxmlformats.org/officeDocument/2006/relationships/image" Target="media/image48.png"/><Relationship Id="rId70" Type="http://schemas.openxmlformats.org/officeDocument/2006/relationships/image" Target="media/image49.png"/><Relationship Id="rId71" Type="http://schemas.openxmlformats.org/officeDocument/2006/relationships/image" Target="media/image50.png"/><Relationship Id="rId72" Type="http://schemas.openxmlformats.org/officeDocument/2006/relationships/image" Target="media/image51.png"/><Relationship Id="rId73" Type="http://schemas.openxmlformats.org/officeDocument/2006/relationships/image" Target="media/image52.png"/><Relationship Id="rId74" Type="http://schemas.openxmlformats.org/officeDocument/2006/relationships/image" Target="media/image53.png"/><Relationship Id="rId75" Type="http://schemas.openxmlformats.org/officeDocument/2006/relationships/image" Target="media/image54.png"/><Relationship Id="rId76" Type="http://schemas.openxmlformats.org/officeDocument/2006/relationships/image" Target="media/image55.png"/><Relationship Id="rId77" Type="http://schemas.openxmlformats.org/officeDocument/2006/relationships/image" Target="media/image56.png"/><Relationship Id="rId78" Type="http://schemas.openxmlformats.org/officeDocument/2006/relationships/image" Target="media/image57.png"/><Relationship Id="rId79" Type="http://schemas.openxmlformats.org/officeDocument/2006/relationships/image" Target="media/image58.png"/><Relationship Id="rId80" Type="http://schemas.openxmlformats.org/officeDocument/2006/relationships/image" Target="media/image59.png"/><Relationship Id="rId81" Type="http://schemas.openxmlformats.org/officeDocument/2006/relationships/image" Target="media/image60.png"/><Relationship Id="rId82" Type="http://schemas.openxmlformats.org/officeDocument/2006/relationships/image" Target="media/image61.png"/><Relationship Id="rId83" Type="http://schemas.openxmlformats.org/officeDocument/2006/relationships/image" Target="media/image62.png"/><Relationship Id="rId84" Type="http://schemas.openxmlformats.org/officeDocument/2006/relationships/image" Target="media/image63.png"/><Relationship Id="rId85" Type="http://schemas.openxmlformats.org/officeDocument/2006/relationships/image" Target="media/image64.png"/><Relationship Id="rId86" Type="http://schemas.openxmlformats.org/officeDocument/2006/relationships/image" Target="media/image65.png"/><Relationship Id="rId87" Type="http://schemas.openxmlformats.org/officeDocument/2006/relationships/image" Target="media/image66.png"/><Relationship Id="rId88" Type="http://schemas.openxmlformats.org/officeDocument/2006/relationships/image" Target="media/image67.png"/><Relationship Id="rId89" Type="http://schemas.openxmlformats.org/officeDocument/2006/relationships/image" Target="media/image68.png"/><Relationship Id="rId90" Type="http://schemas.openxmlformats.org/officeDocument/2006/relationships/image" Target="media/image69.png"/><Relationship Id="rId91" Type="http://schemas.openxmlformats.org/officeDocument/2006/relationships/image" Target="media/image70.png"/><Relationship Id="rId92" Type="http://schemas.openxmlformats.org/officeDocument/2006/relationships/image" Target="media/image71.png"/><Relationship Id="rId93" Type="http://schemas.openxmlformats.org/officeDocument/2006/relationships/image" Target="media/image72.png"/><Relationship Id="rId94" Type="http://schemas.openxmlformats.org/officeDocument/2006/relationships/image" Target="media/image73.png"/><Relationship Id="rId95" Type="http://schemas.openxmlformats.org/officeDocument/2006/relationships/image" Target="media/image74.png"/><Relationship Id="rId96" Type="http://schemas.openxmlformats.org/officeDocument/2006/relationships/image" Target="media/image75.png"/><Relationship Id="rId97" Type="http://schemas.openxmlformats.org/officeDocument/2006/relationships/image" Target="media/image76.png"/><Relationship Id="rId98" Type="http://schemas.openxmlformats.org/officeDocument/2006/relationships/image" Target="media/image77.png"/><Relationship Id="rId99" Type="http://schemas.openxmlformats.org/officeDocument/2006/relationships/image" Target="media/image78.png"/><Relationship Id="rId100" Type="http://schemas.openxmlformats.org/officeDocument/2006/relationships/image" Target="media/image79.png"/><Relationship Id="rId101" Type="http://schemas.openxmlformats.org/officeDocument/2006/relationships/image" Target="media/image80.png"/><Relationship Id="rId102" Type="http://schemas.openxmlformats.org/officeDocument/2006/relationships/image" Target="media/image81.png"/><Relationship Id="rId103" Type="http://schemas.openxmlformats.org/officeDocument/2006/relationships/image" Target="media/image82.png"/><Relationship Id="rId104" Type="http://schemas.openxmlformats.org/officeDocument/2006/relationships/image" Target="media/image83.png"/><Relationship Id="rId105" Type="http://schemas.openxmlformats.org/officeDocument/2006/relationships/image" Target="media/image84.png"/><Relationship Id="rId106" Type="http://schemas.openxmlformats.org/officeDocument/2006/relationships/image" Target="media/image85.jpeg"/><Relationship Id="rId107" Type="http://schemas.openxmlformats.org/officeDocument/2006/relationships/image" Target="media/image86.jpeg"/><Relationship Id="rId108" Type="http://schemas.openxmlformats.org/officeDocument/2006/relationships/image" Target="media/image87.jpeg"/><Relationship Id="rId109" Type="http://schemas.openxmlformats.org/officeDocument/2006/relationships/image" Target="media/image88.jpeg"/><Relationship Id="rId110" Type="http://schemas.openxmlformats.org/officeDocument/2006/relationships/image" Target="media/image89.png"/><Relationship Id="rId111" Type="http://schemas.openxmlformats.org/officeDocument/2006/relationships/image" Target="media/image90.png"/><Relationship Id="rId112" Type="http://schemas.openxmlformats.org/officeDocument/2006/relationships/image" Target="media/image91.png"/><Relationship Id="rId113" Type="http://schemas.openxmlformats.org/officeDocument/2006/relationships/image" Target="media/image92.png"/><Relationship Id="rId114" Type="http://schemas.openxmlformats.org/officeDocument/2006/relationships/image" Target="media/image93.png"/><Relationship Id="rId115" Type="http://schemas.openxmlformats.org/officeDocument/2006/relationships/image" Target="media/image94.png"/><Relationship Id="rId116" Type="http://schemas.openxmlformats.org/officeDocument/2006/relationships/image" Target="media/image95.png"/><Relationship Id="rId117" Type="http://schemas.openxmlformats.org/officeDocument/2006/relationships/image" Target="media/image96.png"/><Relationship Id="rId118" Type="http://schemas.openxmlformats.org/officeDocument/2006/relationships/image" Target="media/image97.png"/><Relationship Id="rId119" Type="http://schemas.openxmlformats.org/officeDocument/2006/relationships/image" Target="media/image98.png"/><Relationship Id="rId120" Type="http://schemas.openxmlformats.org/officeDocument/2006/relationships/image" Target="media/image99.png"/><Relationship Id="rId121" Type="http://schemas.openxmlformats.org/officeDocument/2006/relationships/image" Target="media/image100.png"/><Relationship Id="rId122" Type="http://schemas.openxmlformats.org/officeDocument/2006/relationships/image" Target="media/image101.png"/><Relationship Id="rId123" Type="http://schemas.openxmlformats.org/officeDocument/2006/relationships/image" Target="media/image102.png"/><Relationship Id="rId124" Type="http://schemas.openxmlformats.org/officeDocument/2006/relationships/image" Target="media/image103.png"/><Relationship Id="rId125" Type="http://schemas.openxmlformats.org/officeDocument/2006/relationships/image" Target="media/image104.png"/><Relationship Id="rId18" Type="http://schemas.openxmlformats.org/officeDocument/2006/relationships/hyperlink" Target="http://www.sec.gov/Archives/edgar/data/1434588/000119312518322557/d617676dex21.htm" TargetMode="External"/><Relationship Id="rId19" Type="http://schemas.openxmlformats.org/officeDocument/2006/relationships/hyperlink" Target="http://www.sec.gov/Archives/edgar/data/1434588/000095015308001925/p75463a6exv3w1.htm" TargetMode="External"/><Relationship Id="rId20" Type="http://schemas.openxmlformats.org/officeDocument/2006/relationships/hyperlink" Target="http://www.sec.gov/Archives/edgar/data/1434588/000119312516566183/d117924ddef14a.htm" TargetMode="External"/><Relationship Id="rId21" Type="http://schemas.openxmlformats.org/officeDocument/2006/relationships/hyperlink" Target="http://www.sec.gov/Archives/edgar/data/1434588/000119312514387149/d812440dex31.htm" TargetMode="External"/><Relationship Id="rId22" Type="http://schemas.openxmlformats.org/officeDocument/2006/relationships/hyperlink" Target="http://www.sec.gov/Archives/edgar/data/1434588/000095015308001671/p75463a2exv4w1.htm" TargetMode="External"/><Relationship Id="rId23" Type="http://schemas.openxmlformats.org/officeDocument/2006/relationships/hyperlink" Target="http://www.sec.gov/Archives/edgar/data/1434588/000119312518322557/d617676dex101.htm" TargetMode="External"/><Relationship Id="rId24" Type="http://schemas.openxmlformats.org/officeDocument/2006/relationships/hyperlink" Target="http://www.sec.gov/Archives/edgar/data/1434588/000119312518322557/d617676dex102.htm" TargetMode="External"/><Relationship Id="rId25" Type="http://schemas.openxmlformats.org/officeDocument/2006/relationships/hyperlink" Target="http://www.sec.gov/Archives/edgar/data/1434588/000119312518322557/d617676dex103.htm" TargetMode="External"/><Relationship Id="rId26" Type="http://schemas.openxmlformats.org/officeDocument/2006/relationships/hyperlink" Target="http://www.sec.gov/Archives/edgar/data/1434588/000119312518322557/d617676dex104.htm" TargetMode="External"/><Relationship Id="rId27" Type="http://schemas.openxmlformats.org/officeDocument/2006/relationships/hyperlink" Target="http://www.sec.gov/Archives/edgar/data/1434588/000119312518322557/d617676dex105.htm" TargetMode="External"/><Relationship Id="rId28" Type="http://schemas.openxmlformats.org/officeDocument/2006/relationships/hyperlink" Target="http://www.sec.gov/Archives/edgar/data/1434588/000119312518322557/d617676dex106.htm" TargetMode="External"/><Relationship Id="rId31" Type="http://schemas.openxmlformats.org/officeDocument/2006/relationships/hyperlink" Target="http://www.sec.gov/Archives/edgar/data/1434588/000119312518322557/d617676dex107.htm" TargetMode="External"/><Relationship Id="rId32" Type="http://schemas.openxmlformats.org/officeDocument/2006/relationships/hyperlink" Target="http://www.sec.gov/Archives/edgar/data/1434588/000119312518322557/d617676dex321.htm" TargetMode="External"/><Relationship Id="rId33" Type="http://schemas.openxmlformats.org/officeDocument/2006/relationships/hyperlink" Target="http://www.sec.gov/Archives/edgar/data/1434588/000119312518322557/d617676dex3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2019-12-28T13:37:46Z</dcterms:created>
  <dcterms:modified xsi:type="dcterms:W3CDTF">2019-12-28T13:37:46Z</dcterms:modified>
</cp:coreProperties>
</file>