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#38526M106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5,000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2,978,907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2,978,907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6.720%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2,978,907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2,978,907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6.720%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330 W Camelback Rd</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Phoenix, AZ</w:t>
        <w:tab/>
        <w:t>85017</w:t>
      </w:r>
    </w:p>
    <w:p>
      <w:pPr>
        <w:ind w:left="170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38526M106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2,978,907</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6.720%</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5,000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2,978,907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GRAND CANYON</w:t>
      </w:r>
    </w:p>
    <w:p>
      <w:pPr>
        <w:spacing w:after="0" w:line="6" w:lineRule="exact"/>
        <w:rPr>
          <w:sz w:val="20"/>
          <w:szCs w:val="20"/>
          <w:color w:val="auto"/>
        </w:rPr>
      </w:pPr>
    </w:p>
    <w:p>
      <w:pPr>
        <w:ind w:right="4519"/>
        <w:spacing w:after="0" w:line="279" w:lineRule="auto"/>
        <w:rPr>
          <w:sz w:val="20"/>
          <w:szCs w:val="20"/>
          <w:color w:val="auto"/>
        </w:rPr>
      </w:pPr>
      <w:r>
        <w:rPr>
          <w:rFonts w:ascii="Courier New" w:cs="Courier New" w:eastAsia="Courier New" w:hAnsi="Courier New"/>
          <w:sz w:val="16"/>
          <w:szCs w:val="16"/>
          <w:color w:val="auto"/>
        </w:rPr>
        <w:t>EDUCATION INC. No one person's interest in the Common Stock of GRAND CANYON EDUCATION INC is more than five percent of the total outstanding Common Stock.</w:t>
      </w:r>
    </w:p>
    <w:p>
      <w:pPr>
        <w:spacing w:after="0" w:line="17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2,973,907 shares or 6.708% of the Common Stock outstanding of GRAND CANYON</w:t>
      </w:r>
    </w:p>
    <w:p>
      <w:pPr>
        <w:spacing w:after="0" w:line="6"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EDUCATION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2,973,907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5,000 shares, or 0.011%, of the Common Stock outstanding of GRAND CANYON</w:t>
      </w:r>
    </w:p>
    <w:p>
      <w:pPr>
        <w:spacing w:after="0" w:line="9"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EDUCATION INC, beneficially owned through Strategic Advisers, Inc.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GRAND CANYON EDUCATION INC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344"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2019-12-09T20:02:55Z</dcterms:created>
  <dcterms:modified xsi:type="dcterms:W3CDTF">2019-12-09T20:02:55Z</dcterms:modified>
</cp:coreProperties>
</file>