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#38526M106</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440,458</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2,558,379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2,558,379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5.305%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416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2,558,379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2,558,379</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5.305%</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GRAND CANYON EDUCATION INC</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3300 W Camelback Rd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Phoenix, AZ 85017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38526M106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4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2,558,379</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5.305%</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440,458</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2,558,379</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firstLine="948"/>
        <w:spacing w:after="0" w:line="25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ind w:right="2319"/>
        <w:spacing w:after="0" w:line="273" w:lineRule="auto"/>
        <w:rPr>
          <w:sz w:val="20"/>
          <w:szCs w:val="20"/>
          <w:color w:val="auto"/>
        </w:rPr>
      </w:pPr>
      <w:r>
        <w:rPr>
          <w:rFonts w:ascii="Courier New" w:cs="Courier New" w:eastAsia="Courier New" w:hAnsi="Courier New"/>
          <w:sz w:val="18"/>
          <w:szCs w:val="18"/>
          <w:color w:val="auto"/>
        </w:rPr>
        <w:t>sale of, the COMMON STOCK of GRAND CANYON EDUCATION INC. No one other person's interest in the COMMON STOCK of GRAND CANYON EDUCATION INC is more than five percent of the total outstanding COMMON STOCK.</w:t>
      </w:r>
    </w:p>
    <w:p>
      <w:pPr>
        <w:spacing w:after="0" w:line="82"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10" w:right="1440" w:bottom="39"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9, 2018</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10" w:right="1440" w:bottom="3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4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420" w:type="dxa"/>
            <w:vAlign w:val="bottom"/>
          </w:tcPr>
          <w:p>
            <w:pPr>
              <w:ind w:left="60"/>
              <w:spacing w:after="0"/>
              <w:rPr>
                <w:sz w:val="20"/>
                <w:szCs w:val="20"/>
                <w:color w:val="auto"/>
              </w:rPr>
            </w:pPr>
            <w:r>
              <w:rPr>
                <w:rFonts w:ascii="Courier New" w:cs="Courier New" w:eastAsia="Courier New" w:hAnsi="Courier New"/>
                <w:sz w:val="18"/>
                <w:szCs w:val="18"/>
                <w:color w:val="auto"/>
              </w:rPr>
              <w:t>3 Classification</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460" w:type="dxa"/>
            <w:vAlign w:val="bottom"/>
          </w:tcPr>
          <w:p>
            <w:pPr>
              <w:spacing w:after="0"/>
              <w:rPr>
                <w:sz w:val="17"/>
                <w:szCs w:val="17"/>
                <w:color w:val="auto"/>
              </w:rPr>
            </w:pPr>
          </w:p>
        </w:tc>
        <w:tc>
          <w:tcPr>
            <w:tcW w:w="4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IA</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MANAGEMENT &amp; RESEARCH COMPANY  IA</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FMR CO.,</w:t>
            </w:r>
          </w:p>
        </w:tc>
        <w:tc>
          <w:tcPr>
            <w:tcW w:w="46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c>
          <w:tcPr>
            <w:tcW w:w="4420" w:type="dxa"/>
            <w:vAlign w:val="bottom"/>
          </w:tcPr>
          <w:p>
            <w:pPr>
              <w:ind w:left="380"/>
              <w:spacing w:after="0"/>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319" w:firstLine="1685"/>
        <w:spacing w:after="0" w:line="274" w:lineRule="auto"/>
        <w:rPr>
          <w:sz w:val="20"/>
          <w:szCs w:val="20"/>
          <w:color w:val="auto"/>
        </w:rPr>
      </w:pPr>
      <w:r>
        <w:rPr>
          <w:rFonts w:ascii="Courier New" w:cs="Courier New" w:eastAsia="Courier New" w:hAnsi="Courier New"/>
          <w:sz w:val="18"/>
          <w:szCs w:val="18"/>
          <w:color w:val="auto"/>
        </w:rPr>
        <w:t>The undersigned persons, on July 9, 2018, agree and consent to the joint filing on their behalf of this Schedule 13G in connection with their beneficial ownership of the COMMON STOCK of GRAND CANYON EDUCATION INC at June 29, 2018.</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53" w:lineRule="exact"/>
        <w:rPr>
          <w:sz w:val="20"/>
          <w:szCs w:val="20"/>
          <w:color w:val="auto"/>
        </w:rPr>
      </w:pPr>
    </w:p>
    <w:p>
      <w:pPr>
        <w:ind w:right="2419" w:firstLine="8"/>
        <w:spacing w:after="0" w:line="292"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08"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2019-12-07T12:55:45Z</dcterms:created>
  <dcterms:modified xsi:type="dcterms:W3CDTF">2019-12-07T12:55:45Z</dcterms:modified>
</cp:coreProperties>
</file>