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1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Keegan Lisa Graham</w:t>
              </w:r>
            </w:hyperlink>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Grand Canyon Education,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LOPE</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140" w:type="dxa"/>
            <w:vAlign w:val="bottom"/>
            <w:gridSpan w:val="3"/>
            <w:vMerge w:val="continue"/>
          </w:tcPr>
          <w:p>
            <w:pPr>
              <w:spacing w:after="0"/>
              <w:rPr>
                <w:sz w:val="5"/>
                <w:szCs w:val="5"/>
                <w:color w:val="auto"/>
              </w:rPr>
            </w:pPr>
          </w:p>
        </w:tc>
        <w:tc>
          <w:tcPr>
            <w:tcW w:w="15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480" w:type="dxa"/>
            <w:vAlign w:val="bottom"/>
            <w:tcBorders>
              <w:top w:val="single" w:sz="8" w:color="0000EE"/>
            </w:tcBorders>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1040" w:type="dxa"/>
            <w:vAlign w:val="bottom"/>
            <w:tcBorders>
              <w:top w:val="single" w:sz="8" w:color="0000EE"/>
              <w:bottom w:val="single" w:sz="8" w:color="9A9A9A"/>
            </w:tcBorders>
          </w:tcPr>
          <w:p>
            <w:pPr>
              <w:spacing w:after="0"/>
              <w:rPr>
                <w:sz w:val="16"/>
                <w:szCs w:val="16"/>
                <w:color w:val="auto"/>
              </w:rPr>
            </w:pPr>
          </w:p>
        </w:tc>
        <w:tc>
          <w:tcPr>
            <w:tcW w:w="320" w:type="dxa"/>
            <w:vAlign w:val="bottom"/>
            <w:tcBorders>
              <w:bottom w:val="single" w:sz="8" w:color="9A9A9A"/>
            </w:tcBorders>
          </w:tcPr>
          <w:p>
            <w:pPr>
              <w:spacing w:after="0"/>
              <w:rPr>
                <w:sz w:val="16"/>
                <w:szCs w:val="16"/>
                <w:color w:val="auto"/>
              </w:rPr>
            </w:pPr>
          </w:p>
        </w:tc>
        <w:tc>
          <w:tcPr>
            <w:tcW w:w="150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480" w:type="dxa"/>
            <w:vAlign w:val="bottom"/>
            <w:tcBorders>
              <w:bottom w:val="single" w:sz="8" w:color="2C2C2C"/>
            </w:tcBorders>
          </w:tcPr>
          <w:p>
            <w:pPr>
              <w:spacing w:after="0"/>
              <w:rPr>
                <w:sz w:val="16"/>
                <w:szCs w:val="16"/>
                <w:color w:val="auto"/>
              </w:rPr>
            </w:pPr>
          </w:p>
        </w:tc>
        <w:tc>
          <w:tcPr>
            <w:tcW w:w="1140" w:type="dxa"/>
            <w:vAlign w:val="bottom"/>
            <w:tcBorders>
              <w:bottom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40" w:type="dxa"/>
            <w:vAlign w:val="bottom"/>
          </w:tcPr>
          <w:p>
            <w:pPr>
              <w:spacing w:after="0"/>
              <w:rPr>
                <w:sz w:val="12"/>
                <w:szCs w:val="12"/>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360" w:type="dxa"/>
            <w:vAlign w:val="bottom"/>
            <w:tcBorders>
              <w:top w:val="single" w:sz="8" w:color="EEEEEE"/>
            </w:tcBorders>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500" w:type="dxa"/>
            <w:vAlign w:val="bottom"/>
            <w:tcBorders>
              <w:top w:val="single" w:sz="8" w:color="EEEEEE"/>
            </w:tcBorders>
            <w:vMerge w:val="restart"/>
          </w:tcPr>
          <w:p>
            <w:pPr>
              <w:ind w:left="300"/>
              <w:spacing w:after="0"/>
              <w:rPr>
                <w:sz w:val="20"/>
                <w:szCs w:val="20"/>
                <w:color w:val="auto"/>
              </w:rPr>
            </w:pPr>
            <w:r>
              <w:rPr>
                <w:rFonts w:ascii="Arial" w:cs="Arial" w:eastAsia="Arial" w:hAnsi="Arial"/>
                <w:sz w:val="13"/>
                <w:szCs w:val="13"/>
                <w:color w:val="auto"/>
              </w:rPr>
              <w:t>(Middle)</w:t>
            </w:r>
          </w:p>
        </w:tc>
        <w:tc>
          <w:tcPr>
            <w:tcW w:w="280" w:type="dxa"/>
            <w:vAlign w:val="bottom"/>
            <w:gridSpan w:val="3"/>
          </w:tcPr>
          <w:p>
            <w:pPr>
              <w:ind w:left="160"/>
              <w:spacing w:after="0" w:line="146" w:lineRule="exact"/>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line="146" w:lineRule="exact"/>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1500" w:type="dxa"/>
            <w:vAlign w:val="bottom"/>
            <w:vMerge w:val="continue"/>
          </w:tcPr>
          <w:p>
            <w:pPr>
              <w:spacing w:after="0"/>
              <w:rPr>
                <w:sz w:val="19"/>
                <w:szCs w:val="19"/>
                <w:color w:val="auto"/>
              </w:rPr>
            </w:pPr>
          </w:p>
        </w:tc>
        <w:tc>
          <w:tcPr>
            <w:tcW w:w="276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06/10/2026</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2600 W. CAMELBACK ROAD</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p>
      <w:pPr>
        <w:spacing w:after="0" w:line="240"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PHOENIX</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AZ</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85017</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0"/>
          <w:szCs w:val="20"/>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2"/>
                <w:szCs w:val="22"/>
                <w:color w:val="008000"/>
                <w:vertAlign w:val="superscript"/>
              </w:rPr>
              <w:t>(1)</w:t>
            </w:r>
          </w:p>
        </w:tc>
        <w:tc>
          <w:tcPr>
            <w:tcW w:w="11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06/10/2026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498</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60"/>
              <w:spacing w:after="0"/>
              <w:rPr>
                <w:sz w:val="20"/>
                <w:szCs w:val="20"/>
                <w:color w:val="auto"/>
              </w:rPr>
            </w:pPr>
            <w:r>
              <w:rPr>
                <w:rFonts w:ascii="Times New Roman" w:cs="Times New Roman" w:eastAsia="Times New Roman" w:hAnsi="Times New Roman"/>
                <w:sz w:val="17"/>
                <w:szCs w:val="17"/>
                <w:color w:val="0000FF"/>
              </w:rPr>
              <w:t>3,579</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1. Represents a grant of restricted stock that vests on the earlier of June 9, 2027 or immediately prior to the 2027 annual stockholders' meeting.</w:t>
      </w:r>
    </w:p>
    <w:p>
      <w:pPr>
        <w:spacing w:after="0" w:line="7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Lisa Graham Keegan,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306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30630"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Lyn Bickle, as Attorney-in-</w:t>
      </w:r>
      <w:r>
        <w:rPr>
          <w:sz w:val="20"/>
          <w:szCs w:val="20"/>
          <w:color w:val="auto"/>
        </w:rPr>
        <w:tab/>
      </w:r>
      <w:r>
        <w:rPr>
          <w:rFonts w:ascii="Times New Roman" w:cs="Times New Roman" w:eastAsia="Times New Roman" w:hAnsi="Times New Roman"/>
          <w:sz w:val="17"/>
          <w:szCs w:val="17"/>
          <w:color w:val="0000FF"/>
        </w:rPr>
        <w:t>06/11/2026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29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93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644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64465"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00" w:lineRule="exact"/>
        <w:rPr>
          <w:sz w:val="20"/>
          <w:szCs w:val="20"/>
          <w:color w:val="auto"/>
        </w:rPr>
      </w:pPr>
    </w:p>
    <w:p>
      <w:pPr>
        <w:spacing w:after="0" w:line="27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The undersigned hereby makes, constitutes and appoints each of Lyn Bickle, Sarah S. Collins and Daniel E. Bachus, or either of them acting singly, and with full power of substitution, re-substitution and delegation, the undersigned’s true and lawful attorney in fact (each of such persons and their substitutes and delegees being referred to herein as the “Attorney-in-Fact”), with full power to act for the undersigned and in the undersigned’s name, place and stead, in the undersigned’s capacity as an officer, director or stockholder of Grand Canyon Education, Inc. (the “Company”), to:</w:t>
      </w:r>
    </w:p>
    <w:p>
      <w:pPr>
        <w:spacing w:after="0" w:line="186" w:lineRule="exact"/>
        <w:rPr>
          <w:sz w:val="20"/>
          <w:szCs w:val="20"/>
          <w:color w:val="auto"/>
        </w:rPr>
      </w:pPr>
    </w:p>
    <w:p>
      <w:pPr>
        <w:jc w:val="both"/>
        <w:ind w:left="640" w:hanging="314"/>
        <w:spacing w:after="0" w:line="241" w:lineRule="auto"/>
        <w:tabs>
          <w:tab w:leader="none" w:pos="613"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such actions as may be necessary or appropriate to enable the undersigned to submit and file forms, schedules and other documents with the U.S. Securities and Exchange Commission (“SEC”) utilizing the SEC’s Electronic Data Gathering and Retrieval (“EDGAR”) system, which actions may include (a) enrolling the undersigned in EDGAR Next and (b) preparing, executing and submitting to the SEC a Form ID, amendments thereto, and such other documents and information as may be necessary or appropriate to obtain codes and passwords enabling the undersigned to make filings and submissions utilizing the EDGAR system;</w:t>
      </w:r>
    </w:p>
    <w:p>
      <w:pPr>
        <w:spacing w:after="0" w:line="186" w:lineRule="exact"/>
        <w:rPr>
          <w:rFonts w:ascii="Times New Roman" w:cs="Times New Roman" w:eastAsia="Times New Roman" w:hAnsi="Times New Roman"/>
          <w:sz w:val="20"/>
          <w:szCs w:val="20"/>
          <w:color w:val="auto"/>
        </w:rPr>
      </w:pPr>
    </w:p>
    <w:p>
      <w:pPr>
        <w:jc w:val="both"/>
        <w:ind w:left="640" w:hanging="314"/>
        <w:spacing w:after="0" w:line="242" w:lineRule="auto"/>
        <w:tabs>
          <w:tab w:leader="none" w:pos="613"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and execute any and all forms, schedules and other documents (including any amendments thereto) the undersigned is required to file with the SEC, or which the Attorney-in-Fact considers it advisable for the undersigned to file with the SEC, under Section 13 or Section 16 of the Securities Exchange Act of 1934 or any rule or regulation thereunder, or under Rule 144 under the Securities Act of 1933 (“Rule 144”), including Forms 3, 4 and 5, Schedules 13D and 13G, and Forms 144 (all such forms, schedules and other documents being referred to herein as “SEC Filings”);</w:t>
      </w:r>
    </w:p>
    <w:p>
      <w:pPr>
        <w:spacing w:after="0" w:line="186" w:lineRule="exact"/>
        <w:rPr>
          <w:rFonts w:ascii="Times New Roman" w:cs="Times New Roman" w:eastAsia="Times New Roman" w:hAnsi="Times New Roman"/>
          <w:sz w:val="20"/>
          <w:szCs w:val="20"/>
          <w:color w:val="auto"/>
        </w:rPr>
      </w:pPr>
    </w:p>
    <w:p>
      <w:pPr>
        <w:ind w:left="640" w:right="20" w:hanging="314"/>
        <w:spacing w:after="0" w:line="261" w:lineRule="auto"/>
        <w:tabs>
          <w:tab w:leader="none" w:pos="613"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Submit and file SEC Filings with the SEC utilizing the EDGAR system or cause them to be submitted and filed by a person appointed under </w:t>
      </w:r>
      <w:r>
        <w:rPr>
          <w:rFonts w:ascii="Times New Roman" w:cs="Times New Roman" w:eastAsia="Times New Roman" w:hAnsi="Times New Roman"/>
          <w:sz w:val="20"/>
          <w:szCs w:val="20"/>
          <w:u w:val="single" w:color="auto"/>
          <w:color w:val="auto"/>
        </w:rPr>
        <w:t>Section 5</w:t>
      </w:r>
      <w:r>
        <w:rPr>
          <w:rFonts w:ascii="Times New Roman" w:cs="Times New Roman" w:eastAsia="Times New Roman" w:hAnsi="Times New Roman"/>
          <w:sz w:val="20"/>
          <w:szCs w:val="20"/>
          <w:color w:val="auto"/>
        </w:rPr>
        <w:t xml:space="preserve"> below;</w:t>
      </w:r>
    </w:p>
    <w:p>
      <w:pPr>
        <w:spacing w:after="0" w:line="166" w:lineRule="exact"/>
        <w:rPr>
          <w:rFonts w:ascii="Times New Roman" w:cs="Times New Roman" w:eastAsia="Times New Roman" w:hAnsi="Times New Roman"/>
          <w:sz w:val="20"/>
          <w:szCs w:val="20"/>
          <w:color w:val="auto"/>
        </w:rPr>
      </w:pPr>
    </w:p>
    <w:p>
      <w:pPr>
        <w:ind w:left="620" w:hanging="294"/>
        <w:spacing w:after="0"/>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submit or otherwise deliver SEC Filings to any securities exchange on which the Company’s securities may be listed or traded;</w:t>
      </w:r>
    </w:p>
    <w:p>
      <w:pPr>
        <w:spacing w:after="0" w:line="232" w:lineRule="exact"/>
        <w:rPr>
          <w:rFonts w:ascii="Times New Roman" w:cs="Times New Roman" w:eastAsia="Times New Roman" w:hAnsi="Times New Roman"/>
          <w:sz w:val="18"/>
          <w:szCs w:val="18"/>
          <w:color w:val="auto"/>
        </w:rPr>
      </w:pPr>
    </w:p>
    <w:p>
      <w:pPr>
        <w:jc w:val="both"/>
        <w:ind w:left="640" w:hanging="314"/>
        <w:spacing w:after="0" w:line="242" w:lineRule="auto"/>
        <w:tabs>
          <w:tab w:leader="none" w:pos="613"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 as an account administrator for the undersigned’s EDGAR account, including: (i) appoint, remove and replace account administrators, account users, technical administrators and delegated entities; (ii) maintain the security of the undersigned’s EDGAR account, including modification of access codes; (iii) maintain, modify and certify the accuracy of information on the undersigned’s EDGAR account dashboard; (iv) act as the EDGAR point of contact with respect to the undersigned’s EDGAR account; and (v) any other actions contemplated by Rule 10 of Regulation S-T with respect to account administrators;</w:t>
      </w:r>
    </w:p>
    <w:p>
      <w:pPr>
        <w:spacing w:after="0" w:line="186" w:lineRule="exact"/>
        <w:rPr>
          <w:rFonts w:ascii="Times New Roman" w:cs="Times New Roman" w:eastAsia="Times New Roman" w:hAnsi="Times New Roman"/>
          <w:sz w:val="20"/>
          <w:szCs w:val="20"/>
          <w:color w:val="auto"/>
        </w:rPr>
      </w:pPr>
    </w:p>
    <w:p>
      <w:pPr>
        <w:jc w:val="both"/>
        <w:ind w:left="640" w:right="20" w:hanging="314"/>
        <w:spacing w:after="0" w:line="248" w:lineRule="auto"/>
        <w:tabs>
          <w:tab w:leader="none" w:pos="613"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Cause the Company to accept a delegation of authority from any of the undersigned’s EDGAR account administrators and, pursuant to that delegation, authorize the Company’s EDGAR account administrators to appoint, remove or replace users for the undersigned’s EDGAR account; and</w:t>
      </w:r>
    </w:p>
    <w:p>
      <w:pPr>
        <w:spacing w:after="0" w:line="179" w:lineRule="exact"/>
        <w:rPr>
          <w:rFonts w:ascii="Times New Roman" w:cs="Times New Roman" w:eastAsia="Times New Roman" w:hAnsi="Times New Roman"/>
          <w:sz w:val="20"/>
          <w:szCs w:val="20"/>
          <w:color w:val="auto"/>
        </w:rPr>
      </w:pPr>
    </w:p>
    <w:p>
      <w:pPr>
        <w:jc w:val="both"/>
        <w:ind w:left="640" w:right="20" w:hanging="314"/>
        <w:spacing w:after="0" w:line="289" w:lineRule="auto"/>
        <w:tabs>
          <w:tab w:leader="none" w:pos="61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undersigned acknowledges that:</w:t>
      </w:r>
    </w:p>
    <w:p>
      <w:pPr>
        <w:spacing w:after="0" w:line="21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0"/>
          <w:szCs w:val="20"/>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588010</wp:posOffset>
            </wp:positionV>
            <wp:extent cx="6964045" cy="933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6964045" cy="93345"/>
                    </a:xfrm>
                    <a:prstGeom prst="rect">
                      <a:avLst/>
                    </a:prstGeom>
                    <a:noFill/>
                  </pic:spPr>
                </pic:pic>
              </a:graphicData>
            </a:graphic>
          </wp:anchor>
        </w:drawing>
      </w:r>
    </w:p>
    <w:p>
      <w:pPr>
        <w:sectPr>
          <w:pgSz w:w="11900" w:h="16838" w:orient="portrait"/>
          <w:cols w:equalWidth="0" w:num="1">
            <w:col w:w="10980"/>
          </w:cols>
          <w:pgMar w:left="460" w:top="114" w:right="459" w:bottom="1440" w:gutter="0" w:footer="0" w:header="0"/>
        </w:sectPr>
      </w:pPr>
    </w:p>
    <w:bookmarkStart w:id="2" w:name="page3"/>
    <w:bookmarkEnd w:id="2"/>
    <w:p>
      <w:pPr>
        <w:ind w:left="1280" w:hanging="319"/>
        <w:spacing w:after="0" w:line="260" w:lineRule="auto"/>
        <w:rPr>
          <w:sz w:val="20"/>
          <w:szCs w:val="20"/>
          <w:color w:val="auto"/>
        </w:rPr>
      </w:pPr>
      <w:r>
        <w:rPr>
          <w:rFonts w:ascii="Times New Roman" w:cs="Times New Roman" w:eastAsia="Times New Roman" w:hAnsi="Times New Roman"/>
          <w:sz w:val="20"/>
          <w:szCs w:val="20"/>
          <w:color w:val="auto"/>
        </w:rPr>
        <w:t>This Power of Attorney authorizes, but does not require, the Attorney-in-Fact to act in his or her discretion on information provided to such Attorney-in-Fact without independent verification of such information;</w:t>
      </w:r>
    </w:p>
    <w:p>
      <w:pPr>
        <w:spacing w:after="0" w:line="167" w:lineRule="exact"/>
        <w:rPr>
          <w:sz w:val="20"/>
          <w:szCs w:val="20"/>
          <w:color w:val="auto"/>
        </w:rPr>
      </w:pPr>
    </w:p>
    <w:p>
      <w:pPr>
        <w:jc w:val="both"/>
        <w:ind w:left="1280" w:hanging="314"/>
        <w:spacing w:after="0" w:line="248" w:lineRule="auto"/>
        <w:tabs>
          <w:tab w:leader="none" w:pos="1253"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documents prepared or executed by the Attorney-in-Fact on behalf of the undersigned pursuant to this Power of Attorney will be in such form and will contain such information as the Attorney-in-Fact, in his or her discretion, deems necessary or desirable;</w:t>
      </w:r>
    </w:p>
    <w:p>
      <w:pPr>
        <w:spacing w:after="0" w:line="179" w:lineRule="exact"/>
        <w:rPr>
          <w:rFonts w:ascii="Times New Roman" w:cs="Times New Roman" w:eastAsia="Times New Roman" w:hAnsi="Times New Roman"/>
          <w:sz w:val="20"/>
          <w:szCs w:val="20"/>
          <w:color w:val="auto"/>
        </w:rPr>
      </w:pPr>
    </w:p>
    <w:p>
      <w:pPr>
        <w:jc w:val="both"/>
        <w:ind w:left="1280" w:right="20" w:hanging="314"/>
        <w:spacing w:after="0" w:line="244" w:lineRule="auto"/>
        <w:tabs>
          <w:tab w:leader="none" w:pos="1253"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Company nor the Attorney-in-Fact assumes any liability for the undersigned’s responsibility to comply with the requirements of Section 13 or Section 16 of the Exchange Act or Rule 144, any liability of the undersigned for any failure to comply with such requirements, or any liability of the undersigned for disgorgement of profits under Section 16(b) of the Exchange Act; and</w:t>
      </w:r>
    </w:p>
    <w:p>
      <w:pPr>
        <w:spacing w:after="0" w:line="184" w:lineRule="exact"/>
        <w:rPr>
          <w:rFonts w:ascii="Times New Roman" w:cs="Times New Roman" w:eastAsia="Times New Roman" w:hAnsi="Times New Roman"/>
          <w:sz w:val="20"/>
          <w:szCs w:val="20"/>
          <w:color w:val="auto"/>
        </w:rPr>
      </w:pPr>
    </w:p>
    <w:p>
      <w:pPr>
        <w:jc w:val="both"/>
        <w:ind w:left="1280" w:hanging="314"/>
        <w:spacing w:after="0" w:line="248" w:lineRule="auto"/>
        <w:tabs>
          <w:tab w:leader="none" w:pos="1253"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Power of Attorney does not relieve the undersigned from responsibility for compliance with the undersigned’s obligations under Section 13 or Section 16 of the Exchange Act, including, without limitation, the reporting requirements under Section 13 or Section 16 of the Exchange Act.</w:t>
      </w:r>
    </w:p>
    <w:p>
      <w:pPr>
        <w:spacing w:after="0" w:line="18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Power of Attorney.</w:t>
      </w:r>
    </w:p>
    <w:p>
      <w:pPr>
        <w:spacing w:after="0" w:line="18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4 or 5 or Schedules 13D or 13G or Forms 144 with respect to the undersigned’s holdings of and transactions in securities of the Company, unless earlier revoked by the undersigned in a signed writing delivered to the Attorney-in-Fact. This Power of Attorney revokes all previous powers of attorney with respect to the subject matter of this Power of Attorney.</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i w:val="1"/>
          <w:iCs w:val="1"/>
          <w:color w:val="auto"/>
        </w:rPr>
        <w:t>[Signature Page to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1165860</wp:posOffset>
            </wp:positionV>
            <wp:extent cx="6964045" cy="933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6964045" cy="93345"/>
                    </a:xfrm>
                    <a:prstGeom prst="rect">
                      <a:avLst/>
                    </a:prstGeom>
                    <a:noFill/>
                  </pic:spPr>
                </pic:pic>
              </a:graphicData>
            </a:graphic>
          </wp:anchor>
        </w:drawing>
      </w:r>
    </w:p>
    <w:p>
      <w:pPr>
        <w:sectPr>
          <w:pgSz w:w="11900" w:h="16838" w:orient="portrait"/>
          <w:cols w:equalWidth="0" w:num="1">
            <w:col w:w="10980"/>
          </w:cols>
          <w:pgMar w:left="460" w:top="118"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t>IN WITNESS WHEREOF, the undersigned has executed this Power of Attorney as of August 5,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 Lisa Graham Keegan</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Signature</w:t>
      </w:r>
    </w:p>
    <w:p>
      <w:pPr>
        <w:spacing w:after="0" w:line="236" w:lineRule="auto"/>
        <w:rPr>
          <w:sz w:val="20"/>
          <w:szCs w:val="20"/>
          <w:color w:val="auto"/>
        </w:rPr>
      </w:pPr>
      <w:r>
        <w:rPr>
          <w:rFonts w:ascii="Times New Roman" w:cs="Times New Roman" w:eastAsia="Times New Roman" w:hAnsi="Times New Roman"/>
          <w:sz w:val="20"/>
          <w:szCs w:val="20"/>
          <w:u w:val="single" w:color="auto"/>
          <w:color w:val="auto"/>
        </w:rPr>
        <w:t>Lisa Graham Keegan</w:t>
      </w:r>
    </w:p>
    <w:p>
      <w:pPr>
        <w:spacing w:after="0"/>
        <w:rPr>
          <w:sz w:val="20"/>
          <w:szCs w:val="20"/>
          <w:color w:val="auto"/>
        </w:rPr>
      </w:pPr>
      <w:r>
        <w:rPr>
          <w:rFonts w:ascii="Times New Roman" w:cs="Times New Roman" w:eastAsia="Times New Roman" w:hAnsi="Times New Roman"/>
          <w:sz w:val="20"/>
          <w:szCs w:val="20"/>
          <w:color w:val="auto"/>
        </w:rPr>
        <w:t>Print Name</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State of Arizona</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County of Maricopa</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This Power of Attorney was acknowledged before me on August 5, 2025 by Lisa Graham Keegan.</w:t>
      </w:r>
    </w:p>
    <w:sectPr>
      <w:pgSz w:w="11900" w:h="16838" w:orient="portrait"/>
      <w:cols w:equalWidth="0" w:num="1">
        <w:col w:w="9999"/>
      </w:cols>
      <w:pgMar w:left="460" w:top="1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3" Type="http://schemas.openxmlformats.org/officeDocument/2006/relationships/hyperlink" Target="http://www.sec.gov/cgi-bin/browse-edgar?action=getcompany&amp;CIK=0001786362" TargetMode="External"/><Relationship Id="rId14" Type="http://schemas.openxmlformats.org/officeDocument/2006/relationships/hyperlink" Target="http://www.sec.gov/cgi-bin/browse-edgar?action=getcompany&amp;CIK=00014345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2026-06-11T15:32:41Z</dcterms:created>
  <dcterms:modified xsi:type="dcterms:W3CDTF">2026-06-11T15:32:41Z</dcterms:modified>
</cp:coreProperties>
</file>