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053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5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ENDEAVOUR ASSOCIATES FUND IV LP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64" w:lineRule="exact"/>
              <w:rPr>
                <w:rFonts w:ascii="Arial" w:cs="Arial" w:eastAsia="Arial" w:hAnsi="Arial"/>
                <w:sz w:val="18"/>
                <w:szCs w:val="1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8"/>
                  <w:szCs w:val="18"/>
                  <w:color w:val="0000EE"/>
                </w:rPr>
                <w:t>Grand Canyon Education, Inc.</w:t>
              </w:r>
            </w:hyperlink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 SW SIXTH AVENUE, SUITE 1400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471,108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471,108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522,115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258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471,108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51,007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 w:right="1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the closing of the initial public offering of the Issuer's Common Stock, the shares of Series A Preferred Stock reported in Column 5 of Table II automatically converted into the number of shares of the Issuer's Common Stock reported in Column 7 of Table II, for no additional consideration.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the closing of the initial public offering of the Issuer's Common Stock, the shares of Series C Preferred Stock reported in Column 5 of Table II automatically converted into the number of shares of the Issuer's Common Stock reported in Column 7 of Table II, for no additional consideration.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Lyn Bickle, Attorney-in-Fact  11/21/2008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9456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800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2019-12-24T02:28:35Z</dcterms:created>
  <dcterms:modified xsi:type="dcterms:W3CDTF">2019-12-24T02:28:35Z</dcterms:modified>
</cp:coreProperties>
</file>