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210,172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2,376,673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2,376,673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4.937%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2,376,673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2,376,673</w:t>
      </w:r>
    </w:p>
    <w:p>
      <w:pPr>
        <w:spacing w:after="0" w:line="237" w:lineRule="auto"/>
        <w:rPr>
          <w:sz w:val="20"/>
          <w:szCs w:val="20"/>
          <w:color w:val="auto"/>
        </w:rPr>
      </w:pPr>
      <w:r>
        <w:rPr>
          <w:rFonts w:ascii="Courier New" w:cs="Courier New" w:eastAsia="Courier New" w:hAnsi="Courier New"/>
          <w:sz w:val="18"/>
          <w:szCs w:val="18"/>
          <w:color w:val="auto"/>
        </w:rPr>
        <w:t>Item 11: 4.937%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2,376,673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4.937%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210,172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2,376,673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FIDELITY MANAGEMENT &amp; RESEARCH COMPANY</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600" w:space="200"/>
            <w:col w:w="4419"/>
          </w:cols>
          <w:pgMar w:left="240" w:top="339"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GRAND CANYON EDUCATION INC at December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2019-12-19T21:27:11Z</dcterms:created>
  <dcterms:modified xsi:type="dcterms:W3CDTF">2019-12-19T21:27:11Z</dcterms:modified>
</cp:coreProperties>
</file>